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D710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53625A">
            <w:pPr>
              <w:pStyle w:val="5"/>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3E50305">
            <w:pPr>
              <w:pStyle w:val="5"/>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13.280</w:t>
            </w:r>
            <w:r>
              <w:rPr>
                <w:rFonts w:ascii="黑体" w:hAnsi="黑体" w:eastAsia="黑体"/>
                <w:sz w:val="21"/>
                <w:szCs w:val="21"/>
              </w:rPr>
              <w:fldChar w:fldCharType="end"/>
            </w:r>
            <w:bookmarkEnd w:id="0"/>
          </w:p>
        </w:tc>
      </w:tr>
      <w:tr w14:paraId="251E0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FFA1EA">
            <w:pPr>
              <w:pStyle w:val="5"/>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A475FDA">
            <w:pPr>
              <w:pStyle w:val="5"/>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C </w:t>
            </w:r>
            <w:r>
              <w:rPr>
                <w:rFonts w:hint="eastAsia" w:ascii="黑体" w:hAnsi="黑体" w:eastAsia="黑体"/>
                <w:sz w:val="21"/>
                <w:szCs w:val="21"/>
                <w:lang w:val="en-US" w:eastAsia="zh-CN"/>
              </w:rPr>
              <w:t>04</w:t>
            </w:r>
            <w:r>
              <w:rPr>
                <w:rFonts w:ascii="黑体" w:hAnsi="黑体" w:eastAsia="黑体"/>
                <w:sz w:val="21"/>
                <w:szCs w:val="21"/>
              </w:rPr>
              <w:fldChar w:fldCharType="end"/>
            </w:r>
            <w:bookmarkEnd w:id="1"/>
          </w:p>
        </w:tc>
      </w:tr>
    </w:tbl>
    <w:tbl>
      <w:tblPr>
        <w:tblStyle w:val="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76AAAF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8CE9241">
            <w:pPr>
              <w:pStyle w:val="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B756F5E">
      <w:pPr>
        <w:pStyle w:val="1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9576F75">
      <w:pPr>
        <w:pStyle w:val="11"/>
        <w:rPr>
          <w:rFonts w:hint="default" w:eastAsia="黑体"/>
          <w:lang w:val="en-US" w:eastAsia="zh-CN"/>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rPr>
          <w:rFonts w:hint="eastAsia"/>
          <w:lang w:val="en-US" w:eastAsia="zh-CN"/>
        </w:rPr>
        <w:t>2752</w:t>
      </w:r>
      <w:r>
        <w:rPr>
          <w:rFonts w:hAnsi="黑体"/>
          <w:lang w:val="fr-FR"/>
        </w:rPr>
        <w:t>—</w:t>
      </w:r>
      <w:r>
        <w:rPr>
          <w:rFonts w:hint="eastAsia"/>
          <w:lang w:val="en-US" w:eastAsia="zh-CN"/>
        </w:rPr>
        <w:t>2025</w:t>
      </w:r>
    </w:p>
    <w:p w14:paraId="1279D1F7">
      <w:pPr>
        <w:pStyle w:val="13"/>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76DB32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C0F5AC4">
      <w:pPr>
        <w:pStyle w:val="10"/>
        <w:framePr w:w="9639" w:h="6976" w:hRule="exact" w:hSpace="0" w:vSpace="0" w:wrap="around" w:hAnchor="page" w:y="6408"/>
        <w:jc w:val="center"/>
        <w:rPr>
          <w:rFonts w:ascii="黑体" w:hAnsi="黑体" w:eastAsia="黑体"/>
          <w:b w:val="0"/>
          <w:bCs w:val="0"/>
          <w:w w:val="100"/>
        </w:rPr>
      </w:pPr>
    </w:p>
    <w:p w14:paraId="4F74E949">
      <w:pPr>
        <w:pStyle w:val="14"/>
        <w:framePr w:h="6974" w:hRule="exact" w:wrap="around" w:x="1419" w:anchorLock="1"/>
      </w:pPr>
      <w:r>
        <w:rPr>
          <w:rFonts w:hint="default" w:ascii="Times New Roman" w:hAnsi="Times New Roman" w:cs="Times New Roman"/>
          <w:color w:val="000000"/>
          <w:sz w:val="52"/>
          <w:szCs w:val="52"/>
        </w:rPr>
        <w:t>用人单位职业病危害现状评价导则</w:t>
      </w:r>
    </w:p>
    <w:p w14:paraId="76C1C2C2">
      <w:pPr>
        <w:framePr w:w="9639" w:h="6974" w:hRule="exact" w:wrap="around" w:vAnchor="page" w:hAnchor="page" w:x="1419" w:y="6408" w:anchorLock="1"/>
        <w:ind w:left="-1418"/>
      </w:pPr>
    </w:p>
    <w:p w14:paraId="77852FBB">
      <w:pPr>
        <w:pStyle w:val="15"/>
        <w:framePr w:w="9639" w:h="6974" w:hRule="exact" w:wrap="around" w:vAnchor="page" w:hAnchor="page" w:x="1419" w:y="6408" w:anchorLock="1"/>
        <w:textAlignment w:val="bottom"/>
        <w:rPr>
          <w:rFonts w:hint="default" w:ascii="宋体" w:hAnsi="宋体" w:eastAsia="宋体" w:cs="宋体"/>
          <w:sz w:val="24"/>
          <w:szCs w:val="24"/>
        </w:rPr>
      </w:pPr>
      <w:r>
        <w:rPr>
          <w:rFonts w:hint="default" w:ascii="宋体" w:hAnsi="宋体" w:eastAsia="宋体" w:cs="宋体"/>
          <w:sz w:val="24"/>
          <w:szCs w:val="24"/>
        </w:rPr>
        <w:t xml:space="preserve">The guidelines for status quo assessment of occupational hazard of the employing </w:t>
      </w:r>
    </w:p>
    <w:p w14:paraId="5B76CCFF">
      <w:pPr>
        <w:pStyle w:val="15"/>
        <w:framePr w:w="9639" w:h="6974" w:hRule="exact" w:wrap="around" w:vAnchor="page" w:hAnchor="page" w:x="1419" w:y="6408" w:anchorLock="1"/>
        <w:textAlignment w:val="bottom"/>
        <w:rPr>
          <w:rFonts w:hint="eastAsia" w:ascii="宋体" w:hAnsi="宋体" w:eastAsia="宋体" w:cs="宋体"/>
          <w:sz w:val="24"/>
          <w:szCs w:val="24"/>
        </w:rPr>
      </w:pPr>
      <w:r>
        <w:rPr>
          <w:rFonts w:hint="default" w:ascii="宋体" w:hAnsi="宋体" w:eastAsia="宋体" w:cs="宋体"/>
          <w:sz w:val="24"/>
          <w:szCs w:val="24"/>
        </w:rPr>
        <w:t>unit</w:t>
      </w:r>
    </w:p>
    <w:p w14:paraId="69F9ACA7">
      <w:pPr>
        <w:framePr w:w="9639" w:h="6974" w:hRule="exact" w:wrap="around" w:vAnchor="page" w:hAnchor="page" w:x="1419" w:y="6408" w:anchorLock="1"/>
        <w:spacing w:line="760" w:lineRule="exact"/>
        <w:ind w:left="-1418"/>
      </w:pPr>
    </w:p>
    <w:p w14:paraId="5BCD1623">
      <w:pPr>
        <w:pStyle w:val="15"/>
        <w:framePr w:w="9639" w:h="6974" w:hRule="exact" w:wrap="around" w:vAnchor="page" w:hAnchor="page" w:x="1419" w:y="6408" w:anchorLock="1"/>
        <w:textAlignment w:val="bottom"/>
        <w:rPr>
          <w:rFonts w:eastAsia="黑体"/>
          <w:szCs w:val="28"/>
        </w:rPr>
      </w:pPr>
    </w:p>
    <w:p w14:paraId="56D5CC43">
      <w:pPr>
        <w:pStyle w:val="15"/>
        <w:framePr w:w="9639" w:h="6974" w:hRule="exact" w:wrap="around" w:vAnchor="page" w:hAnchor="page" w:x="1419" w:y="6408" w:anchorLock="1"/>
        <w:spacing w:before="440" w:after="160"/>
        <w:textAlignment w:val="bottom"/>
        <w:rPr>
          <w:sz w:val="24"/>
          <w:szCs w:val="28"/>
        </w:rPr>
      </w:pPr>
      <w:bookmarkStart w:id="7" w:name="下拉1"/>
      <w:r>
        <w:rPr>
          <w:rFonts w:hint="eastAsia" w:cs="Times New Roman"/>
          <w:sz w:val="24"/>
          <w:szCs w:val="28"/>
          <w:lang w:val="en-US" w:eastAsia="zh-CN" w:bidi="ar-SA"/>
        </w:rPr>
        <w:t>征求意见稿</w:t>
      </w:r>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7"/>
    </w:p>
    <w:p w14:paraId="522406B2">
      <w:pPr>
        <w:pStyle w:val="1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0F2FF3BD">
      <w:pPr>
        <w:pStyle w:val="1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14:paraId="4E9C510F">
      <w:pPr>
        <w:pStyle w:val="16"/>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3053FB47">
      <w:pPr>
        <w:pStyle w:val="18"/>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0F6F6AA9">
      <w:pPr>
        <w:pStyle w:val="20"/>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6"/>
      <w:r>
        <w:rPr>
          <w:rFonts w:ascii="Times New Roman"/>
          <w:w w:val="100"/>
          <w:sz w:val="28"/>
        </w:rPr>
        <w:t>  </w:t>
      </w:r>
      <w:r>
        <w:rPr>
          <w:rStyle w:val="22"/>
          <w:rFonts w:hint="eastAsia" w:hAnsi="黑体"/>
          <w:position w:val="0"/>
        </w:rPr>
        <w:t>发</w:t>
      </w:r>
      <w:r>
        <w:rPr>
          <w:rStyle w:val="22"/>
          <w:rFonts w:hint="eastAsia" w:hAnsi="黑体"/>
          <w:spacing w:val="0"/>
          <w:position w:val="0"/>
        </w:rPr>
        <w:t>布</w:t>
      </w:r>
    </w:p>
    <w:p w14:paraId="34EABCBE">
      <w:pPr>
        <w:rPr>
          <w:rFonts w:ascii="宋体" w:hAnsi="宋体"/>
          <w:sz w:val="28"/>
          <w:szCs w:val="28"/>
        </w:rPr>
        <w:sectPr>
          <w:headerReference r:id="rId6" w:type="first"/>
          <w:footerReference r:id="rId8" w:type="first"/>
          <w:headerReference r:id="rId5" w:type="default"/>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A54021E">
      <w:pPr>
        <w:pStyle w:val="23"/>
        <w:spacing w:before="900" w:after="468"/>
      </w:pPr>
      <w:bookmarkStart w:id="17" w:name="_Toc175856643"/>
      <w:bookmarkStart w:id="18" w:name="_Toc176250306"/>
      <w:bookmarkStart w:id="19" w:name="_Toc176250291"/>
      <w:bookmarkStart w:id="20" w:name="BookMark2"/>
      <w:r>
        <w:rPr>
          <w:rFonts w:hint="eastAsia"/>
          <w:spacing w:val="320"/>
        </w:rPr>
        <w:t>前</w:t>
      </w:r>
      <w:r>
        <w:rPr>
          <w:rFonts w:hint="eastAsia"/>
        </w:rPr>
        <w:t>言</w:t>
      </w:r>
      <w:bookmarkEnd w:id="17"/>
      <w:bookmarkEnd w:id="18"/>
      <w:bookmarkEnd w:id="19"/>
    </w:p>
    <w:p w14:paraId="061C2D50">
      <w:pPr>
        <w:pStyle w:val="12"/>
        <w:ind w:firstLine="420"/>
        <w:rPr>
          <w:rFonts w:hint="default"/>
        </w:rPr>
      </w:pPr>
      <w:r>
        <w:rPr>
          <w:rFonts w:hint="default"/>
        </w:rPr>
        <w:t>本标准按照GB/T 1.1—2020《标准化工作导则 第1部分：标准化文件的结构和起草规则》的规定起草。</w:t>
      </w:r>
    </w:p>
    <w:p w14:paraId="4AE63626">
      <w:pPr>
        <w:pStyle w:val="12"/>
        <w:ind w:firstLine="420"/>
        <w:rPr>
          <w:rFonts w:hint="default"/>
        </w:rPr>
      </w:pPr>
      <w:r>
        <w:rPr>
          <w:rFonts w:hint="default"/>
        </w:rPr>
        <w:t>本标准由安徽省卫生健康委员会提出、归口并监督实施，由安徽省卫生健康委员会负责解释。</w:t>
      </w:r>
    </w:p>
    <w:p w14:paraId="62E7537D">
      <w:pPr>
        <w:pStyle w:val="12"/>
        <w:ind w:firstLine="420"/>
        <w:rPr>
          <w:rFonts w:hint="default"/>
        </w:rPr>
      </w:pPr>
      <w:r>
        <w:rPr>
          <w:rFonts w:hint="default"/>
        </w:rPr>
        <w:t>本标准起草单位：安徽省职业病防治院、中钢集团马鞍山矿山研究总院股份有限公司、安徽省卫生健康委</w:t>
      </w:r>
      <w:r>
        <w:rPr>
          <w:rFonts w:hint="eastAsia"/>
          <w:lang w:eastAsia="zh-CN"/>
        </w:rPr>
        <w:t>员会</w:t>
      </w:r>
      <w:r>
        <w:rPr>
          <w:rFonts w:hint="default"/>
        </w:rPr>
        <w:t>。</w:t>
      </w:r>
    </w:p>
    <w:p w14:paraId="11428C27">
      <w:pPr>
        <w:pStyle w:val="12"/>
        <w:ind w:firstLine="420"/>
        <w:rPr>
          <w:rFonts w:hint="eastAsia"/>
          <w:lang w:eastAsia="zh-CN"/>
        </w:rPr>
      </w:pPr>
      <w:r>
        <w:rPr>
          <w:rFonts w:hint="default"/>
        </w:rPr>
        <w:t>本标准主要</w:t>
      </w:r>
      <w:r>
        <w:rPr>
          <w:rFonts w:hint="eastAsia"/>
          <w:lang w:eastAsia="zh-CN"/>
        </w:rPr>
        <w:t>修订</w:t>
      </w:r>
      <w:r>
        <w:rPr>
          <w:rFonts w:hint="default"/>
        </w:rPr>
        <w:t>人：</w:t>
      </w:r>
      <w:r>
        <w:rPr>
          <w:rFonts w:hint="eastAsia" w:ascii="Times New Roman" w:hAnsi="Times New Roman" w:cs="Times New Roman"/>
          <w:szCs w:val="21"/>
          <w:lang w:eastAsia="zh-CN"/>
        </w:rPr>
        <w:t>陈葆春、丁炎强、黄元、徐修平、程贞树、</w:t>
      </w:r>
      <w:r>
        <w:rPr>
          <w:rFonts w:hint="eastAsia" w:ascii="Times New Roman" w:hAnsi="Times New Roman" w:cs="Times New Roman"/>
          <w:szCs w:val="21"/>
          <w:lang w:val="en-US" w:eastAsia="zh-CN"/>
        </w:rPr>
        <w:t>宇而军、</w:t>
      </w:r>
      <w:r>
        <w:rPr>
          <w:rFonts w:hint="eastAsia" w:ascii="Times New Roman" w:hAnsi="Times New Roman" w:cs="Times New Roman"/>
          <w:szCs w:val="21"/>
          <w:lang w:eastAsia="zh-CN"/>
        </w:rPr>
        <w:t>刘志林、王莉莉、</w:t>
      </w:r>
      <w:r>
        <w:rPr>
          <w:rFonts w:hint="eastAsia" w:ascii="Times New Roman" w:cs="Times New Roman"/>
          <w:szCs w:val="21"/>
          <w:lang w:eastAsia="zh-CN"/>
        </w:rPr>
        <w:t>余润泽、</w:t>
      </w:r>
      <w:r>
        <w:rPr>
          <w:rFonts w:hint="eastAsia" w:ascii="Times New Roman" w:hAnsi="Times New Roman" w:cs="Times New Roman"/>
          <w:szCs w:val="21"/>
          <w:lang w:eastAsia="zh-CN"/>
        </w:rPr>
        <w:t>殷春许、王开磊、张振城、李寿龙</w:t>
      </w:r>
      <w:r>
        <w:rPr>
          <w:rFonts w:hint="eastAsia"/>
          <w:lang w:eastAsia="zh-CN"/>
        </w:rPr>
        <w:t>等</w:t>
      </w:r>
    </w:p>
    <w:p w14:paraId="51DB97B9">
      <w:pPr>
        <w:pStyle w:val="12"/>
        <w:ind w:firstLine="420"/>
      </w:pPr>
      <w:r>
        <w:rPr>
          <w:rFonts w:hint="default"/>
          <w:lang w:val="de-DE"/>
        </w:rPr>
        <w:t>本</w:t>
      </w:r>
      <w:r>
        <w:rPr>
          <w:rFonts w:hint="eastAsia"/>
          <w:lang w:val="de-DE" w:eastAsia="zh-CN"/>
        </w:rPr>
        <w:t>标准</w:t>
      </w:r>
      <w:r>
        <w:rPr>
          <w:rFonts w:hint="default"/>
          <w:lang w:val="de-DE"/>
        </w:rPr>
        <w:t>首次发布时间是2016年，修订时间为202</w:t>
      </w:r>
      <w:r>
        <w:rPr>
          <w:rFonts w:hint="eastAsia"/>
          <w:lang w:val="en-US" w:eastAsia="zh-CN"/>
        </w:rPr>
        <w:t>5</w:t>
      </w:r>
      <w:r>
        <w:rPr>
          <w:rFonts w:hint="default"/>
          <w:lang w:val="de-DE"/>
        </w:rPr>
        <w:t>年。</w:t>
      </w:r>
    </w:p>
    <w:p w14:paraId="3E5B61ED">
      <w:pPr>
        <w:pStyle w:val="12"/>
        <w:ind w:firstLine="420"/>
        <w:sectPr>
          <w:headerReference r:id="rId9" w:type="default"/>
          <w:footerReference r:id="rId11" w:type="default"/>
          <w:headerReference r:id="rId10" w:type="even"/>
          <w:pgSz w:w="11906" w:h="16838"/>
          <w:pgMar w:top="1928" w:right="1134" w:bottom="1134" w:left="1134" w:header="1418" w:footer="1134" w:gutter="284"/>
          <w:pgNumType w:fmt="upperRoman"/>
          <w:cols w:space="425" w:num="1"/>
          <w:formProt w:val="0"/>
          <w:docGrid w:type="lines" w:linePitch="312" w:charSpace="0"/>
        </w:sectPr>
      </w:pPr>
    </w:p>
    <w:bookmarkEnd w:id="20"/>
    <w:p w14:paraId="6E5420B1">
      <w:pPr>
        <w:spacing w:line="20" w:lineRule="exact"/>
        <w:jc w:val="center"/>
        <w:rPr>
          <w:rFonts w:ascii="黑体" w:hAnsi="黑体" w:eastAsia="黑体"/>
          <w:sz w:val="32"/>
          <w:szCs w:val="32"/>
        </w:rPr>
      </w:pPr>
      <w:bookmarkStart w:id="21" w:name="BookMark4"/>
    </w:p>
    <w:p w14:paraId="57A9689A">
      <w:pPr>
        <w:spacing w:line="20" w:lineRule="exact"/>
        <w:jc w:val="center"/>
        <w:rPr>
          <w:rFonts w:ascii="黑体" w:hAnsi="黑体" w:eastAsia="黑体"/>
          <w:sz w:val="32"/>
          <w:szCs w:val="32"/>
        </w:rPr>
      </w:pPr>
    </w:p>
    <w:sdt>
      <w:sdtPr>
        <w:tag w:val="NEW_STAND_NAME"/>
        <w:id w:val="595910757"/>
        <w:lock w:val="sdtLocked"/>
        <w:placeholder>
          <w:docPart w:val="{993194bf-4ed3-4b64-b4c0-76001055c5c1}"/>
        </w:placeholder>
      </w:sdtPr>
      <w:sdtContent>
        <w:p w14:paraId="625AA3CC">
          <w:pPr>
            <w:pStyle w:val="24"/>
            <w:spacing w:before="312" w:beforeLines="100" w:after="686" w:afterLines="220"/>
          </w:pPr>
          <w:bookmarkStart w:id="22" w:name="NEW_STAND_NAME"/>
          <w:r>
            <w:rPr>
              <w:rFonts w:hint="default" w:ascii="黑体" w:hAnsi="黑体" w:eastAsia="黑体" w:cs="Times New Roman"/>
              <w:kern w:val="2"/>
              <w:sz w:val="32"/>
              <w:szCs w:val="32"/>
              <w:lang w:val="en-US" w:eastAsia="zh-CN" w:bidi="ar-SA"/>
            </w:rPr>
            <w:t>用人单位职业病危害现状评价导则</w:t>
          </w:r>
        </w:p>
      </w:sdtContent>
    </w:sdt>
    <w:bookmarkEnd w:id="22"/>
    <w:p w14:paraId="4DEE581E">
      <w:pPr>
        <w:pStyle w:val="25"/>
        <w:numPr>
          <w:ilvl w:val="1"/>
          <w:numId w:val="0"/>
        </w:numPr>
        <w:spacing w:before="312" w:after="312"/>
      </w:pPr>
      <w:bookmarkStart w:id="23" w:name="_Toc26718930"/>
      <w:bookmarkStart w:id="24" w:name="_Toc176250292"/>
      <w:bookmarkStart w:id="25" w:name="_Toc24884218"/>
      <w:bookmarkStart w:id="26" w:name="_Toc26986530"/>
      <w:bookmarkStart w:id="27" w:name="_Toc17233325"/>
      <w:bookmarkStart w:id="28" w:name="_Toc26648465"/>
      <w:bookmarkStart w:id="29" w:name="_Toc17233333"/>
      <w:bookmarkStart w:id="30" w:name="_Toc26986771"/>
      <w:bookmarkStart w:id="31" w:name="_Toc24884211"/>
      <w:bookmarkStart w:id="32" w:name="_Toc175856644"/>
      <w:bookmarkStart w:id="33" w:name="_Toc176250307"/>
      <w:bookmarkStart w:id="34" w:name="_Toc97191423"/>
      <w:r>
        <w:rPr>
          <w:rFonts w:hint="eastAsia" w:ascii="黑体" w:hAnsi="Times New Roman" w:eastAsia="黑体" w:cs="Times New Roman"/>
          <w:b w:val="0"/>
          <w:i w:val="0"/>
          <w:sz w:val="21"/>
          <w:lang w:val="en-US" w:eastAsia="zh-CN" w:bidi="ar-SA"/>
        </w:rPr>
        <w:t>1　</w:t>
      </w:r>
      <w:r>
        <w:rPr>
          <w:rFonts w:hint="eastAsia"/>
        </w:rPr>
        <w:t>范围</w:t>
      </w:r>
      <w:bookmarkEnd w:id="23"/>
      <w:bookmarkEnd w:id="24"/>
      <w:bookmarkEnd w:id="25"/>
      <w:bookmarkEnd w:id="26"/>
      <w:bookmarkEnd w:id="27"/>
      <w:bookmarkEnd w:id="28"/>
      <w:bookmarkEnd w:id="29"/>
      <w:bookmarkEnd w:id="30"/>
      <w:bookmarkEnd w:id="31"/>
      <w:bookmarkEnd w:id="32"/>
      <w:bookmarkEnd w:id="33"/>
      <w:bookmarkEnd w:id="34"/>
    </w:p>
    <w:p w14:paraId="0B8697E1">
      <w:pPr>
        <w:pStyle w:val="12"/>
        <w:ind w:firstLine="420"/>
        <w:rPr>
          <w:rFonts w:hint="default" w:ascii="宋体" w:hAnsi="Times New Roman" w:eastAsia="宋体" w:cs="Times New Roman"/>
        </w:rPr>
      </w:pPr>
      <w:bookmarkStart w:id="35" w:name="_Toc24884212"/>
      <w:bookmarkStart w:id="36" w:name="_Toc17233326"/>
      <w:bookmarkStart w:id="37" w:name="_Toc24884219"/>
      <w:bookmarkStart w:id="38" w:name="_Toc26648466"/>
      <w:bookmarkStart w:id="39" w:name="_Toc17233334"/>
      <w:r>
        <w:rPr>
          <w:rFonts w:hint="default" w:ascii="宋体" w:hAnsi="Times New Roman" w:eastAsia="宋体" w:cs="Times New Roman"/>
        </w:rPr>
        <w:t>本标准规定了</w:t>
      </w:r>
      <w:bookmarkStart w:id="97" w:name="_GoBack"/>
      <w:r>
        <w:rPr>
          <w:rFonts w:hint="default" w:ascii="宋体" w:hAnsi="Times New Roman" w:eastAsia="宋体" w:cs="Times New Roman"/>
        </w:rPr>
        <w:t>用人单位职业病危害现状评价的评价目的与评价要求、评价依据、评价范围与内容、评价方法、评价程序、评价方案编制和评价报告编制等</w:t>
      </w:r>
      <w:bookmarkEnd w:id="97"/>
      <w:r>
        <w:rPr>
          <w:rFonts w:hint="default" w:ascii="宋体" w:hAnsi="Times New Roman" w:eastAsia="宋体" w:cs="Times New Roman"/>
        </w:rPr>
        <w:t>。</w:t>
      </w:r>
    </w:p>
    <w:p w14:paraId="1C6C2F37">
      <w:pPr>
        <w:pStyle w:val="12"/>
        <w:ind w:firstLine="420"/>
      </w:pPr>
      <w:r>
        <w:rPr>
          <w:rFonts w:hint="default" w:ascii="宋体" w:hAnsi="Times New Roman" w:eastAsia="宋体" w:cs="Times New Roman"/>
        </w:rPr>
        <w:t>本标准适用于所有存在职业病危害的用人单位，但不包括医疗卫生机构的职业病危害现状评价。</w:t>
      </w:r>
    </w:p>
    <w:p w14:paraId="78082345">
      <w:pPr>
        <w:pStyle w:val="25"/>
        <w:numPr>
          <w:ilvl w:val="1"/>
          <w:numId w:val="0"/>
        </w:numPr>
        <w:spacing w:before="312" w:after="312"/>
      </w:pPr>
      <w:bookmarkStart w:id="40" w:name="_Toc176250293"/>
      <w:bookmarkStart w:id="41" w:name="_Toc97191424"/>
      <w:bookmarkStart w:id="42" w:name="_Toc26718931"/>
      <w:bookmarkStart w:id="43" w:name="_Toc26986772"/>
      <w:bookmarkStart w:id="44" w:name="_Toc176250308"/>
      <w:bookmarkStart w:id="45" w:name="_Toc175856645"/>
      <w:bookmarkStart w:id="46" w:name="_Toc26986531"/>
      <w:r>
        <w:rPr>
          <w:rFonts w:hint="eastAsia" w:ascii="黑体" w:hAnsi="Times New Roman" w:eastAsia="黑体" w:cs="Times New Roman"/>
          <w:b w:val="0"/>
          <w:i w:val="0"/>
          <w:sz w:val="21"/>
          <w:lang w:val="en-US" w:eastAsia="zh-CN" w:bidi="ar-SA"/>
        </w:rPr>
        <w:t>2　</w:t>
      </w:r>
      <w:r>
        <w:rPr>
          <w:rFonts w:hint="eastAsia"/>
        </w:rPr>
        <w:t>规范性引用文件</w:t>
      </w:r>
      <w:bookmarkEnd w:id="35"/>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ace7a5bb-ea69-4424-9924-ee3ba5c583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EFBA656">
          <w:pPr>
            <w:pStyle w:val="1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D32FC3">
      <w:pPr>
        <w:pStyle w:val="12"/>
        <w:ind w:firstLine="420"/>
        <w:rPr>
          <w:rFonts w:hint="default" w:ascii="Times New Roman" w:hAnsi="Times New Roman" w:eastAsia="宋体" w:cs="Times New Roman"/>
        </w:rPr>
      </w:pPr>
      <w:r>
        <w:rPr>
          <w:rFonts w:hint="default" w:ascii="Times New Roman" w:hAnsi="Times New Roman" w:eastAsia="宋体" w:cs="Times New Roman"/>
        </w:rPr>
        <w:t>GB 39800.1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《个体防护装备配备规范 第1部分：总则》</w:t>
      </w:r>
    </w:p>
    <w:p w14:paraId="68752A0F">
      <w:pPr>
        <w:pStyle w:val="12"/>
        <w:ind w:firstLine="420"/>
        <w:rPr>
          <w:rFonts w:hint="default" w:ascii="Times New Roman" w:hAnsi="Times New Roman" w:eastAsia="宋体" w:cs="Times New Roman"/>
        </w:rPr>
      </w:pPr>
      <w:r>
        <w:rPr>
          <w:rFonts w:hint="default" w:ascii="Times New Roman" w:hAnsi="Times New Roman" w:eastAsia="宋体" w:cs="Times New Roman"/>
        </w:rPr>
        <w:t>GB/T 12801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 生产过程安全卫生要求总则</w:t>
      </w:r>
    </w:p>
    <w:p w14:paraId="41422ADF">
      <w:pPr>
        <w:pStyle w:val="12"/>
        <w:ind w:firstLine="420"/>
        <w:rPr>
          <w:rFonts w:hint="default" w:ascii="Times New Roman" w:hAnsi="Times New Roman" w:eastAsia="宋体" w:cs="Times New Roman"/>
        </w:rPr>
      </w:pPr>
      <w:r>
        <w:rPr>
          <w:rFonts w:hint="default" w:ascii="Times New Roman" w:hAnsi="Times New Roman" w:eastAsia="宋体" w:cs="Times New Roman"/>
        </w:rPr>
        <w:t>GB/T 16758</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 排风罩的分类及技术条件</w:t>
      </w:r>
    </w:p>
    <w:p w14:paraId="5BCCB939">
      <w:pPr>
        <w:pStyle w:val="12"/>
        <w:ind w:firstLine="420"/>
        <w:rPr>
          <w:rFonts w:hint="default" w:ascii="Times New Roman" w:hAnsi="Times New Roman" w:eastAsia="宋体" w:cs="Times New Roman"/>
        </w:rPr>
      </w:pPr>
      <w:r>
        <w:rPr>
          <w:rFonts w:hint="default" w:ascii="Times New Roman" w:hAnsi="Times New Roman" w:eastAsia="宋体" w:cs="Times New Roman"/>
        </w:rPr>
        <w:t>GB/T 18664</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 呼吸防护用品的选择、使用与维护</w:t>
      </w:r>
    </w:p>
    <w:p w14:paraId="05F2ACCD">
      <w:pPr>
        <w:pStyle w:val="12"/>
        <w:ind w:firstLine="420"/>
        <w:rPr>
          <w:rFonts w:hint="default" w:ascii="Times New Roman" w:hAnsi="Times New Roman" w:eastAsia="宋体" w:cs="Times New Roman"/>
        </w:rPr>
      </w:pPr>
      <w:r>
        <w:rPr>
          <w:rFonts w:hint="default" w:ascii="Times New Roman" w:hAnsi="Times New Roman" w:eastAsia="宋体" w:cs="Times New Roman"/>
        </w:rPr>
        <w:t>GB</w:t>
      </w:r>
      <w:r>
        <w:rPr>
          <w:rFonts w:hint="eastAsia" w:ascii="Times New Roman" w:hAnsi="Times New Roman" w:eastAsia="宋体" w:cs="Times New Roman"/>
          <w:lang w:val="en-US" w:eastAsia="zh-CN"/>
        </w:rPr>
        <w:t>/T</w:t>
      </w:r>
      <w:r>
        <w:rPr>
          <w:rFonts w:hint="default" w:ascii="Times New Roman" w:hAnsi="Times New Roman" w:eastAsia="宋体" w:cs="Times New Roman"/>
        </w:rPr>
        <w:t xml:space="preserve"> 50034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建筑照明设计标准</w:t>
      </w:r>
    </w:p>
    <w:p w14:paraId="3011C63A">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 18871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电离辐射防护与辐射源安全基本标准</w:t>
      </w:r>
    </w:p>
    <w:p w14:paraId="27C6E8FC">
      <w:pPr>
        <w:pStyle w:val="12"/>
        <w:ind w:firstLine="420"/>
        <w:rPr>
          <w:rFonts w:hint="default" w:ascii="Times New Roman" w:hAnsi="Times New Roman" w:eastAsia="宋体" w:cs="Times New Roman"/>
        </w:rPr>
      </w:pPr>
      <w:r>
        <w:rPr>
          <w:rFonts w:hint="default" w:ascii="Times New Roman" w:hAnsi="Times New Roman" w:eastAsia="宋体" w:cs="Times New Roman"/>
        </w:rPr>
        <w:t>GB 50019</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工业建筑供暖通风与空气调节设计规范</w:t>
      </w:r>
    </w:p>
    <w:p w14:paraId="69F0FFBC">
      <w:pPr>
        <w:pStyle w:val="12"/>
        <w:ind w:firstLine="420"/>
        <w:rPr>
          <w:rFonts w:hint="default" w:ascii="Times New Roman" w:hAnsi="Times New Roman" w:eastAsia="宋体" w:cs="Times New Roman"/>
        </w:rPr>
      </w:pPr>
      <w:r>
        <w:rPr>
          <w:rFonts w:hint="default" w:ascii="Times New Roman" w:hAnsi="Times New Roman" w:eastAsia="宋体" w:cs="Times New Roman"/>
        </w:rPr>
        <w:t>GB 50033</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建筑采光设计标准</w:t>
      </w:r>
    </w:p>
    <w:p w14:paraId="1CA2C309">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 50187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工业企业总平面设计规范</w:t>
      </w:r>
    </w:p>
    <w:p w14:paraId="5438054A">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 1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工业企业设计卫生标准</w:t>
      </w:r>
    </w:p>
    <w:p w14:paraId="6271B347">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 2.1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工作场所有害因素职业接触限值 第1部分：化学有害因素</w:t>
      </w:r>
    </w:p>
    <w:p w14:paraId="2F90B285">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 2.2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工作场所有害因素职业接触限值 第2部分：物理因素</w:t>
      </w:r>
    </w:p>
    <w:p w14:paraId="798DD280">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 158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工作场所职业病危害警示标识</w:t>
      </w:r>
    </w:p>
    <w:p w14:paraId="05897020">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 159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工作场所空气中有害物质监测的采样规范</w:t>
      </w:r>
    </w:p>
    <w:p w14:paraId="41EE5760">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GBZ/T 160 </w:t>
      </w:r>
      <w:r>
        <w:rPr>
          <w:rFonts w:hint="eastAsia" w:ascii="Times New Roman" w:hAnsi="Times New Roman" w:eastAsia="宋体" w:cs="Times New Roman"/>
          <w:lang w:eastAsia="zh-CN"/>
        </w:rPr>
        <w:t>（</w:t>
      </w:r>
      <w:r>
        <w:rPr>
          <w:rFonts w:hint="default" w:ascii="Times New Roman" w:hAnsi="Times New Roman" w:eastAsia="宋体" w:cs="Times New Roman"/>
        </w:rPr>
        <w:t>部分）工作场所空气有毒物质测定</w:t>
      </w:r>
    </w:p>
    <w:p w14:paraId="169E7B04">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GBZ/T 300 </w:t>
      </w:r>
      <w:r>
        <w:rPr>
          <w:rFonts w:hint="eastAsia" w:ascii="Times New Roman" w:hAnsi="Times New Roman" w:eastAsia="宋体" w:cs="Times New Roman"/>
          <w:lang w:eastAsia="zh-CN"/>
        </w:rPr>
        <w:t>（</w:t>
      </w:r>
      <w:r>
        <w:rPr>
          <w:rFonts w:hint="default" w:ascii="Times New Roman" w:hAnsi="Times New Roman" w:eastAsia="宋体" w:cs="Times New Roman"/>
        </w:rPr>
        <w:t>所有部分）工作场所空气有毒物质测定</w:t>
      </w:r>
    </w:p>
    <w:p w14:paraId="50312D4E">
      <w:pPr>
        <w:pStyle w:val="12"/>
        <w:ind w:firstLine="420"/>
        <w:rPr>
          <w:rFonts w:hint="default" w:ascii="Times New Roman" w:hAnsi="Times New Roman" w:eastAsia="宋体" w:cs="Times New Roman"/>
        </w:rPr>
      </w:pPr>
      <w:r>
        <w:rPr>
          <w:rFonts w:hint="default" w:ascii="Times New Roman" w:hAnsi="Times New Roman" w:eastAsia="宋体" w:cs="Times New Roman"/>
        </w:rPr>
        <w:t xml:space="preserve">GBZ 188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职业健康监护技术规范</w:t>
      </w:r>
    </w:p>
    <w:p w14:paraId="2D954BDE">
      <w:pPr>
        <w:pStyle w:val="12"/>
        <w:ind w:firstLine="420"/>
        <w:rPr>
          <w:rFonts w:hint="eastAsia" w:ascii="Times New Roman" w:hAnsi="Times New Roman" w:eastAsia="宋体" w:cs="Times New Roman"/>
          <w:lang w:eastAsia="zh-CN"/>
        </w:rPr>
      </w:pPr>
      <w:r>
        <w:rPr>
          <w:rFonts w:hint="default" w:ascii="Times New Roman" w:hAnsi="Times New Roman" w:eastAsia="宋体" w:cs="Times New Roman"/>
        </w:rPr>
        <w:t>GBZ/T 189（所有部分）工作场所物理因素测</w:t>
      </w:r>
      <w:r>
        <w:rPr>
          <w:rFonts w:hint="eastAsia" w:ascii="Times New Roman" w:hAnsi="Times New Roman" w:eastAsia="宋体" w:cs="Times New Roman"/>
          <w:lang w:eastAsia="zh-CN"/>
        </w:rPr>
        <w:t>量</w:t>
      </w:r>
    </w:p>
    <w:p w14:paraId="6CD3492B">
      <w:pPr>
        <w:pStyle w:val="12"/>
        <w:ind w:firstLine="420"/>
        <w:rPr>
          <w:rFonts w:hint="default" w:ascii="Times New Roman" w:hAnsi="Times New Roman" w:eastAsia="宋体" w:cs="Times New Roman"/>
        </w:rPr>
      </w:pPr>
      <w:r>
        <w:rPr>
          <w:rFonts w:hint="default" w:ascii="Times New Roman" w:hAnsi="Times New Roman" w:eastAsia="宋体" w:cs="Times New Roman"/>
        </w:rPr>
        <w:t>GBZ/T 192（所有部分）工作场所空气中粉尘测定</w:t>
      </w:r>
    </w:p>
    <w:p w14:paraId="29A41AF9">
      <w:pPr>
        <w:pStyle w:val="12"/>
        <w:ind w:firstLine="420"/>
        <w:rPr>
          <w:rFonts w:hint="default" w:ascii="Times New Roman" w:hAnsi="Times New Roman" w:eastAsia="宋体" w:cs="Times New Roman"/>
        </w:rPr>
      </w:pPr>
      <w:r>
        <w:rPr>
          <w:rFonts w:hint="default" w:ascii="Times New Roman" w:hAnsi="Times New Roman" w:eastAsia="宋体" w:cs="Times New Roman"/>
        </w:rPr>
        <w:t>GBZ/T 194 工作场所防止职业中毒卫生工程防护措施规范</w:t>
      </w:r>
    </w:p>
    <w:p w14:paraId="59AA1EEA">
      <w:pPr>
        <w:pStyle w:val="12"/>
        <w:ind w:firstLine="420"/>
        <w:rPr>
          <w:rFonts w:hint="default" w:ascii="Times New Roman" w:hAnsi="Times New Roman" w:eastAsia="宋体" w:cs="Times New Roman"/>
        </w:rPr>
      </w:pPr>
      <w:r>
        <w:rPr>
          <w:rFonts w:hint="default" w:ascii="Times New Roman" w:hAnsi="Times New Roman" w:eastAsia="宋体" w:cs="Times New Roman"/>
        </w:rPr>
        <w:t>GBZ/T 203 高毒物品作业岗位职业病危害告知规范</w:t>
      </w:r>
    </w:p>
    <w:p w14:paraId="307A85C7">
      <w:pPr>
        <w:pStyle w:val="12"/>
        <w:ind w:firstLine="420"/>
        <w:rPr>
          <w:rFonts w:hint="default" w:ascii="Times New Roman" w:hAnsi="Times New Roman" w:eastAsia="宋体" w:cs="Times New Roman"/>
        </w:rPr>
      </w:pPr>
      <w:r>
        <w:rPr>
          <w:rFonts w:hint="default" w:ascii="Times New Roman" w:hAnsi="Times New Roman" w:eastAsia="宋体" w:cs="Times New Roman"/>
        </w:rPr>
        <w:t>GBZ/T 223 工作场所有毒气体检测报警装置设置规范</w:t>
      </w:r>
    </w:p>
    <w:p w14:paraId="2EB46282">
      <w:pPr>
        <w:pStyle w:val="12"/>
        <w:ind w:firstLine="420"/>
        <w:rPr>
          <w:rFonts w:hint="default" w:ascii="Times New Roman" w:hAnsi="Times New Roman" w:eastAsia="宋体" w:cs="Times New Roman"/>
        </w:rPr>
      </w:pPr>
      <w:r>
        <w:rPr>
          <w:rFonts w:hint="default" w:ascii="Times New Roman" w:hAnsi="Times New Roman" w:eastAsia="宋体" w:cs="Times New Roman"/>
        </w:rPr>
        <w:t>GBZ/T 224 职业卫生名词术语</w:t>
      </w:r>
    </w:p>
    <w:p w14:paraId="292D9218">
      <w:pPr>
        <w:pStyle w:val="12"/>
        <w:ind w:firstLine="420"/>
        <w:rPr>
          <w:rFonts w:hint="default" w:ascii="Times New Roman" w:hAnsi="Times New Roman" w:eastAsia="宋体" w:cs="Times New Roman"/>
        </w:rPr>
      </w:pPr>
      <w:r>
        <w:rPr>
          <w:rFonts w:hint="default" w:ascii="Times New Roman" w:hAnsi="Times New Roman" w:eastAsia="宋体" w:cs="Times New Roman"/>
        </w:rPr>
        <w:t>GBZ/T 229（所有部分）工作场所职业病危害作业分级</w:t>
      </w:r>
    </w:p>
    <w:p w14:paraId="7F723F52">
      <w:pPr>
        <w:pStyle w:val="12"/>
        <w:ind w:firstLine="420"/>
        <w:rPr>
          <w:rFonts w:hint="eastAsia" w:ascii="Times New Roman" w:hAnsi="Times New Roman" w:eastAsia="宋体" w:cs="Times New Roman"/>
          <w:lang w:val="en-US" w:eastAsia="zh-CN"/>
        </w:rPr>
      </w:pPr>
      <w:r>
        <w:rPr>
          <w:rFonts w:hint="default" w:ascii="Times New Roman" w:hAnsi="Times New Roman" w:eastAsia="宋体" w:cs="Times New Roman"/>
        </w:rPr>
        <w:t>GBZ/T 2</w:t>
      </w:r>
      <w:r>
        <w:rPr>
          <w:rFonts w:hint="eastAsia" w:ascii="Times New Roman" w:hAnsi="Times New Roman" w:eastAsia="宋体" w:cs="Times New Roman"/>
          <w:lang w:val="en-US" w:eastAsia="zh-CN"/>
        </w:rPr>
        <w:t>77</w:t>
      </w:r>
      <w:r>
        <w:rPr>
          <w:rFonts w:hint="eastAsia" w:ascii="Times New Roman" w:cs="Times New Roman"/>
          <w:lang w:val="en-US" w:eastAsia="zh-CN"/>
        </w:rPr>
        <w:t xml:space="preserve"> </w:t>
      </w:r>
      <w:r>
        <w:rPr>
          <w:rFonts w:hint="eastAsia" w:ascii="Times New Roman" w:hAnsi="Times New Roman" w:eastAsia="宋体" w:cs="Times New Roman"/>
          <w:lang w:val="en-US" w:eastAsia="zh-CN"/>
        </w:rPr>
        <w:t>职业病危害评价通则</w:t>
      </w:r>
    </w:p>
    <w:p w14:paraId="7B8A73D7">
      <w:pPr>
        <w:pStyle w:val="12"/>
        <w:ind w:firstLine="420"/>
        <w:rPr>
          <w:rFonts w:hint="default"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rPr>
        <w:t>工作场所职业卫生管理规定</w:t>
      </w:r>
      <w:r>
        <w:rPr>
          <w:rFonts w:hint="eastAsia" w:ascii="Times New Roman" w:hAnsi="Times New Roman" w:eastAsia="宋体" w:cs="Times New Roman"/>
          <w:lang w:eastAsia="zh-CN"/>
        </w:rPr>
        <w:t>》（</w:t>
      </w:r>
      <w:r>
        <w:rPr>
          <w:rFonts w:hint="eastAsia" w:ascii="Times New Roman" w:hAnsi="Times New Roman" w:eastAsia="宋体" w:cs="Times New Roman"/>
        </w:rPr>
        <w:t>国家卫生健康委令20</w:t>
      </w:r>
      <w:r>
        <w:rPr>
          <w:rFonts w:hint="eastAsia" w:ascii="Times New Roman" w:hAnsi="Times New Roman" w:eastAsia="宋体" w:cs="Times New Roman"/>
          <w:lang w:val="en-US" w:eastAsia="zh-CN"/>
        </w:rPr>
        <w:t>20</w:t>
      </w:r>
      <w:r>
        <w:rPr>
          <w:rFonts w:hint="eastAsia" w:ascii="Times New Roman" w:hAnsi="Times New Roman" w:eastAsia="宋体" w:cs="Times New Roman"/>
        </w:rPr>
        <w:t>年第5号</w:t>
      </w:r>
      <w:r>
        <w:rPr>
          <w:rFonts w:hint="eastAsia" w:ascii="Times New Roman" w:hAnsi="Times New Roman" w:eastAsia="宋体" w:cs="Times New Roman"/>
          <w:lang w:eastAsia="zh-CN"/>
        </w:rPr>
        <w:t>）</w:t>
      </w:r>
    </w:p>
    <w:p w14:paraId="3C3196AB">
      <w:pPr>
        <w:pStyle w:val="12"/>
        <w:ind w:firstLine="420"/>
        <w:rPr>
          <w:rFonts w:hint="eastAsia" w:ascii="Times New Roman" w:hAnsi="Times New Roman" w:eastAsia="宋体" w:cs="Times New Roman"/>
        </w:rPr>
      </w:pPr>
      <w:r>
        <w:rPr>
          <w:rFonts w:hint="eastAsia" w:ascii="Times New Roman" w:hAnsi="Times New Roman" w:eastAsia="宋体" w:cs="Times New Roman"/>
        </w:rPr>
        <w:t>《国家卫生健康委办公厅关于公布建设项目职业病危害风险分类管理目录的通知》</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（国卫办职健发〔2021〕5号）</w:t>
      </w:r>
    </w:p>
    <w:p w14:paraId="77826A76">
      <w:pPr>
        <w:pStyle w:val="12"/>
        <w:ind w:firstLine="420"/>
        <w:rPr>
          <w:rFonts w:hint="default" w:ascii="Times New Roman" w:hAnsi="Times New Roman" w:eastAsia="宋体" w:cs="Times New Roman"/>
        </w:rPr>
      </w:pPr>
      <w:r>
        <w:rPr>
          <w:rFonts w:hint="default" w:ascii="Times New Roman" w:hAnsi="Times New Roman" w:eastAsia="宋体" w:cs="Times New Roman"/>
        </w:rPr>
        <w:t>《关于开展职业卫生分类监督执法试点工作的通知》（国疾控综监督二函〔2022〕50号）</w:t>
      </w:r>
    </w:p>
    <w:p w14:paraId="32FD7FCB">
      <w:pPr>
        <w:pStyle w:val="12"/>
        <w:ind w:firstLine="420"/>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default" w:ascii="Times New Roman" w:hAnsi="Times New Roman" w:eastAsia="宋体" w:cs="Times New Roman"/>
        </w:rPr>
        <w:t>职业卫生技术服务工作规范</w:t>
      </w:r>
      <w:r>
        <w:rPr>
          <w:rFonts w:hint="eastAsia" w:ascii="Times New Roman" w:hAnsi="Times New Roman" w:eastAsia="宋体" w:cs="Times New Roman"/>
          <w:lang w:eastAsia="zh-CN"/>
        </w:rPr>
        <w:t>》（</w:t>
      </w:r>
      <w:r>
        <w:rPr>
          <w:rFonts w:hint="default" w:ascii="Times New Roman" w:hAnsi="Times New Roman" w:eastAsia="宋体" w:cs="Times New Roman"/>
        </w:rPr>
        <w:t>GBZ</w:t>
      </w:r>
      <w:r>
        <w:rPr>
          <w:rFonts w:hint="eastAsia" w:ascii="Times New Roman" w:hAnsi="Times New Roman" w:eastAsia="宋体" w:cs="Times New Roman"/>
          <w:lang w:val="en-US" w:eastAsia="zh-CN"/>
        </w:rPr>
        <w:t>331-2024</w:t>
      </w:r>
      <w:r>
        <w:rPr>
          <w:rFonts w:hint="eastAsia" w:ascii="Times New Roman" w:hAnsi="Times New Roman" w:eastAsia="宋体" w:cs="Times New Roman"/>
          <w:lang w:eastAsia="zh-CN"/>
        </w:rPr>
        <w:t>）</w:t>
      </w:r>
    </w:p>
    <w:p w14:paraId="3FA01C31">
      <w:pPr>
        <w:pStyle w:val="25"/>
        <w:numPr>
          <w:ilvl w:val="1"/>
          <w:numId w:val="0"/>
        </w:numPr>
        <w:spacing w:before="312" w:after="312"/>
      </w:pPr>
      <w:bookmarkStart w:id="47" w:name="_Toc97191425"/>
      <w:bookmarkStart w:id="48" w:name="_Toc175856646"/>
      <w:bookmarkStart w:id="49" w:name="_Toc176250309"/>
      <w:bookmarkStart w:id="50" w:name="_Toc176250294"/>
      <w:r>
        <w:rPr>
          <w:rFonts w:hint="eastAsia" w:ascii="黑体" w:hAnsi="Times New Roman" w:eastAsia="黑体" w:cs="Times New Roman"/>
          <w:b w:val="0"/>
          <w:i w:val="0"/>
          <w:sz w:val="21"/>
          <w:lang w:val="en-US" w:eastAsia="zh-CN" w:bidi="ar-SA"/>
        </w:rPr>
        <w:t>3　</w:t>
      </w:r>
      <w:r>
        <w:rPr>
          <w:rFonts w:hint="eastAsia" w:ascii="Times New Roman"/>
          <w:lang w:val="en-US" w:eastAsia="zh-CN"/>
        </w:rPr>
        <w:t xml:space="preserve"> </w:t>
      </w:r>
      <w:r>
        <w:rPr>
          <w:rFonts w:hint="eastAsia"/>
          <w:szCs w:val="21"/>
        </w:rPr>
        <w:t>术语和定义</w:t>
      </w:r>
      <w:bookmarkEnd w:id="47"/>
      <w:bookmarkEnd w:id="48"/>
      <w:bookmarkEnd w:id="49"/>
      <w:bookmarkEnd w:id="50"/>
    </w:p>
    <w:p w14:paraId="1728B675">
      <w:pPr>
        <w:spacing w:beforeLines="50" w:line="280" w:lineRule="exact"/>
        <w:jc w:val="left"/>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GBZ</w:t>
      </w:r>
      <w:r>
        <w:rPr>
          <w:rFonts w:hint="default" w:ascii="Times New Roman" w:hAnsi="Times New Roman" w:cs="Times New Roman" w:eastAsiaTheme="minorEastAsia"/>
          <w:color w:val="000000"/>
          <w:sz w:val="21"/>
          <w:szCs w:val="21"/>
          <w:lang w:eastAsia="zh-CN"/>
        </w:rPr>
        <w:t>/</w:t>
      </w:r>
      <w:r>
        <w:rPr>
          <w:rFonts w:hint="default" w:ascii="Times New Roman" w:hAnsi="Times New Roman" w:cs="Times New Roman" w:eastAsiaTheme="minorEastAsia"/>
          <w:color w:val="000000"/>
          <w:sz w:val="21"/>
          <w:szCs w:val="21"/>
        </w:rPr>
        <w:t>T 224 界定的以及下列术语和定义适用于本文件。</w:t>
      </w:r>
    </w:p>
    <w:p w14:paraId="7DCB79D4">
      <w:pPr>
        <w:spacing w:after="160" w:line="280" w:lineRule="exact"/>
        <w:rPr>
          <w:rFonts w:hint="default" w:ascii="Times New Roman" w:hAnsi="Times New Roman" w:cs="Times New Roman" w:eastAsiaTheme="minorEastAsia"/>
          <w:b/>
          <w:bCs/>
          <w:color w:val="000000"/>
          <w:sz w:val="21"/>
          <w:szCs w:val="21"/>
        </w:rPr>
      </w:pPr>
    </w:p>
    <w:p w14:paraId="1E6DDEE5">
      <w:pPr>
        <w:pStyle w:val="26"/>
        <w:numPr>
          <w:ilvl w:val="2"/>
          <w:numId w:val="0"/>
        </w:numPr>
        <w:spacing w:after="160" w:line="280" w:lineRule="exact"/>
        <w:ind w:left="420" w:hanging="420" w:hangingChars="200"/>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3.1　</w:t>
      </w:r>
    </w:p>
    <w:p w14:paraId="70DA9CB0">
      <w:pPr>
        <w:pStyle w:val="26"/>
        <w:numPr>
          <w:ilvl w:val="2"/>
          <w:numId w:val="0"/>
        </w:numPr>
        <w:spacing w:after="160" w:line="240" w:lineRule="exact"/>
        <w:ind w:left="420" w:hanging="420" w:hangingChars="200"/>
        <w:jc w:val="left"/>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用人单位 employing unit</w:t>
      </w:r>
    </w:p>
    <w:p w14:paraId="0B2153B4">
      <w:pPr>
        <w:pStyle w:val="12"/>
        <w:spacing w:after="160" w:line="28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具有用人权利能力和用人行为能力，运用劳动力组织生产劳动，且向劳动者支付工资等劳动报酬的单位，包括企业、事业单位和个体经济组织等。</w:t>
      </w:r>
    </w:p>
    <w:p w14:paraId="310DFF5D">
      <w:pPr>
        <w:pStyle w:val="26"/>
        <w:numPr>
          <w:ilvl w:val="2"/>
          <w:numId w:val="0"/>
        </w:numPr>
        <w:spacing w:after="160" w:line="260" w:lineRule="exact"/>
        <w:ind w:left="420" w:hanging="420" w:hangingChars="200"/>
        <w:jc w:val="left"/>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3.2</w:t>
      </w:r>
    </w:p>
    <w:p w14:paraId="3EF1B72F">
      <w:pPr>
        <w:pStyle w:val="26"/>
        <w:numPr>
          <w:ilvl w:val="2"/>
          <w:numId w:val="0"/>
        </w:numPr>
        <w:spacing w:before="152"/>
        <w:ind w:left="420" w:leftChars="200" w:firstLine="0" w:firstLineChars="0"/>
        <w:rPr>
          <w:rFonts w:hint="eastAsia" w:ascii="黑体" w:hAnsi="Times New Roman" w:eastAsia="黑体" w:cs="Times New Roman"/>
          <w:b w:val="0"/>
          <w:bCs w:val="0"/>
          <w:color w:val="00000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职业病危害现状评价 assessment of occupational hazard in current condition</w:t>
      </w:r>
    </w:p>
    <w:p w14:paraId="1A227730">
      <w:pPr>
        <w:pStyle w:val="12"/>
        <w:spacing w:after="160" w:line="280" w:lineRule="exact"/>
        <w:jc w:val="left"/>
        <w:rPr>
          <w:rFonts w:hint="eastAsia" w:ascii="宋体" w:hAnsi="Times New Roman" w:eastAsia="宋体" w:cs="Times New Roman"/>
          <w:color w:val="000000"/>
          <w:szCs w:val="20"/>
        </w:rPr>
      </w:pPr>
      <w:r>
        <w:rPr>
          <w:rFonts w:hint="eastAsia" w:ascii="宋体" w:hAnsi="Times New Roman" w:eastAsia="宋体" w:cs="Times New Roman"/>
          <w:color w:val="000000"/>
          <w:szCs w:val="20"/>
        </w:rPr>
        <w:t>在正常生产状况下，职业卫生技术服务机构对用人单位工作场所职业病危害因素及其劳动者接触水平、职业病防护设施与措施及其防控效果、职业病危害因素对劳动者的健康影响等进行综合评价的一种技术服务活动。</w:t>
      </w:r>
    </w:p>
    <w:p w14:paraId="2027CC16">
      <w:pPr>
        <w:pStyle w:val="26"/>
        <w:numPr>
          <w:ilvl w:val="2"/>
          <w:numId w:val="0"/>
        </w:numPr>
        <w:spacing w:after="160" w:line="280" w:lineRule="exact"/>
        <w:ind w:left="420" w:hanging="420" w:hangingChars="200"/>
        <w:jc w:val="left"/>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3.3</w:t>
      </w:r>
    </w:p>
    <w:p w14:paraId="2255ACB3">
      <w:pPr>
        <w:pStyle w:val="26"/>
        <w:numPr>
          <w:ilvl w:val="2"/>
          <w:numId w:val="0"/>
        </w:numPr>
        <w:spacing w:after="160" w:line="280" w:lineRule="exact"/>
        <w:ind w:left="420" w:leftChars="200" w:firstLine="0" w:firstLineChars="0"/>
        <w:jc w:val="left"/>
        <w:rPr>
          <w:rFonts w:hint="eastAsia" w:ascii="黑体" w:hAnsi="Times New Roman" w:eastAsia="黑体" w:cs="Times New Roman"/>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职业病防护设施 facility for control occupational hazard</w:t>
      </w:r>
    </w:p>
    <w:p w14:paraId="66EC471F">
      <w:pPr>
        <w:pStyle w:val="12"/>
        <w:spacing w:after="160" w:line="28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消除或者降低工作场所的职业病危害因素的浓度或者强度，预防和减少职业病危害因素对劳动者健康的损害或者影响，保护劳动者健康的设备、设施、装置、构（建）筑物等的总称。</w:t>
      </w:r>
    </w:p>
    <w:p w14:paraId="72BCF6F2">
      <w:pPr>
        <w:pStyle w:val="26"/>
        <w:numPr>
          <w:ilvl w:val="2"/>
          <w:numId w:val="0"/>
        </w:numPr>
        <w:spacing w:after="160" w:line="280" w:lineRule="exact"/>
        <w:ind w:left="420" w:hanging="420" w:hangingChars="200"/>
        <w:jc w:val="left"/>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3.4</w:t>
      </w:r>
    </w:p>
    <w:p w14:paraId="447853A1">
      <w:pPr>
        <w:pStyle w:val="26"/>
        <w:numPr>
          <w:ilvl w:val="2"/>
          <w:numId w:val="0"/>
        </w:numPr>
        <w:spacing w:after="160" w:line="280" w:lineRule="exact"/>
        <w:ind w:left="420" w:leftChars="200" w:firstLine="0" w:firstLineChars="0"/>
        <w:jc w:val="left"/>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评价单元 occupational health assessment unit</w:t>
      </w:r>
    </w:p>
    <w:p w14:paraId="44776746">
      <w:pPr>
        <w:pStyle w:val="12"/>
        <w:spacing w:after="160" w:line="28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根据用人单位的特点和职业病危害评价的要求，将用人单位的生产工艺，设备</w:t>
      </w:r>
      <w:r>
        <w:rPr>
          <w:rFonts w:hint="eastAsia" w:ascii="宋体" w:hAnsi="Times New Roman" w:eastAsia="宋体" w:cs="Times New Roman"/>
          <w:color w:val="000000"/>
          <w:sz w:val="21"/>
          <w:szCs w:val="20"/>
          <w:lang w:eastAsia="zh-CN"/>
        </w:rPr>
        <w:t>布局</w:t>
      </w:r>
      <w:r>
        <w:rPr>
          <w:rFonts w:hint="eastAsia" w:ascii="宋体" w:hAnsi="Times New Roman" w:eastAsia="宋体" w:cs="Times New Roman"/>
          <w:color w:val="000000"/>
          <w:sz w:val="21"/>
          <w:szCs w:val="20"/>
        </w:rPr>
        <w:t>或</w:t>
      </w:r>
      <w:r>
        <w:rPr>
          <w:rFonts w:hint="eastAsia" w:ascii="宋体" w:hAnsi="Times New Roman" w:eastAsia="宋体" w:cs="Times New Roman"/>
          <w:color w:val="000000"/>
          <w:sz w:val="21"/>
          <w:szCs w:val="20"/>
          <w:lang w:eastAsia="zh-CN"/>
        </w:rPr>
        <w:t>工作</w:t>
      </w:r>
      <w:r>
        <w:rPr>
          <w:rFonts w:hint="eastAsia" w:ascii="宋体" w:hAnsi="Times New Roman" w:eastAsia="宋体" w:cs="Times New Roman"/>
          <w:color w:val="000000"/>
          <w:sz w:val="21"/>
          <w:szCs w:val="20"/>
        </w:rPr>
        <w:t>场所划分成若干相对独立的部分或区域。</w:t>
      </w:r>
    </w:p>
    <w:p w14:paraId="230D9037">
      <w:pPr>
        <w:pStyle w:val="26"/>
        <w:numPr>
          <w:ilvl w:val="2"/>
          <w:numId w:val="0"/>
        </w:numPr>
        <w:spacing w:after="160" w:line="280" w:lineRule="exact"/>
        <w:ind w:left="420" w:hanging="420" w:hangingChars="200"/>
        <w:jc w:val="left"/>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3.5</w:t>
      </w:r>
    </w:p>
    <w:p w14:paraId="37B515DB">
      <w:pPr>
        <w:pStyle w:val="26"/>
        <w:numPr>
          <w:ilvl w:val="2"/>
          <w:numId w:val="0"/>
        </w:numPr>
        <w:spacing w:after="160" w:line="280" w:lineRule="exact"/>
        <w:ind w:left="420" w:leftChars="200" w:firstLine="0" w:firstLineChars="0"/>
        <w:jc w:val="left"/>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工作日写实 detailed record of work days</w:t>
      </w:r>
    </w:p>
    <w:p w14:paraId="2D428567">
      <w:pPr>
        <w:pStyle w:val="12"/>
        <w:spacing w:line="28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在生产劳动现场，对从事职业病危害作业人员的整个工作日内的各种活动及其时间消耗按时间先后的顺序连续观察、如实记录，并进行整理和分析。</w:t>
      </w:r>
    </w:p>
    <w:p w14:paraId="1641206C">
      <w:pPr>
        <w:spacing w:line="280" w:lineRule="exact"/>
        <w:ind w:firstLine="420"/>
        <w:rPr>
          <w:rFonts w:hint="default" w:ascii="Times New Roman" w:hAnsi="Times New Roman" w:cs="Times New Roman" w:eastAsiaTheme="minorEastAsia"/>
          <w:color w:val="000000"/>
          <w:sz w:val="21"/>
          <w:szCs w:val="21"/>
        </w:rPr>
      </w:pPr>
    </w:p>
    <w:p w14:paraId="06D0DA4F">
      <w:pPr>
        <w:pStyle w:val="26"/>
        <w:numPr>
          <w:ilvl w:val="2"/>
          <w:numId w:val="0"/>
        </w:numPr>
        <w:spacing w:after="160" w:line="280" w:lineRule="exact"/>
        <w:ind w:left="420" w:hanging="420" w:hangingChars="200"/>
        <w:jc w:val="left"/>
        <w:rPr>
          <w:rFonts w:hint="eastAsia" w:ascii="黑体" w:hAnsi="Times New Roman" w:eastAsia="黑体" w:cs="Times New Roman"/>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 xml:space="preserve">3.6 </w:t>
      </w:r>
    </w:p>
    <w:p w14:paraId="1E26022F">
      <w:pPr>
        <w:pStyle w:val="26"/>
        <w:numPr>
          <w:ilvl w:val="2"/>
          <w:numId w:val="0"/>
        </w:numPr>
        <w:ind w:left="420" w:leftChars="200" w:firstLine="0" w:firstLineChars="0"/>
        <w:rPr>
          <w:rFonts w:hint="eastAsia" w:ascii="黑体" w:hAnsi="Times New Roman" w:eastAsia="黑体" w:cs="Times New Roman"/>
          <w:color w:val="000000"/>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关键控制点 Key</w:t>
      </w:r>
    </w:p>
    <w:p w14:paraId="6B765652">
      <w:pPr>
        <w:pStyle w:val="12"/>
        <w:spacing w:before="0" w:after="160" w:line="28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通过对用人单位工作场所职业病危害因素及其岗位接触水平分析评价，确定</w:t>
      </w:r>
      <w:r>
        <w:rPr>
          <w:rFonts w:hint="eastAsia" w:ascii="宋体" w:hAnsi="Times New Roman" w:eastAsia="宋体" w:cs="Times New Roman"/>
          <w:color w:val="000000"/>
          <w:sz w:val="21"/>
          <w:szCs w:val="20"/>
          <w:lang w:eastAsia="zh-CN"/>
        </w:rPr>
        <w:t>用人</w:t>
      </w:r>
      <w:r>
        <w:rPr>
          <w:rFonts w:hint="eastAsia" w:ascii="宋体" w:hAnsi="Times New Roman" w:eastAsia="宋体" w:cs="Times New Roman"/>
          <w:color w:val="000000"/>
          <w:sz w:val="21"/>
          <w:szCs w:val="20"/>
        </w:rPr>
        <w:t>单位危害程度（风险）较大的单元或作业点作为用人单位重点防护的单元或作业点，即关键控制点。</w:t>
      </w:r>
    </w:p>
    <w:p w14:paraId="310E9648">
      <w:pPr>
        <w:pStyle w:val="26"/>
        <w:numPr>
          <w:ilvl w:val="2"/>
          <w:numId w:val="0"/>
        </w:numPr>
        <w:spacing w:after="160" w:line="280" w:lineRule="exact"/>
        <w:ind w:left="420" w:hanging="420" w:hangingChars="200"/>
        <w:jc w:val="left"/>
        <w:rPr>
          <w:rFonts w:hint="eastAsia" w:ascii="黑体" w:hAnsi="Times New Roman" w:eastAsia="黑体" w:cs="Times New Roman"/>
          <w:b w:val="0"/>
          <w:bCs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3.7</w:t>
      </w:r>
    </w:p>
    <w:p w14:paraId="2B911023">
      <w:pPr>
        <w:pStyle w:val="26"/>
        <w:numPr>
          <w:ilvl w:val="2"/>
          <w:numId w:val="0"/>
        </w:numPr>
        <w:spacing w:after="160" w:line="280" w:lineRule="exact"/>
        <w:ind w:left="420" w:leftChars="200" w:firstLine="0" w:firstLineChars="0"/>
        <w:jc w:val="left"/>
        <w:rPr>
          <w:rFonts w:hint="eastAsia" w:ascii="黑体" w:hAnsi="Times New Roman" w:eastAsia="黑体" w:cs="Times New Roman"/>
          <w:b w:val="0"/>
          <w:bCs w:val="0"/>
          <w:color w:val="000000"/>
          <w:sz w:val="21"/>
          <w:szCs w:val="20"/>
          <w:highlight w:val="yellow"/>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bCs w:val="0"/>
          <w:color w:val="000000"/>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用人单</w:t>
      </w:r>
      <w:r>
        <w:rPr>
          <w:rFonts w:hint="eastAsia" w:ascii="黑体" w:hAnsi="Times New Roman" w:eastAsia="黑体" w:cs="Times New Roman"/>
          <w:b w:val="0"/>
          <w:bCs w:val="0"/>
          <w:color w:val="000000"/>
          <w:szCs w:val="20"/>
          <w:highlight w:val="none"/>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位职业病危害综合风险评估</w:t>
      </w:r>
      <w:r>
        <w:rPr>
          <w:rFonts w:hint="eastAsia" w:ascii="黑体" w:hAnsi="Times New Roman" w:eastAsia="黑体" w:cs="Times New Roman"/>
          <w:b w:val="0"/>
          <w:bCs w:val="0"/>
          <w:color w:val="000000"/>
          <w:sz w:val="21"/>
          <w:szCs w:val="20"/>
          <w:highlight w:val="none"/>
          <w:u w:val="no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 xml:space="preserve"> </w:t>
      </w:r>
      <w:r>
        <w:rPr>
          <w:rFonts w:hint="eastAsia" w:ascii="黑体" w:hAnsi="Times New Roman" w:eastAsia="黑体" w:cs="Times New Roman"/>
          <w:b w:val="0"/>
          <w:bCs w:val="0"/>
          <w:color w:val="000000"/>
          <w:sz w:val="21"/>
          <w:szCs w:val="20"/>
          <w:highlight w:val="none"/>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 xml:space="preserve"> </w:t>
      </w:r>
      <w:r>
        <w:rPr>
          <w:rFonts w:hint="eastAsia" w:ascii="黑体" w:hAnsi="Times New Roman" w:eastAsia="黑体" w:cs="Times New Roman"/>
          <w:b w:val="0"/>
          <w:bCs w:val="0"/>
          <w:color w:val="000000"/>
          <w:sz w:val="21"/>
          <w:szCs w:val="20"/>
          <w:highlight w:val="none"/>
          <w:u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Employer occupational disease hazard comprehensive risk assessment</w:t>
      </w:r>
    </w:p>
    <w:p w14:paraId="499E4F69">
      <w:pPr>
        <w:pStyle w:val="12"/>
        <w:spacing w:after="160" w:line="280" w:lineRule="exact"/>
        <w:jc w:val="left"/>
        <w:rPr>
          <w:rFonts w:hint="eastAsia" w:ascii="宋体" w:hAnsi="Times New Roman" w:eastAsia="宋体" w:cs="Times New Roman"/>
          <w:color w:val="000000"/>
          <w:sz w:val="21"/>
          <w:szCs w:val="20"/>
          <w:highlight w:val="none"/>
        </w:rPr>
      </w:pPr>
      <w:r>
        <w:rPr>
          <w:rFonts w:hint="eastAsia" w:ascii="宋体" w:hAnsi="Times New Roman" w:eastAsia="宋体" w:cs="Times New Roman"/>
          <w:color w:val="000000"/>
          <w:sz w:val="21"/>
          <w:szCs w:val="20"/>
          <w:highlight w:val="none"/>
        </w:rPr>
        <w:t>综合考虑用人单位存在的职业病危害因素毒理学特征和潜在危险性、岗位接触职业病危害因素的浓（强）度和接触人数、职业健康管理水平、职业健康检查结果以及职业病发病情况等因素，对用人单位</w:t>
      </w:r>
      <w:r>
        <w:rPr>
          <w:rFonts w:hint="eastAsia" w:ascii="宋体" w:hAnsi="Times New Roman" w:eastAsia="宋体" w:cs="Times New Roman"/>
          <w:color w:val="000000"/>
          <w:szCs w:val="20"/>
          <w:highlight w:val="none"/>
          <w:lang w:val="en-US" w:eastAsia="zh-CN"/>
        </w:rPr>
        <w:t>用人单位职业病危害综合风险评估</w:t>
      </w:r>
      <w:r>
        <w:rPr>
          <w:rFonts w:hint="eastAsia" w:ascii="宋体" w:hAnsi="Times New Roman" w:eastAsia="宋体" w:cs="Times New Roman"/>
          <w:color w:val="000000"/>
          <w:sz w:val="21"/>
          <w:szCs w:val="20"/>
          <w:highlight w:val="none"/>
        </w:rPr>
        <w:t>，以便分类管理，重点监控。</w:t>
      </w:r>
    </w:p>
    <w:p w14:paraId="1AB67330">
      <w:pPr>
        <w:pStyle w:val="26"/>
        <w:numPr>
          <w:ilvl w:val="2"/>
          <w:numId w:val="0"/>
        </w:numPr>
        <w:spacing w:line="280" w:lineRule="exact"/>
        <w:ind w:left="420" w:hanging="420" w:hangingChars="200"/>
        <w:jc w:val="left"/>
        <w:rPr>
          <w:rFonts w:hint="eastAsia" w:ascii="黑体" w:hAnsi="Times New Roman" w:eastAsia="黑体" w:cs="Times New Roman"/>
          <w:b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 xml:space="preserve">3.8 </w:t>
      </w:r>
    </w:p>
    <w:p w14:paraId="24F17299">
      <w:pPr>
        <w:pStyle w:val="26"/>
        <w:numPr>
          <w:ilvl w:val="2"/>
          <w:numId w:val="0"/>
        </w:numPr>
        <w:spacing w:line="280" w:lineRule="exact"/>
        <w:ind w:left="420" w:leftChars="200" w:firstLine="0" w:firstLineChars="0"/>
        <w:jc w:val="left"/>
        <w:rPr>
          <w:rFonts w:hint="eastAsia" w:ascii="黑体" w:hAnsi="Times New Roman" w:eastAsia="黑体" w:cs="Times New Roman"/>
          <w:b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pPr>
      <w:r>
        <w:rPr>
          <w:rFonts w:hint="eastAsia" w:ascii="黑体" w:hAnsi="Times New Roman" w:eastAsia="黑体" w:cs="Times New Roman"/>
          <w:b w:val="0"/>
          <w:color w:val="000000"/>
          <w:sz w:val="21"/>
          <w:szCs w:val="20"/>
          <w:u w:val="no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rPr>
        <w:t>缩略语</w:t>
      </w:r>
    </w:p>
    <w:p w14:paraId="693393C3">
      <w:pPr>
        <w:pStyle w:val="12"/>
        <w:spacing w:before="154" w:line="280" w:lineRule="exact"/>
        <w:ind w:firstLineChars="200"/>
        <w:jc w:val="left"/>
        <w:rPr>
          <w:rFonts w:hint="eastAsia" w:ascii="宋体" w:hAnsi="Times New Roman" w:eastAsia="宋体" w:cs="Times New Roman"/>
          <w:color w:val="000000"/>
        </w:rPr>
      </w:pPr>
      <w:r>
        <w:rPr>
          <w:rFonts w:hint="eastAsia" w:ascii="宋体" w:hAnsi="Times New Roman" w:eastAsia="宋体" w:cs="Times New Roman"/>
          <w:color w:val="000000"/>
        </w:rPr>
        <w:t xml:space="preserve">PC-TWA 时间加权平均容许浓度（Permissible Concentration-Time Weighted Average） </w:t>
      </w:r>
    </w:p>
    <w:p w14:paraId="49D9477A">
      <w:pPr>
        <w:pStyle w:val="12"/>
        <w:spacing w:before="154" w:line="280" w:lineRule="exact"/>
        <w:ind w:firstLineChars="200"/>
        <w:jc w:val="left"/>
        <w:rPr>
          <w:rFonts w:hint="eastAsia" w:ascii="宋体" w:hAnsi="Times New Roman" w:eastAsia="宋体" w:cs="Times New Roman"/>
          <w:color w:val="000000"/>
        </w:rPr>
      </w:pPr>
      <w:r>
        <w:rPr>
          <w:rFonts w:hint="eastAsia" w:ascii="宋体" w:hAnsi="Times New Roman" w:eastAsia="宋体" w:cs="Times New Roman"/>
          <w:color w:val="000000"/>
        </w:rPr>
        <w:t>PC-STEL</w:t>
      </w:r>
      <w:r>
        <w:rPr>
          <w:rFonts w:hint="eastAsia" w:ascii="宋体" w:hAnsi="Times New Roman" w:eastAsia="宋体" w:cs="Times New Roman"/>
          <w:lang w:val="en-US" w:eastAsia="zh-CN"/>
        </w:rPr>
        <w:t xml:space="preserve"> </w:t>
      </w:r>
      <w:r>
        <w:rPr>
          <w:rFonts w:hint="eastAsia" w:ascii="宋体" w:hAnsi="Times New Roman" w:eastAsia="宋体" w:cs="Times New Roman"/>
          <w:color w:val="000000"/>
        </w:rPr>
        <w:t>短时间接触容许浓度（Permissible Concentration-Short Term Exposure Limit）</w:t>
      </w:r>
    </w:p>
    <w:p w14:paraId="4A8E2301">
      <w:pPr>
        <w:pStyle w:val="12"/>
        <w:spacing w:before="154" w:line="240" w:lineRule="auto"/>
        <w:ind w:left="0" w:right="0" w:firstLineChars="200"/>
        <w:rPr>
          <w:rFonts w:hint="eastAsia" w:ascii="宋体" w:hAnsi="Times New Roman" w:eastAsia="宋体" w:cs="Times New Roman"/>
          <w:color w:val="000000"/>
        </w:rPr>
      </w:pPr>
      <w:r>
        <w:rPr>
          <w:rFonts w:hint="eastAsia" w:ascii="宋体" w:hAnsi="Times New Roman" w:eastAsia="宋体" w:cs="Times New Roman"/>
          <w:color w:val="000000"/>
        </w:rPr>
        <w:t>PE </w:t>
      </w:r>
      <w:r>
        <w:rPr>
          <w:rFonts w:hint="eastAsia" w:ascii="宋体" w:hAnsi="Times New Roman" w:eastAsia="宋体" w:cs="Times New Roman"/>
          <w:lang w:val="en-US" w:eastAsia="zh-CN"/>
        </w:rPr>
        <w:t xml:space="preserve">    </w:t>
      </w:r>
      <w:r>
        <w:rPr>
          <w:rFonts w:hint="eastAsia" w:ascii="宋体" w:hAnsi="Times New Roman" w:eastAsia="宋体" w:cs="Times New Roman"/>
          <w:color w:val="000000"/>
        </w:rPr>
        <w:t>峰接触浓度（Peak Exposures）</w:t>
      </w:r>
    </w:p>
    <w:p w14:paraId="0A2E16AE">
      <w:pPr>
        <w:pStyle w:val="12"/>
        <w:rPr>
          <w:rFonts w:hint="eastAsia"/>
        </w:rPr>
      </w:pPr>
      <w:r>
        <w:rPr>
          <w:rFonts w:hint="eastAsia" w:ascii="宋体" w:hAnsi="Times New Roman" w:eastAsia="宋体" w:cs="Times New Roman"/>
          <w:color w:val="auto"/>
        </w:rPr>
        <w:t>MAC </w:t>
      </w:r>
      <w:r>
        <w:rPr>
          <w:rFonts w:hint="eastAsia" w:ascii="宋体" w:hAnsi="Times New Roman" w:eastAsia="宋体" w:cs="Times New Roman"/>
          <w:lang w:val="en-US" w:eastAsia="zh-CN"/>
        </w:rPr>
        <w:t xml:space="preserve">   </w:t>
      </w:r>
      <w:r>
        <w:rPr>
          <w:rFonts w:hint="eastAsia" w:ascii="宋体" w:hAnsi="Times New Roman" w:eastAsia="宋体" w:cs="Times New Roman"/>
          <w:color w:val="auto"/>
        </w:rPr>
        <w:t>最高容许浓度（Maximum Allowable Concentration）</w:t>
      </w:r>
    </w:p>
    <w:p w14:paraId="3C2E7316">
      <w:pPr>
        <w:pStyle w:val="25"/>
        <w:numPr>
          <w:ilvl w:val="1"/>
          <w:numId w:val="0"/>
        </w:numPr>
        <w:spacing w:before="312" w:after="312"/>
        <w:rPr>
          <w:rFonts w:hint="eastAsia" w:hAnsi="Times New Roman" w:cs="Times New Roman"/>
          <w:kern w:val="2"/>
          <w:szCs w:val="21"/>
        </w:rPr>
      </w:pPr>
      <w:bookmarkStart w:id="51" w:name="_Toc176250310"/>
      <w:bookmarkStart w:id="52" w:name="_Toc176250295"/>
      <w:bookmarkStart w:id="53" w:name="_Toc175856647"/>
      <w:r>
        <w:rPr>
          <w:rFonts w:hint="eastAsia" w:ascii="黑体" w:hAnsi="Times New Roman" w:eastAsia="黑体" w:cs="Times New Roman"/>
          <w:b w:val="0"/>
          <w:bCs w:val="0"/>
          <w:color w:val="000000"/>
          <w:kern w:val="2"/>
          <w:sz w:val="21"/>
          <w:szCs w:val="21"/>
        </w:rPr>
        <w:t>4 评价目的与评价要求</w:t>
      </w:r>
    </w:p>
    <w:p w14:paraId="4FEDA265">
      <w:pPr>
        <w:pStyle w:val="28"/>
        <w:numPr>
          <w:ilvl w:val="0"/>
          <w:numId w:val="0"/>
        </w:numPr>
        <w:spacing w:before="156" w:after="156" w:afterLines="50" w:line="240" w:lineRule="auto"/>
        <w:jc w:val="left"/>
        <w:rPr>
          <w:rFonts w:hint="eastAsia" w:ascii="黑体" w:hAnsi="Times New Roman" w:eastAsia="黑体" w:cs="Times New Roman"/>
          <w:b w:val="0"/>
          <w:bCs w:val="0"/>
          <w:color w:val="000000"/>
          <w:sz w:val="21"/>
          <w:szCs w:val="20"/>
          <w:lang w:val="en-US" w:eastAsia="zh-CN"/>
        </w:rPr>
      </w:pPr>
      <w:r>
        <w:rPr>
          <w:rFonts w:hint="eastAsia" w:ascii="黑体" w:hAnsi="Times New Roman" w:eastAsia="黑体" w:cs="Times New Roman"/>
          <w:b w:val="0"/>
          <w:bCs w:val="0"/>
          <w:color w:val="000000"/>
          <w:sz w:val="21"/>
          <w:szCs w:val="20"/>
          <w:lang w:val="en-US" w:eastAsia="zh-CN"/>
        </w:rPr>
        <w:t>4.1 评价目的</w:t>
      </w:r>
    </w:p>
    <w:p w14:paraId="3E7720C0">
      <w:pPr>
        <w:pStyle w:val="32"/>
        <w:numPr>
          <w:ilvl w:val="3"/>
          <w:numId w:val="0"/>
        </w:numPr>
        <w:spacing w:line="280" w:lineRule="exac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4.1.1 </w:t>
      </w:r>
      <w:r>
        <w:rPr>
          <w:rFonts w:hint="eastAsia" w:ascii="宋体" w:hAnsi="Times New Roman" w:eastAsia="宋体" w:cs="Times New Roman"/>
          <w:color w:val="000000"/>
          <w:sz w:val="21"/>
          <w:szCs w:val="20"/>
        </w:rPr>
        <w:t>贯彻落实国家有关职业病防治的法律、法规、规章和标准，控制或消除职业病危害，防治职业病，保护劳动者健康。</w:t>
      </w:r>
    </w:p>
    <w:p w14:paraId="42308FE4">
      <w:pPr>
        <w:pStyle w:val="32"/>
        <w:numPr>
          <w:ilvl w:val="3"/>
          <w:numId w:val="0"/>
        </w:numPr>
        <w:spacing w:line="280" w:lineRule="exac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4.1.2 </w:t>
      </w:r>
      <w:r>
        <w:rPr>
          <w:rFonts w:hint="eastAsia" w:ascii="宋体" w:hAnsi="Times New Roman" w:eastAsia="宋体" w:cs="Times New Roman"/>
          <w:color w:val="000000"/>
          <w:sz w:val="21"/>
          <w:szCs w:val="20"/>
        </w:rPr>
        <w:t>明确用人单位存在的职业病危害因素，分析其危害程度及对劳动者健康的影响，评价职业健康管理状况，以及职业病危害防护措施及其效果，对未达到职业病危害防护要求的系统或单元提出</w:t>
      </w:r>
      <w:r>
        <w:rPr>
          <w:rFonts w:hint="eastAsia" w:ascii="宋体" w:hAnsi="Times New Roman" w:eastAsia="宋体" w:cs="Times New Roman"/>
          <w:b w:val="0"/>
          <w:color w:val="000000"/>
          <w:sz w:val="21"/>
          <w:szCs w:val="20"/>
          <w:lang w:eastAsia="zh-CN"/>
        </w:rPr>
        <w:t>完善</w:t>
      </w:r>
      <w:r>
        <w:rPr>
          <w:rFonts w:hint="eastAsia" w:ascii="宋体" w:hAnsi="Times New Roman" w:eastAsia="宋体" w:cs="Times New Roman"/>
          <w:color w:val="000000"/>
          <w:sz w:val="21"/>
          <w:szCs w:val="20"/>
        </w:rPr>
        <w:t>职业病危害控制措施的建议。</w:t>
      </w:r>
    </w:p>
    <w:p w14:paraId="48CB042B">
      <w:pPr>
        <w:pStyle w:val="32"/>
        <w:numPr>
          <w:ilvl w:val="3"/>
          <w:numId w:val="0"/>
        </w:numPr>
        <w:spacing w:line="26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4.1.3 </w:t>
      </w:r>
      <w:r>
        <w:rPr>
          <w:rFonts w:hint="eastAsia" w:ascii="宋体" w:hAnsi="Times New Roman" w:eastAsia="宋体" w:cs="Times New Roman"/>
          <w:color w:val="000000"/>
          <w:sz w:val="21"/>
          <w:szCs w:val="20"/>
        </w:rPr>
        <w:t>针对不同用人单位的特征，提出职业病危害的关键控制点和防护的具体要求。</w:t>
      </w:r>
    </w:p>
    <w:p w14:paraId="0585BEFB">
      <w:pPr>
        <w:pStyle w:val="32"/>
        <w:numPr>
          <w:ilvl w:val="3"/>
          <w:numId w:val="0"/>
        </w:numPr>
        <w:spacing w:line="26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4.1.4 </w:t>
      </w:r>
      <w:r>
        <w:rPr>
          <w:rFonts w:hint="eastAsia" w:ascii="宋体" w:hAnsi="Times New Roman" w:eastAsia="宋体" w:cs="Times New Roman"/>
          <w:color w:val="000000"/>
          <w:sz w:val="21"/>
          <w:szCs w:val="20"/>
        </w:rPr>
        <w:t>为改进用人单位职业病防治工作提供依据。</w:t>
      </w:r>
    </w:p>
    <w:p w14:paraId="16ED83A5">
      <w:pPr>
        <w:pStyle w:val="32"/>
        <w:numPr>
          <w:ilvl w:val="3"/>
          <w:numId w:val="0"/>
        </w:numPr>
        <w:spacing w:after="160" w:line="260" w:lineRule="exact"/>
        <w:jc w:val="left"/>
        <w:rPr>
          <w:rFonts w:hint="eastAsia" w:ascii="宋体" w:hAnsi="Times New Roman" w:eastAsia="宋体" w:cs="Times New Roman"/>
          <w:color w:val="000000"/>
          <w:sz w:val="21"/>
          <w:szCs w:val="20"/>
        </w:rPr>
      </w:pPr>
      <w:r>
        <w:rPr>
          <w:rFonts w:hint="eastAsia" w:ascii="黑体" w:hAnsi="Times New Roman" w:eastAsia="黑体" w:cs="Times New Roman"/>
          <w:color w:val="000000"/>
          <w:sz w:val="21"/>
          <w:szCs w:val="20"/>
        </w:rPr>
        <w:t xml:space="preserve">4.1.5 </w:t>
      </w:r>
      <w:r>
        <w:rPr>
          <w:rFonts w:hint="eastAsia" w:ascii="宋体" w:hAnsi="Times New Roman" w:eastAsia="宋体" w:cs="Times New Roman"/>
          <w:color w:val="000000"/>
          <w:sz w:val="21"/>
          <w:szCs w:val="20"/>
        </w:rPr>
        <w:t>为</w:t>
      </w:r>
      <w:r>
        <w:rPr>
          <w:rFonts w:hint="eastAsia" w:ascii="宋体" w:hAnsi="Times New Roman" w:eastAsia="宋体" w:cs="Times New Roman"/>
          <w:b w:val="0"/>
          <w:color w:val="000000"/>
          <w:sz w:val="21"/>
          <w:szCs w:val="20"/>
        </w:rPr>
        <w:t>卫生健康行政部门</w:t>
      </w:r>
      <w:r>
        <w:rPr>
          <w:rFonts w:hint="eastAsia" w:ascii="宋体" w:hAnsi="Times New Roman" w:eastAsia="宋体" w:cs="Times New Roman"/>
          <w:color w:val="000000"/>
          <w:sz w:val="21"/>
          <w:szCs w:val="20"/>
        </w:rPr>
        <w:t>对用人单位进行职业健康监督管理提供科学依据。</w:t>
      </w:r>
    </w:p>
    <w:p w14:paraId="71D4C796">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sz w:val="21"/>
          <w:szCs w:val="20"/>
        </w:rPr>
      </w:pPr>
      <w:r>
        <w:rPr>
          <w:rFonts w:hint="eastAsia" w:ascii="黑体" w:hAnsi="Times New Roman" w:eastAsia="黑体" w:cs="Times New Roman"/>
          <w:b w:val="0"/>
          <w:color w:val="000000"/>
          <w:sz w:val="21"/>
          <w:szCs w:val="20"/>
        </w:rPr>
        <w:t>4.2 评价要求</w:t>
      </w:r>
    </w:p>
    <w:p w14:paraId="7A30D704">
      <w:pPr>
        <w:pStyle w:val="32"/>
        <w:numPr>
          <w:ilvl w:val="3"/>
          <w:numId w:val="0"/>
        </w:numPr>
        <w:spacing w:line="26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4.2.1 </w:t>
      </w:r>
      <w:r>
        <w:rPr>
          <w:rFonts w:hint="eastAsia" w:ascii="宋体" w:hAnsi="Times New Roman" w:eastAsia="宋体" w:cs="Times New Roman"/>
          <w:color w:val="000000"/>
          <w:sz w:val="21"/>
          <w:szCs w:val="20"/>
        </w:rPr>
        <w:t>贯彻落实“预防为主、防治结合”的方针。</w:t>
      </w:r>
    </w:p>
    <w:p w14:paraId="15F3E0A3">
      <w:pPr>
        <w:pStyle w:val="32"/>
        <w:numPr>
          <w:ilvl w:val="3"/>
          <w:numId w:val="0"/>
        </w:numPr>
        <w:spacing w:line="28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4.2.2 </w:t>
      </w:r>
      <w:r>
        <w:rPr>
          <w:rFonts w:hint="eastAsia" w:ascii="宋体" w:hAnsi="Times New Roman" w:eastAsia="宋体" w:cs="Times New Roman"/>
          <w:color w:val="000000"/>
          <w:sz w:val="21"/>
          <w:szCs w:val="20"/>
        </w:rPr>
        <w:t>遵循科学、公正、客观、真实的原则。</w:t>
      </w:r>
    </w:p>
    <w:p w14:paraId="1DA52A4D">
      <w:pPr>
        <w:pStyle w:val="32"/>
        <w:numPr>
          <w:ilvl w:val="3"/>
          <w:numId w:val="0"/>
        </w:numPr>
        <w:spacing w:line="28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4.2.3 </w:t>
      </w:r>
      <w:r>
        <w:rPr>
          <w:rFonts w:hint="eastAsia" w:ascii="宋体" w:hAnsi="Times New Roman" w:eastAsia="宋体" w:cs="Times New Roman"/>
          <w:color w:val="000000"/>
          <w:sz w:val="21"/>
          <w:szCs w:val="20"/>
        </w:rPr>
        <w:t>评价工作应在正常生产状态下进行。</w:t>
      </w:r>
    </w:p>
    <w:p w14:paraId="05A13F3F">
      <w:pPr>
        <w:pStyle w:val="32"/>
        <w:numPr>
          <w:ilvl w:val="3"/>
          <w:numId w:val="0"/>
        </w:numPr>
        <w:spacing w:after="320" w:line="28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4.2.4 </w:t>
      </w:r>
      <w:r>
        <w:rPr>
          <w:rFonts w:hint="eastAsia" w:ascii="宋体" w:hAnsi="Times New Roman" w:eastAsia="宋体" w:cs="Times New Roman"/>
          <w:color w:val="000000"/>
          <w:sz w:val="21"/>
          <w:szCs w:val="20"/>
        </w:rPr>
        <w:t>遵循国家法律法规等的有关规定。</w:t>
      </w:r>
    </w:p>
    <w:bookmarkEnd w:id="51"/>
    <w:bookmarkEnd w:id="52"/>
    <w:bookmarkEnd w:id="53"/>
    <w:p w14:paraId="34C7A18C">
      <w:pPr>
        <w:pStyle w:val="25"/>
        <w:keepNext w:val="0"/>
        <w:keepLines w:val="0"/>
        <w:pageBreakBefore w:val="0"/>
        <w:widowControl w:val="0"/>
        <w:numPr>
          <w:ilvl w:val="1"/>
          <w:numId w:val="0"/>
        </w:numPr>
        <w:kinsoku/>
        <w:wordWrap/>
        <w:overflowPunct/>
        <w:topLinePunct w:val="0"/>
        <w:autoSpaceDE/>
        <w:autoSpaceDN/>
        <w:bidi w:val="0"/>
        <w:adjustRightInd/>
        <w:snapToGrid/>
        <w:spacing w:before="312" w:beforeLines="50" w:after="312" w:afterLines="50" w:line="240" w:lineRule="auto"/>
        <w:jc w:val="left"/>
        <w:textAlignment w:val="auto"/>
        <w:rPr>
          <w:rFonts w:hint="eastAsia" w:ascii="黑体" w:hAnsi="Times New Roman" w:cs="Times New Roman"/>
          <w:kern w:val="2"/>
          <w:sz w:val="21"/>
          <w:szCs w:val="21"/>
        </w:rPr>
      </w:pPr>
      <w:bookmarkStart w:id="54" w:name="_Toc176250296"/>
      <w:bookmarkStart w:id="55" w:name="_Toc175856648"/>
      <w:bookmarkStart w:id="56" w:name="_Toc176250311"/>
      <w:r>
        <w:rPr>
          <w:rFonts w:hint="eastAsia" w:ascii="黑体" w:hAnsi="Times New Roman" w:eastAsia="黑体" w:cs="Times New Roman"/>
          <w:b w:val="0"/>
          <w:color w:val="000000"/>
          <w:kern w:val="2"/>
          <w:sz w:val="21"/>
          <w:szCs w:val="21"/>
        </w:rPr>
        <w:t>5 评价依据</w:t>
      </w:r>
    </w:p>
    <w:p w14:paraId="0DC15DD7">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auto"/>
          <w:sz w:val="21"/>
          <w:szCs w:val="20"/>
        </w:rPr>
      </w:pPr>
      <w:r>
        <w:rPr>
          <w:rFonts w:hint="eastAsia" w:ascii="黑体" w:hAnsi="Times New Roman" w:eastAsia="黑体" w:cs="Times New Roman"/>
          <w:b w:val="0"/>
          <w:color w:val="000000"/>
          <w:sz w:val="21"/>
          <w:szCs w:val="20"/>
        </w:rPr>
        <w:t>5.1 法律、法规、规章、规范性文件</w:t>
      </w:r>
    </w:p>
    <w:p w14:paraId="55AF2D55">
      <w:pPr>
        <w:pStyle w:val="12"/>
        <w:spacing w:after="160" w:line="260" w:lineRule="exact"/>
        <w:rPr>
          <w:rFonts w:hint="eastAsia" w:ascii="宋体" w:hAnsi="Times New Roman" w:eastAsia="宋体" w:cs="Times New Roman"/>
          <w:color w:val="auto"/>
          <w:sz w:val="21"/>
          <w:szCs w:val="20"/>
        </w:rPr>
      </w:pPr>
      <w:r>
        <w:rPr>
          <w:rFonts w:hint="eastAsia" w:ascii="宋体" w:hAnsi="Times New Roman" w:eastAsia="宋体" w:cs="Times New Roman"/>
          <w:color w:val="auto"/>
          <w:sz w:val="21"/>
          <w:szCs w:val="20"/>
        </w:rPr>
        <w:t>我国现行有效的有关职业病防治的法律、法规、规章以及</w:t>
      </w:r>
      <w:r>
        <w:rPr>
          <w:rFonts w:hint="eastAsia" w:ascii="宋体" w:hAnsi="Times New Roman" w:eastAsia="宋体" w:cs="Times New Roman"/>
          <w:b w:val="0"/>
          <w:color w:val="auto"/>
          <w:sz w:val="21"/>
          <w:szCs w:val="20"/>
        </w:rPr>
        <w:t>国家</w:t>
      </w:r>
      <w:r>
        <w:rPr>
          <w:rFonts w:hint="eastAsia" w:ascii="宋体" w:hAnsi="Times New Roman" w:eastAsia="宋体" w:cs="Times New Roman"/>
          <w:b w:val="0"/>
          <w:color w:val="auto"/>
          <w:szCs w:val="20"/>
        </w:rPr>
        <w:t>卫生健康委、</w:t>
      </w:r>
      <w:r>
        <w:rPr>
          <w:rFonts w:hint="eastAsia" w:ascii="宋体" w:hAnsi="Times New Roman" w:eastAsia="宋体" w:cs="Times New Roman"/>
          <w:b w:val="0"/>
          <w:color w:val="auto"/>
          <w:szCs w:val="20"/>
          <w:lang w:eastAsia="zh-CN"/>
        </w:rPr>
        <w:t>国家疾控局、</w:t>
      </w:r>
      <w:r>
        <w:rPr>
          <w:rFonts w:hint="eastAsia" w:ascii="宋体" w:hAnsi="Times New Roman" w:eastAsia="宋体" w:cs="Times New Roman"/>
          <w:color w:val="auto"/>
          <w:sz w:val="21"/>
          <w:szCs w:val="20"/>
        </w:rPr>
        <w:t>安徽省人民政府、安徽省</w:t>
      </w:r>
      <w:r>
        <w:rPr>
          <w:rFonts w:hint="eastAsia" w:ascii="宋体" w:hAnsi="Times New Roman" w:eastAsia="宋体" w:cs="Times New Roman"/>
          <w:b w:val="0"/>
          <w:color w:val="auto"/>
          <w:sz w:val="21"/>
          <w:szCs w:val="20"/>
        </w:rPr>
        <w:t>卫生健康委</w:t>
      </w:r>
      <w:r>
        <w:rPr>
          <w:rFonts w:hint="eastAsia" w:ascii="宋体" w:hAnsi="Times New Roman" w:eastAsia="宋体" w:cs="Times New Roman"/>
          <w:b w:val="0"/>
          <w:color w:val="auto"/>
          <w:szCs w:val="20"/>
        </w:rPr>
        <w:t>、安徽省疾控局</w:t>
      </w:r>
      <w:r>
        <w:rPr>
          <w:rFonts w:hint="eastAsia" w:ascii="宋体" w:hAnsi="Times New Roman" w:eastAsia="宋体" w:cs="Times New Roman"/>
          <w:color w:val="auto"/>
          <w:sz w:val="21"/>
          <w:szCs w:val="20"/>
        </w:rPr>
        <w:t>有关规范性文件。</w:t>
      </w:r>
    </w:p>
    <w:p w14:paraId="43AF1749">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5.2 规范、标准</w:t>
      </w:r>
    </w:p>
    <w:p w14:paraId="21455681">
      <w:pPr>
        <w:pStyle w:val="12"/>
        <w:spacing w:after="160" w:line="26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我国现行有效的有关职业病防治的规范、标准。</w:t>
      </w:r>
    </w:p>
    <w:p w14:paraId="49EB979D">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5.3 基础依据</w:t>
      </w:r>
    </w:p>
    <w:p w14:paraId="79CAAD02">
      <w:pPr>
        <w:pStyle w:val="12"/>
        <w:spacing w:after="160" w:line="32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用人单位评价范围内的职业病危害防护设施设计，</w:t>
      </w:r>
      <w:r>
        <w:rPr>
          <w:rFonts w:hint="eastAsia" w:ascii="宋体" w:hAnsi="Times New Roman" w:eastAsia="宋体" w:cs="Times New Roman"/>
          <w:color w:val="000000"/>
          <w:sz w:val="21"/>
          <w:szCs w:val="20"/>
          <w:lang w:eastAsia="zh-CN"/>
        </w:rPr>
        <w:t>最近</w:t>
      </w:r>
      <w:r>
        <w:rPr>
          <w:rFonts w:hint="eastAsia" w:ascii="宋体" w:hAnsi="Times New Roman" w:eastAsia="宋体" w:cs="Times New Roman"/>
          <w:color w:val="000000"/>
          <w:sz w:val="21"/>
          <w:szCs w:val="20"/>
          <w:lang w:val="en-US" w:eastAsia="zh-CN"/>
        </w:rPr>
        <w:t>1次职业病危害评价报告，以及</w:t>
      </w:r>
      <w:r>
        <w:rPr>
          <w:rFonts w:hint="eastAsia" w:ascii="宋体" w:hAnsi="Times New Roman" w:eastAsia="宋体" w:cs="Times New Roman"/>
          <w:color w:val="000000"/>
          <w:sz w:val="21"/>
          <w:szCs w:val="20"/>
        </w:rPr>
        <w:t>近3年</w:t>
      </w:r>
      <w:r>
        <w:rPr>
          <w:rFonts w:hint="eastAsia" w:ascii="宋体" w:hAnsi="Times New Roman" w:eastAsia="宋体" w:cs="Times New Roman"/>
          <w:color w:val="000000"/>
          <w:sz w:val="21"/>
          <w:szCs w:val="20"/>
          <w:lang w:eastAsia="zh-CN"/>
        </w:rPr>
        <w:t>职业病危害因素检测资料</w:t>
      </w:r>
      <w:r>
        <w:rPr>
          <w:rFonts w:hint="eastAsia" w:ascii="宋体" w:hAnsi="Times New Roman" w:eastAsia="宋体" w:cs="Times New Roman"/>
          <w:color w:val="000000"/>
          <w:sz w:val="21"/>
          <w:szCs w:val="20"/>
        </w:rPr>
        <w:t>、</w:t>
      </w:r>
      <w:r>
        <w:rPr>
          <w:rFonts w:hint="eastAsia" w:ascii="宋体" w:hAnsi="Times New Roman" w:eastAsia="宋体" w:cs="Times New Roman"/>
          <w:spacing w:val="0"/>
          <w:sz w:val="21"/>
        </w:rPr>
        <w:t xml:space="preserve">用人单位近 </w:t>
      </w:r>
      <w:r>
        <w:rPr>
          <w:rFonts w:hint="eastAsia" w:ascii="宋体" w:hAnsi="Times New Roman" w:eastAsia="宋体" w:cs="Times New Roman"/>
          <w:sz w:val="21"/>
        </w:rPr>
        <w:t>3</w:t>
      </w:r>
      <w:r>
        <w:rPr>
          <w:rFonts w:hint="eastAsia" w:ascii="宋体" w:hAnsi="Times New Roman" w:eastAsia="宋体" w:cs="Times New Roman"/>
          <w:spacing w:val="0"/>
          <w:sz w:val="21"/>
        </w:rPr>
        <w:t xml:space="preserve"> 年劳动者职业健康监护资料</w:t>
      </w:r>
      <w:r>
        <w:rPr>
          <w:rFonts w:hint="eastAsia" w:ascii="宋体" w:hAnsi="Times New Roman" w:eastAsia="宋体" w:cs="Times New Roman"/>
          <w:spacing w:val="0"/>
          <w:sz w:val="21"/>
          <w:lang w:eastAsia="zh-CN"/>
        </w:rPr>
        <w:t>（</w:t>
      </w:r>
      <w:r>
        <w:rPr>
          <w:rFonts w:hint="eastAsia" w:ascii="宋体" w:hAnsi="Times New Roman" w:eastAsia="宋体" w:cs="Times New Roman"/>
          <w:spacing w:val="0"/>
          <w:sz w:val="21"/>
        </w:rPr>
        <w:t>包括既往职业健康检查资料、职业病发病资料和急性职业病危害事故资料</w:t>
      </w:r>
      <w:r>
        <w:rPr>
          <w:rFonts w:hint="eastAsia" w:ascii="宋体" w:hAnsi="Times New Roman" w:eastAsia="宋体" w:cs="Times New Roman"/>
          <w:spacing w:val="0"/>
          <w:sz w:val="21"/>
          <w:lang w:eastAsia="zh-CN"/>
        </w:rPr>
        <w:t>）</w:t>
      </w:r>
      <w:r>
        <w:rPr>
          <w:rFonts w:hint="eastAsia" w:ascii="宋体" w:hAnsi="Times New Roman" w:eastAsia="宋体" w:cs="Times New Roman"/>
          <w:color w:val="000000"/>
          <w:sz w:val="21"/>
          <w:szCs w:val="20"/>
        </w:rPr>
        <w:t>，行政主管部门曾经依法作出的审核、审查、验收、备案文件，涉及评价范围内设备设施运行及项目变更情况的有关资料，现状评价工作委托书等。</w:t>
      </w:r>
      <w:r>
        <w:rPr>
          <w:rFonts w:hint="eastAsia" w:ascii="宋体" w:hAnsi="Times New Roman" w:eastAsia="宋体" w:cs="Times New Roman"/>
          <w:color w:val="000000"/>
          <w:sz w:val="21"/>
          <w:szCs w:val="20"/>
        </w:rPr>
        <w:tab/>
      </w:r>
    </w:p>
    <w:p w14:paraId="70216621">
      <w:pPr>
        <w:pStyle w:val="28"/>
        <w:numPr>
          <w:ilvl w:val="0"/>
          <w:numId w:val="0"/>
        </w:numPr>
        <w:spacing w:before="156" w:after="156" w:line="260" w:lineRule="exact"/>
        <w:jc w:val="left"/>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5.4 其他依据</w:t>
      </w:r>
    </w:p>
    <w:p w14:paraId="359476A1">
      <w:pPr>
        <w:pStyle w:val="12"/>
        <w:spacing w:after="320" w:line="26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与现状评价工作有关的其他资料，如安全、环保等相关评价资料。</w:t>
      </w:r>
    </w:p>
    <w:bookmarkEnd w:id="54"/>
    <w:bookmarkEnd w:id="55"/>
    <w:bookmarkEnd w:id="56"/>
    <w:p w14:paraId="427B75E0">
      <w:pPr>
        <w:pStyle w:val="25"/>
        <w:numPr>
          <w:ilvl w:val="1"/>
          <w:numId w:val="0"/>
        </w:numPr>
        <w:spacing w:before="312" w:after="312" w:line="260" w:lineRule="exact"/>
        <w:jc w:val="left"/>
        <w:rPr>
          <w:rFonts w:hint="eastAsia" w:ascii="黑体" w:hAnsi="Times New Roman" w:eastAsia="黑体" w:cs="Times New Roman"/>
          <w:b w:val="0"/>
          <w:color w:val="000000"/>
          <w:kern w:val="2"/>
          <w:sz w:val="21"/>
          <w:szCs w:val="21"/>
        </w:rPr>
      </w:pPr>
      <w:bookmarkStart w:id="57" w:name="_Toc176250297"/>
      <w:bookmarkStart w:id="58" w:name="_Toc176250312"/>
      <w:r>
        <w:rPr>
          <w:rFonts w:hint="eastAsia" w:ascii="黑体" w:hAnsi="Times New Roman" w:eastAsia="黑体" w:cs="Times New Roman"/>
          <w:b w:val="0"/>
          <w:color w:val="000000"/>
          <w:kern w:val="2"/>
          <w:sz w:val="21"/>
          <w:szCs w:val="21"/>
        </w:rPr>
        <w:t>6 评价范围与内容</w:t>
      </w:r>
    </w:p>
    <w:p w14:paraId="2158F5AF">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6.1 评价范围</w:t>
      </w:r>
    </w:p>
    <w:p w14:paraId="25196D5A">
      <w:pPr>
        <w:pStyle w:val="12"/>
        <w:rPr>
          <w:rFonts w:hint="eastAsia" w:ascii="宋体" w:hAnsi="Times New Roman" w:eastAsia="宋体" w:cs="Times New Roman"/>
        </w:rPr>
      </w:pPr>
      <w:r>
        <w:rPr>
          <w:rFonts w:hint="eastAsia" w:ascii="宋体" w:hAnsi="Times New Roman" w:eastAsia="宋体" w:cs="Times New Roman"/>
          <w:color w:val="000000"/>
          <w:sz w:val="21"/>
          <w:szCs w:val="20"/>
        </w:rPr>
        <w:t>用人单位生产经营活动范围均应纳入评价范围，以委托评价时用人单位生产经营活动范围内涉及的内容、场所以及过程等为准，明确实际评价的范围（主要针对现时运行区域、设施及其运行情况进行评价）。评价范围要在合同与评价报告中写明确。</w:t>
      </w:r>
    </w:p>
    <w:p w14:paraId="71CE6795">
      <w:pPr>
        <w:pStyle w:val="12"/>
        <w:spacing w:line="26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所有在用人单位生产经营活动范围作业的劳动者（包括劳务派遣用工、外协＜外包内做＞用工）均应纳入评价范围。</w:t>
      </w:r>
    </w:p>
    <w:p w14:paraId="1B0089CE">
      <w:pPr>
        <w:pStyle w:val="12"/>
        <w:spacing w:after="100" w:line="28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竣工期不到1年的建设项目可不纳入评价范围；对发生职业病危害事件的用人单位进行现状评价时，与事件无关的区域（建设项目）可不纳入评价范围。</w:t>
      </w:r>
    </w:p>
    <w:p w14:paraId="3BE4CDC7">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6.2 评价内容</w:t>
      </w:r>
    </w:p>
    <w:p w14:paraId="2CBAFD9C">
      <w:pPr>
        <w:pStyle w:val="12"/>
        <w:spacing w:after="240" w:line="28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主要包括总体布局、建筑设计卫生学、生产工艺、生产设备及布局、职业病危害因素种类及分布、作业方式及接触水平、职业病危害防护设施及运行情况、个人防护用品、应急救援设施、职业健康监护、辅助用室、职业健康管理制度及其落实情况等。</w:t>
      </w:r>
    </w:p>
    <w:p w14:paraId="46E201E0">
      <w:pPr>
        <w:pStyle w:val="25"/>
        <w:keepNext w:val="0"/>
        <w:keepLines w:val="0"/>
        <w:pageBreakBefore w:val="0"/>
        <w:widowControl w:val="0"/>
        <w:numPr>
          <w:ilvl w:val="1"/>
          <w:numId w:val="0"/>
        </w:numPr>
        <w:kinsoku/>
        <w:wordWrap/>
        <w:overflowPunct/>
        <w:topLinePunct w:val="0"/>
        <w:autoSpaceDE/>
        <w:autoSpaceDN/>
        <w:bidi w:val="0"/>
        <w:adjustRightInd/>
        <w:snapToGrid/>
        <w:spacing w:before="312" w:after="312" w:afterLines="50" w:line="240" w:lineRule="auto"/>
        <w:jc w:val="left"/>
        <w:textAlignment w:val="auto"/>
        <w:rPr>
          <w:rFonts w:hint="eastAsia" w:ascii="黑体" w:hAnsi="Times New Roman" w:eastAsia="黑体" w:cs="Times New Roman"/>
          <w:kern w:val="2"/>
          <w:sz w:val="21"/>
          <w:szCs w:val="21"/>
        </w:rPr>
      </w:pPr>
      <w:r>
        <w:rPr>
          <w:rFonts w:hint="eastAsia" w:ascii="黑体" w:hAnsi="Times New Roman" w:eastAsia="黑体" w:cs="Times New Roman"/>
          <w:b w:val="0"/>
          <w:color w:val="000000"/>
          <w:kern w:val="2"/>
          <w:sz w:val="21"/>
          <w:szCs w:val="21"/>
        </w:rPr>
        <w:t>7 评价方法</w:t>
      </w:r>
    </w:p>
    <w:p w14:paraId="4742C2F7">
      <w:pPr>
        <w:pStyle w:val="12"/>
        <w:spacing w:after="10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用人单位职业病危害特点，采用工程分析、职业健康现场调查、职业健康检测、职业健康检查、检查表分析、职业病危害作业分级等方法，对用人单位正常生产期间存在职业病危害暴露的劳动者的职业病危害因素接触水平及职业健康影响、职业病防护设施效果以及职业健康管理措施及执行情况进行综合分析、定性和定量评价。</w:t>
      </w:r>
    </w:p>
    <w:p w14:paraId="1DB30571">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7.1 工程分析法</w:t>
      </w:r>
    </w:p>
    <w:p w14:paraId="4E456573">
      <w:pPr>
        <w:pStyle w:val="12"/>
        <w:spacing w:after="100" w:line="300" w:lineRule="exact"/>
        <w:rPr>
          <w:rFonts w:hint="eastAsia" w:asciiTheme="minorEastAsia" w:hAnsiTheme="minorEastAsia" w:eastAsiaTheme="minorEastAsia" w:cstheme="minorEastAsia"/>
          <w:sz w:val="21"/>
          <w:szCs w:val="21"/>
        </w:rPr>
      </w:pPr>
      <w:r>
        <w:rPr>
          <w:rFonts w:hint="eastAsia" w:ascii="宋体" w:hAnsi="Times New Roman" w:eastAsia="宋体" w:cs="Times New Roman"/>
          <w:color w:val="000000"/>
          <w:sz w:val="21"/>
          <w:szCs w:val="20"/>
        </w:rPr>
        <w:t>运用工程分析的思路和方法，在全面、系统分析建设项目概况、建设地点、所在地自然环境、总体布局、生产工艺、生产设备及布局、生产过程使用的原辅材料、产品与副产品、车间建筑设计卫生学、职业病危害工程防护技术措施等的基础上，识别和分析建设项目存在或可能存在的职业病危害因素的种类及其存在环节、岗位分布及潜在接触水平。</w:t>
      </w:r>
    </w:p>
    <w:p w14:paraId="63375639">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7.2 职业健康现场调查法</w:t>
      </w:r>
    </w:p>
    <w:p w14:paraId="29ED3C70">
      <w:pPr>
        <w:pStyle w:val="12"/>
        <w:spacing w:line="28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在分析用人单位提供的相关资料以及此前历次职业健康、安全、环保评价等资料的基础上，开展职业</w:t>
      </w:r>
      <w:r>
        <w:rPr>
          <w:rFonts w:hint="eastAsia" w:ascii="宋体" w:hAnsi="Times New Roman" w:eastAsia="宋体" w:cs="Times New Roman"/>
          <w:color w:val="000000"/>
          <w:sz w:val="21"/>
          <w:szCs w:val="20"/>
          <w:lang w:eastAsia="zh-CN"/>
        </w:rPr>
        <w:t>卫生</w:t>
      </w:r>
      <w:r>
        <w:rPr>
          <w:rFonts w:hint="eastAsia" w:ascii="宋体" w:hAnsi="Times New Roman" w:eastAsia="宋体" w:cs="Times New Roman"/>
          <w:color w:val="000000"/>
          <w:sz w:val="21"/>
          <w:szCs w:val="20"/>
        </w:rPr>
        <w:t>现场调查。</w:t>
      </w:r>
    </w:p>
    <w:p w14:paraId="316FD0B2">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内容主要包括：用人单位概况、现时运行情况、总体布局、建筑卫生学、生产工艺、生产设备及布局、生产过程中的物料、中间品及产品、职业病危害因素以及时空分布、作业方式及接触水平、职业病危害防护设施及其运行情况、个人防护用品、辅助用室、应急救援设施、职业</w:t>
      </w:r>
      <w:r>
        <w:rPr>
          <w:rFonts w:hint="eastAsia" w:ascii="宋体" w:hAnsi="Times New Roman" w:eastAsia="宋体" w:cs="Times New Roman"/>
          <w:color w:val="000000"/>
          <w:sz w:val="21"/>
          <w:szCs w:val="20"/>
          <w:lang w:eastAsia="zh-CN"/>
        </w:rPr>
        <w:t>卫生</w:t>
      </w:r>
      <w:r>
        <w:rPr>
          <w:rFonts w:hint="eastAsia" w:ascii="宋体" w:hAnsi="Times New Roman" w:eastAsia="宋体" w:cs="Times New Roman"/>
          <w:color w:val="000000"/>
          <w:sz w:val="21"/>
          <w:szCs w:val="20"/>
        </w:rPr>
        <w:t>管理制度及其落实情况、近3年职业病危害因素检测与健康监护结果分析情况等。</w:t>
      </w:r>
    </w:p>
    <w:p w14:paraId="695E6815">
      <w:pPr>
        <w:pStyle w:val="12"/>
        <w:spacing w:after="100" w:line="280" w:lineRule="exact"/>
        <w:rPr>
          <w:rFonts w:hint="eastAsia" w:asciiTheme="minorEastAsia" w:hAnsiTheme="minorEastAsia" w:eastAsiaTheme="minorEastAsia" w:cstheme="minorEastAsia"/>
          <w:sz w:val="21"/>
          <w:szCs w:val="21"/>
          <w:lang w:eastAsia="zh-CN"/>
        </w:rPr>
      </w:pPr>
      <w:r>
        <w:rPr>
          <w:rFonts w:hint="eastAsia" w:ascii="宋体" w:hAnsi="Times New Roman" w:eastAsia="宋体" w:cs="Times New Roman"/>
          <w:color w:val="000000"/>
          <w:sz w:val="21"/>
          <w:szCs w:val="20"/>
        </w:rPr>
        <w:t>首次评价应该简述用人单位发展历史，包括历年发生的改建、扩建、技术改造等项目情况的简要描述。简述用人单位职业</w:t>
      </w:r>
      <w:r>
        <w:rPr>
          <w:rFonts w:hint="eastAsia" w:ascii="宋体" w:hAnsi="Times New Roman" w:eastAsia="宋体" w:cs="Times New Roman"/>
          <w:color w:val="000000"/>
          <w:sz w:val="21"/>
          <w:szCs w:val="20"/>
          <w:lang w:eastAsia="zh-CN"/>
        </w:rPr>
        <w:t>卫生管理</w:t>
      </w:r>
      <w:r>
        <w:rPr>
          <w:rFonts w:hint="eastAsia" w:ascii="宋体" w:hAnsi="Times New Roman" w:eastAsia="宋体" w:cs="Times New Roman"/>
          <w:color w:val="000000"/>
          <w:sz w:val="21"/>
          <w:szCs w:val="20"/>
        </w:rPr>
        <w:t>概况，包括以往职业</w:t>
      </w:r>
      <w:r>
        <w:rPr>
          <w:rFonts w:hint="eastAsia" w:ascii="宋体" w:hAnsi="Times New Roman" w:eastAsia="宋体" w:cs="Times New Roman"/>
          <w:color w:val="000000"/>
          <w:sz w:val="21"/>
          <w:szCs w:val="20"/>
          <w:lang w:eastAsia="zh-CN"/>
        </w:rPr>
        <w:t>卫生</w:t>
      </w:r>
      <w:r>
        <w:rPr>
          <w:rFonts w:hint="eastAsia" w:ascii="宋体" w:hAnsi="Times New Roman" w:eastAsia="宋体" w:cs="Times New Roman"/>
          <w:color w:val="000000"/>
          <w:sz w:val="21"/>
          <w:szCs w:val="20"/>
        </w:rPr>
        <w:t>管理制度、职业病发生情况、职业病危害因素检测与健康监护结果分析等情况变化的简要描述</w:t>
      </w:r>
      <w:r>
        <w:rPr>
          <w:rFonts w:hint="eastAsia" w:ascii="宋体" w:hAnsi="Times New Roman" w:eastAsia="宋体" w:cs="Times New Roman"/>
          <w:color w:val="000000"/>
          <w:sz w:val="21"/>
          <w:szCs w:val="20"/>
          <w:lang w:eastAsia="zh-CN"/>
        </w:rPr>
        <w:t>。</w:t>
      </w:r>
    </w:p>
    <w:p w14:paraId="09A1F163">
      <w:pPr>
        <w:pStyle w:val="28"/>
        <w:keepNext w:val="0"/>
        <w:keepLines w:val="0"/>
        <w:pageBreakBefore w:val="0"/>
        <w:widowControl w:val="0"/>
        <w:numPr>
          <w:ilvl w:val="0"/>
          <w:numId w:val="0"/>
        </w:numPr>
        <w:kinsoku/>
        <w:wordWrap/>
        <w:overflowPunct/>
        <w:topLinePunct w:val="0"/>
        <w:autoSpaceDE/>
        <w:autoSpaceDN/>
        <w:bidi w:val="0"/>
        <w:adjustRightInd/>
        <w:snapToGrid/>
        <w:spacing w:before="156"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7.3 职业健康检测法</w:t>
      </w:r>
    </w:p>
    <w:p w14:paraId="421334FB">
      <w:pPr>
        <w:pStyle w:val="32"/>
        <w:keepNext w:val="0"/>
        <w:keepLines w:val="0"/>
        <w:pageBreakBefore w:val="0"/>
        <w:widowControl w:val="0"/>
        <w:numPr>
          <w:ilvl w:val="3"/>
          <w:numId w:val="0"/>
        </w:numPr>
        <w:kinsoku/>
        <w:wordWrap/>
        <w:overflowPunct/>
        <w:topLinePunct w:val="0"/>
        <w:autoSpaceDE/>
        <w:autoSpaceDN/>
        <w:bidi w:val="0"/>
        <w:adjustRightInd/>
        <w:snapToGrid/>
        <w:spacing w:after="0"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7.3.1 职业病危害因素检测</w:t>
      </w:r>
    </w:p>
    <w:p w14:paraId="4426F624">
      <w:pPr>
        <w:pStyle w:val="12"/>
        <w:spacing w:after="100" w:line="28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 GBZ 159、GBZ/T 160、GBZ/T 189、GBZ/T 192、GBZ/T 300 等对用人单位存在的或可能存在的职业病危害因素（化学因素、粉尘、物理因素、生物因素、不良气象条件等）进行检测。</w:t>
      </w:r>
    </w:p>
    <w:p w14:paraId="69738541">
      <w:pPr>
        <w:pStyle w:val="32"/>
        <w:keepNext w:val="0"/>
        <w:keepLines w:val="0"/>
        <w:pageBreakBefore w:val="0"/>
        <w:widowControl w:val="0"/>
        <w:numPr>
          <w:ilvl w:val="3"/>
          <w:numId w:val="0"/>
        </w:numPr>
        <w:kinsoku/>
        <w:wordWrap/>
        <w:overflowPunct/>
        <w:topLinePunct w:val="0"/>
        <w:autoSpaceDE/>
        <w:autoSpaceDN/>
        <w:bidi w:val="0"/>
        <w:adjustRightInd/>
        <w:snapToGrid/>
        <w:spacing w:after="0"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7.3.2 职业病危害防护设施参数检测</w:t>
      </w:r>
    </w:p>
    <w:p w14:paraId="573790D2">
      <w:pPr>
        <w:pStyle w:val="12"/>
        <w:rPr>
          <w:rFonts w:hint="eastAsia" w:ascii="宋体" w:hAnsi="Times New Roman" w:eastAsia="宋体" w:cs="Times New Roman"/>
        </w:rPr>
      </w:pPr>
      <w:r>
        <w:rPr>
          <w:rFonts w:hint="eastAsia" w:ascii="宋体" w:hAnsi="Times New Roman" w:eastAsia="宋体" w:cs="Times New Roman"/>
          <w:color w:val="000000"/>
          <w:sz w:val="21"/>
          <w:szCs w:val="20"/>
        </w:rPr>
        <w:t>对职业病危害防护设施的防护参数进行检测。</w:t>
      </w:r>
    </w:p>
    <w:p w14:paraId="6A06A684">
      <w:pPr>
        <w:pStyle w:val="12"/>
        <w:spacing w:after="0" w:line="28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对职业病危害防护设施运行情况和防护参数进行调查和检测，以鉴定职业病危害防护设施的防护效率，</w:t>
      </w:r>
      <w:r>
        <w:rPr>
          <w:rFonts w:hint="eastAsia" w:ascii="宋体" w:hAnsi="Times New Roman" w:eastAsia="宋体" w:cs="Times New Roman"/>
          <w:color w:val="000000"/>
          <w:sz w:val="21"/>
          <w:szCs w:val="20"/>
          <w:lang w:eastAsia="zh-CN"/>
        </w:rPr>
        <w:t>并针对超标点</w:t>
      </w:r>
      <w:r>
        <w:rPr>
          <w:rFonts w:hint="eastAsia" w:ascii="宋体" w:hAnsi="Times New Roman" w:eastAsia="宋体" w:cs="Times New Roman"/>
          <w:color w:val="000000"/>
          <w:sz w:val="21"/>
          <w:szCs w:val="20"/>
        </w:rPr>
        <w:t>分析超标原因</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szCs w:val="20"/>
          <w:lang w:val="en-US" w:eastAsia="zh-CN"/>
        </w:rPr>
        <w:t>若条件不满足检测条件应当进行计算、分析与推演。</w:t>
      </w:r>
    </w:p>
    <w:p w14:paraId="78DC5B84">
      <w:pPr>
        <w:pStyle w:val="32"/>
        <w:keepNext w:val="0"/>
        <w:keepLines w:val="0"/>
        <w:pageBreakBefore w:val="0"/>
        <w:widowControl w:val="0"/>
        <w:numPr>
          <w:ilvl w:val="3"/>
          <w:numId w:val="0"/>
        </w:numPr>
        <w:kinsoku/>
        <w:wordWrap/>
        <w:overflowPunct/>
        <w:topLinePunct w:val="0"/>
        <w:autoSpaceDE/>
        <w:autoSpaceDN/>
        <w:bidi w:val="0"/>
        <w:adjustRightInd/>
        <w:snapToGrid/>
        <w:spacing w:beforeLines="50" w:after="0"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7.3.3 建筑设计卫生参数检测</w:t>
      </w:r>
    </w:p>
    <w:p w14:paraId="3CE26D56">
      <w:pPr>
        <w:pStyle w:val="12"/>
        <w:spacing w:before="152" w:after="0" w:line="244" w:lineRule="auto"/>
        <w:ind w:left="0" w:right="736" w:firstLineChars="200"/>
        <w:jc w:val="left"/>
        <w:rPr>
          <w:rFonts w:hint="eastAsia" w:ascii="宋体" w:hAnsi="Times New Roman" w:eastAsia="宋体" w:cs="Times New Roman"/>
          <w:sz w:val="21"/>
        </w:rPr>
      </w:pPr>
      <w:r>
        <w:rPr>
          <w:rFonts w:hint="eastAsia" w:ascii="宋体" w:hAnsi="Times New Roman" w:eastAsia="宋体" w:cs="Times New Roman"/>
          <w:color w:val="000000"/>
          <w:sz w:val="21"/>
          <w:szCs w:val="20"/>
        </w:rPr>
        <w:t>根据现行检测规范和方法，对</w:t>
      </w:r>
      <w:r>
        <w:rPr>
          <w:rFonts w:hint="eastAsia" w:ascii="宋体" w:hAnsi="Times New Roman" w:eastAsia="宋体" w:cs="Times New Roman"/>
          <w:spacing w:val="0"/>
          <w:sz w:val="21"/>
        </w:rPr>
        <w:t>对用人单位采暖、通风、空气调节、采光照明及微小气候等建筑</w:t>
      </w:r>
      <w:r>
        <w:rPr>
          <w:rFonts w:hint="eastAsia" w:ascii="宋体" w:hAnsi="Times New Roman" w:eastAsia="宋体" w:cs="Times New Roman"/>
          <w:sz w:val="21"/>
        </w:rPr>
        <w:t>卫生学指标开展检测，并对检测结果进行整理和分析。</w:t>
      </w:r>
    </w:p>
    <w:p w14:paraId="078A82EB">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7.4 职业健康检查法</w:t>
      </w:r>
    </w:p>
    <w:p w14:paraId="1DB79AB7">
      <w:pPr>
        <w:pStyle w:val="12"/>
        <w:spacing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按照国家职业健康监护相关规定、标准对调查收集的职业健康检查资料进行分析。</w:t>
      </w:r>
    </w:p>
    <w:p w14:paraId="05EECBA2">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主要分析职业健康检查单位资质、职业健康检查项目、应检人数、实检人数的符合性，追踪复查人员的复查结果及其处置情况，调查核实职业禁忌证及职业病人的治疗和处置情况等。</w:t>
      </w:r>
    </w:p>
    <w:p w14:paraId="423912BE">
      <w:pPr>
        <w:pStyle w:val="28"/>
        <w:numPr>
          <w:ilvl w:val="0"/>
          <w:numId w:val="0"/>
        </w:numPr>
        <w:spacing w:before="156" w:after="156" w:line="300" w:lineRule="exact"/>
        <w:jc w:val="left"/>
        <w:rPr>
          <w:rFonts w:hint="eastAsia" w:ascii="黑体" w:hAnsi="Times New Roman" w:cs="Times New Roman"/>
          <w:sz w:val="21"/>
          <w:szCs w:val="20"/>
        </w:rPr>
      </w:pPr>
      <w:r>
        <w:rPr>
          <w:rFonts w:hint="eastAsia" w:ascii="黑体" w:hAnsi="Times New Roman" w:eastAsia="黑体" w:cs="Times New Roman"/>
          <w:b w:val="0"/>
          <w:color w:val="000000"/>
          <w:sz w:val="21"/>
          <w:szCs w:val="20"/>
        </w:rPr>
        <w:t>7.5 检查表分析法</w:t>
      </w:r>
    </w:p>
    <w:p w14:paraId="0678AAB1">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依据国家有关职业卫生的规范性文件和标准（规范）等，列出检查单元、部位、项目、内容、要求等，编制成表，逐项检查符合情况，对评价用人单位的相关内容进行调查与评价。</w:t>
      </w:r>
    </w:p>
    <w:p w14:paraId="7251C0B2">
      <w:pPr>
        <w:pStyle w:val="28"/>
        <w:numPr>
          <w:ilvl w:val="0"/>
          <w:numId w:val="0"/>
        </w:numPr>
        <w:spacing w:before="156" w:after="156" w:line="300" w:lineRule="exact"/>
        <w:jc w:val="left"/>
        <w:rPr>
          <w:rFonts w:hint="eastAsia" w:ascii="黑体" w:hAnsi="Times New Roman" w:cs="Times New Roman"/>
          <w:sz w:val="21"/>
          <w:szCs w:val="20"/>
        </w:rPr>
      </w:pPr>
      <w:r>
        <w:rPr>
          <w:rFonts w:hint="eastAsia" w:ascii="黑体" w:hAnsi="Times New Roman" w:eastAsia="黑体" w:cs="Times New Roman"/>
          <w:b w:val="0"/>
          <w:color w:val="000000"/>
          <w:sz w:val="21"/>
          <w:szCs w:val="20"/>
        </w:rPr>
        <w:t>7.6 职业病危害作业分级法</w:t>
      </w:r>
    </w:p>
    <w:p w14:paraId="2E5D13BD">
      <w:pPr>
        <w:pStyle w:val="12"/>
        <w:spacing w:after="28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根据作业场所职业病危害因素的检测结果，按照国家有关职业病危害作业分级标准对不同职业病危害作业的危害程度进行分级。</w:t>
      </w:r>
    </w:p>
    <w:p w14:paraId="568B8DA3">
      <w:pPr>
        <w:pStyle w:val="25"/>
        <w:keepNext w:val="0"/>
        <w:keepLines w:val="0"/>
        <w:pageBreakBefore w:val="0"/>
        <w:widowControl w:val="0"/>
        <w:numPr>
          <w:ilvl w:val="1"/>
          <w:numId w:val="0"/>
        </w:numPr>
        <w:kinsoku/>
        <w:wordWrap/>
        <w:overflowPunct/>
        <w:topLinePunct w:val="0"/>
        <w:autoSpaceDE/>
        <w:autoSpaceDN/>
        <w:bidi w:val="0"/>
        <w:adjustRightInd/>
        <w:snapToGrid/>
        <w:spacing w:before="312" w:beforeLines="50" w:after="312" w:afterLines="50" w:line="240" w:lineRule="auto"/>
        <w:jc w:val="left"/>
        <w:textAlignment w:val="auto"/>
        <w:rPr>
          <w:rFonts w:hint="eastAsia" w:ascii="黑体" w:hAnsi="Times New Roman" w:eastAsia="黑体" w:cs="Times New Roman"/>
          <w:b w:val="0"/>
          <w:color w:val="000000"/>
          <w:kern w:val="2"/>
          <w:sz w:val="21"/>
          <w:szCs w:val="21"/>
        </w:rPr>
      </w:pPr>
      <w:r>
        <w:rPr>
          <w:rFonts w:hint="eastAsia" w:ascii="黑体" w:hAnsi="Times New Roman" w:eastAsia="黑体" w:cs="Times New Roman"/>
          <w:b w:val="0"/>
          <w:color w:val="000000"/>
          <w:kern w:val="2"/>
          <w:sz w:val="21"/>
          <w:szCs w:val="21"/>
        </w:rPr>
        <w:t>8 评价程序</w:t>
      </w:r>
    </w:p>
    <w:p w14:paraId="4851E121">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8.1 准备阶段</w:t>
      </w:r>
    </w:p>
    <w:p w14:paraId="675370BB">
      <w:pPr>
        <w:pStyle w:val="32"/>
        <w:numPr>
          <w:ilvl w:val="3"/>
          <w:numId w:val="0"/>
        </w:numPr>
        <w:spacing w:line="30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8.1.1</w:t>
      </w:r>
      <w:r>
        <w:rPr>
          <w:rFonts w:hint="eastAsia" w:ascii="宋体" w:hAnsi="宋体" w:eastAsia="宋体" w:cs="宋体"/>
          <w:color w:val="000000"/>
          <w:sz w:val="21"/>
          <w:szCs w:val="20"/>
        </w:rPr>
        <w:t xml:space="preserve"> 接受用人单位委托、签订评价工作合同。</w:t>
      </w:r>
    </w:p>
    <w:p w14:paraId="311A1E23">
      <w:pPr>
        <w:pStyle w:val="32"/>
        <w:numPr>
          <w:ilvl w:val="3"/>
          <w:numId w:val="0"/>
        </w:numPr>
        <w:spacing w:line="30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8.1.2 </w:t>
      </w:r>
      <w:r>
        <w:rPr>
          <w:rFonts w:hint="eastAsia" w:ascii="宋体" w:hAnsi="宋体" w:eastAsia="宋体" w:cs="宋体"/>
          <w:color w:val="000000"/>
          <w:sz w:val="21"/>
          <w:szCs w:val="20"/>
        </w:rPr>
        <w:t>收集评价所需的相关资料并查阅相关文献资料。现状评价应收集的主要资料参见附录A</w:t>
      </w:r>
      <w:r>
        <w:rPr>
          <w:rFonts w:hint="eastAsia" w:ascii="黑体" w:hAnsi="Times New Roman" w:eastAsia="黑体" w:cs="Times New Roman"/>
          <w:color w:val="000000"/>
          <w:sz w:val="21"/>
          <w:szCs w:val="20"/>
        </w:rPr>
        <w:t>。</w:t>
      </w:r>
    </w:p>
    <w:p w14:paraId="40B89F30">
      <w:pPr>
        <w:pStyle w:val="32"/>
        <w:numPr>
          <w:ilvl w:val="3"/>
          <w:numId w:val="0"/>
        </w:numPr>
        <w:spacing w:line="30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8.1.3 </w:t>
      </w:r>
      <w:r>
        <w:rPr>
          <w:rFonts w:hint="eastAsia" w:ascii="宋体" w:hAnsi="宋体" w:eastAsia="宋体" w:cs="宋体"/>
          <w:color w:val="000000"/>
          <w:sz w:val="21"/>
          <w:szCs w:val="20"/>
        </w:rPr>
        <w:t>开展初步现场调查</w:t>
      </w:r>
      <w:r>
        <w:rPr>
          <w:rFonts w:hint="eastAsia" w:ascii="黑体" w:hAnsi="Times New Roman" w:eastAsia="黑体" w:cs="Times New Roman"/>
          <w:color w:val="000000"/>
          <w:sz w:val="21"/>
          <w:szCs w:val="20"/>
        </w:rPr>
        <w:t>。</w:t>
      </w:r>
    </w:p>
    <w:p w14:paraId="51E5D2D5">
      <w:pPr>
        <w:pStyle w:val="32"/>
        <w:numPr>
          <w:ilvl w:val="3"/>
          <w:numId w:val="0"/>
        </w:numPr>
        <w:spacing w:line="28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8.1.4</w:t>
      </w:r>
      <w:r>
        <w:rPr>
          <w:rFonts w:hint="eastAsia" w:ascii="宋体" w:hAnsi="宋体" w:eastAsia="宋体" w:cs="宋体"/>
          <w:color w:val="000000"/>
          <w:sz w:val="21"/>
          <w:szCs w:val="20"/>
        </w:rPr>
        <w:t xml:space="preserve"> 编制评价方案并对方案进行技术审核。</w:t>
      </w:r>
    </w:p>
    <w:p w14:paraId="18F33734">
      <w:pPr>
        <w:pStyle w:val="32"/>
        <w:numPr>
          <w:ilvl w:val="3"/>
          <w:numId w:val="0"/>
        </w:numPr>
        <w:spacing w:after="120" w:line="30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8.1.5 </w:t>
      </w:r>
      <w:r>
        <w:rPr>
          <w:rFonts w:hint="eastAsia" w:ascii="宋体" w:hAnsi="宋体" w:eastAsia="宋体" w:cs="宋体"/>
          <w:color w:val="000000"/>
          <w:sz w:val="21"/>
          <w:szCs w:val="20"/>
        </w:rPr>
        <w:t>确定质量控制措施及要点。</w:t>
      </w:r>
    </w:p>
    <w:p w14:paraId="0F86C81D">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8.2 实施阶段</w:t>
      </w:r>
    </w:p>
    <w:p w14:paraId="268B4DCB">
      <w:pPr>
        <w:pStyle w:val="32"/>
        <w:numPr>
          <w:ilvl w:val="3"/>
          <w:numId w:val="0"/>
        </w:numPr>
        <w:spacing w:line="38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8.2.1 </w:t>
      </w:r>
      <w:r>
        <w:rPr>
          <w:rFonts w:hint="eastAsia" w:ascii="宋体" w:hAnsi="宋体" w:eastAsia="宋体" w:cs="宋体"/>
          <w:color w:val="000000"/>
          <w:sz w:val="21"/>
          <w:szCs w:val="20"/>
        </w:rPr>
        <w:t>依据评价方案</w:t>
      </w:r>
      <w:r>
        <w:rPr>
          <w:rFonts w:hint="eastAsia" w:ascii="宋体" w:hAnsi="宋体" w:eastAsia="宋体" w:cs="宋体"/>
          <w:color w:val="000000"/>
          <w:sz w:val="21"/>
          <w:szCs w:val="20"/>
          <w:lang w:eastAsia="zh-CN"/>
        </w:rPr>
        <w:t>开展</w:t>
      </w:r>
      <w:r>
        <w:rPr>
          <w:rFonts w:hint="eastAsia" w:ascii="宋体" w:hAnsi="宋体" w:eastAsia="宋体" w:cs="宋体"/>
          <w:color w:val="000000"/>
          <w:sz w:val="21"/>
          <w:szCs w:val="20"/>
        </w:rPr>
        <w:t>职业</w:t>
      </w:r>
      <w:r>
        <w:rPr>
          <w:rFonts w:hint="eastAsia" w:ascii="宋体" w:hAnsi="宋体" w:eastAsia="宋体" w:cs="宋体"/>
          <w:color w:val="000000"/>
          <w:sz w:val="21"/>
          <w:szCs w:val="20"/>
          <w:lang w:eastAsia="zh-CN"/>
        </w:rPr>
        <w:t>卫生</w:t>
      </w:r>
      <w:r>
        <w:rPr>
          <w:rFonts w:hint="eastAsia" w:ascii="宋体" w:hAnsi="宋体" w:eastAsia="宋体" w:cs="宋体"/>
          <w:color w:val="000000"/>
          <w:sz w:val="21"/>
          <w:szCs w:val="20"/>
        </w:rPr>
        <w:t>现场调查</w:t>
      </w:r>
      <w:r>
        <w:rPr>
          <w:rFonts w:hint="eastAsia" w:ascii="宋体" w:hAnsi="宋体" w:eastAsia="宋体" w:cs="宋体"/>
          <w:color w:val="000000"/>
          <w:sz w:val="21"/>
          <w:szCs w:val="20"/>
          <w:lang w:eastAsia="zh-CN"/>
        </w:rPr>
        <w:t>。</w:t>
      </w:r>
    </w:p>
    <w:p w14:paraId="248F0E8B">
      <w:pPr>
        <w:pStyle w:val="32"/>
        <w:numPr>
          <w:ilvl w:val="3"/>
          <w:numId w:val="0"/>
        </w:numPr>
        <w:spacing w:line="300" w:lineRule="exact"/>
        <w:jc w:val="left"/>
        <w:rPr>
          <w:rFonts w:hint="eastAsia" w:ascii="黑体" w:hAnsi="Times New Roman" w:eastAsia="黑体" w:cs="Times New Roman"/>
          <w:sz w:val="21"/>
          <w:szCs w:val="20"/>
          <w:lang w:eastAsia="zh-CN"/>
        </w:rPr>
      </w:pPr>
      <w:r>
        <w:rPr>
          <w:rFonts w:hint="eastAsia" w:ascii="黑体" w:hAnsi="Times New Roman" w:eastAsia="黑体" w:cs="Times New Roman"/>
          <w:color w:val="000000"/>
          <w:sz w:val="21"/>
          <w:szCs w:val="20"/>
        </w:rPr>
        <w:t xml:space="preserve">8.2.2 </w:t>
      </w:r>
      <w:r>
        <w:rPr>
          <w:rFonts w:hint="eastAsia" w:ascii="宋体" w:hAnsi="宋体" w:eastAsia="宋体" w:cs="宋体"/>
          <w:color w:val="000000"/>
          <w:sz w:val="21"/>
          <w:szCs w:val="20"/>
        </w:rPr>
        <w:t>现场职业病防护设施调查与分析使用</w:t>
      </w:r>
      <w:r>
        <w:rPr>
          <w:rFonts w:hint="eastAsia" w:ascii="宋体" w:hAnsi="宋体" w:eastAsia="宋体" w:cs="宋体"/>
          <w:color w:val="000000"/>
          <w:sz w:val="21"/>
          <w:szCs w:val="20"/>
          <w:lang w:eastAsia="zh-CN"/>
        </w:rPr>
        <w:t>。</w:t>
      </w:r>
    </w:p>
    <w:p w14:paraId="4085583B">
      <w:pPr>
        <w:pStyle w:val="32"/>
        <w:numPr>
          <w:ilvl w:val="3"/>
          <w:numId w:val="0"/>
        </w:numPr>
        <w:spacing w:line="280" w:lineRule="exac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8.2.3 </w:t>
      </w:r>
      <w:r>
        <w:rPr>
          <w:rFonts w:hint="eastAsia" w:ascii="宋体" w:hAnsi="宋体" w:eastAsia="宋体" w:cs="宋体"/>
          <w:color w:val="000000"/>
          <w:sz w:val="21"/>
          <w:szCs w:val="20"/>
        </w:rPr>
        <w:t>现场职业</w:t>
      </w:r>
      <w:r>
        <w:rPr>
          <w:rFonts w:hint="eastAsia" w:ascii="宋体" w:hAnsi="宋体" w:eastAsia="宋体" w:cs="宋体"/>
          <w:color w:val="000000"/>
          <w:sz w:val="21"/>
          <w:szCs w:val="20"/>
          <w:lang w:eastAsia="zh-CN"/>
        </w:rPr>
        <w:t>卫生</w:t>
      </w:r>
      <w:r>
        <w:rPr>
          <w:rFonts w:hint="eastAsia" w:ascii="宋体" w:hAnsi="宋体" w:eastAsia="宋体" w:cs="宋体"/>
          <w:color w:val="000000"/>
          <w:sz w:val="21"/>
          <w:szCs w:val="20"/>
        </w:rPr>
        <w:t>检测（职业病危害因素检测、职业病危害防护设施参数检测、建筑设计卫生参数检测）与分析。</w:t>
      </w:r>
    </w:p>
    <w:p w14:paraId="1B614A44">
      <w:pPr>
        <w:pStyle w:val="32"/>
        <w:numPr>
          <w:ilvl w:val="3"/>
          <w:numId w:val="0"/>
        </w:numPr>
        <w:spacing w:line="30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8.2.4 </w:t>
      </w:r>
      <w:r>
        <w:rPr>
          <w:rFonts w:hint="eastAsia" w:ascii="宋体" w:hAnsi="宋体" w:eastAsia="宋体" w:cs="宋体"/>
          <w:color w:val="000000"/>
          <w:sz w:val="21"/>
          <w:szCs w:val="20"/>
        </w:rPr>
        <w:t>职业健康监护、职业</w:t>
      </w:r>
      <w:r>
        <w:rPr>
          <w:rFonts w:hint="eastAsia" w:ascii="宋体" w:hAnsi="宋体" w:eastAsia="宋体" w:cs="宋体"/>
          <w:color w:val="000000"/>
          <w:sz w:val="21"/>
          <w:szCs w:val="20"/>
          <w:lang w:eastAsia="zh-CN"/>
        </w:rPr>
        <w:t>卫生</w:t>
      </w:r>
      <w:r>
        <w:rPr>
          <w:rFonts w:hint="eastAsia" w:ascii="宋体" w:hAnsi="宋体" w:eastAsia="宋体" w:cs="宋体"/>
          <w:color w:val="000000"/>
          <w:sz w:val="21"/>
          <w:szCs w:val="20"/>
        </w:rPr>
        <w:t>管理措施及其落实情况调查与分析。</w:t>
      </w:r>
    </w:p>
    <w:p w14:paraId="32BC738F">
      <w:pPr>
        <w:pStyle w:val="32"/>
        <w:numPr>
          <w:ilvl w:val="3"/>
          <w:numId w:val="0"/>
        </w:numPr>
        <w:spacing w:after="120" w:line="28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8.2.5 </w:t>
      </w:r>
      <w:r>
        <w:rPr>
          <w:rFonts w:hint="eastAsia" w:ascii="宋体" w:hAnsi="宋体" w:eastAsia="宋体" w:cs="宋体"/>
          <w:color w:val="000000"/>
          <w:sz w:val="21"/>
          <w:szCs w:val="20"/>
        </w:rPr>
        <w:t>对其他评价内容进行分析。</w:t>
      </w:r>
    </w:p>
    <w:p w14:paraId="008498A6">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8.3 报告编制及评审阶段</w:t>
      </w:r>
    </w:p>
    <w:p w14:paraId="6EDD3133">
      <w:pPr>
        <w:pStyle w:val="32"/>
        <w:numPr>
          <w:ilvl w:val="3"/>
          <w:numId w:val="0"/>
        </w:numPr>
        <w:spacing w:line="300" w:lineRule="exac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8.3.1 </w:t>
      </w:r>
      <w:r>
        <w:rPr>
          <w:rFonts w:hint="eastAsia" w:ascii="宋体" w:hAnsi="宋体" w:eastAsia="宋体" w:cs="宋体"/>
          <w:color w:val="000000"/>
          <w:sz w:val="21"/>
          <w:szCs w:val="20"/>
        </w:rPr>
        <w:t>分析、整理所得的资料、数据，并依据规范性文件、标准（规范）对其进行分析评价，得出评价结论，提出针对性的防护对策和建议。</w:t>
      </w:r>
    </w:p>
    <w:p w14:paraId="0BCFEBDA">
      <w:pPr>
        <w:pStyle w:val="32"/>
        <w:numPr>
          <w:ilvl w:val="3"/>
          <w:numId w:val="0"/>
        </w:numPr>
        <w:spacing w:line="300" w:lineRule="exact"/>
        <w:jc w:val="left"/>
        <w:rPr>
          <w:rFonts w:hint="eastAsia" w:ascii="黑体" w:hAnsi="Times New Roman" w:eastAsia="黑体" w:cs="Times New Roman"/>
          <w:sz w:val="21"/>
          <w:szCs w:val="20"/>
        </w:rPr>
      </w:pPr>
      <w:r>
        <w:rPr>
          <w:rFonts w:hint="eastAsia" w:ascii="黑体" w:hAnsi="Times New Roman" w:eastAsia="黑体" w:cs="Times New Roman"/>
          <w:color w:val="000000"/>
          <w:sz w:val="21"/>
          <w:szCs w:val="20"/>
        </w:rPr>
        <w:t xml:space="preserve">8.3.2 </w:t>
      </w:r>
      <w:r>
        <w:rPr>
          <w:rFonts w:hint="eastAsia" w:ascii="宋体" w:hAnsi="宋体" w:eastAsia="宋体" w:cs="宋体"/>
          <w:color w:val="000000"/>
          <w:sz w:val="21"/>
          <w:szCs w:val="20"/>
        </w:rPr>
        <w:t>完成评价报告的编制。</w:t>
      </w:r>
    </w:p>
    <w:p w14:paraId="37EDE16C">
      <w:pPr>
        <w:pStyle w:val="32"/>
        <w:numPr>
          <w:ilvl w:val="3"/>
          <w:numId w:val="0"/>
        </w:numPr>
        <w:rPr>
          <w:rFonts w:hint="eastAsia" w:ascii="黑体" w:hAnsi="Times New Roman" w:eastAsia="黑体" w:cs="Times New Roman"/>
        </w:rPr>
      </w:pPr>
      <w:r>
        <w:rPr>
          <w:rFonts w:hint="eastAsia" w:ascii="黑体" w:hAnsi="Times New Roman" w:eastAsia="黑体" w:cs="Times New Roman"/>
          <w:color w:val="000000"/>
          <w:sz w:val="21"/>
          <w:szCs w:val="20"/>
        </w:rPr>
        <w:t>8.3.</w:t>
      </w:r>
      <w:r>
        <w:rPr>
          <w:rFonts w:hint="eastAsia" w:ascii="黑体" w:hAnsi="Times New Roman" w:eastAsia="黑体" w:cs="Times New Roman"/>
          <w:color w:val="000000"/>
          <w:sz w:val="21"/>
          <w:szCs w:val="20"/>
          <w:highlight w:val="none"/>
        </w:rPr>
        <w:t xml:space="preserve">3 </w:t>
      </w:r>
      <w:r>
        <w:rPr>
          <w:rFonts w:hint="eastAsia" w:ascii="宋体" w:hAnsi="宋体" w:eastAsia="宋体" w:cs="宋体"/>
          <w:color w:val="000000"/>
          <w:sz w:val="21"/>
          <w:szCs w:val="20"/>
          <w:highlight w:val="none"/>
        </w:rPr>
        <w:t>对评价报告进行评审，按照评审意见修改，完成正式报告。</w:t>
      </w:r>
    </w:p>
    <w:p w14:paraId="6882EF20">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8.4 现状评价工作程序</w:t>
      </w:r>
    </w:p>
    <w:p w14:paraId="755C13FB">
      <w:pPr>
        <w:pStyle w:val="12"/>
        <w:spacing w:after="120"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现状评价工作程序参见附录B。</w:t>
      </w:r>
    </w:p>
    <w:p w14:paraId="27495B32">
      <w:pPr>
        <w:pStyle w:val="25"/>
        <w:keepNext w:val="0"/>
        <w:keepLines w:val="0"/>
        <w:pageBreakBefore w:val="0"/>
        <w:widowControl w:val="0"/>
        <w:numPr>
          <w:ilvl w:val="1"/>
          <w:numId w:val="0"/>
        </w:numPr>
        <w:kinsoku/>
        <w:wordWrap/>
        <w:overflowPunct/>
        <w:topLinePunct w:val="0"/>
        <w:autoSpaceDE/>
        <w:autoSpaceDN/>
        <w:bidi w:val="0"/>
        <w:adjustRightInd/>
        <w:snapToGrid/>
        <w:spacing w:before="312" w:beforeLines="50" w:after="312" w:afterLines="50" w:line="240" w:lineRule="auto"/>
        <w:jc w:val="left"/>
        <w:textAlignment w:val="auto"/>
        <w:rPr>
          <w:rFonts w:hint="eastAsia" w:ascii="黑体" w:hAnsi="Times New Roman" w:eastAsia="黑体" w:cs="Times New Roman"/>
          <w:b w:val="0"/>
          <w:color w:val="000000"/>
          <w:kern w:val="2"/>
          <w:sz w:val="21"/>
          <w:szCs w:val="21"/>
        </w:rPr>
      </w:pPr>
      <w:r>
        <w:rPr>
          <w:rFonts w:hint="eastAsia" w:ascii="黑体" w:hAnsi="Times New Roman" w:eastAsia="黑体" w:cs="Times New Roman"/>
          <w:b w:val="0"/>
          <w:color w:val="000000"/>
          <w:kern w:val="2"/>
          <w:sz w:val="21"/>
          <w:szCs w:val="21"/>
        </w:rPr>
        <w:t>9 现状评价方案编制</w:t>
      </w:r>
    </w:p>
    <w:p w14:paraId="5A7CC01B">
      <w:pPr>
        <w:pStyle w:val="28"/>
        <w:numPr>
          <w:ilvl w:val="0"/>
          <w:numId w:val="0"/>
        </w:numPr>
        <w:spacing w:before="156" w:after="156" w:line="280" w:lineRule="exact"/>
        <w:jc w:val="left"/>
        <w:rPr>
          <w:rFonts w:hint="eastAsia" w:ascii="黑体" w:hAnsi="Times New Roman" w:eastAsia="黑体" w:cs="Times New Roman"/>
          <w:sz w:val="21"/>
          <w:szCs w:val="20"/>
        </w:rPr>
      </w:pPr>
      <w:r>
        <w:rPr>
          <w:rFonts w:hint="eastAsia" w:ascii="黑体" w:hAnsi="Times New Roman" w:eastAsia="黑体" w:cs="Times New Roman"/>
          <w:b w:val="0"/>
          <w:color w:val="000000"/>
          <w:sz w:val="21"/>
          <w:szCs w:val="20"/>
        </w:rPr>
        <w:t>9.1 评价方案</w:t>
      </w:r>
    </w:p>
    <w:p w14:paraId="6CF09748">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是具体指导现状评价的技术文件。应以科学性、实用性、针对性为原则，概述用人单位的职业健康现状特征，明确评价范围、内容、方法及质量控制措施，并编制组织实施计划。</w:t>
      </w:r>
    </w:p>
    <w:p w14:paraId="3A23047F">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9.2 评价方案步骤</w:t>
      </w:r>
    </w:p>
    <w:p w14:paraId="6B163101">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应在充分研读有关资料和初步现场调查后编制。</w:t>
      </w:r>
    </w:p>
    <w:p w14:paraId="3617BAC5">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9.3 评价方案内容</w:t>
      </w:r>
    </w:p>
    <w:p w14:paraId="7422794C">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32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9.3.1 概述</w:t>
      </w:r>
    </w:p>
    <w:p w14:paraId="656F49E1">
      <w:pPr>
        <w:pStyle w:val="12"/>
        <w:spacing w:after="120" w:line="300" w:lineRule="exact"/>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简述用人单位背景、评价任务由来、评价目的等。</w:t>
      </w:r>
    </w:p>
    <w:p w14:paraId="0922D3B2">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32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9.3.2 编制目的及依据</w:t>
      </w:r>
    </w:p>
    <w:p w14:paraId="67520578">
      <w:pPr>
        <w:pStyle w:val="12"/>
        <w:spacing w:after="6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列出适用于评价的规范性文件、标准（规范）、前（历）次职业病危害评价报告、行政主管部门曾经依法作出的对用人单位各个装置（项目）在可行性研究阶段、设计阶段</w:t>
      </w:r>
      <w:r>
        <w:rPr>
          <w:rFonts w:hint="eastAsia" w:ascii="宋体" w:hAnsi="Times New Roman" w:eastAsia="宋体" w:cs="Times New Roman"/>
          <w:color w:val="000000"/>
          <w:sz w:val="21"/>
          <w:szCs w:val="20"/>
          <w:lang w:eastAsia="zh-CN"/>
        </w:rPr>
        <w:t>及</w:t>
      </w:r>
      <w:r>
        <w:rPr>
          <w:rFonts w:hint="eastAsia" w:ascii="宋体" w:hAnsi="Times New Roman" w:eastAsia="宋体" w:cs="Times New Roman"/>
          <w:color w:val="000000"/>
          <w:sz w:val="21"/>
          <w:szCs w:val="20"/>
        </w:rPr>
        <w:t>竣工验收阶段的审查意见等。</w:t>
      </w:r>
    </w:p>
    <w:p w14:paraId="2BEADC70">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32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9.3.3 评价方法、范围及内容</w:t>
      </w:r>
    </w:p>
    <w:p w14:paraId="48589CDC">
      <w:pPr>
        <w:pStyle w:val="12"/>
        <w:spacing w:after="120" w:line="300" w:lineRule="exact"/>
        <w:ind w:firstLineChars="20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根据用人单位的特点，确定评价范围、评价单元、评价内容和评价方法。</w:t>
      </w:r>
    </w:p>
    <w:p w14:paraId="14F8993D">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32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9.3.4 职业健康现场调查内容</w:t>
      </w:r>
    </w:p>
    <w:p w14:paraId="19A2C6CC">
      <w:pPr>
        <w:pStyle w:val="12"/>
        <w:spacing w:line="300" w:lineRule="exact"/>
        <w:ind w:firstLineChars="200"/>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在了解用人单位生产运行情况和分析有关资料的基础上，开展职业健康现场调查。</w:t>
      </w:r>
    </w:p>
    <w:p w14:paraId="0AD83995">
      <w:pPr>
        <w:pStyle w:val="12"/>
        <w:rPr>
          <w:rFonts w:hint="eastAsia" w:ascii="宋体" w:hAnsi="Times New Roman" w:eastAsia="宋体" w:cs="Times New Roman"/>
        </w:rPr>
      </w:pPr>
      <w:r>
        <w:rPr>
          <w:rFonts w:hint="eastAsia" w:ascii="宋体" w:hAnsi="Times New Roman" w:eastAsia="宋体" w:cs="Times New Roman"/>
          <w:color w:val="000000"/>
          <w:sz w:val="21"/>
          <w:szCs w:val="20"/>
        </w:rPr>
        <w:t>现场调查的内容包括：用人单位概况、现时运行情况、总体布局、建筑卫生学、生产工艺、生产设备及布局、生产过程中的原辅材料、中间品及产品、职业病危害因素以及时空分布、作业方式及接触水平、职业病危害防护设施及其运行情况、个人防护用品、辅助用室、应急救援设施、职业健康管理制度及其落实情况、近3年职业病危害因素检测与健康监护结果分析情况等。</w:t>
      </w:r>
    </w:p>
    <w:p w14:paraId="79AC4416">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32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9.3.5 检测方案</w:t>
      </w:r>
    </w:p>
    <w:p w14:paraId="49246535">
      <w:pPr>
        <w:pStyle w:val="12"/>
        <w:spacing w:line="300" w:lineRule="exact"/>
        <w:ind w:firstLineChars="2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依据现场职业健康调查和 GBZ 159、GBZ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160、GBZ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189、GBZ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192、GB 18871、GBZ/T 300  制定检测方案，方案包括：</w:t>
      </w:r>
    </w:p>
    <w:p w14:paraId="784D591A">
      <w:pPr>
        <w:pStyle w:val="12"/>
        <w:spacing w:line="360" w:lineRule="auto"/>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检测评价单元（或岗位）确定、职业病危害因素类别、检测方法、检测地点、检测时段、采样对象和样品数量等；</w:t>
      </w:r>
    </w:p>
    <w:p w14:paraId="624EFC33">
      <w:pPr>
        <w:pStyle w:val="12"/>
        <w:spacing w:line="360" w:lineRule="auto"/>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确定所需检测的职业病防护设施及其检测的项目、方法等；</w:t>
      </w:r>
    </w:p>
    <w:p w14:paraId="6733F89D">
      <w:pPr>
        <w:pStyle w:val="12"/>
        <w:spacing w:line="360" w:lineRule="auto"/>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确定建筑设计卫生学检测的项目、方法、仪器、条件、频次、检测地点等内容。</w:t>
      </w:r>
    </w:p>
    <w:p w14:paraId="7A2883EE">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32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9.3.6 组织计划</w:t>
      </w:r>
    </w:p>
    <w:p w14:paraId="23B3DEB8">
      <w:pPr>
        <w:pStyle w:val="12"/>
        <w:spacing w:line="320" w:lineRule="exact"/>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主要包括评价程序、质量控制措施、工作进度、人员组成与分工、仪器及车辆准备、经费概算等。</w:t>
      </w:r>
    </w:p>
    <w:p w14:paraId="133B979F">
      <w:pPr>
        <w:pStyle w:val="25"/>
        <w:keepNext w:val="0"/>
        <w:keepLines w:val="0"/>
        <w:pageBreakBefore w:val="0"/>
        <w:widowControl w:val="0"/>
        <w:numPr>
          <w:ilvl w:val="1"/>
          <w:numId w:val="0"/>
        </w:numPr>
        <w:kinsoku/>
        <w:wordWrap/>
        <w:overflowPunct/>
        <w:topLinePunct w:val="0"/>
        <w:autoSpaceDE/>
        <w:autoSpaceDN/>
        <w:bidi w:val="0"/>
        <w:adjustRightInd/>
        <w:snapToGrid/>
        <w:spacing w:before="312" w:beforeLines="50" w:after="312" w:line="240" w:lineRule="auto"/>
        <w:jc w:val="left"/>
        <w:textAlignment w:val="auto"/>
        <w:rPr>
          <w:rFonts w:hint="eastAsia" w:ascii="黑体" w:hAnsi="Times New Roman" w:eastAsia="黑体" w:cs="Times New Roman"/>
          <w:b w:val="0"/>
          <w:color w:val="000000"/>
          <w:kern w:val="2"/>
          <w:sz w:val="21"/>
          <w:szCs w:val="21"/>
        </w:rPr>
      </w:pPr>
      <w:r>
        <w:rPr>
          <w:rFonts w:hint="eastAsia" w:ascii="黑体" w:hAnsi="Times New Roman" w:eastAsia="黑体" w:cs="Times New Roman"/>
          <w:b w:val="0"/>
          <w:color w:val="000000"/>
          <w:kern w:val="2"/>
          <w:sz w:val="21"/>
          <w:szCs w:val="21"/>
        </w:rPr>
        <w:t>10 评价报告编制</w:t>
      </w:r>
    </w:p>
    <w:p w14:paraId="1E948E48">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line="32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10.1 总体要求</w:t>
      </w:r>
    </w:p>
    <w:p w14:paraId="0191D651">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现状评价报告应全面、概括地反映评价的内容，文字表述应简洁、用语应规范、结论应明确，需以数字、图表、照片表达的内容，应尽可能采用数字、图表、照片，以利于阅读和审查。</w:t>
      </w:r>
    </w:p>
    <w:p w14:paraId="2498642E">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原始资料及数据计算过程等不必在评价报告中列出，必要时可编入附件。评价报告主要由10.2至10.14 章节和内容组成。</w:t>
      </w:r>
    </w:p>
    <w:p w14:paraId="0FA9F4EE">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10.2 总论</w:t>
      </w:r>
    </w:p>
    <w:p w14:paraId="466DB8DE">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10.2.1 用人单位概况</w:t>
      </w:r>
    </w:p>
    <w:p w14:paraId="4102680E">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主要包括用人单位的名称、地点、成立时间、登记注册类型、机构代码、涉及的建设项目名称及规模、行业分类、行业代码、产品及其产量、员工人数及其生产班制、建筑物情况，简要描述用人单位投产运行时间、生产运行状况等基本情况以及评价任务由来等内容。</w:t>
      </w:r>
    </w:p>
    <w:p w14:paraId="1BABAC7F">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用人单位的劳动定员和生产班制应列表详述。</w:t>
      </w:r>
    </w:p>
    <w:p w14:paraId="34110B95">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10.2.2 评价目的</w:t>
      </w:r>
    </w:p>
    <w:p w14:paraId="57FB8B6C">
      <w:pPr>
        <w:pStyle w:val="12"/>
        <w:spacing w:after="140" w:line="26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参照本标准条款4.1的规定编制，可以根据实际情况个性化描述。</w:t>
      </w:r>
    </w:p>
    <w:p w14:paraId="0B604FA8">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10.2.3 评价依据</w:t>
      </w:r>
    </w:p>
    <w:p w14:paraId="62D3AE56">
      <w:pPr>
        <w:pStyle w:val="12"/>
        <w:spacing w:after="140" w:line="26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列出评价项目引用的</w:t>
      </w:r>
      <w:r>
        <w:rPr>
          <w:rFonts w:hint="eastAsia" w:ascii="宋体" w:hAnsi="Times New Roman" w:eastAsia="宋体" w:cs="Times New Roman"/>
          <w:szCs w:val="20"/>
          <w:lang w:val="en-US" w:eastAsia="zh-CN"/>
        </w:rPr>
        <w:t>法律、法规、规章、</w:t>
      </w:r>
      <w:r>
        <w:rPr>
          <w:rFonts w:hint="eastAsia" w:ascii="宋体" w:hAnsi="Times New Roman" w:eastAsia="宋体" w:cs="Times New Roman"/>
          <w:color w:val="000000"/>
          <w:sz w:val="21"/>
          <w:szCs w:val="20"/>
        </w:rPr>
        <w:t>规范性文件；标准（规范）；基础技术资料等的名称。</w:t>
      </w:r>
    </w:p>
    <w:p w14:paraId="40318FDC">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10.2.4 评价范围</w:t>
      </w:r>
    </w:p>
    <w:p w14:paraId="16018766">
      <w:pPr>
        <w:pStyle w:val="12"/>
        <w:spacing w:after="140" w:line="26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根据评价项目的实际情况，按照本标准条款6.1的规定编制。</w:t>
      </w:r>
    </w:p>
    <w:p w14:paraId="79755C1D">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10.2.5 评价内容</w:t>
      </w:r>
    </w:p>
    <w:p w14:paraId="26C8A087">
      <w:pPr>
        <w:pStyle w:val="12"/>
        <w:spacing w:after="140" w:line="260" w:lineRule="exact"/>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概述本标准条款6.2的规定。</w:t>
      </w:r>
    </w:p>
    <w:p w14:paraId="3D7A2A60">
      <w:pPr>
        <w:pStyle w:val="32"/>
        <w:numPr>
          <w:ilvl w:val="3"/>
          <w:numId w:val="0"/>
        </w:numPr>
        <w:spacing w:beforeLines="50" w:after="120" w:line="240" w:lineRule="auto"/>
        <w:jc w:val="left"/>
        <w:rPr>
          <w:rFonts w:hint="eastAsia" w:ascii="黑体" w:hAnsi="Times New Roman" w:eastAsia="黑体" w:cs="Times New Roman"/>
          <w:b w:val="0"/>
          <w:color w:val="000000"/>
          <w:sz w:val="21"/>
          <w:szCs w:val="20"/>
          <w:lang w:val="en-US" w:eastAsia="zh-CN"/>
        </w:rPr>
      </w:pPr>
      <w:r>
        <w:rPr>
          <w:rFonts w:hint="eastAsia" w:ascii="黑体" w:hAnsi="Times New Roman" w:eastAsia="黑体" w:cs="Times New Roman"/>
          <w:b w:val="0"/>
          <w:color w:val="000000"/>
          <w:sz w:val="21"/>
          <w:szCs w:val="20"/>
          <w:lang w:val="en-US" w:eastAsia="zh-CN"/>
        </w:rPr>
        <w:t>10.2.6 评价单元</w:t>
      </w:r>
    </w:p>
    <w:p w14:paraId="29E846CE">
      <w:pPr>
        <w:pStyle w:val="12"/>
        <w:spacing w:after="140" w:line="260" w:lineRule="exact"/>
        <w:jc w:val="left"/>
        <w:rPr>
          <w:rFonts w:hint="eastAsia" w:ascii="宋体" w:hAnsi="Times New Roman" w:eastAsia="宋体" w:cs="Times New Roman"/>
          <w:color w:val="000000"/>
          <w:sz w:val="21"/>
          <w:szCs w:val="20"/>
          <w:lang w:val="en-US" w:eastAsia="zh-CN"/>
        </w:rPr>
      </w:pPr>
      <w:r>
        <w:rPr>
          <w:rFonts w:hint="eastAsia" w:ascii="宋体" w:hAnsi="Times New Roman" w:eastAsia="宋体" w:cs="Times New Roman"/>
          <w:b w:val="0"/>
          <w:color w:val="000000"/>
          <w:sz w:val="21"/>
          <w:szCs w:val="20"/>
          <w:lang w:val="en-US" w:eastAsia="zh-CN"/>
        </w:rPr>
        <w:t>按照工艺流程、车间布局、设备布局，综合考虑，将用人单位划分为若干个评价单元。</w:t>
      </w:r>
    </w:p>
    <w:p w14:paraId="7C0DF0F6">
      <w:pPr>
        <w:pStyle w:val="32"/>
        <w:keepNext w:val="0"/>
        <w:keepLines w:val="0"/>
        <w:pageBreakBefore w:val="0"/>
        <w:widowControl w:val="0"/>
        <w:numPr>
          <w:ilvl w:val="3"/>
          <w:numId w:val="0"/>
        </w:numPr>
        <w:kinsoku/>
        <w:wordWrap/>
        <w:overflowPunct/>
        <w:topLinePunct w:val="0"/>
        <w:autoSpaceDE/>
        <w:autoSpaceDN/>
        <w:bidi w:val="0"/>
        <w:adjustRightInd/>
        <w:snapToGrid/>
        <w:spacing w:before="0" w:beforeLines="50" w:after="12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10.2.</w:t>
      </w:r>
      <w:r>
        <w:rPr>
          <w:rFonts w:hint="eastAsia" w:ascii="黑体" w:hAnsi="Times New Roman" w:eastAsia="黑体" w:cs="Times New Roman"/>
          <w:b w:val="0"/>
          <w:color w:val="000000"/>
          <w:sz w:val="21"/>
          <w:szCs w:val="20"/>
          <w:lang w:val="en-US" w:eastAsia="zh-CN"/>
        </w:rPr>
        <w:t>7</w:t>
      </w:r>
      <w:r>
        <w:rPr>
          <w:rFonts w:hint="eastAsia" w:ascii="黑体" w:hAnsi="Times New Roman" w:eastAsia="黑体" w:cs="Times New Roman"/>
          <w:b w:val="0"/>
          <w:color w:val="000000"/>
          <w:sz w:val="21"/>
          <w:szCs w:val="20"/>
        </w:rPr>
        <w:t xml:space="preserve"> 评价方法</w:t>
      </w:r>
    </w:p>
    <w:p w14:paraId="4FE7EE06">
      <w:pPr>
        <w:pStyle w:val="12"/>
        <w:spacing w:line="240" w:lineRule="auto"/>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描述评价应用的工程分析法、职业</w:t>
      </w:r>
      <w:r>
        <w:rPr>
          <w:rFonts w:hint="eastAsia" w:ascii="宋体" w:hAnsi="Times New Roman" w:eastAsia="宋体" w:cs="Times New Roman"/>
          <w:color w:val="000000"/>
          <w:sz w:val="21"/>
          <w:szCs w:val="20"/>
          <w:lang w:eastAsia="zh-CN"/>
        </w:rPr>
        <w:t>卫生</w:t>
      </w:r>
      <w:r>
        <w:rPr>
          <w:rFonts w:hint="eastAsia" w:ascii="宋体" w:hAnsi="Times New Roman" w:eastAsia="宋体" w:cs="Times New Roman"/>
          <w:color w:val="000000"/>
          <w:sz w:val="21"/>
          <w:szCs w:val="20"/>
        </w:rPr>
        <w:t>现场调查法、职业</w:t>
      </w:r>
      <w:r>
        <w:rPr>
          <w:rFonts w:hint="eastAsia" w:ascii="宋体" w:hAnsi="Times New Roman" w:eastAsia="宋体" w:cs="Times New Roman"/>
          <w:color w:val="000000"/>
          <w:sz w:val="21"/>
          <w:szCs w:val="20"/>
          <w:lang w:eastAsia="zh-CN"/>
        </w:rPr>
        <w:t>卫生</w:t>
      </w:r>
      <w:r>
        <w:rPr>
          <w:rFonts w:hint="eastAsia" w:ascii="宋体" w:hAnsi="Times New Roman" w:eastAsia="宋体" w:cs="Times New Roman"/>
          <w:color w:val="000000"/>
          <w:sz w:val="21"/>
          <w:szCs w:val="20"/>
        </w:rPr>
        <w:t>检测法、职业健康检查法、检查表分析法、职业病危害作业分级法等方法的内容。</w:t>
      </w:r>
    </w:p>
    <w:p w14:paraId="04B05640">
      <w:pPr>
        <w:pStyle w:val="12"/>
        <w:spacing w:line="240" w:lineRule="auto"/>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参见本标准条款7。</w:t>
      </w:r>
    </w:p>
    <w:p w14:paraId="6D7318C9">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Theme="minorEastAsia" w:hAnsiTheme="minorEastAsia" w:eastAsiaTheme="minorEastAsia" w:cstheme="minorEastAsia"/>
          <w:b/>
          <w:color w:val="auto"/>
          <w:sz w:val="21"/>
          <w:szCs w:val="21"/>
        </w:rPr>
      </w:pPr>
      <w:r>
        <w:rPr>
          <w:rFonts w:hint="eastAsia" w:ascii="黑体" w:hAnsi="Times New Roman" w:eastAsia="黑体" w:cs="Times New Roman"/>
          <w:b w:val="0"/>
          <w:color w:val="auto"/>
          <w:kern w:val="0"/>
          <w:sz w:val="21"/>
          <w:szCs w:val="20"/>
        </w:rPr>
        <w:t>10.2.</w:t>
      </w:r>
      <w:r>
        <w:rPr>
          <w:rFonts w:hint="eastAsia" w:ascii="黑体" w:hAnsi="Times New Roman" w:eastAsia="黑体" w:cs="Times New Roman"/>
          <w:b w:val="0"/>
          <w:color w:val="auto"/>
          <w:kern w:val="0"/>
          <w:sz w:val="21"/>
          <w:szCs w:val="20"/>
          <w:lang w:val="en-US" w:eastAsia="zh-CN"/>
        </w:rPr>
        <w:t>8</w:t>
      </w:r>
      <w:r>
        <w:rPr>
          <w:rFonts w:hint="eastAsia" w:ascii="黑体" w:hAnsi="Times New Roman" w:eastAsia="黑体" w:cs="Times New Roman"/>
          <w:b w:val="0"/>
          <w:color w:val="auto"/>
          <w:kern w:val="0"/>
          <w:sz w:val="21"/>
          <w:szCs w:val="20"/>
        </w:rPr>
        <w:t xml:space="preserve"> 评价程序  </w:t>
      </w:r>
      <w:r>
        <w:rPr>
          <w:rFonts w:hint="eastAsia" w:asciiTheme="minorEastAsia" w:hAnsiTheme="minorEastAsia" w:eastAsiaTheme="minorEastAsia" w:cstheme="minorEastAsia"/>
          <w:b/>
          <w:color w:val="000000"/>
          <w:sz w:val="21"/>
          <w:szCs w:val="21"/>
        </w:rPr>
        <w:t xml:space="preserve"> </w:t>
      </w:r>
    </w:p>
    <w:p w14:paraId="2A9DFB43">
      <w:pPr>
        <w:pStyle w:val="12"/>
        <w:spacing w:after="140" w:line="260" w:lineRule="exact"/>
        <w:jc w:val="left"/>
        <w:rPr>
          <w:rFonts w:hint="eastAsia" w:ascii="宋体" w:hAnsi="Times New Roman" w:eastAsia="宋体" w:cs="Times New Roman"/>
          <w:color w:val="auto"/>
          <w:sz w:val="21"/>
          <w:szCs w:val="20"/>
        </w:rPr>
      </w:pPr>
      <w:r>
        <w:rPr>
          <w:rFonts w:hint="eastAsia" w:ascii="宋体" w:hAnsi="Times New Roman" w:eastAsia="宋体" w:cs="Times New Roman"/>
          <w:color w:val="auto"/>
          <w:sz w:val="21"/>
          <w:szCs w:val="20"/>
        </w:rPr>
        <w:t>用文字结合框图的方式，简要表述评价工作过程</w:t>
      </w:r>
      <w:r>
        <w:rPr>
          <w:rFonts w:hint="eastAsia" w:ascii="宋体" w:hAnsi="Times New Roman" w:eastAsia="宋体" w:cs="Times New Roman"/>
          <w:color w:val="auto"/>
          <w:sz w:val="21"/>
          <w:szCs w:val="20"/>
          <w:lang w:eastAsia="zh-CN"/>
        </w:rPr>
        <w:t>，参考附录</w:t>
      </w:r>
      <w:r>
        <w:rPr>
          <w:rFonts w:hint="eastAsia" w:ascii="宋体" w:hAnsi="Times New Roman" w:eastAsia="宋体" w:cs="Times New Roman"/>
          <w:color w:val="auto"/>
          <w:sz w:val="21"/>
          <w:szCs w:val="20"/>
          <w:lang w:val="en-US" w:eastAsia="zh-CN"/>
        </w:rPr>
        <w:t>B</w:t>
      </w:r>
      <w:r>
        <w:rPr>
          <w:rFonts w:hint="eastAsia" w:ascii="宋体" w:hAnsi="Times New Roman" w:eastAsia="宋体" w:cs="Times New Roman"/>
          <w:color w:val="auto"/>
          <w:sz w:val="21"/>
          <w:szCs w:val="20"/>
        </w:rPr>
        <w:t>。</w:t>
      </w:r>
    </w:p>
    <w:p w14:paraId="42692AF0">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10.2.</w:t>
      </w:r>
      <w:r>
        <w:rPr>
          <w:rFonts w:hint="eastAsia" w:ascii="黑体" w:hAnsi="Times New Roman" w:eastAsia="黑体" w:cs="Times New Roman"/>
          <w:b w:val="0"/>
          <w:color w:val="auto"/>
          <w:kern w:val="0"/>
          <w:sz w:val="21"/>
          <w:szCs w:val="20"/>
          <w:lang w:val="en-US" w:eastAsia="zh-CN"/>
        </w:rPr>
        <w:t>9</w:t>
      </w:r>
      <w:r>
        <w:rPr>
          <w:rFonts w:hint="eastAsia" w:ascii="黑体" w:hAnsi="Times New Roman" w:eastAsia="黑体" w:cs="Times New Roman"/>
          <w:b w:val="0"/>
          <w:color w:val="auto"/>
          <w:kern w:val="0"/>
          <w:sz w:val="21"/>
          <w:szCs w:val="20"/>
        </w:rPr>
        <w:t xml:space="preserve"> 质量控制</w:t>
      </w:r>
    </w:p>
    <w:p w14:paraId="06C4E0D6">
      <w:pPr>
        <w:pStyle w:val="12"/>
        <w:spacing w:after="140" w:line="26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用文</w:t>
      </w:r>
      <w:r>
        <w:rPr>
          <w:rFonts w:hint="eastAsia" w:ascii="宋体" w:hAnsi="Times New Roman" w:eastAsia="宋体" w:cs="Times New Roman"/>
          <w:color w:val="auto"/>
          <w:sz w:val="21"/>
          <w:szCs w:val="20"/>
        </w:rPr>
        <w:t>字结合框图的方式，简述评价全过程质量控制的措施</w:t>
      </w:r>
      <w:r>
        <w:rPr>
          <w:rFonts w:hint="eastAsia" w:ascii="宋体" w:hAnsi="Times New Roman" w:eastAsia="宋体" w:cs="Times New Roman"/>
          <w:color w:val="auto"/>
          <w:sz w:val="21"/>
          <w:szCs w:val="20"/>
          <w:lang w:eastAsia="zh-CN"/>
        </w:rPr>
        <w:t>，其中要体现</w:t>
      </w:r>
      <w:r>
        <w:rPr>
          <w:rFonts w:hint="eastAsia" w:ascii="宋体" w:hAnsi="Times New Roman" w:eastAsia="宋体" w:cs="Times New Roman"/>
          <w:color w:val="auto"/>
          <w:sz w:val="21"/>
          <w:szCs w:val="20"/>
          <w:lang w:val="en-US" w:eastAsia="zh-CN"/>
        </w:rPr>
        <w:t>PDCA（</w:t>
      </w:r>
      <w:r>
        <w:rPr>
          <w:rFonts w:hint="eastAsia" w:ascii="宋体" w:hAnsi="Times New Roman" w:eastAsia="宋体" w:cs="Times New Roman"/>
          <w:color w:val="auto"/>
          <w:sz w:val="21"/>
          <w:szCs w:val="20"/>
        </w:rPr>
        <w:t>即计划、执行、检查和处理</w:t>
      </w:r>
      <w:r>
        <w:rPr>
          <w:rFonts w:hint="eastAsia" w:ascii="宋体" w:hAnsi="Times New Roman" w:eastAsia="宋体" w:cs="Times New Roman"/>
          <w:color w:val="auto"/>
          <w:sz w:val="21"/>
          <w:szCs w:val="20"/>
          <w:lang w:val="en-US" w:eastAsia="zh-CN"/>
        </w:rPr>
        <w:t>）循环</w:t>
      </w:r>
      <w:r>
        <w:rPr>
          <w:rFonts w:hint="eastAsia" w:ascii="宋体" w:hAnsi="Times New Roman" w:eastAsia="宋体" w:cs="Times New Roman"/>
          <w:color w:val="auto"/>
          <w:sz w:val="21"/>
          <w:szCs w:val="20"/>
        </w:rPr>
        <w:t>。</w:t>
      </w:r>
    </w:p>
    <w:p w14:paraId="4CBF03A9">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8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10.3 用人单位建设概况及运行情况</w:t>
      </w:r>
    </w:p>
    <w:p w14:paraId="1ACB3A0F">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10.3.1 涉及项目的职业病防护设施“三同时”情况</w:t>
      </w:r>
    </w:p>
    <w:p w14:paraId="48C23A05">
      <w:pPr>
        <w:pStyle w:val="12"/>
        <w:spacing w:after="140" w:line="260" w:lineRule="exact"/>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简要描述用人单位评价范围内涉及各装置（项目）的职业病防护设施“三同时”制度落实情况。</w:t>
      </w:r>
    </w:p>
    <w:p w14:paraId="74FB661D">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10.3.2 用人单位建设内容概况</w:t>
      </w:r>
    </w:p>
    <w:p w14:paraId="31C4F6CB">
      <w:pPr>
        <w:pStyle w:val="12"/>
        <w:spacing w:after="140" w:line="240" w:lineRule="auto"/>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详细描述用人单位现时运行的主要作业场所内容，包括厂房</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车间</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装置、仓库</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罐区、办公行政楼以及其他辅助建构筑物，列表说明上述建构筑物的面积、层数、高度等。</w:t>
      </w:r>
    </w:p>
    <w:p w14:paraId="14D0DE14">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10.3.3 用人单位生产工艺过程及使用的原辅材料（催化剂）、副产品（中间品）和产品</w:t>
      </w:r>
    </w:p>
    <w:p w14:paraId="0B2FB989">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10.3.3.1 生产工艺过程简要描述</w:t>
      </w:r>
    </w:p>
    <w:p w14:paraId="793D1DBC">
      <w:pPr>
        <w:pStyle w:val="12"/>
        <w:spacing w:after="140" w:line="240" w:lineRule="auto"/>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采用框图结合文字的形式对用人单位生产工艺过程（包括公用工程）进行</w:t>
      </w:r>
      <w:r>
        <w:rPr>
          <w:rFonts w:hint="eastAsia" w:ascii="宋体" w:hAnsi="Times New Roman" w:eastAsia="宋体" w:cs="Times New Roman"/>
          <w:color w:val="000000"/>
          <w:sz w:val="21"/>
          <w:szCs w:val="20"/>
          <w:lang w:val="en-US" w:eastAsia="zh-CN"/>
        </w:rPr>
        <w:t>详细描述，包括人、机、料、物、环。</w:t>
      </w:r>
    </w:p>
    <w:p w14:paraId="49E5D69E">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10.3.3.2 主要原辅材料（催化剂）、副产品（中间品）和产品调查分析</w:t>
      </w:r>
    </w:p>
    <w:p w14:paraId="104CA22D">
      <w:pPr>
        <w:pStyle w:val="12"/>
        <w:spacing w:after="140" w:line="240" w:lineRule="auto"/>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列表对用人单位涉及的主要原辅材料（催化剂）、副产品（中间品）及产品进行调查汇总，包括明确相关物料的主要化学成分、状态、储运方式等。</w:t>
      </w:r>
    </w:p>
    <w:p w14:paraId="6352426D">
      <w:pPr>
        <w:keepNext w:val="0"/>
        <w:keepLines w:val="0"/>
        <w:pageBreakBefore w:val="0"/>
        <w:widowControl w:val="0"/>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10.3.4 工程运行情况</w:t>
      </w:r>
    </w:p>
    <w:p w14:paraId="3D4D1A6F">
      <w:pPr>
        <w:pStyle w:val="12"/>
        <w:spacing w:after="140" w:line="240" w:lineRule="auto"/>
        <w:jc w:val="left"/>
        <w:rPr>
          <w:rFonts w:hint="eastAsia" w:ascii="宋体" w:hAnsi="Times New Roman" w:eastAsia="宋体" w:cs="Times New Roman"/>
          <w:color w:val="000000"/>
          <w:kern w:val="0"/>
          <w:sz w:val="21"/>
          <w:szCs w:val="20"/>
        </w:rPr>
      </w:pPr>
      <w:r>
        <w:rPr>
          <w:rFonts w:hint="eastAsia" w:ascii="宋体" w:hAnsi="Times New Roman" w:eastAsia="宋体" w:cs="Times New Roman"/>
          <w:color w:val="000000"/>
          <w:sz w:val="21"/>
          <w:szCs w:val="20"/>
        </w:rPr>
        <w:t>分</w:t>
      </w:r>
      <w:r>
        <w:rPr>
          <w:rFonts w:hint="eastAsia" w:ascii="宋体" w:hAnsi="Times New Roman" w:eastAsia="宋体" w:cs="Times New Roman"/>
          <w:color w:val="000000"/>
          <w:kern w:val="0"/>
          <w:sz w:val="21"/>
          <w:szCs w:val="20"/>
        </w:rPr>
        <w:t>析最近一次职业病危害评价以来用人单位工艺情况、设备、产能、人员和职业病防护设施情况等发生了哪些变化；首次现状评价应简要分析自用人单位正式生产以来至此次评价前的历次变化以及现时运行情况（能力）。</w:t>
      </w:r>
    </w:p>
    <w:p w14:paraId="1E7D670D">
      <w:pPr>
        <w:adjustRightInd/>
        <w:spacing w:beforeLines="50" w:after="0" w:afterLines="50" w:line="280" w:lineRule="exact"/>
        <w:ind w:firstLine="0"/>
        <w:jc w:val="left"/>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lang w:val="en-US" w:eastAsia="zh-CN"/>
        </w:rPr>
        <w:t xml:space="preserve">10.3.5 </w:t>
      </w:r>
      <w:r>
        <w:rPr>
          <w:rFonts w:hint="eastAsia" w:ascii="黑体" w:hAnsi="Times New Roman" w:eastAsia="黑体" w:cs="Times New Roman"/>
          <w:b w:val="0"/>
          <w:color w:val="auto"/>
          <w:kern w:val="0"/>
          <w:sz w:val="21"/>
          <w:szCs w:val="20"/>
          <w:lang w:bidi="ar"/>
        </w:rPr>
        <w:t>既往职业病危害评价建议落实情况</w:t>
      </w:r>
      <w:r>
        <w:rPr>
          <w:rFonts w:hint="eastAsia" w:ascii="黑体" w:hAnsi="Times New Roman" w:eastAsia="黑体" w:cs="Times New Roman"/>
          <w:b w:val="0"/>
          <w:color w:val="auto"/>
          <w:kern w:val="0"/>
          <w:sz w:val="21"/>
          <w:szCs w:val="20"/>
        </w:rPr>
        <w:t>”</w:t>
      </w:r>
    </w:p>
    <w:p w14:paraId="06CC1AE0">
      <w:pPr>
        <w:spacing w:beforeLines="50" w:after="0" w:afterLines="50" w:line="280" w:lineRule="exact"/>
        <w:ind w:firstLine="0"/>
        <w:jc w:val="left"/>
        <w:rPr>
          <w:rFonts w:hint="eastAsia" w:asciiTheme="minorEastAsia" w:hAnsiTheme="minorEastAsia" w:eastAsiaTheme="minorEastAsia" w:cstheme="minorEastAsia"/>
          <w:b/>
          <w:color w:val="000000"/>
          <w:sz w:val="21"/>
          <w:szCs w:val="21"/>
          <w:lang w:val="en-US" w:eastAsia="zh-CN"/>
        </w:rPr>
      </w:pPr>
      <w:r>
        <w:rPr>
          <w:rFonts w:hint="eastAsia" w:asciiTheme="minorEastAsia" w:hAnsiTheme="minorEastAsia" w:cstheme="minorEastAsia"/>
          <w:b/>
          <w:color w:val="000000"/>
          <w:sz w:val="21"/>
          <w:szCs w:val="21"/>
          <w:lang w:val="en-US" w:eastAsia="zh-CN"/>
        </w:rPr>
        <w:t xml:space="preserve">  </w:t>
      </w:r>
      <w:r>
        <w:rPr>
          <w:rFonts w:hint="eastAsia" w:ascii="宋体" w:hAnsi="Times New Roman" w:cs="Times New Roman"/>
          <w:b w:val="0"/>
          <w:color w:val="auto"/>
          <w:kern w:val="0"/>
          <w:sz w:val="21"/>
          <w:szCs w:val="20"/>
          <w:lang w:val="en-US" w:eastAsia="zh-CN"/>
        </w:rPr>
        <w:t xml:space="preserve">  </w:t>
      </w:r>
      <w:r>
        <w:rPr>
          <w:rFonts w:hint="eastAsia" w:ascii="宋体" w:hAnsi="Times New Roman" w:cs="Times New Roman"/>
          <w:color w:val="auto"/>
          <w:kern w:val="0"/>
          <w:sz w:val="21"/>
          <w:szCs w:val="20"/>
          <w:lang w:bidi="ar-SA"/>
        </w:rPr>
        <w:t>用人单位上一次开展的评价报告中提出的补充措施和建议落实情况</w:t>
      </w:r>
      <w:r>
        <w:rPr>
          <w:rFonts w:hint="eastAsia" w:ascii="宋体" w:hAnsi="Times New Roman" w:cs="Times New Roman"/>
          <w:color w:val="auto"/>
          <w:kern w:val="0"/>
          <w:sz w:val="21"/>
          <w:szCs w:val="20"/>
          <w:lang w:eastAsia="zh-CN" w:bidi="ar-SA"/>
        </w:rPr>
        <w:t>。</w:t>
      </w:r>
    </w:p>
    <w:p w14:paraId="256B1797">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80" w:lineRule="exact"/>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10.4 总体设置</w:t>
      </w:r>
    </w:p>
    <w:p w14:paraId="54671EEF">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10.4.1 现址简评</w:t>
      </w:r>
    </w:p>
    <w:p w14:paraId="33B06DF3">
      <w:pPr>
        <w:pStyle w:val="12"/>
        <w:spacing w:after="120" w:line="300" w:lineRule="exact"/>
        <w:rPr>
          <w:rFonts w:hint="eastAsia" w:ascii="宋体" w:hAnsi="Times New Roman" w:eastAsia="宋体" w:cs="Times New Roman"/>
          <w:kern w:val="0"/>
          <w:sz w:val="21"/>
          <w:szCs w:val="20"/>
        </w:rPr>
      </w:pPr>
      <w:r>
        <w:rPr>
          <w:rFonts w:hint="eastAsia" w:ascii="宋体" w:hAnsi="Times New Roman" w:eastAsia="宋体" w:cs="Times New Roman"/>
          <w:color w:val="000000"/>
          <w:kern w:val="0"/>
          <w:sz w:val="21"/>
          <w:szCs w:val="20"/>
        </w:rPr>
        <w:t>简要描述用人单位所在地自然环境概况和社会环境条件等，其中自然环境概况重点明确用人单位所在地全年主导风向和最小频率风向、夏季主导风向和最小频率风向以及是否在自然疫源地或地方病区等；社会环境条件重点调查用人单位所在区域周边社会救治能力及救治条件（特别是最近医疗机构的位置、能力，道路交通状况等）。详细描述用人单位周边区域情况，尤其是自最近一次职业病危害评价以来用人单位周边区域发生了哪些重要变化，根据需要对现址的合理性作简要的分析评价。</w:t>
      </w:r>
    </w:p>
    <w:p w14:paraId="5E2138EE">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10.4.2 布局调查与评价</w:t>
      </w:r>
    </w:p>
    <w:p w14:paraId="2F25E7D8">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10.4.2.1 总体布局</w:t>
      </w:r>
    </w:p>
    <w:p w14:paraId="4F3E46B0">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根据总平面布置图，详细描述厂区的功能分区、各区域的主要建构筑物及其方位（附简要总体布局图），列表描述各区域内建筑物名称及其布置方位。</w:t>
      </w:r>
    </w:p>
    <w:p w14:paraId="24DF174D">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重点调查用人单位自最近一次职业病危害评价以来总体布局是否发生变化。</w:t>
      </w:r>
    </w:p>
    <w:p w14:paraId="33458BB3">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总体布局评价：依据GBZ 1、GB</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T 12801 和 GB 50187 等的相关要求，对用人单位总体布局尤其是自最近一次职业病危害评价以来的变化情况进行符合性分析评价。</w:t>
      </w:r>
    </w:p>
    <w:p w14:paraId="0132D49B">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可以运用检查表分析法。</w:t>
      </w:r>
    </w:p>
    <w:p w14:paraId="1C732A0B">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10.4.2.2 建构筑物内功能布置</w:t>
      </w:r>
    </w:p>
    <w:p w14:paraId="468A8905">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对于多层建构筑物或功能综合性建构筑物要求根据建构筑物各楼层分布图或各区域分布图（附相关功能分布图）描述建构筑物内的局部功能分布。</w:t>
      </w:r>
    </w:p>
    <w:p w14:paraId="1F159AA6">
      <w:pPr>
        <w:pStyle w:val="12"/>
        <w:spacing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重点调查用人单位自最近一次职业病危害评价以来建构筑物内部功能是否发生变化。</w:t>
      </w:r>
    </w:p>
    <w:p w14:paraId="5E23952B">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建构筑物内部功能布置评价：依据GBZ 1、GB</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T 12801 和GB 50187 等的相关要求，对用人单位建构筑物内部功能布置尤其是自最近一次职业病危害评价以来的变化情况进行符合性分析评价。</w:t>
      </w:r>
    </w:p>
    <w:p w14:paraId="1D753D03">
      <w:pPr>
        <w:pStyle w:val="12"/>
        <w:spacing w:line="300" w:lineRule="exact"/>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可以运用检查表分析法。</w:t>
      </w:r>
    </w:p>
    <w:p w14:paraId="2615C6B8">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10.4.2.3 设备布局</w:t>
      </w:r>
    </w:p>
    <w:p w14:paraId="074D23C3">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列表描述各功能区域内主要生产设备（尤其是产生主要职业病危害的设备）的布置情况（附设备布局示意图），说明其操作或控制方式。</w:t>
      </w:r>
    </w:p>
    <w:p w14:paraId="1516CBC6">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设备布局评价：依据GBZ 1、GB</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T 12801和GB 18871 等的相关要求，对用人单位设备布局尤其是自最近一次职业病危害评价以来的变化情况进行符合性分析评价。</w:t>
      </w:r>
    </w:p>
    <w:p w14:paraId="4ACF4B9B">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可以运用检查表分析法。</w:t>
      </w:r>
    </w:p>
    <w:p w14:paraId="502B0104">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10.4.3 建筑设计卫生学调查与评价</w:t>
      </w:r>
    </w:p>
    <w:p w14:paraId="2E7B5182">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建</w:t>
      </w:r>
      <w:r>
        <w:rPr>
          <w:rFonts w:hint="eastAsia" w:ascii="宋体" w:hAnsi="Times New Roman" w:eastAsia="宋体" w:cs="Times New Roman"/>
          <w:color w:val="000000"/>
          <w:kern w:val="0"/>
          <w:sz w:val="21"/>
          <w:szCs w:val="20"/>
        </w:rPr>
        <w:t>筑设计卫生学调查主要包括建筑结构、通风、采光照明、采暖与空气调节、微小气候等建筑设计卫生学的调查。另外应该调查分析强噪声、高温、高湿、大量使用强腐蚀性或高毒性（剧毒性）化学物质、产生高危害性粉尘、涉及易燃易爆物品等的特殊建筑卫生要求。</w:t>
      </w:r>
    </w:p>
    <w:p w14:paraId="2716604E">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10.4.3.1 建筑结构调查</w:t>
      </w:r>
    </w:p>
    <w:p w14:paraId="497A2F63">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描述各建构筑物的结构形式</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lang w:val="en-US" w:eastAsia="zh-CN"/>
        </w:rPr>
        <w:t>包括</w:t>
      </w:r>
      <w:r>
        <w:rPr>
          <w:rFonts w:hint="eastAsia" w:ascii="宋体" w:hAnsi="Times New Roman" w:eastAsia="宋体" w:cs="Times New Roman"/>
          <w:color w:val="000000"/>
          <w:sz w:val="21"/>
          <w:szCs w:val="20"/>
        </w:rPr>
        <w:t>强腐蚀性物质</w:t>
      </w:r>
      <w:r>
        <w:rPr>
          <w:rFonts w:hint="eastAsia" w:ascii="宋体" w:hAnsi="Times New Roman" w:eastAsia="宋体" w:cs="Times New Roman"/>
          <w:color w:val="000000"/>
          <w:sz w:val="21"/>
          <w:szCs w:val="20"/>
          <w:lang w:val="en-US" w:eastAsia="zh-CN"/>
        </w:rPr>
        <w:t>和</w:t>
      </w:r>
      <w:r>
        <w:rPr>
          <w:rFonts w:hint="eastAsia" w:ascii="宋体" w:hAnsi="Times New Roman" w:eastAsia="宋体" w:cs="Times New Roman"/>
          <w:color w:val="000000"/>
          <w:sz w:val="21"/>
          <w:szCs w:val="20"/>
        </w:rPr>
        <w:t>高毒物质</w:t>
      </w:r>
      <w:r>
        <w:rPr>
          <w:rFonts w:hint="eastAsia" w:ascii="宋体" w:hAnsi="Times New Roman" w:eastAsia="宋体" w:cs="Times New Roman"/>
          <w:color w:val="000000"/>
          <w:sz w:val="21"/>
          <w:szCs w:val="20"/>
          <w:lang w:val="en-US" w:eastAsia="zh-CN"/>
        </w:rPr>
        <w:t>等</w:t>
      </w:r>
      <w:r>
        <w:rPr>
          <w:rFonts w:hint="eastAsia" w:ascii="宋体" w:hAnsi="Times New Roman" w:eastAsia="宋体" w:cs="Times New Roman"/>
          <w:color w:val="000000"/>
          <w:sz w:val="21"/>
          <w:szCs w:val="20"/>
        </w:rPr>
        <w:t>工作场所</w:t>
      </w:r>
      <w:r>
        <w:rPr>
          <w:rFonts w:hint="eastAsia" w:ascii="宋体" w:hAnsi="Times New Roman" w:eastAsia="宋体" w:cs="Times New Roman"/>
          <w:color w:val="000000"/>
          <w:sz w:val="21"/>
          <w:szCs w:val="20"/>
          <w:lang w:eastAsia="zh-CN"/>
        </w:rPr>
        <w:t>的</w:t>
      </w:r>
      <w:r>
        <w:rPr>
          <w:rFonts w:hint="eastAsia" w:ascii="宋体" w:hAnsi="Times New Roman" w:eastAsia="宋体" w:cs="Times New Roman"/>
          <w:color w:val="000000"/>
          <w:sz w:val="21"/>
          <w:szCs w:val="20"/>
        </w:rPr>
        <w:t>墙壁、顶棚和地面等内部结构</w:t>
      </w:r>
      <w:r>
        <w:rPr>
          <w:rFonts w:hint="eastAsia" w:ascii="宋体" w:hAnsi="Times New Roman" w:eastAsia="宋体" w:cs="Times New Roman"/>
          <w:color w:val="000000"/>
          <w:sz w:val="21"/>
          <w:szCs w:val="20"/>
          <w:lang w:eastAsia="zh-CN"/>
        </w:rPr>
        <w:t>。</w:t>
      </w:r>
    </w:p>
    <w:p w14:paraId="04E96637">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10.4.3.2 自然通风调查</w:t>
      </w:r>
    </w:p>
    <w:p w14:paraId="5BB29D1E">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自然通风调查：自然通风重点涉及建筑物的朝向（长轴与南北轴的夹角）、建筑物高度、通风面积、屋顶气楼、气路形成、建筑物内隔断</w:t>
      </w:r>
      <w:r>
        <w:rPr>
          <w:rFonts w:hint="eastAsia" w:ascii="宋体" w:hAnsi="Times New Roman" w:eastAsia="宋体" w:cs="Times New Roman"/>
          <w:color w:val="000000"/>
          <w:sz w:val="21"/>
          <w:szCs w:val="20"/>
          <w:lang w:eastAsia="zh-CN"/>
        </w:rPr>
        <w:t>及</w:t>
      </w:r>
      <w:r>
        <w:rPr>
          <w:rFonts w:hint="eastAsia" w:ascii="宋体" w:hAnsi="Times New Roman" w:eastAsia="宋体" w:cs="Times New Roman"/>
          <w:szCs w:val="20"/>
          <w:lang w:val="en-US" w:eastAsia="zh-CN"/>
        </w:rPr>
        <w:t>实际有效通风门窗面积</w:t>
      </w:r>
      <w:r>
        <w:rPr>
          <w:rFonts w:hint="eastAsia" w:ascii="宋体" w:hAnsi="Times New Roman" w:eastAsia="宋体" w:cs="Times New Roman"/>
          <w:color w:val="000000"/>
          <w:sz w:val="21"/>
          <w:szCs w:val="20"/>
        </w:rPr>
        <w:t>等情况的描述与分析。</w:t>
      </w:r>
    </w:p>
    <w:p w14:paraId="6C005FA4">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列表描述建筑物设计卫生学参数的调查结果。</w:t>
      </w:r>
    </w:p>
    <w:p w14:paraId="490C8E15">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 xml:space="preserve">10.4.3.3 </w:t>
      </w:r>
      <w:r>
        <w:rPr>
          <w:rFonts w:hint="eastAsia" w:ascii="黑体" w:hAnsi="Times New Roman" w:eastAsia="黑体" w:cs="Times New Roman"/>
          <w:b w:val="0"/>
          <w:color w:val="auto"/>
          <w:kern w:val="0"/>
          <w:sz w:val="21"/>
          <w:szCs w:val="20"/>
          <w:lang w:eastAsia="zh-CN"/>
        </w:rPr>
        <w:t>全面</w:t>
      </w:r>
      <w:r>
        <w:rPr>
          <w:rFonts w:hint="eastAsia" w:ascii="黑体" w:hAnsi="Times New Roman" w:eastAsia="黑体" w:cs="Times New Roman"/>
          <w:b w:val="0"/>
          <w:color w:val="auto"/>
          <w:kern w:val="0"/>
          <w:sz w:val="21"/>
          <w:szCs w:val="20"/>
        </w:rPr>
        <w:t>机械通风调查</w:t>
      </w:r>
    </w:p>
    <w:p w14:paraId="0025271E">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机械通风调查：对于自然通风不良，以及产生有毒有害等需要采用机械通风的建筑，应该详细核实机械风机的数量、风量、墙式风机或风口（进风与出风）的布置位置、换气次数等设计情况（必要时附图片证实）。</w:t>
      </w:r>
    </w:p>
    <w:p w14:paraId="10E382F0">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对于全封闭建筑物必须换算每小时人均新风量。</w:t>
      </w:r>
    </w:p>
    <w:p w14:paraId="167371F1">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10.4.3.4 采光照明调查</w:t>
      </w:r>
    </w:p>
    <w:p w14:paraId="325F3C7F">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按照 GB 50033、GB 50034的要求，调查描述各区域采光照明的方式、相关灯具类型及设置位置、光源影响和特殊环境下采光照明等。</w:t>
      </w:r>
    </w:p>
    <w:p w14:paraId="134DF147">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10.4.3.5 采暖与空气调节调查</w:t>
      </w:r>
    </w:p>
    <w:p w14:paraId="559AC4F9">
      <w:pPr>
        <w:pStyle w:val="12"/>
        <w:spacing w:after="120" w:line="360" w:lineRule="exact"/>
        <w:jc w:val="left"/>
        <w:rPr>
          <w:rFonts w:hint="eastAsia" w:ascii="宋体" w:hAnsi="Times New Roman" w:eastAsia="宋体" w:cs="Times New Roman"/>
          <w:color w:val="000000"/>
          <w:sz w:val="21"/>
          <w:szCs w:val="20"/>
          <w:lang w:eastAsia="zh-CN"/>
        </w:rPr>
      </w:pPr>
      <w:r>
        <w:rPr>
          <w:rFonts w:hint="eastAsia" w:ascii="宋体" w:hAnsi="Times New Roman" w:eastAsia="宋体" w:cs="Times New Roman"/>
          <w:color w:val="000000"/>
          <w:sz w:val="21"/>
          <w:szCs w:val="20"/>
        </w:rPr>
        <w:t>描述各区域采暖与</w:t>
      </w:r>
      <w:r>
        <w:rPr>
          <w:rFonts w:hint="eastAsia" w:ascii="宋体" w:hAnsi="Times New Roman" w:eastAsia="宋体" w:cs="Times New Roman"/>
          <w:color w:val="000000"/>
          <w:sz w:val="21"/>
          <w:szCs w:val="20"/>
          <w:lang w:eastAsia="zh-CN"/>
        </w:rPr>
        <w:t>空气</w:t>
      </w:r>
      <w:r>
        <w:rPr>
          <w:rFonts w:hint="eastAsia" w:ascii="宋体" w:hAnsi="Times New Roman" w:eastAsia="宋体" w:cs="Times New Roman"/>
          <w:color w:val="000000"/>
          <w:sz w:val="21"/>
          <w:szCs w:val="20"/>
        </w:rPr>
        <w:t>调节的方式及</w:t>
      </w:r>
      <w:r>
        <w:rPr>
          <w:rFonts w:hint="eastAsia" w:ascii="宋体" w:hAnsi="Times New Roman" w:eastAsia="宋体" w:cs="Times New Roman"/>
          <w:color w:val="000000"/>
          <w:sz w:val="21"/>
          <w:szCs w:val="20"/>
          <w:lang w:eastAsia="zh-CN"/>
        </w:rPr>
        <w:t>效果。</w:t>
      </w:r>
    </w:p>
    <w:p w14:paraId="302B3099">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10.4.3.6 建筑设计卫生学参数现场检测</w:t>
      </w:r>
    </w:p>
    <w:p w14:paraId="4F89C474">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依据编制的检测方案（包括检测定点、方法、仪器、内容等），对机械通风（人均新风量）、采光照明（照度）、微小气候等建筑设计卫生学参数以及根据行业特殊要求（标准、规范等有规定的）需要进行风速检测的区域进行检测。</w:t>
      </w:r>
    </w:p>
    <w:p w14:paraId="6E753BA3">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核实相关设计技术参数的符合性。</w:t>
      </w:r>
    </w:p>
    <w:p w14:paraId="19104661">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10.4.3.7 分析评价</w:t>
      </w:r>
    </w:p>
    <w:p w14:paraId="4B3519BE">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根据现场调查和现场检测，依照GBZ 1、GB 50187、GB 50019、GB 50034、GB 50033 等的相关要求对用人单位的建筑结构、采暖、通风、空气调节、采光照明、微小气候等建筑物设计卫生学符合性进行评价。</w:t>
      </w:r>
    </w:p>
    <w:p w14:paraId="6A07FB42">
      <w:pPr>
        <w:pStyle w:val="12"/>
        <w:spacing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可以运用检查表分析法。</w:t>
      </w:r>
    </w:p>
    <w:p w14:paraId="1B0D9540">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10.5 职业病危害因素调查、检测与评价</w:t>
      </w:r>
    </w:p>
    <w:p w14:paraId="523B6219">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10.5.1 职业病危害因素识别及其接触情况调查分析</w:t>
      </w:r>
    </w:p>
    <w:p w14:paraId="35631082">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10.5.1.1 职业病危害因素调查、确认</w:t>
      </w:r>
    </w:p>
    <w:p w14:paraId="2C519E5D">
      <w:pPr>
        <w:pStyle w:val="12"/>
        <w:spacing w:after="120" w:line="300" w:lineRule="exact"/>
        <w:ind w:left="40"/>
        <w:rPr>
          <w:rFonts w:hint="eastAsia" w:ascii="宋体" w:hAnsi="Times New Roman" w:eastAsia="宋体" w:cs="Times New Roman"/>
          <w:b w:val="0"/>
          <w:color w:val="FF0000"/>
          <w:sz w:val="21"/>
          <w:szCs w:val="20"/>
        </w:rPr>
      </w:pPr>
      <w:r>
        <w:rPr>
          <w:rFonts w:hint="eastAsia" w:ascii="宋体" w:hAnsi="Times New Roman" w:eastAsia="宋体" w:cs="Times New Roman"/>
          <w:color w:val="000000"/>
          <w:sz w:val="21"/>
          <w:szCs w:val="20"/>
        </w:rPr>
        <w:t>根据用人单位的生产工艺或区域布置等划分评价单元（包括主要生产装置和辅助生产工序），依据《职业病危害因素分类目录》、GBZ 2.1、GBZ 2.2和其他要求（国外已颁布职业接触限值的、国家已颁布相关职业卫生检测标准方法的、其他可能危害劳动者身体健康的），从生产工艺过程、生产环境、劳动过程以及检维修、特殊情况等状态下四个方面对用人单位各评价单元存在的职业病危害因素进行系统的分析、调查和确认，说明各评价单元存在的职业病危害因素、接触的工种以及各工种的工作日写实情况</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b w:val="0"/>
          <w:color w:val="auto"/>
          <w:sz w:val="21"/>
          <w:szCs w:val="20"/>
        </w:rPr>
        <w:t>现场调查要至少2名专业技术人员进行。</w:t>
      </w:r>
    </w:p>
    <w:p w14:paraId="05A2ADF7">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10.5.1.2 职业病危害因素接触情况调查分析</w:t>
      </w:r>
    </w:p>
    <w:p w14:paraId="4D6A39FE">
      <w:pPr>
        <w:pStyle w:val="12"/>
        <w:spacing w:after="120" w:line="300" w:lineRule="exact"/>
        <w:ind w:left="4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根据10.</w:t>
      </w:r>
      <w:r>
        <w:rPr>
          <w:rFonts w:hint="eastAsia" w:ascii="宋体" w:hAnsi="Times New Roman" w:eastAsia="宋体" w:cs="Times New Roman"/>
          <w:color w:val="000000"/>
          <w:sz w:val="21"/>
          <w:szCs w:val="20"/>
          <w:lang w:val="en-US" w:eastAsia="zh-CN"/>
        </w:rPr>
        <w:t>3</w:t>
      </w:r>
      <w:r>
        <w:rPr>
          <w:rFonts w:hint="eastAsia" w:ascii="宋体" w:hAnsi="Times New Roman" w:eastAsia="宋体" w:cs="Times New Roman"/>
          <w:color w:val="000000"/>
          <w:sz w:val="21"/>
          <w:szCs w:val="20"/>
        </w:rPr>
        <w:t>.</w:t>
      </w:r>
      <w:r>
        <w:rPr>
          <w:rFonts w:hint="eastAsia" w:ascii="宋体" w:hAnsi="Times New Roman" w:eastAsia="宋体" w:cs="Times New Roman"/>
          <w:color w:val="000000"/>
          <w:sz w:val="21"/>
          <w:szCs w:val="20"/>
          <w:lang w:val="en-US" w:eastAsia="zh-CN"/>
        </w:rPr>
        <w:t>3</w:t>
      </w:r>
      <w:r>
        <w:rPr>
          <w:rFonts w:hint="eastAsia" w:ascii="宋体" w:hAnsi="Times New Roman" w:eastAsia="宋体" w:cs="Times New Roman"/>
          <w:color w:val="000000"/>
          <w:sz w:val="21"/>
          <w:szCs w:val="20"/>
        </w:rPr>
        <w:t>.1的调查、确认，结合用人单位生产制度及定员、设备名称与数量及其自动化与密闭化情况、岗位设置、作业人数、作业方式、作业时间等，列表分析各生产单元内职业病危害因素种类及岗位接触情况。</w:t>
      </w:r>
    </w:p>
    <w:p w14:paraId="5ECD5C48">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10.5.2 职业病危害因素分析</w:t>
      </w:r>
    </w:p>
    <w:p w14:paraId="770C54D3">
      <w:pPr>
        <w:pStyle w:val="12"/>
        <w:spacing w:after="120" w:line="300" w:lineRule="exact"/>
        <w:ind w:left="4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用文字或表格的方式，概述职业病危害因素的特性（包括有毒物品固有的毒性特点：状态、毒物危害程度分级、刺激性及窒息性、腐蚀性、皮肤吸收性、致癌性等）、对人体健康的影响，以及可引起的职业病等。</w:t>
      </w:r>
    </w:p>
    <w:p w14:paraId="13511685">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10.5.3 职业病危害因素检测</w:t>
      </w:r>
    </w:p>
    <w:p w14:paraId="7E40C3A1">
      <w:pPr>
        <w:pStyle w:val="12"/>
        <w:spacing w:line="300" w:lineRule="exact"/>
        <w:ind w:left="4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按照国家标准、行业标准以及国外参考标准等确定可检测的职业病危害因素（提供接触限值一览表），确定采样（检测）方法，明确采样方式（定点采样/个体采样/长时间采样/短时间采样），进行采样（检测）定点（或采样对象确定），并按照用人单位生产实际情况选择采样（检测）时段。对定点（或采样对象）的代表性、职业病危害因素检测选择、采样的工作时段选择等问题，应该有详细的说明和明确的规定。需附检测点设置示意图。</w:t>
      </w:r>
    </w:p>
    <w:p w14:paraId="37663324">
      <w:pPr>
        <w:pStyle w:val="12"/>
        <w:spacing w:line="300" w:lineRule="exact"/>
        <w:ind w:left="40"/>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明确各种职业病危害因素的检测</w:t>
      </w:r>
      <w:r>
        <w:rPr>
          <w:rFonts w:hint="eastAsia" w:ascii="宋体" w:hAnsi="Times New Roman" w:eastAsia="宋体" w:cs="Times New Roman"/>
          <w:color w:val="000000"/>
          <w:sz w:val="21"/>
          <w:szCs w:val="20"/>
          <w:lang w:eastAsia="zh-CN"/>
        </w:rPr>
        <w:t>方法</w:t>
      </w:r>
      <w:r>
        <w:rPr>
          <w:rFonts w:hint="eastAsia" w:ascii="宋体" w:hAnsi="Times New Roman" w:eastAsia="宋体" w:cs="Times New Roman"/>
          <w:color w:val="000000"/>
          <w:sz w:val="21"/>
          <w:szCs w:val="20"/>
        </w:rPr>
        <w:t>、频次、</w:t>
      </w:r>
      <w:r>
        <w:rPr>
          <w:rFonts w:hint="eastAsia" w:ascii="宋体" w:hAnsi="Times New Roman" w:eastAsia="宋体" w:cs="Times New Roman"/>
          <w:color w:val="000000"/>
          <w:sz w:val="21"/>
          <w:szCs w:val="20"/>
          <w:lang w:eastAsia="zh-CN"/>
        </w:rPr>
        <w:t>气</w:t>
      </w:r>
      <w:r>
        <w:rPr>
          <w:rFonts w:hint="eastAsia" w:ascii="宋体" w:hAnsi="Times New Roman" w:eastAsia="宋体" w:cs="Times New Roman"/>
          <w:color w:val="000000"/>
          <w:sz w:val="21"/>
          <w:szCs w:val="20"/>
        </w:rPr>
        <w:t>象条件等</w:t>
      </w:r>
      <w:r>
        <w:rPr>
          <w:rFonts w:hint="eastAsia" w:ascii="宋体" w:hAnsi="Times New Roman" w:eastAsia="宋体" w:cs="Times New Roman"/>
          <w:color w:val="000000"/>
          <w:sz w:val="21"/>
          <w:szCs w:val="20"/>
          <w:lang w:eastAsia="zh-CN"/>
        </w:rPr>
        <w:t>情况</w:t>
      </w:r>
      <w:r>
        <w:rPr>
          <w:rFonts w:hint="eastAsia" w:ascii="宋体" w:hAnsi="Times New Roman" w:eastAsia="宋体" w:cs="Times New Roman"/>
          <w:color w:val="000000"/>
          <w:sz w:val="21"/>
          <w:szCs w:val="20"/>
        </w:rPr>
        <w:t>详细描述采样时段的生产负荷率、生产设备及防护设施开启数量及其运行状况、人员规范操作等情况。现场采样时需进行拍摄留证。</w:t>
      </w:r>
      <w:r>
        <w:rPr>
          <w:rFonts w:hint="eastAsia" w:ascii="宋体" w:hAnsi="Times New Roman" w:eastAsia="宋体" w:cs="Times New Roman"/>
          <w:color w:val="000000"/>
          <w:sz w:val="21"/>
          <w:szCs w:val="20"/>
          <w:lang w:eastAsia="zh-CN"/>
        </w:rPr>
        <w:t>如</w:t>
      </w:r>
      <w:r>
        <w:rPr>
          <w:rFonts w:hint="eastAsia" w:ascii="宋体" w:hAnsi="Times New Roman" w:eastAsia="宋体" w:cs="Times New Roman"/>
          <w:color w:val="000000"/>
          <w:kern w:val="0"/>
          <w:sz w:val="21"/>
          <w:szCs w:val="20"/>
          <w:lang w:bidi="ar"/>
        </w:rPr>
        <w:t>因涉及国家秘密、商业秘密、技术秘密、个人隐私及特殊要求不能拍照（摄 影）的，用人单位应提供书面确认材料。</w:t>
      </w:r>
    </w:p>
    <w:p w14:paraId="2344A038">
      <w:pPr>
        <w:pStyle w:val="12"/>
        <w:spacing w:line="300" w:lineRule="exact"/>
        <w:ind w:left="4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相关描述表格参见附录C。</w:t>
      </w:r>
    </w:p>
    <w:p w14:paraId="5385A829">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10.5.4 检测结果分析</w:t>
      </w:r>
    </w:p>
    <w:p w14:paraId="78DFBB23">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检测结果经整理分析后，用简洁的文字、图表等进行合理表述，并对结果进行评价，评价指数C</w:t>
      </w:r>
      <w:r>
        <w:rPr>
          <w:rFonts w:hint="eastAsia" w:ascii="宋体" w:hAnsi="Times New Roman" w:eastAsia="宋体" w:cs="Times New Roman"/>
          <w:color w:val="000000"/>
          <w:sz w:val="21"/>
          <w:szCs w:val="20"/>
          <w:vertAlign w:val="baseline"/>
        </w:rPr>
        <w:t>M</w:t>
      </w:r>
      <w:r>
        <w:rPr>
          <w:rFonts w:hint="eastAsia" w:ascii="宋体" w:hAnsi="Times New Roman" w:eastAsia="宋体" w:cs="Times New Roman"/>
          <w:color w:val="000000"/>
          <w:sz w:val="21"/>
          <w:szCs w:val="20"/>
          <w:vertAlign w:val="baseline"/>
          <w:lang w:val="en-US" w:eastAsia="zh-CN"/>
        </w:rPr>
        <w:t>E</w:t>
      </w:r>
      <w:r>
        <w:rPr>
          <w:rFonts w:hint="eastAsia" w:ascii="宋体" w:hAnsi="Times New Roman" w:eastAsia="宋体" w:cs="Times New Roman"/>
          <w:color w:val="000000"/>
          <w:sz w:val="21"/>
          <w:szCs w:val="20"/>
        </w:rPr>
        <w:t>、C</w:t>
      </w:r>
      <w:r>
        <w:rPr>
          <w:rFonts w:hint="eastAsia" w:ascii="宋体" w:hAnsi="Times New Roman" w:eastAsia="宋体" w:cs="Times New Roman"/>
          <w:color w:val="000000"/>
          <w:sz w:val="21"/>
          <w:szCs w:val="20"/>
          <w:vertAlign w:val="baseline"/>
        </w:rPr>
        <w:t>STE</w:t>
      </w:r>
      <w:r>
        <w:rPr>
          <w:rFonts w:hint="eastAsia" w:ascii="宋体" w:hAnsi="Times New Roman" w:eastAsia="宋体" w:cs="Times New Roman"/>
          <w:color w:val="000000"/>
          <w:sz w:val="21"/>
          <w:szCs w:val="20"/>
        </w:rPr>
        <w:t>、C</w:t>
      </w:r>
      <w:r>
        <w:rPr>
          <w:rFonts w:hint="eastAsia" w:ascii="宋体" w:hAnsi="Times New Roman" w:eastAsia="宋体" w:cs="Times New Roman"/>
          <w:color w:val="000000"/>
          <w:sz w:val="21"/>
          <w:szCs w:val="20"/>
          <w:vertAlign w:val="baseline"/>
        </w:rPr>
        <w:t>TWA</w:t>
      </w:r>
      <w:r>
        <w:rPr>
          <w:rFonts w:hint="eastAsia" w:ascii="宋体" w:hAnsi="Times New Roman" w:eastAsia="宋体" w:cs="Times New Roman"/>
          <w:color w:val="000000"/>
          <w:sz w:val="21"/>
          <w:szCs w:val="20"/>
        </w:rPr>
        <w:t>、</w:t>
      </w:r>
      <w:r>
        <w:rPr>
          <w:rFonts w:hint="eastAsia" w:ascii="宋体" w:hAnsi="Times New Roman" w:eastAsia="宋体" w:cs="Times New Roman"/>
          <w:color w:val="000000"/>
          <w:sz w:val="21"/>
          <w:szCs w:val="20"/>
          <w:lang w:val="en-US" w:eastAsia="zh-CN"/>
        </w:rPr>
        <w:t>C</w:t>
      </w:r>
      <w:r>
        <w:rPr>
          <w:rFonts w:hint="eastAsia" w:ascii="宋体" w:hAnsi="Times New Roman" w:eastAsia="宋体" w:cs="Times New Roman"/>
          <w:color w:val="000000"/>
          <w:sz w:val="21"/>
          <w:szCs w:val="20"/>
          <w:vertAlign w:val="baseline"/>
          <w:lang w:val="en-US" w:eastAsia="zh-CN"/>
        </w:rPr>
        <w:t>PE</w:t>
      </w:r>
      <w:r>
        <w:rPr>
          <w:rFonts w:hint="eastAsia" w:ascii="宋体" w:hAnsi="Times New Roman" w:eastAsia="宋体" w:cs="Times New Roman"/>
          <w:color w:val="auto"/>
          <w:sz w:val="21"/>
          <w:szCs w:val="20"/>
          <w:vertAlign w:val="baseline"/>
          <w:lang w:val="en-US" w:eastAsia="zh-CN"/>
        </w:rPr>
        <w:t>(</w:t>
      </w:r>
      <w:r>
        <w:rPr>
          <w:rFonts w:hint="eastAsia" w:ascii="宋体" w:hAnsi="Times New Roman" w:eastAsia="宋体" w:cs="Times New Roman"/>
          <w:color w:val="auto"/>
          <w:sz w:val="21"/>
          <w:szCs w:val="20"/>
        </w:rPr>
        <w:t>峰接触浓度</w:t>
      </w:r>
      <w:r>
        <w:rPr>
          <w:rFonts w:hint="eastAsia" w:ascii="宋体" w:hAnsi="Times New Roman" w:eastAsia="宋体" w:cs="Times New Roman"/>
          <w:color w:val="auto"/>
          <w:sz w:val="21"/>
          <w:szCs w:val="20"/>
          <w:lang w:val="en-US" w:eastAsia="zh-CN"/>
        </w:rPr>
        <w:t>)</w:t>
      </w:r>
      <w:r>
        <w:rPr>
          <w:rFonts w:hint="eastAsia" w:ascii="宋体" w:hAnsi="Times New Roman" w:eastAsia="宋体" w:cs="Times New Roman"/>
          <w:color w:val="auto"/>
          <w:sz w:val="21"/>
          <w:szCs w:val="20"/>
        </w:rPr>
        <w:t>的</w:t>
      </w:r>
      <w:r>
        <w:rPr>
          <w:rFonts w:hint="eastAsia" w:ascii="宋体" w:hAnsi="Times New Roman" w:eastAsia="宋体" w:cs="Times New Roman"/>
          <w:color w:val="000000"/>
          <w:sz w:val="21"/>
          <w:szCs w:val="20"/>
        </w:rPr>
        <w:t>取用根据GBZ 2.1的具体要求确定，不一定全部涉及。检测结果的分析评价采用列表方式。用人单位总体的职业病危害因素检测结果情况需要进行列表汇总。</w:t>
      </w:r>
    </w:p>
    <w:p w14:paraId="764540A8">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职业健康技术服务机构出具的实验室检测报告应作为现状评价报告的必要附件予以辅证。</w:t>
      </w:r>
    </w:p>
    <w:p w14:paraId="058F8F94">
      <w:pPr>
        <w:pStyle w:val="12"/>
        <w:spacing w:line="300" w:lineRule="exact"/>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有关检测结果评价和汇总表格参见附录C。</w:t>
      </w:r>
    </w:p>
    <w:p w14:paraId="4D83DDBE">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10.5.5 检测结果评价</w:t>
      </w:r>
    </w:p>
    <w:p w14:paraId="78C2B3BC">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对检测结果进行总体分析评价，对不合格工种或不合格检测点的超标原因进行调查分析，</w:t>
      </w:r>
      <w:r>
        <w:rPr>
          <w:rFonts w:hint="eastAsia" w:ascii="宋体" w:hAnsi="Times New Roman" w:eastAsia="宋体" w:cs="Times New Roman"/>
          <w:color w:val="000000"/>
          <w:sz w:val="21"/>
          <w:szCs w:val="20"/>
          <w:lang w:eastAsia="zh-CN"/>
        </w:rPr>
        <w:t>重点描述工程防护不足原因、</w:t>
      </w:r>
      <w:r>
        <w:rPr>
          <w:rFonts w:hint="eastAsia" w:ascii="宋体" w:hAnsi="Times New Roman" w:eastAsia="宋体" w:cs="Times New Roman"/>
          <w:color w:val="000000"/>
          <w:sz w:val="21"/>
          <w:szCs w:val="20"/>
        </w:rPr>
        <w:t>必要时附不合格点图片，以更清晰地表达。</w:t>
      </w:r>
    </w:p>
    <w:p w14:paraId="069F59CD">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10.5.6 职业病危害作业分级</w:t>
      </w:r>
    </w:p>
    <w:p w14:paraId="7E9FFCA4">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依据 GBZ</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T 229等有关职业病危害作业分级标准，</w:t>
      </w:r>
      <w:r>
        <w:rPr>
          <w:rFonts w:hint="eastAsia" w:ascii="宋体" w:hAnsi="Times New Roman" w:eastAsia="宋体" w:cs="Times New Roman"/>
          <w:color w:val="auto"/>
          <w:szCs w:val="20"/>
          <w:lang w:val="en-US" w:eastAsia="zh-CN"/>
        </w:rPr>
        <w:t>按照GBZ2.1-2019附表5确定职业接触水平及其分类控制，对超标工种进行接触职业病危害因素情况进行作业危害程度分级（GBZ229）确定体检周期</w:t>
      </w:r>
      <w:r>
        <w:rPr>
          <w:rFonts w:hint="eastAsia" w:ascii="宋体" w:hAnsi="Times New Roman" w:eastAsia="宋体" w:cs="Times New Roman"/>
          <w:color w:val="auto"/>
          <w:sz w:val="21"/>
          <w:szCs w:val="20"/>
        </w:rPr>
        <w:t>。</w:t>
      </w:r>
    </w:p>
    <w:p w14:paraId="46D7822D">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10.5.7 用人单位职业病危害作业关键控制点和关键防护工种的确定</w:t>
      </w:r>
    </w:p>
    <w:p w14:paraId="111A9EC1">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通过现场调查和职业病危害因素的检测结果，在对相关岗位物料使用</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产生量（或者正常情况下在设备中的存量）、岗位作业方式（自动化、机械化、手工）、接触情况（人数、时间、频率）等综合分析的基础上，确定用人单位职业病危害作业关键控制点和关键防护工种。</w:t>
      </w:r>
    </w:p>
    <w:p w14:paraId="720DBB23">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确定的原则性方法见附录D。</w:t>
      </w:r>
    </w:p>
    <w:p w14:paraId="2923E7C3">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10.6 职业病危害防护设施调查与评价</w:t>
      </w:r>
    </w:p>
    <w:p w14:paraId="703DBCF8">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10.6.1 防护设施设置及运行情况</w:t>
      </w:r>
    </w:p>
    <w:p w14:paraId="0F4A7EDC">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详细调查用人单位各区域的职业病防护设施情况，列表汇总，尽量采用影像资料取证留档或作为报告附件，以更清晰地表达。</w:t>
      </w:r>
    </w:p>
    <w:p w14:paraId="143CDA3A">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10.6.2 防护设施设计能力调查与实际防护参数检测</w:t>
      </w:r>
    </w:p>
    <w:p w14:paraId="5954798F">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调查内容主要包括防尘、防毒、噪声与振动控制、防暑降温、防潮防寒、防辐射、事故通风等。工作场所职业病危害因素的浓度或强度超标时，应对防护设施的防护效果进行检测，分析超标原因。尤其对局部通风设施的防护效果相关参数进行检测，包括罩口风速、控制风速等，列表汇总，分析防护设施的有效性及其超标原因。</w:t>
      </w:r>
    </w:p>
    <w:p w14:paraId="3CD2ADE2">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10.6.3 防护设施维护情况</w:t>
      </w:r>
    </w:p>
    <w:p w14:paraId="403E161E">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收集防护设施维护保养制度以及日常维护保养的记录资料，结合现场调查进行分析评价。</w:t>
      </w:r>
    </w:p>
    <w:p w14:paraId="52F1FB0C">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10.6.4 防护设施评价</w:t>
      </w:r>
    </w:p>
    <w:p w14:paraId="30FD9B63">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对各个接触职业病危害的作业点及其设备配备的防护设施的数量、形式、使用情况、防护效果，以及防护设施的维护保养情况进行分析评价。</w:t>
      </w:r>
    </w:p>
    <w:p w14:paraId="566B6FB2">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按照GBZ1、GBZ</w:t>
      </w:r>
      <w:r>
        <w:rPr>
          <w:rFonts w:hint="eastAsia" w:ascii="宋体" w:hAnsi="Times New Roman" w:eastAsia="宋体" w:cs="Times New Roman"/>
          <w:color w:val="000000"/>
          <w:sz w:val="21"/>
          <w:szCs w:val="20"/>
          <w:lang w:val="en-US" w:eastAsia="zh-CN"/>
        </w:rPr>
        <w:t xml:space="preserve">/T </w:t>
      </w:r>
      <w:r>
        <w:rPr>
          <w:rFonts w:hint="eastAsia" w:ascii="宋体" w:hAnsi="Times New Roman" w:eastAsia="宋体" w:cs="Times New Roman"/>
          <w:color w:val="000000"/>
          <w:sz w:val="21"/>
          <w:szCs w:val="20"/>
        </w:rPr>
        <w:t>194、GB 18871和有关特定行业标准等的要求，</w:t>
      </w:r>
      <w:r>
        <w:rPr>
          <w:rFonts w:hint="eastAsia" w:ascii="宋体" w:hAnsi="Times New Roman" w:eastAsia="宋体" w:cs="Times New Roman"/>
          <w:color w:val="000000"/>
          <w:sz w:val="21"/>
          <w:szCs w:val="20"/>
          <w:lang w:eastAsia="zh-CN"/>
        </w:rPr>
        <w:t>评估</w:t>
      </w:r>
      <w:r>
        <w:rPr>
          <w:rFonts w:hint="eastAsia" w:ascii="宋体" w:hAnsi="Times New Roman" w:eastAsia="宋体" w:cs="Times New Roman"/>
          <w:color w:val="000000"/>
          <w:sz w:val="21"/>
          <w:szCs w:val="20"/>
        </w:rPr>
        <w:t>工作场所防尘、防毒、防噪、减振、防高温、防辐射等职业病防护设施的设置、维护、检修的符合性；根据职业病防护设施的调查和检测结果，结合职业病危害因素检测结果，对照GB</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T16758等相关职业卫生法规标准要求，综合分析职业病防护设施的合理性与有效性。</w:t>
      </w:r>
    </w:p>
    <w:p w14:paraId="34B96AB9">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可以采用检查表分析法。</w:t>
      </w:r>
    </w:p>
    <w:p w14:paraId="57FB9908">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10.7 职业健康现场管理调查与评价</w:t>
      </w:r>
    </w:p>
    <w:p w14:paraId="6379AC5A">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10.7.1 个人使用的职业病防护用品调查与评价</w:t>
      </w:r>
    </w:p>
    <w:p w14:paraId="333A5546">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用人单位实际配发的职业病防护用品种类、数量及参数进行调查，同时对作业场所职业病防护用品的佩戴情况进行调查记录（应包括劳动者是否正确使用情况的调查、不使用的原因调查等内容）。采用影像资料取证留档。相关调查情况汇总列表描述。</w:t>
      </w:r>
    </w:p>
    <w:p w14:paraId="0417F53D">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个人使用的职业病防护用品评价：根据劳动者职业病危害因素接触水平确定需要配备个人防护用品的岗位及人员；结合个人防护用品的现场调查情况，</w:t>
      </w:r>
      <w:r>
        <w:rPr>
          <w:rFonts w:hint="eastAsia" w:cs="Times New Roman"/>
          <w:color w:val="000000"/>
          <w:sz w:val="21"/>
          <w:szCs w:val="20"/>
          <w:lang w:eastAsia="zh-CN"/>
        </w:rPr>
        <w:t>必要时进行职业病防护用品符合性和有效性评估，</w:t>
      </w:r>
      <w:r>
        <w:rPr>
          <w:rFonts w:hint="eastAsia" w:ascii="宋体" w:hAnsi="Times New Roman" w:eastAsia="宋体" w:cs="Times New Roman"/>
          <w:color w:val="000000"/>
          <w:sz w:val="21"/>
          <w:szCs w:val="20"/>
        </w:rPr>
        <w:t>综合评价用人单位个人防护用品的选用、配备数量、维护与管理是否符合</w:t>
      </w:r>
      <w:r>
        <w:rPr>
          <w:rFonts w:hint="eastAsia" w:ascii="宋体" w:hAnsi="Times New Roman" w:eastAsia="宋体" w:cs="Times New Roman"/>
          <w:color w:val="000000"/>
          <w:szCs w:val="20"/>
          <w:lang w:val="en-US" w:eastAsia="zh-CN"/>
        </w:rPr>
        <w:t>GB 39800、</w:t>
      </w:r>
      <w:r>
        <w:rPr>
          <w:rFonts w:hint="eastAsia" w:ascii="宋体" w:hAnsi="Times New Roman" w:eastAsia="宋体" w:cs="Times New Roman"/>
          <w:color w:val="000000"/>
          <w:sz w:val="21"/>
          <w:szCs w:val="20"/>
        </w:rPr>
        <w:t xml:space="preserve"> GB</w:t>
      </w:r>
      <w:r>
        <w:rPr>
          <w:rFonts w:hint="eastAsia" w:ascii="宋体" w:hAnsi="Times New Roman" w:eastAsia="宋体" w:cs="Times New Roman"/>
          <w:color w:val="000000"/>
          <w:sz w:val="21"/>
          <w:szCs w:val="20"/>
          <w:lang w:val="en-US" w:eastAsia="zh-CN"/>
        </w:rPr>
        <w:t>/</w:t>
      </w:r>
      <w:r>
        <w:rPr>
          <w:rFonts w:hint="eastAsia" w:ascii="宋体" w:hAnsi="Times New Roman" w:eastAsia="宋体" w:cs="Times New Roman"/>
          <w:color w:val="000000"/>
          <w:sz w:val="21"/>
          <w:szCs w:val="20"/>
        </w:rPr>
        <w:t>T 11651、GB</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18664和 GB 18871 等标准及有关文件的要求。</w:t>
      </w:r>
    </w:p>
    <w:p w14:paraId="1910ECE0">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可以采用检查表分析法。</w:t>
      </w:r>
    </w:p>
    <w:p w14:paraId="21C65016">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10.7.2 职业病危害警示标识设置状况</w:t>
      </w:r>
    </w:p>
    <w:p w14:paraId="743BD564">
      <w:pPr>
        <w:pStyle w:val="12"/>
        <w:spacing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对用人单位各作业现场警示标识（警告性标识、指令性标识、告知卡、警示线等）的设置状况进行调查，相关调查情况汇总列表描述。</w:t>
      </w:r>
    </w:p>
    <w:p w14:paraId="0DD71982">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警示标识及中文警示说明评价：按照GBZ 158、GBZ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203、GBZ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225、GB 18871 及有关文件的要求对用人单位职业病危害警示标识的设置情况进行符合性描述评价。</w:t>
      </w:r>
    </w:p>
    <w:p w14:paraId="614BC9CF">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10.7.3 应急救援设施调查与评价</w:t>
      </w:r>
    </w:p>
    <w:p w14:paraId="57AAC303">
      <w:pPr>
        <w:pStyle w:val="12"/>
        <w:spacing w:line="300" w:lineRule="exact"/>
        <w:ind w:left="10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针对可导致急性职业病危害的职业病危害因素及其特点、可能发生泄漏（逸出）或聚积的工作场所，调查各类应急救援设施的种类、数量、设置地点及运行维护状况等。相关调查情况汇总列表描述。采用影像资料取证留档。</w:t>
      </w:r>
    </w:p>
    <w:p w14:paraId="5EA5FF9B">
      <w:pPr>
        <w:pStyle w:val="12"/>
        <w:spacing w:after="120" w:line="300" w:lineRule="exact"/>
        <w:ind w:left="10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应急救援设施评价：按照 GBZ 1、GBZ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194、GBZ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223、GBZ</w:t>
      </w: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T 225、GB 18871 等的要求，分析用人单位设置的应急救援设施是否具备针对性、可行性，是否满足要求。</w:t>
      </w:r>
    </w:p>
    <w:p w14:paraId="6FEB5A4D">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10.7.4 现场告知情况调查与评价</w:t>
      </w:r>
    </w:p>
    <w:p w14:paraId="504DDB85">
      <w:pPr>
        <w:pStyle w:val="12"/>
        <w:spacing w:line="300" w:lineRule="exact"/>
        <w:ind w:left="10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用人单位职业病危害告知栏的设置（包括办公区域的公告栏和工作场所的公告栏）、作业现场职业病危害因素检测浓度的告知、主要化学物料的危害特性（中文警示说明）及职业健康安全操作规程的上墙情况进行分析评价。</w:t>
      </w:r>
    </w:p>
    <w:p w14:paraId="4D6FC6A7">
      <w:pPr>
        <w:pStyle w:val="12"/>
        <w:spacing w:after="120" w:line="30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采用影像资料取证留档。</w:t>
      </w:r>
    </w:p>
    <w:p w14:paraId="3A29767A">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10.7.5 现场清洁整齐度调查与评价</w:t>
      </w:r>
    </w:p>
    <w:p w14:paraId="698BE7DE">
      <w:pPr>
        <w:pStyle w:val="12"/>
        <w:spacing w:line="300" w:lineRule="exact"/>
        <w:ind w:left="100"/>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对作业现场物件堆放是否有序，墙面、地面、设备表面的积尘和积灰情况进行调查，查看清洁卫生制度及其落实情况，对是否造成二次污染或二次扬尘进行评价。</w:t>
      </w:r>
    </w:p>
    <w:p w14:paraId="361AD5FC">
      <w:pPr>
        <w:pStyle w:val="12"/>
        <w:spacing w:line="300" w:lineRule="exact"/>
        <w:ind w:left="100"/>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对于存在的问题附图片证实。</w:t>
      </w:r>
      <w:r>
        <w:rPr>
          <w:rFonts w:hint="eastAsia" w:ascii="宋体" w:hAnsi="Times New Roman" w:eastAsia="宋体" w:cs="Times New Roman"/>
          <w:color w:val="000000"/>
          <w:sz w:val="21"/>
          <w:szCs w:val="20"/>
        </w:rPr>
        <w:tab/>
      </w:r>
    </w:p>
    <w:p w14:paraId="0BDDD8F7">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10.8 职业健康监护情况分析与评价</w:t>
      </w:r>
    </w:p>
    <w:p w14:paraId="724D5A5E">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10.8.1 职业健康监护管理情况</w:t>
      </w:r>
    </w:p>
    <w:p w14:paraId="0D57A5EE">
      <w:pPr>
        <w:pStyle w:val="12"/>
        <w:spacing w:line="380" w:lineRule="exact"/>
        <w:ind w:firstLineChars="15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w:t>
      </w:r>
      <w:r>
        <w:rPr>
          <w:rFonts w:hint="eastAsia" w:ascii="宋体" w:hAnsi="Times New Roman" w:eastAsia="宋体" w:cs="Times New Roman"/>
          <w:color w:val="000000"/>
          <w:sz w:val="21"/>
          <w:szCs w:val="20"/>
          <w:lang w:eastAsia="zh-CN"/>
        </w:rPr>
        <w:t>询</w:t>
      </w:r>
      <w:r>
        <w:rPr>
          <w:rFonts w:hint="eastAsia" w:ascii="宋体" w:hAnsi="Times New Roman" w:eastAsia="宋体" w:cs="Times New Roman"/>
          <w:color w:val="000000"/>
          <w:sz w:val="21"/>
          <w:szCs w:val="20"/>
        </w:rPr>
        <w:t>用人单位</w:t>
      </w:r>
      <w:r>
        <w:rPr>
          <w:rFonts w:hint="eastAsia" w:ascii="宋体" w:hAnsi="Times New Roman" w:eastAsia="宋体" w:cs="Times New Roman"/>
          <w:color w:val="000000"/>
          <w:sz w:val="21"/>
          <w:szCs w:val="20"/>
          <w:lang w:eastAsia="zh-CN"/>
        </w:rPr>
        <w:t>近</w:t>
      </w:r>
      <w:r>
        <w:rPr>
          <w:rFonts w:hint="eastAsia" w:ascii="宋体" w:hAnsi="Times New Roman" w:eastAsia="宋体" w:cs="Times New Roman"/>
          <w:color w:val="000000"/>
          <w:sz w:val="21"/>
          <w:szCs w:val="20"/>
          <w:lang w:val="en-US" w:eastAsia="zh-CN"/>
        </w:rPr>
        <w:t>3年来接触有毒有害岗位人员流动情况；了解</w:t>
      </w:r>
      <w:r>
        <w:rPr>
          <w:rFonts w:hint="eastAsia" w:ascii="宋体" w:hAnsi="Times New Roman" w:eastAsia="宋体" w:cs="Times New Roman"/>
          <w:color w:val="000000"/>
          <w:sz w:val="21"/>
          <w:szCs w:val="20"/>
        </w:rPr>
        <w:t>职业健康监护管理制度的落实情况以及职业健康监护档案的建立情况。</w:t>
      </w:r>
    </w:p>
    <w:p w14:paraId="149EC90A">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10.8.2 职业健康检查结果分析</w:t>
      </w:r>
    </w:p>
    <w:p w14:paraId="44A6A245">
      <w:pPr>
        <w:pStyle w:val="12"/>
        <w:spacing w:line="300" w:lineRule="exact"/>
        <w:ind w:left="10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收集用人单位近3年（必要时向前延伸）的职业健康检查报告，对每次职业健康检查单位资质以及职业健康检查报告的规范性、劳动者个人体检表记录的完整性，工种接触职业病危害因素应检人数、应检项目、实检人数和实检项目进行核查分析，并将职业健康检查结果进行汇总。</w:t>
      </w:r>
    </w:p>
    <w:p w14:paraId="24DB4D2C">
      <w:pPr>
        <w:pStyle w:val="12"/>
        <w:spacing w:after="120" w:line="260" w:lineRule="exact"/>
        <w:ind w:left="100"/>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分析评价用人单位职业健康检查率、检查项目和复查落实等情况，对于职业健康检查结果异常的情况，应结合劳动者作业岗位及其接触的职业病危害因素，分析结果异常原因及与作业活动的关联度。</w:t>
      </w:r>
    </w:p>
    <w:p w14:paraId="00774C71">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10.8.3 职业禁忌证、疑似职业病和职业病病人的处置</w:t>
      </w:r>
    </w:p>
    <w:p w14:paraId="6E25567F">
      <w:pPr>
        <w:spacing w:after="120" w:line="300" w:lineRule="exact"/>
        <w:ind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查阅资料，跟踪职业健康检查复查情况，对职业健康检查或职业病诊断发现的职业禁忌证、疑似职业病病人和职业病病人的处置情况，并分析处置是否符合职业病防治法相关要求。</w:t>
      </w:r>
    </w:p>
    <w:p w14:paraId="21823989">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10.8.4 职业健康监护情况评价</w:t>
      </w:r>
    </w:p>
    <w:p w14:paraId="697D5269">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综合上述调查分析情况，对用人单位职业健康监护情况是否符合GBZ 188及相关标准的要求进行描述性总结评价，指出存在的问题。</w:t>
      </w:r>
    </w:p>
    <w:p w14:paraId="2B423BEC">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10.9 辅助用室调查与评价</w:t>
      </w:r>
    </w:p>
    <w:p w14:paraId="6A821803">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10.9.1 辅助用室现场调查</w:t>
      </w:r>
    </w:p>
    <w:p w14:paraId="39972061">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列表对用人单位工作场所办公室、生产卫生室（浴室、存衣室、盥洗室、洗衣房），生活室（休息室、食堂、厕所），妇女卫生室、医务室等辅助用室进行调查描述。</w:t>
      </w:r>
    </w:p>
    <w:p w14:paraId="3F7DECD6">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10.9.2 辅助用室评价</w:t>
      </w:r>
    </w:p>
    <w:p w14:paraId="350298D6">
      <w:pPr>
        <w:pStyle w:val="12"/>
        <w:spacing w:after="120"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对照GBZ 1等相关职业卫生法规标准要求，结合用人单位人员变化情况，评价用人单位工作场所办公室、生产卫生室（浴室、存衣室、盥洗室、洗衣房）、生活室（休息室、食堂、厕所）、妇女卫生室、医务室等辅助用室的符合性。</w:t>
      </w:r>
    </w:p>
    <w:p w14:paraId="4BDBA4EB">
      <w:pPr>
        <w:pStyle w:val="12"/>
        <w:spacing w:after="120"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可以运用检查表分析法。</w:t>
      </w:r>
    </w:p>
    <w:p w14:paraId="02F9EB96">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000000"/>
          <w:sz w:val="21"/>
          <w:szCs w:val="20"/>
        </w:rPr>
      </w:pPr>
      <w:r>
        <w:rPr>
          <w:rFonts w:hint="eastAsia" w:ascii="黑体" w:hAnsi="Times New Roman" w:eastAsia="黑体" w:cs="Times New Roman"/>
          <w:b w:val="0"/>
          <w:color w:val="000000"/>
          <w:sz w:val="21"/>
          <w:szCs w:val="20"/>
        </w:rPr>
        <w:t>10.10 职业健康管理情况调查与评价</w:t>
      </w:r>
    </w:p>
    <w:p w14:paraId="73F07AB3">
      <w:pPr>
        <w:pStyle w:val="12"/>
        <w:spacing w:after="120" w:line="30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首次评价重点是管理机构和制度的建立及完善情况，以及运行和落实情况。非首次评价着重体系和制度的持续改进情况以及执行情况，收集体系运行记录，作出分析评价。</w:t>
      </w:r>
    </w:p>
    <w:p w14:paraId="67992D1B">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10.10.1 职业健康管理组织机构及人员</w:t>
      </w:r>
    </w:p>
    <w:p w14:paraId="677AFBDF">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查阅用人单位职业健康管理组织机构及人员资料，核实主要负责人和职业健康管理人员培训情况，根据单位规模、职业病危害风险类别、接触人数等分析评价该单位职业健康管理机构及人员配置的合理性。</w:t>
      </w:r>
    </w:p>
    <w:p w14:paraId="6F1CF4BA">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10.10.2 职业病防治计划、实施方案及执行情况</w:t>
      </w:r>
    </w:p>
    <w:p w14:paraId="20F7E4D6">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查阅年度职业病防治计划、实施方案及执行情况资料，分析评价符合性和有效性。</w:t>
      </w:r>
    </w:p>
    <w:p w14:paraId="5304E236">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10.10.3 职业健康管理制度与操作规程及执行情况</w:t>
      </w:r>
    </w:p>
    <w:p w14:paraId="58CB3735">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查阅是否依据各类规范性文件要求</w:t>
      </w:r>
      <w:r>
        <w:rPr>
          <w:rFonts w:hint="eastAsia" w:ascii="宋体" w:hAnsi="Times New Roman" w:eastAsia="宋体" w:cs="Times New Roman"/>
          <w:color w:val="000000"/>
          <w:sz w:val="21"/>
          <w:szCs w:val="20"/>
          <w:lang w:eastAsia="zh-CN"/>
        </w:rPr>
        <w:t>建立</w:t>
      </w:r>
      <w:r>
        <w:rPr>
          <w:rFonts w:hint="eastAsia" w:ascii="宋体" w:hAnsi="Times New Roman" w:eastAsia="宋体" w:cs="Times New Roman"/>
          <w:color w:val="000000"/>
          <w:sz w:val="21"/>
          <w:szCs w:val="20"/>
        </w:rPr>
        <w:t>完善的职业健康管理制度和岗位职业健康安全操作规程，核实制度落实的各类记录资料，分析评价其符合性和有效性。</w:t>
      </w:r>
    </w:p>
    <w:p w14:paraId="0C4CA826">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10.10.4 职业病危害因素定期检测制度及执行情况</w:t>
      </w:r>
    </w:p>
    <w:p w14:paraId="15D726AA">
      <w:pPr>
        <w:pStyle w:val="12"/>
        <w:spacing w:after="12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查阅制度，核实制度是否明确执行部门、经费、具体实施计划；收集查阅历年检测资料，分析评价制度的完善情况及其落实情况。</w:t>
      </w:r>
    </w:p>
    <w:p w14:paraId="5FE67634">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10.10.5 职业病危害的告知情况</w:t>
      </w:r>
    </w:p>
    <w:p w14:paraId="5BD8358B">
      <w:pPr>
        <w:pStyle w:val="12"/>
        <w:spacing w:after="100" w:line="32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查阅资料，核实用人单位是否在签订劳动合同时告知了岗位接触的职业病危害因素名称及其可能的危害、防护措施及待遇等内容，告知形式是否合适；核实用人单位是否告知了相关岗位职业病危害因素</w:t>
      </w:r>
      <w:r>
        <w:rPr>
          <w:rFonts w:hint="eastAsia" w:ascii="宋体" w:hAnsi="Times New Roman" w:eastAsia="宋体" w:cs="Times New Roman"/>
          <w:color w:val="000000"/>
          <w:sz w:val="21"/>
          <w:szCs w:val="20"/>
          <w:lang w:eastAsia="zh-CN"/>
        </w:rPr>
        <w:t>及其检测浓度</w:t>
      </w:r>
      <w:r>
        <w:rPr>
          <w:rFonts w:hint="eastAsia" w:ascii="宋体" w:hAnsi="Times New Roman" w:eastAsia="宋体" w:cs="Times New Roman"/>
          <w:color w:val="000000"/>
          <w:sz w:val="21"/>
          <w:szCs w:val="20"/>
        </w:rPr>
        <w:t>，是否通过培训等方式告知劳动者拥有的权利及义务；核实用人单位是否及时将职业健康检查结果及职业健康检查机构的建议以书面形式如实告知劳动者；就相关情况进行分析评价。</w:t>
      </w:r>
    </w:p>
    <w:p w14:paraId="5B9CFA46">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10.10.6 职业健康培训情况</w:t>
      </w:r>
    </w:p>
    <w:p w14:paraId="0584261A">
      <w:pPr>
        <w:pStyle w:val="12"/>
        <w:spacing w:line="32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用人单位的职业健康培训制度；查阅用人单位负责人、职业健康管理人员依据国家有关规定接受的培训及取证情况；查阅用人单位针对接触职业病危害劳动者上岗前、在岗期间开展培训工作的培训教材、培训记录以及考卷等资料。</w:t>
      </w:r>
    </w:p>
    <w:p w14:paraId="65A233A9">
      <w:pPr>
        <w:pStyle w:val="12"/>
        <w:spacing w:after="100" w:line="30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对用人单位的职业健康培训制度的适宜性进行分析评价；对用人单位负责人、职业健康管理人员的培训取证情况进行分析评价；对用人单位针对接触职业病危害劳动者上岗前、在岗期间开展的培训情况进行分析评价，包括是否制定培训计划、培训内容是否根据行业和岗位特点及满足法律法规等的要求、培训学时是否满足要求、培训对象及人数是否全覆盖等进行分析评价。</w:t>
      </w:r>
    </w:p>
    <w:p w14:paraId="5D58D51F">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10.10.7 职业健康监护制度及执行情况</w:t>
      </w:r>
    </w:p>
    <w:p w14:paraId="778C5363">
      <w:pPr>
        <w:pStyle w:val="12"/>
        <w:spacing w:after="100" w:line="32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制度，核实制度是否明确执行部门、经费、具体实施计划；收集查阅历年职业健康监护资料，核实制度的完善情况及其落实情况，对职业病危害因素识别、职业健康检查机构、检查项目选择的正确性等进行分析评价。</w:t>
      </w:r>
    </w:p>
    <w:p w14:paraId="1A360D6A">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10.10.8 个体防护用品配置及使用情况</w:t>
      </w:r>
    </w:p>
    <w:p w14:paraId="6896B214">
      <w:pPr>
        <w:pStyle w:val="12"/>
        <w:spacing w:line="32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查阅制度，核实制度是否明确执行部门、经费、具体实施计划；收集查阅近3年个体防护用品日常发放台账以及用人单位日常监督检查的记录资料；查阅个体防护用品的采购证明及相关合格证书。</w:t>
      </w:r>
    </w:p>
    <w:p w14:paraId="53CF8C63">
      <w:pPr>
        <w:pStyle w:val="12"/>
        <w:spacing w:after="100" w:line="32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综合调查情况，对个体防护用品的购买、发放和用人单位日常监督检查职工佩戴情况进行分析评价。</w:t>
      </w:r>
    </w:p>
    <w:p w14:paraId="64736584">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10.10.9 职业病危害事故应急救援预案及演练情况</w:t>
      </w:r>
    </w:p>
    <w:p w14:paraId="101E13EA">
      <w:pPr>
        <w:pStyle w:val="12"/>
        <w:spacing w:after="100" w:line="320" w:lineRule="exac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查阅职业病危害事故应急救援预案，核实预案执行部门及演练情况等。对事故应急救援预案的完善及其落实情况等进行分析评价。</w:t>
      </w:r>
    </w:p>
    <w:p w14:paraId="307B4D49">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10.10.10 职业病危害申报情况</w:t>
      </w:r>
    </w:p>
    <w:p w14:paraId="7A0E455F">
      <w:pPr>
        <w:pStyle w:val="12"/>
        <w:spacing w:after="100" w:line="320" w:lineRule="exact"/>
        <w:jc w:val="left"/>
        <w:rPr>
          <w:rFonts w:hint="eastAsia" w:ascii="宋体" w:hAnsi="Times New Roman" w:eastAsia="宋体" w:cs="Times New Roman"/>
          <w:sz w:val="21"/>
          <w:szCs w:val="20"/>
        </w:rPr>
      </w:pPr>
      <w:r>
        <w:rPr>
          <w:rFonts w:hint="eastAsia" w:ascii="宋体" w:hAnsi="Times New Roman" w:eastAsia="宋体" w:cs="Times New Roman"/>
          <w:color w:val="000000"/>
          <w:sz w:val="21"/>
          <w:szCs w:val="20"/>
        </w:rPr>
        <w:t>查阅申报回执，核实用人单位是否及时、如实申报职业病危害项目，如存在问题提出整改建议。</w:t>
      </w:r>
    </w:p>
    <w:p w14:paraId="7448BA08">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10.10.11 职业健康档案管理</w:t>
      </w:r>
    </w:p>
    <w:p w14:paraId="2072B419">
      <w:pPr>
        <w:pStyle w:val="12"/>
        <w:spacing w:after="1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查阅职业健康档案资料，</w:t>
      </w:r>
      <w:r>
        <w:rPr>
          <w:rFonts w:hint="eastAsia" w:ascii="宋体" w:hAnsi="Times New Roman" w:eastAsia="宋体" w:cs="Times New Roman"/>
          <w:color w:val="000000"/>
          <w:sz w:val="21"/>
          <w:szCs w:val="20"/>
          <w:lang w:eastAsia="zh-CN"/>
        </w:rPr>
        <w:t>主</w:t>
      </w:r>
      <w:r>
        <w:rPr>
          <w:rFonts w:hint="eastAsia" w:ascii="宋体" w:hAnsi="Times New Roman" w:eastAsia="宋体" w:cs="Times New Roman"/>
          <w:color w:val="000000"/>
          <w:sz w:val="21"/>
          <w:szCs w:val="20"/>
        </w:rPr>
        <w:t xml:space="preserve">要包括： </w:t>
      </w:r>
    </w:p>
    <w:p w14:paraId="58393F96">
      <w:pPr>
        <w:pStyle w:val="12"/>
        <w:spacing w:after="1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建设项目职业病防护设施“三同时”档案；</w:t>
      </w:r>
    </w:p>
    <w:p w14:paraId="22EF5BFF">
      <w:pPr>
        <w:pStyle w:val="12"/>
        <w:spacing w:after="1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职业健康管理档案：</w:t>
      </w:r>
      <w:r>
        <w:rPr>
          <w:rFonts w:hint="eastAsia" w:ascii="宋体" w:hAnsi="Times New Roman" w:eastAsia="宋体" w:cs="Times New Roman"/>
          <w:color w:val="000000"/>
          <w:sz w:val="21"/>
          <w:szCs w:val="20"/>
        </w:rPr>
        <w:tab/>
      </w:r>
      <w:r>
        <w:rPr>
          <w:rFonts w:hint="eastAsia" w:ascii="宋体" w:hAnsi="Times New Roman" w:eastAsia="宋体" w:cs="Times New Roman"/>
          <w:color w:val="000000"/>
          <w:sz w:val="21"/>
          <w:szCs w:val="20"/>
        </w:rPr>
        <w:t xml:space="preserve"> </w:t>
      </w:r>
    </w:p>
    <w:p w14:paraId="55268876">
      <w:pPr>
        <w:pStyle w:val="12"/>
        <w:spacing w:after="1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职业健康宣传培训档案；</w:t>
      </w:r>
    </w:p>
    <w:p w14:paraId="1E717CBD">
      <w:pPr>
        <w:pStyle w:val="12"/>
        <w:spacing w:after="100"/>
        <w:ind w:firstLineChars="200"/>
        <w:jc w:val="left"/>
        <w:rPr>
          <w:rFonts w:hint="eastAsia" w:ascii="宋体" w:hAnsi="Times New Roman" w:eastAsia="宋体" w:cs="Times New Roman"/>
          <w:color w:val="000000"/>
          <w:sz w:val="21"/>
          <w:szCs w:val="20"/>
        </w:rPr>
      </w:pPr>
      <w:r>
        <w:rPr>
          <w:rFonts w:hint="eastAsia" w:ascii="宋体" w:hAnsi="Times New Roman" w:eastAsia="宋体" w:cs="Times New Roman"/>
          <w:sz w:val="21"/>
          <w:szCs w:val="20"/>
          <w:lang w:val="en-US" w:eastAsia="zh-CN"/>
        </w:rPr>
        <w:t>--</w:t>
      </w:r>
      <w:r>
        <w:rPr>
          <w:rFonts w:hint="eastAsia" w:ascii="宋体" w:hAnsi="Times New Roman" w:eastAsia="宋体" w:cs="Times New Roman"/>
          <w:color w:val="000000"/>
          <w:sz w:val="21"/>
          <w:szCs w:val="20"/>
        </w:rPr>
        <w:t>职业病危害因素监测与检测评价档案；</w:t>
      </w:r>
    </w:p>
    <w:p w14:paraId="6F6557E7">
      <w:pPr>
        <w:pStyle w:val="12"/>
        <w:spacing w:after="1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用人单位职业健康监护管理档案；</w:t>
      </w:r>
    </w:p>
    <w:p w14:paraId="63745279">
      <w:pPr>
        <w:pStyle w:val="12"/>
        <w:spacing w:after="1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劳动者个人职业健康监护管理档案；</w:t>
      </w:r>
    </w:p>
    <w:p w14:paraId="34C78FDE">
      <w:pPr>
        <w:pStyle w:val="12"/>
        <w:spacing w:after="100"/>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法律、行政法规、规章要求的其他资料文件。</w:t>
      </w:r>
    </w:p>
    <w:p w14:paraId="11EA17EC">
      <w:pPr>
        <w:pStyle w:val="12"/>
        <w:spacing w:after="100"/>
        <w:jc w:val="left"/>
        <w:rPr>
          <w:rFonts w:hint="eastAsia" w:asciiTheme="minorEastAsia" w:hAnsiTheme="minorEastAsia" w:eastAsiaTheme="minorEastAsia" w:cstheme="minorEastAsia"/>
          <w:color w:val="000000"/>
          <w:sz w:val="21"/>
          <w:szCs w:val="21"/>
        </w:rPr>
      </w:pPr>
      <w:r>
        <w:rPr>
          <w:rFonts w:hint="eastAsia" w:ascii="宋体" w:hAnsi="Times New Roman" w:eastAsia="宋体" w:cs="Times New Roman"/>
          <w:color w:val="000000"/>
          <w:sz w:val="21"/>
          <w:szCs w:val="20"/>
        </w:rPr>
        <w:t>评价用人单位职业健康档案的完整性及完善程度是否符合国家有关规定。</w:t>
      </w:r>
    </w:p>
    <w:p w14:paraId="1A0E4147">
      <w:pPr>
        <w:keepNext w:val="0"/>
        <w:keepLines w:val="0"/>
        <w:pageBreakBefore w:val="0"/>
        <w:widowControl/>
        <w:kinsoku/>
        <w:wordWrap/>
        <w:overflowPunct/>
        <w:topLinePunct w:val="0"/>
        <w:autoSpaceDE/>
        <w:autoSpaceDN/>
        <w:bidi w:val="0"/>
        <w:adjustRightInd/>
        <w:snapToGrid/>
        <w:spacing w:before="0" w:beforeLines="50" w:after="0" w:afterLines="50" w:line="280" w:lineRule="exact"/>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10.10.12 职业病危害防治经费</w:t>
      </w:r>
    </w:p>
    <w:p w14:paraId="4BB9200C">
      <w:pPr>
        <w:pStyle w:val="12"/>
        <w:spacing w:after="100" w:line="32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描述用人单位近一年职业病危害防治经费的投入明细，应该包括职业病防护设施配置、防护设施维护保养、职业病危害因素检测、职业健康检查、职业健康培训、个体防护用品配置、工伤保险、生活福利等费用，评价其合理性。</w:t>
      </w:r>
    </w:p>
    <w:p w14:paraId="53DD5D91">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bCs w:val="0"/>
          <w:sz w:val="21"/>
          <w:szCs w:val="20"/>
        </w:rPr>
      </w:pPr>
      <w:r>
        <w:rPr>
          <w:rFonts w:hint="eastAsia" w:ascii="黑体" w:hAnsi="Times New Roman" w:eastAsia="黑体" w:cs="Times New Roman"/>
          <w:b w:val="0"/>
          <w:bCs w:val="0"/>
          <w:color w:val="000000"/>
          <w:sz w:val="21"/>
          <w:szCs w:val="20"/>
        </w:rPr>
        <w:t>10.11 健康监护结果与检测结果关联性分析</w:t>
      </w:r>
    </w:p>
    <w:p w14:paraId="16F8F617">
      <w:pPr>
        <w:pStyle w:val="12"/>
        <w:spacing w:after="100" w:line="32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对收集的用人单位近3年（必要时向前延伸）的职业健康检查报告和定期检测结果（或评价报告中检测结果）进行系统分析和关联性分析，得出用人单位的职业病危害趋势和风险。</w:t>
      </w:r>
    </w:p>
    <w:p w14:paraId="18AF7D46">
      <w:pPr>
        <w:keepNext w:val="0"/>
        <w:keepLines w:val="0"/>
        <w:pageBreakBefore w:val="0"/>
        <w:widowControl/>
        <w:kinsoku/>
        <w:wordWrap/>
        <w:overflowPunct/>
        <w:topLinePunct w:val="0"/>
        <w:autoSpaceDE/>
        <w:autoSpaceDN/>
        <w:bidi w:val="0"/>
        <w:adjustRightInd/>
        <w:snapToGrid/>
        <w:spacing w:before="0" w:beforeLines="50" w:after="0" w:afterLines="50" w:line="280" w:lineRule="exact"/>
        <w:ind w:firstLine="0"/>
        <w:jc w:val="left"/>
        <w:textAlignment w:val="auto"/>
        <w:rPr>
          <w:rFonts w:hint="eastAsia" w:ascii="黑体" w:hAnsi="Times New Roman" w:eastAsia="黑体" w:cs="Times New Roman"/>
          <w:kern w:val="0"/>
          <w:sz w:val="21"/>
          <w:szCs w:val="20"/>
        </w:rPr>
      </w:pPr>
      <w:r>
        <w:rPr>
          <w:rFonts w:hint="eastAsia" w:ascii="黑体" w:hAnsi="Times New Roman" w:eastAsia="黑体" w:cs="Times New Roman"/>
          <w:b w:val="0"/>
          <w:color w:val="auto"/>
          <w:kern w:val="0"/>
          <w:sz w:val="21"/>
          <w:szCs w:val="20"/>
        </w:rPr>
        <w:t>10.11.1 职业健康监护数据分析</w:t>
      </w:r>
    </w:p>
    <w:p w14:paraId="0C2DC24E">
      <w:pPr>
        <w:pStyle w:val="12"/>
        <w:spacing w:after="100" w:line="32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以同一个体为基础，追查历年各项体检指标变化情况。重点是针对复查病人、疑似职业病人、职业病人。</w:t>
      </w:r>
    </w:p>
    <w:p w14:paraId="1B4FC86A">
      <w:pPr>
        <w:keepNext w:val="0"/>
        <w:keepLines w:val="0"/>
        <w:pageBreakBefore w:val="0"/>
        <w:widowControl/>
        <w:kinsoku/>
        <w:wordWrap/>
        <w:overflowPunct/>
        <w:topLinePunct w:val="0"/>
        <w:autoSpaceDE/>
        <w:autoSpaceDN/>
        <w:bidi w:val="0"/>
        <w:adjustRightInd/>
        <w:snapToGrid/>
        <w:spacing w:before="0" w:beforeLines="50" w:after="0" w:afterLines="50" w:line="280" w:lineRule="exact"/>
        <w:ind w:firstLine="0"/>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10.11.2 检测数据分析</w:t>
      </w:r>
    </w:p>
    <w:p w14:paraId="61081497">
      <w:pPr>
        <w:pStyle w:val="12"/>
        <w:spacing w:after="100" w:line="32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要求以作业点为基础，列表统计分析近3年（必要时向前延伸）定期检测数据（或评价报告中检测数据），绘制浓度或强度变化曲线。</w:t>
      </w:r>
    </w:p>
    <w:p w14:paraId="33C2C61C">
      <w:pPr>
        <w:pStyle w:val="12"/>
        <w:spacing w:after="100" w:line="320" w:lineRule="exact"/>
        <w:rPr>
          <w:rFonts w:hint="eastAsia" w:ascii="宋体" w:hAnsi="Times New Roman" w:eastAsia="宋体" w:cs="Times New Roman"/>
          <w:color w:val="000000"/>
          <w:sz w:val="21"/>
          <w:szCs w:val="20"/>
        </w:rPr>
      </w:pPr>
      <w:r>
        <w:rPr>
          <w:rFonts w:hint="eastAsia" w:ascii="宋体" w:hAnsi="Times New Roman" w:eastAsia="宋体" w:cs="Times New Roman"/>
          <w:color w:val="000000"/>
          <w:sz w:val="21"/>
          <w:szCs w:val="20"/>
        </w:rPr>
        <w:t>分析每年职业病危害因素识别科学性、检测布点合理性、方法选择正确性等，注意分析评价相同或不同季节、气候、工况、采样时段等情况检测数据的规律性变化，做出卫生学评价。</w:t>
      </w:r>
    </w:p>
    <w:p w14:paraId="10A9FD20">
      <w:pPr>
        <w:keepNext w:val="0"/>
        <w:keepLines w:val="0"/>
        <w:pageBreakBefore w:val="0"/>
        <w:widowControl/>
        <w:kinsoku/>
        <w:wordWrap/>
        <w:overflowPunct/>
        <w:topLinePunct w:val="0"/>
        <w:autoSpaceDE/>
        <w:autoSpaceDN/>
        <w:bidi w:val="0"/>
        <w:adjustRightInd/>
        <w:snapToGrid/>
        <w:spacing w:before="0" w:beforeLines="50" w:after="0" w:afterLines="50" w:line="280" w:lineRule="exact"/>
        <w:ind w:firstLine="0"/>
        <w:jc w:val="left"/>
        <w:textAlignment w:val="auto"/>
        <w:rPr>
          <w:rFonts w:hint="eastAsia" w:ascii="黑体" w:hAnsi="Times New Roman" w:eastAsia="黑体" w:cs="Times New Roman"/>
          <w:b w:val="0"/>
          <w:color w:val="auto"/>
          <w:kern w:val="0"/>
          <w:sz w:val="21"/>
          <w:szCs w:val="20"/>
        </w:rPr>
      </w:pPr>
      <w:r>
        <w:rPr>
          <w:rFonts w:hint="eastAsia" w:ascii="黑体" w:hAnsi="Times New Roman" w:eastAsia="黑体" w:cs="Times New Roman"/>
          <w:b w:val="0"/>
          <w:color w:val="auto"/>
          <w:kern w:val="0"/>
          <w:sz w:val="21"/>
          <w:szCs w:val="20"/>
        </w:rPr>
        <w:t>10.11.3 健康监护结果与检测结果关联性分析</w:t>
      </w:r>
      <w:r>
        <w:rPr>
          <w:rFonts w:hint="eastAsia" w:ascii="黑体" w:hAnsi="Times New Roman" w:eastAsia="黑体" w:cs="Times New Roman"/>
          <w:b w:val="0"/>
          <w:color w:val="auto"/>
          <w:kern w:val="0"/>
          <w:sz w:val="21"/>
          <w:szCs w:val="20"/>
          <w:lang w:eastAsia="zh-CN"/>
        </w:rPr>
        <w:t>－</w:t>
      </w:r>
      <w:r>
        <w:rPr>
          <w:rFonts w:hint="eastAsia" w:ascii="黑体" w:hAnsi="Times New Roman" w:eastAsia="黑体" w:cs="Times New Roman"/>
          <w:b w:val="0"/>
          <w:color w:val="auto"/>
          <w:kern w:val="0"/>
          <w:sz w:val="21"/>
          <w:szCs w:val="20"/>
        </w:rPr>
        <w:t>职业健康风险（趋势）评估</w:t>
      </w:r>
    </w:p>
    <w:p w14:paraId="5929DFF9">
      <w:pPr>
        <w:pStyle w:val="12"/>
        <w:spacing w:after="0" w:line="240" w:lineRule="auto"/>
        <w:jc w:val="left"/>
        <w:rPr>
          <w:rFonts w:hint="eastAsia" w:ascii="宋体" w:hAnsi="Times New Roman" w:eastAsia="宋体" w:cs="Times New Roman"/>
          <w:color w:val="000000"/>
          <w:sz w:val="21"/>
          <w:szCs w:val="20"/>
        </w:rPr>
      </w:pPr>
      <w:r>
        <w:rPr>
          <w:rFonts w:hint="eastAsia" w:ascii="宋体" w:hAnsi="Times New Roman" w:eastAsia="宋体" w:cs="Times New Roman"/>
          <w:color w:val="000000"/>
          <w:szCs w:val="20"/>
          <w:lang w:val="en-US" w:eastAsia="zh-CN"/>
        </w:rPr>
        <w:t>根据接触职业病危害因素的理化性质和发生(放散)特点、职业病防护设施设置、现场职业卫生管理以及作业点的检测数据变化趋势结合作业点上作业人员各项体检指标变化趋势，分析确定用人单位的职业病危害趋势和风险，提示用人单位重点关注和防范。</w:t>
      </w:r>
    </w:p>
    <w:p w14:paraId="4EF7DCCD">
      <w:pPr>
        <w:pStyle w:val="28"/>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240" w:lineRule="auto"/>
        <w:jc w:val="left"/>
        <w:textAlignment w:val="auto"/>
        <w:rPr>
          <w:rFonts w:hint="eastAsia" w:ascii="黑体" w:hAnsi="Times New Roman" w:eastAsia="黑体" w:cs="Times New Roman"/>
          <w:b w:val="0"/>
          <w:color w:val="auto"/>
          <w:sz w:val="21"/>
          <w:szCs w:val="20"/>
        </w:rPr>
      </w:pPr>
      <w:r>
        <w:rPr>
          <w:rFonts w:hint="eastAsia" w:ascii="黑体" w:hAnsi="Times New Roman" w:eastAsia="黑体" w:cs="Times New Roman"/>
          <w:b w:val="0"/>
          <w:color w:val="auto"/>
          <w:sz w:val="21"/>
          <w:szCs w:val="20"/>
        </w:rPr>
        <w:t>10.12 职业病危害综合风险评估</w:t>
      </w:r>
    </w:p>
    <w:p w14:paraId="64C463BE">
      <w:pPr>
        <w:pStyle w:val="12"/>
        <w:spacing w:line="300" w:lineRule="exact"/>
        <w:ind w:left="120"/>
        <w:jc w:val="left"/>
        <w:rPr>
          <w:rFonts w:hint="eastAsia" w:ascii="宋体" w:hAnsi="Times New Roman" w:eastAsia="宋体" w:cs="Times New Roman"/>
          <w:color w:val="auto"/>
          <w:sz w:val="21"/>
          <w:szCs w:val="20"/>
        </w:rPr>
      </w:pPr>
      <w:r>
        <w:rPr>
          <w:rFonts w:hint="eastAsia" w:ascii="宋体" w:hAnsi="Times New Roman" w:eastAsia="宋体" w:cs="Times New Roman"/>
          <w:color w:val="auto"/>
          <w:sz w:val="21"/>
          <w:szCs w:val="20"/>
        </w:rPr>
        <w:t>据用人单位劳动者接触职业病危害因素性质、接触水平、接触人数等指标，判定用人单位职业病危害风险分级。通过查阅文件、资料和现场核实等方法对用人单位职业卫生管理状况进行检查，并分级。</w:t>
      </w:r>
    </w:p>
    <w:p w14:paraId="30DABCFF">
      <w:pPr>
        <w:pStyle w:val="12"/>
        <w:spacing w:line="300" w:lineRule="exact"/>
        <w:ind w:left="120"/>
        <w:jc w:val="left"/>
        <w:rPr>
          <w:rFonts w:hint="eastAsia" w:ascii="宋体" w:hAnsi="Times New Roman" w:eastAsia="宋体" w:cs="Times New Roman"/>
          <w:color w:val="auto"/>
          <w:sz w:val="21"/>
          <w:szCs w:val="20"/>
        </w:rPr>
      </w:pPr>
      <w:r>
        <w:rPr>
          <w:rFonts w:hint="eastAsia" w:ascii="宋体" w:hAnsi="Times New Roman" w:eastAsia="宋体" w:cs="Times New Roman"/>
          <w:color w:val="auto"/>
          <w:sz w:val="21"/>
          <w:szCs w:val="20"/>
        </w:rPr>
        <w:t>根据用人单位职业病危害风险分级和职业卫生管理状况分级结果评估职业病危害综合风险类别，分为甲类、乙类和丙类三类风险，其中甲类风险最低，丙类风险最高。</w:t>
      </w:r>
    </w:p>
    <w:p w14:paraId="256D9805">
      <w:pPr>
        <w:pStyle w:val="28"/>
        <w:numPr>
          <w:ilvl w:val="0"/>
          <w:numId w:val="0"/>
        </w:numPr>
        <w:spacing w:before="156" w:after="156"/>
        <w:rPr>
          <w:rFonts w:hint="eastAsia" w:ascii="黑体" w:hAnsi="Times New Roman" w:eastAsia="黑体" w:cs="Times New Roman"/>
          <w:b w:val="0"/>
          <w:i w:val="0"/>
          <w:sz w:val="21"/>
          <w:lang w:val="en-US" w:eastAsia="zh-CN" w:bidi="ar-SA"/>
        </w:rPr>
      </w:pPr>
      <w:r>
        <w:rPr>
          <w:rFonts w:hint="eastAsia" w:ascii="黑体" w:hAnsi="Times New Roman" w:eastAsia="黑体" w:cs="Times New Roman"/>
          <w:b w:val="0"/>
          <w:i w:val="0"/>
          <w:sz w:val="21"/>
          <w:lang w:val="en-US" w:eastAsia="zh-CN" w:bidi="ar-SA"/>
        </w:rPr>
        <w:t>10.13 结论</w:t>
      </w:r>
    </w:p>
    <w:p w14:paraId="080EC9A6">
      <w:pPr>
        <w:spacing w:before="0" w:beforeLines="50" w:after="0" w:afterLines="50" w:line="280" w:lineRule="exact"/>
        <w:jc w:val="left"/>
        <w:rPr>
          <w:rFonts w:hint="eastAsia" w:ascii="黑体" w:hAnsi="Times New Roman" w:eastAsia="黑体" w:cs="Times New Roman"/>
          <w:b w:val="0"/>
          <w:i w:val="0"/>
          <w:kern w:val="0"/>
          <w:sz w:val="21"/>
          <w:szCs w:val="20"/>
          <w:lang w:val="en-US" w:eastAsia="zh-CN" w:bidi="ar-SA"/>
        </w:rPr>
      </w:pPr>
      <w:r>
        <w:rPr>
          <w:rFonts w:hint="eastAsia" w:ascii="黑体" w:hAnsi="Times New Roman" w:eastAsia="黑体" w:cs="Times New Roman"/>
          <w:b w:val="0"/>
          <w:i w:val="0"/>
          <w:kern w:val="0"/>
          <w:sz w:val="21"/>
          <w:szCs w:val="20"/>
          <w:lang w:val="en-US" w:eastAsia="zh-CN" w:bidi="ar-SA"/>
        </w:rPr>
        <w:t>10.13.1 分项结论</w:t>
      </w:r>
    </w:p>
    <w:p w14:paraId="33C45B43">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 xml:space="preserve"> 依据10.2至10.12的评价情况，对有关评价结论进行总结汇总，具体见表1。</w:t>
      </w:r>
    </w:p>
    <w:p w14:paraId="3E0CD34C">
      <w:pPr>
        <w:spacing w:before="312" w:after="120" w:line="300" w:lineRule="exact"/>
        <w:jc w:val="center"/>
        <w:rPr>
          <w:rFonts w:hint="default" w:ascii="Times New Roman" w:hAnsi="Times New Roman" w:eastAsia="宋体" w:cs="Times New Roman"/>
          <w:b/>
          <w:i w:val="0"/>
          <w:color w:val="000000"/>
          <w:sz w:val="21"/>
          <w:lang w:val="en-US" w:eastAsia="zh-CN" w:bidi="ar-SA"/>
        </w:rPr>
      </w:pPr>
      <w:r>
        <w:rPr>
          <w:rFonts w:hint="default" w:ascii="Times New Roman" w:hAnsi="Times New Roman" w:eastAsia="宋体" w:cs="Times New Roman"/>
          <w:b/>
          <w:i w:val="0"/>
          <w:color w:val="000000"/>
          <w:sz w:val="21"/>
          <w:lang w:val="en-US" w:eastAsia="zh-CN" w:bidi="ar-SA"/>
        </w:rPr>
        <w:t>表1 用人单位职业病危害现状评价分项结论</w:t>
      </w:r>
    </w:p>
    <w:tbl>
      <w:tblPr>
        <w:tblStyle w:val="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111"/>
        <w:gridCol w:w="1691"/>
        <w:gridCol w:w="2818"/>
      </w:tblGrid>
      <w:tr w14:paraId="1685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blHeader/>
        </w:trPr>
        <w:tc>
          <w:tcPr>
            <w:tcW w:w="5111" w:type="dxa"/>
            <w:shd w:val="clear" w:color="auto" w:fill="auto"/>
            <w:vAlign w:val="center"/>
          </w:tcPr>
          <w:p w14:paraId="5871628E">
            <w:pPr>
              <w:spacing w:before="0" w:after="0" w:line="195" w:lineRule="exact"/>
              <w:ind w:left="440" w:leftChars="0"/>
              <w:jc w:val="center"/>
              <w:rPr>
                <w:rFonts w:hint="default" w:ascii="Times New Roman" w:hAnsi="Times New Roman" w:eastAsia="宋体" w:cs="Times New Roman"/>
                <w:b/>
                <w:bCs/>
                <w:i w:val="0"/>
                <w:color w:val="000000"/>
                <w:sz w:val="18"/>
                <w:szCs w:val="18"/>
                <w:lang w:val="en-US" w:eastAsia="zh-CN" w:bidi="ar-SA"/>
              </w:rPr>
            </w:pPr>
            <w:r>
              <w:rPr>
                <w:rFonts w:hint="eastAsia" w:ascii="Times New Roman" w:hAnsi="Times New Roman" w:cs="Times New Roman"/>
                <w:b/>
                <w:bCs/>
                <w:i w:val="0"/>
                <w:color w:val="000000"/>
                <w:sz w:val="18"/>
                <w:szCs w:val="18"/>
                <w:lang w:val="en-US" w:eastAsia="zh-CN" w:bidi="ar-SA"/>
              </w:rPr>
              <w:t>项目</w:t>
            </w:r>
          </w:p>
        </w:tc>
        <w:tc>
          <w:tcPr>
            <w:tcW w:w="1691" w:type="dxa"/>
            <w:vAlign w:val="center"/>
          </w:tcPr>
          <w:p w14:paraId="12CF3A19">
            <w:pPr>
              <w:spacing w:line="195" w:lineRule="exact"/>
              <w:ind w:left="440"/>
              <w:jc w:val="center"/>
              <w:rPr>
                <w:rFonts w:hint="default" w:ascii="Times New Roman" w:hAnsi="Times New Roman" w:eastAsia="宋体" w:cs="Times New Roman"/>
                <w:b/>
                <w:bCs/>
                <w:i w:val="0"/>
                <w:color w:val="000000"/>
                <w:sz w:val="18"/>
                <w:szCs w:val="18"/>
                <w:lang w:val="en-US" w:eastAsia="zh-CN" w:bidi="ar-SA"/>
              </w:rPr>
            </w:pPr>
            <w:r>
              <w:rPr>
                <w:rFonts w:hint="eastAsia" w:ascii="Times New Roman" w:hAnsi="Times New Roman" w:cs="Times New Roman"/>
                <w:b/>
                <w:bCs/>
                <w:i w:val="0"/>
                <w:color w:val="000000"/>
                <w:sz w:val="18"/>
                <w:szCs w:val="18"/>
                <w:lang w:val="en-US" w:eastAsia="zh-CN" w:bidi="ar-SA"/>
              </w:rPr>
              <w:t>判断</w:t>
            </w:r>
          </w:p>
        </w:tc>
        <w:tc>
          <w:tcPr>
            <w:tcW w:w="2818" w:type="dxa"/>
            <w:vAlign w:val="center"/>
          </w:tcPr>
          <w:p w14:paraId="7F668B50">
            <w:pPr>
              <w:spacing w:line="195" w:lineRule="exact"/>
              <w:ind w:left="440"/>
              <w:jc w:val="center"/>
              <w:rPr>
                <w:rFonts w:hint="default" w:ascii="Times New Roman" w:hAnsi="Times New Roman" w:eastAsia="宋体" w:cs="Times New Roman"/>
                <w:b/>
                <w:bCs/>
                <w:i w:val="0"/>
                <w:color w:val="000000"/>
                <w:sz w:val="18"/>
                <w:szCs w:val="18"/>
                <w:lang w:val="en-US" w:eastAsia="zh-CN" w:bidi="ar-SA"/>
              </w:rPr>
            </w:pPr>
            <w:r>
              <w:rPr>
                <w:rFonts w:hint="eastAsia" w:ascii="Times New Roman" w:hAnsi="Times New Roman" w:cs="Times New Roman"/>
                <w:b/>
                <w:bCs/>
                <w:i w:val="0"/>
                <w:color w:val="000000"/>
                <w:sz w:val="18"/>
                <w:szCs w:val="18"/>
                <w:lang w:val="en-US" w:eastAsia="zh-CN" w:bidi="ar-SA"/>
              </w:rPr>
              <w:t>存在问题简要说明</w:t>
            </w:r>
          </w:p>
        </w:tc>
      </w:tr>
      <w:tr w14:paraId="5E60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rPr>
        <w:tc>
          <w:tcPr>
            <w:tcW w:w="5111" w:type="dxa"/>
            <w:shd w:val="clear" w:color="auto" w:fill="auto"/>
            <w:vAlign w:val="center"/>
          </w:tcPr>
          <w:p w14:paraId="5D935B33">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 总体设置</w:t>
            </w:r>
          </w:p>
        </w:tc>
        <w:tc>
          <w:tcPr>
            <w:tcW w:w="1691" w:type="dxa"/>
            <w:vAlign w:val="center"/>
          </w:tcPr>
          <w:p w14:paraId="1F996C21">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1AE8702">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5DFF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rPr>
        <w:tc>
          <w:tcPr>
            <w:tcW w:w="5111" w:type="dxa"/>
            <w:shd w:val="clear" w:color="auto" w:fill="auto"/>
            <w:vAlign w:val="center"/>
          </w:tcPr>
          <w:p w14:paraId="04FB21BC">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1.1 现址</w:t>
            </w:r>
          </w:p>
        </w:tc>
        <w:tc>
          <w:tcPr>
            <w:tcW w:w="1691" w:type="dxa"/>
            <w:vAlign w:val="center"/>
          </w:tcPr>
          <w:p w14:paraId="6A18E1D3">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27673F0">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6069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rPr>
        <w:tc>
          <w:tcPr>
            <w:tcW w:w="5111" w:type="dxa"/>
            <w:shd w:val="clear" w:color="auto" w:fill="auto"/>
            <w:vAlign w:val="center"/>
          </w:tcPr>
          <w:p w14:paraId="7D5FC437">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1.2布局</w:t>
            </w:r>
          </w:p>
        </w:tc>
        <w:tc>
          <w:tcPr>
            <w:tcW w:w="1691" w:type="dxa"/>
            <w:vAlign w:val="center"/>
          </w:tcPr>
          <w:p w14:paraId="47A129E4">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B4C1CEF">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54A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rPr>
        <w:tc>
          <w:tcPr>
            <w:tcW w:w="5111" w:type="dxa"/>
            <w:shd w:val="clear" w:color="auto" w:fill="auto"/>
            <w:vAlign w:val="center"/>
          </w:tcPr>
          <w:p w14:paraId="38FAB065">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1.2.1 总体布局</w:t>
            </w:r>
          </w:p>
        </w:tc>
        <w:tc>
          <w:tcPr>
            <w:tcW w:w="1691" w:type="dxa"/>
            <w:vAlign w:val="center"/>
          </w:tcPr>
          <w:p w14:paraId="7AB511CD">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5C4AA90">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635A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rPr>
        <w:tc>
          <w:tcPr>
            <w:tcW w:w="5111" w:type="dxa"/>
            <w:shd w:val="clear" w:color="auto" w:fill="auto"/>
            <w:vAlign w:val="center"/>
          </w:tcPr>
          <w:p w14:paraId="5E55AEF1">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1.2.2 建构筑物内功能布置</w:t>
            </w:r>
          </w:p>
        </w:tc>
        <w:tc>
          <w:tcPr>
            <w:tcW w:w="1691" w:type="dxa"/>
            <w:vAlign w:val="center"/>
          </w:tcPr>
          <w:p w14:paraId="5DEB5F47">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40F2A22C">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0EA6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rPr>
        <w:tc>
          <w:tcPr>
            <w:tcW w:w="5111" w:type="dxa"/>
            <w:shd w:val="clear" w:color="auto" w:fill="auto"/>
            <w:vAlign w:val="center"/>
          </w:tcPr>
          <w:p w14:paraId="2D49A6E4">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1.2.3 设备布局</w:t>
            </w:r>
          </w:p>
        </w:tc>
        <w:tc>
          <w:tcPr>
            <w:tcW w:w="1691" w:type="dxa"/>
            <w:vAlign w:val="center"/>
          </w:tcPr>
          <w:p w14:paraId="41E727EB">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3EBE5F2">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EDF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atLeast"/>
        </w:trPr>
        <w:tc>
          <w:tcPr>
            <w:tcW w:w="5111" w:type="dxa"/>
            <w:shd w:val="clear" w:color="auto" w:fill="auto"/>
            <w:vAlign w:val="center"/>
          </w:tcPr>
          <w:p w14:paraId="6E7C0DFD">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 建筑设计卫生学</w:t>
            </w:r>
          </w:p>
        </w:tc>
        <w:tc>
          <w:tcPr>
            <w:tcW w:w="1691" w:type="dxa"/>
            <w:vAlign w:val="center"/>
          </w:tcPr>
          <w:p w14:paraId="4B9321C5">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B43B948">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81F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5E38079D">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1.3.1 建筑结构</w:t>
            </w:r>
          </w:p>
        </w:tc>
        <w:tc>
          <w:tcPr>
            <w:tcW w:w="1691" w:type="dxa"/>
            <w:vAlign w:val="center"/>
          </w:tcPr>
          <w:p w14:paraId="2BA9C15C">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238058BD">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4C9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31555FC6">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1.3.2 自然通风</w:t>
            </w:r>
          </w:p>
        </w:tc>
        <w:tc>
          <w:tcPr>
            <w:tcW w:w="1691" w:type="dxa"/>
            <w:vAlign w:val="center"/>
          </w:tcPr>
          <w:p w14:paraId="51C6C86C">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CCA4B67">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5CE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758A5E5">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1.3.3 机械通风（配置情况与测试结果）</w:t>
            </w:r>
          </w:p>
        </w:tc>
        <w:tc>
          <w:tcPr>
            <w:tcW w:w="1691" w:type="dxa"/>
            <w:vAlign w:val="center"/>
          </w:tcPr>
          <w:p w14:paraId="0A4AE422">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3FC3049">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4FA2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7E9102F">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1.3.4采光照明</w:t>
            </w:r>
          </w:p>
        </w:tc>
        <w:tc>
          <w:tcPr>
            <w:tcW w:w="1691" w:type="dxa"/>
            <w:vAlign w:val="center"/>
          </w:tcPr>
          <w:p w14:paraId="5033E1DC">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1B758CA7">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F3A7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711EEB8F">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1.3.5采暖与空气调节</w:t>
            </w:r>
          </w:p>
        </w:tc>
        <w:tc>
          <w:tcPr>
            <w:tcW w:w="1691" w:type="dxa"/>
            <w:vAlign w:val="center"/>
          </w:tcPr>
          <w:p w14:paraId="6344B47B">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578B4F31">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1305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B96374E">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1.3.6微小气候</w:t>
            </w:r>
          </w:p>
        </w:tc>
        <w:tc>
          <w:tcPr>
            <w:tcW w:w="1691" w:type="dxa"/>
            <w:vAlign w:val="center"/>
          </w:tcPr>
          <w:p w14:paraId="4A80FDD7">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FA0DE64">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494C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4E670D7F">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1.3.7 其他特殊建筑设计要求</w:t>
            </w:r>
          </w:p>
        </w:tc>
        <w:tc>
          <w:tcPr>
            <w:tcW w:w="1691" w:type="dxa"/>
            <w:vAlign w:val="center"/>
          </w:tcPr>
          <w:p w14:paraId="13AF992B">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39F94C5">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0D5E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02715685">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2 职业病危害因素检测</w:t>
            </w:r>
          </w:p>
        </w:tc>
        <w:tc>
          <w:tcPr>
            <w:tcW w:w="1691" w:type="dxa"/>
            <w:vAlign w:val="center"/>
          </w:tcPr>
          <w:p w14:paraId="3EF19704">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2A7BDB1A">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7412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55D06522">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2.1 检测结果分析（点合格率与岗位合格率）</w:t>
            </w:r>
          </w:p>
        </w:tc>
        <w:tc>
          <w:tcPr>
            <w:tcW w:w="1691" w:type="dxa"/>
            <w:vAlign w:val="center"/>
          </w:tcPr>
          <w:p w14:paraId="275458F5">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2CCFCD86">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8DA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4" w:hRule="atLeast"/>
        </w:trPr>
        <w:tc>
          <w:tcPr>
            <w:tcW w:w="5111" w:type="dxa"/>
            <w:shd w:val="clear" w:color="auto" w:fill="auto"/>
            <w:vAlign w:val="center"/>
          </w:tcPr>
          <w:p w14:paraId="01A99275">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2.2 不合格点整改情况</w:t>
            </w:r>
          </w:p>
        </w:tc>
        <w:tc>
          <w:tcPr>
            <w:tcW w:w="1691" w:type="dxa"/>
            <w:vAlign w:val="center"/>
          </w:tcPr>
          <w:p w14:paraId="101533E4">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551E0BEE">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F07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6D1D884F">
            <w:pPr>
              <w:spacing w:before="0" w:after="0" w:line="195" w:lineRule="exact"/>
              <w:ind w:left="440" w:leftChars="0"/>
              <w:rPr>
                <w:rFonts w:hint="default" w:ascii="Times New Roman" w:hAnsi="Times New Roman" w:eastAsia="宋体" w:cs="Times New Roman"/>
                <w:b w:val="0"/>
                <w:i w:val="0"/>
                <w:color w:val="000000"/>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3 职业病防护设施</w:t>
            </w:r>
          </w:p>
        </w:tc>
        <w:tc>
          <w:tcPr>
            <w:tcW w:w="1691" w:type="dxa"/>
            <w:vAlign w:val="center"/>
          </w:tcPr>
          <w:p w14:paraId="14FD44AD">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5D75F4E5">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089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35A6AB3E">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3.1 设施配置完全率</w:t>
            </w:r>
          </w:p>
        </w:tc>
        <w:tc>
          <w:tcPr>
            <w:tcW w:w="1691" w:type="dxa"/>
            <w:vAlign w:val="center"/>
          </w:tcPr>
          <w:p w14:paraId="24E796B0">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6849D980">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2E6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2EB91AFB">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3.2 设施配置的适宜性</w:t>
            </w:r>
          </w:p>
        </w:tc>
        <w:tc>
          <w:tcPr>
            <w:tcW w:w="1691" w:type="dxa"/>
            <w:vAlign w:val="center"/>
          </w:tcPr>
          <w:p w14:paraId="0F1D9D28">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7266042">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4BC9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631C0862">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3.3 设施运行效果（职业病防护设施参数检测结果）</w:t>
            </w:r>
          </w:p>
        </w:tc>
        <w:tc>
          <w:tcPr>
            <w:tcW w:w="1691" w:type="dxa"/>
            <w:vAlign w:val="center"/>
          </w:tcPr>
          <w:p w14:paraId="579E799E">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D344611">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743D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0F3D637E">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4 职业健康现场管理</w:t>
            </w:r>
          </w:p>
        </w:tc>
        <w:tc>
          <w:tcPr>
            <w:tcW w:w="1691" w:type="dxa"/>
            <w:vAlign w:val="center"/>
          </w:tcPr>
          <w:p w14:paraId="138965DC">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43A2ABF4">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1A34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59964D58">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4.1个人使用的职业病防护用品发放、使用情况</w:t>
            </w:r>
          </w:p>
        </w:tc>
        <w:tc>
          <w:tcPr>
            <w:tcW w:w="1691" w:type="dxa"/>
            <w:vAlign w:val="center"/>
          </w:tcPr>
          <w:p w14:paraId="4C8C9D3A">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24D8867E">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920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4A51B34">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4.2 职业病危害警示标识设置情况</w:t>
            </w:r>
          </w:p>
        </w:tc>
        <w:tc>
          <w:tcPr>
            <w:tcW w:w="1691" w:type="dxa"/>
            <w:vAlign w:val="center"/>
          </w:tcPr>
          <w:p w14:paraId="3B6B73F1">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790554A">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67E1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4CF93625">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4.3 应急救援设施配置及其维护情况</w:t>
            </w:r>
          </w:p>
        </w:tc>
        <w:tc>
          <w:tcPr>
            <w:tcW w:w="1691" w:type="dxa"/>
            <w:vAlign w:val="center"/>
          </w:tcPr>
          <w:p w14:paraId="15B15BAD">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460F9FDF">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6063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090EA821">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4.4现场告知</w:t>
            </w:r>
          </w:p>
        </w:tc>
        <w:tc>
          <w:tcPr>
            <w:tcW w:w="1691" w:type="dxa"/>
            <w:vAlign w:val="center"/>
          </w:tcPr>
          <w:p w14:paraId="19E94C93">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4A0B0D6">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1984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0988AEE">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4.5 现场清洁卫生</w:t>
            </w:r>
          </w:p>
        </w:tc>
        <w:tc>
          <w:tcPr>
            <w:tcW w:w="1691" w:type="dxa"/>
            <w:vAlign w:val="center"/>
          </w:tcPr>
          <w:p w14:paraId="60C0543E">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13F06162">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053D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293E7215">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5 职业健康监护</w:t>
            </w:r>
          </w:p>
        </w:tc>
        <w:tc>
          <w:tcPr>
            <w:tcW w:w="1691" w:type="dxa"/>
            <w:vAlign w:val="center"/>
          </w:tcPr>
          <w:p w14:paraId="74DC0F3D">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EE6C288">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499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54A36BB5">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5.1 体检机构资质</w:t>
            </w:r>
          </w:p>
        </w:tc>
        <w:tc>
          <w:tcPr>
            <w:tcW w:w="1691" w:type="dxa"/>
            <w:vAlign w:val="center"/>
          </w:tcPr>
          <w:p w14:paraId="2D37721E">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851E122">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D7D5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9095643">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5.2 应检与实检人数</w:t>
            </w:r>
          </w:p>
        </w:tc>
        <w:tc>
          <w:tcPr>
            <w:tcW w:w="1691" w:type="dxa"/>
            <w:vAlign w:val="center"/>
          </w:tcPr>
          <w:p w14:paraId="473FD98B">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175C5628">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5DE5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71C4FA02">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5.3 应检项目与实检项目</w:t>
            </w:r>
          </w:p>
        </w:tc>
        <w:tc>
          <w:tcPr>
            <w:tcW w:w="1691" w:type="dxa"/>
            <w:vAlign w:val="center"/>
          </w:tcPr>
          <w:p w14:paraId="0B094D0F">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589BDE55">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52E4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0526C033">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5.4禁忌证与职业病人处置</w:t>
            </w:r>
          </w:p>
        </w:tc>
        <w:tc>
          <w:tcPr>
            <w:tcW w:w="1691" w:type="dxa"/>
            <w:vAlign w:val="center"/>
          </w:tcPr>
          <w:p w14:paraId="6B4243C2">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599D682E">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0E9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06FF3E55">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5.5 职业健康监护档案</w:t>
            </w:r>
          </w:p>
        </w:tc>
        <w:tc>
          <w:tcPr>
            <w:tcW w:w="1691" w:type="dxa"/>
            <w:vAlign w:val="center"/>
          </w:tcPr>
          <w:p w14:paraId="25CA6272">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3FA499D">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1E41E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023A0D0F">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6 辅助用室设置情况</w:t>
            </w:r>
          </w:p>
        </w:tc>
        <w:tc>
          <w:tcPr>
            <w:tcW w:w="1691" w:type="dxa"/>
            <w:vAlign w:val="center"/>
          </w:tcPr>
          <w:p w14:paraId="011578EC">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53B6805D">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6B56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493E7734">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 职业健康管理及其落实情况</w:t>
            </w:r>
          </w:p>
        </w:tc>
        <w:tc>
          <w:tcPr>
            <w:tcW w:w="1691" w:type="dxa"/>
            <w:vAlign w:val="center"/>
          </w:tcPr>
          <w:p w14:paraId="685921DB">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68C2152A">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1BB55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7E3FC8DA">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7.1职业健康管理组织机利和关流使用</w:t>
            </w:r>
          </w:p>
        </w:tc>
        <w:tc>
          <w:tcPr>
            <w:tcW w:w="1691" w:type="dxa"/>
            <w:vAlign w:val="center"/>
          </w:tcPr>
          <w:p w14:paraId="09E2676A">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279C73B">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462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5C0D556">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7.2 职业病防治计划、实施方案及执行情况</w:t>
            </w:r>
          </w:p>
        </w:tc>
        <w:tc>
          <w:tcPr>
            <w:tcW w:w="1691" w:type="dxa"/>
            <w:vAlign w:val="center"/>
          </w:tcPr>
          <w:p w14:paraId="06308843">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2A93C27">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DBA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620EAC58">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7.3 职业健康管理制度及安全操作规程及执行</w:t>
            </w:r>
          </w:p>
        </w:tc>
        <w:tc>
          <w:tcPr>
            <w:tcW w:w="1691" w:type="dxa"/>
            <w:vAlign w:val="center"/>
          </w:tcPr>
          <w:p w14:paraId="1FFBA7FC">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285FEBC">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E16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4556E358">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7.4 职业病危害因素定期检测及执行</w:t>
            </w:r>
          </w:p>
        </w:tc>
        <w:tc>
          <w:tcPr>
            <w:tcW w:w="1691" w:type="dxa"/>
            <w:vAlign w:val="center"/>
          </w:tcPr>
          <w:p w14:paraId="791E9592">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84F9205">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B06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331E7B4B">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7.5 职业病危害告知及执行</w:t>
            </w:r>
          </w:p>
        </w:tc>
        <w:tc>
          <w:tcPr>
            <w:tcW w:w="1691" w:type="dxa"/>
            <w:vAlign w:val="center"/>
          </w:tcPr>
          <w:p w14:paraId="6BB4DC0A">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2A1AB979">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06C3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7A6647C2">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7.6 职业健康培训及执行</w:t>
            </w:r>
          </w:p>
        </w:tc>
        <w:tc>
          <w:tcPr>
            <w:tcW w:w="1691" w:type="dxa"/>
            <w:vAlign w:val="center"/>
          </w:tcPr>
          <w:p w14:paraId="780731AC">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2F8BA35">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67DE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6A4A3AF3">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7.7 职业健康监护制度及执行</w:t>
            </w:r>
          </w:p>
        </w:tc>
        <w:tc>
          <w:tcPr>
            <w:tcW w:w="1691" w:type="dxa"/>
            <w:vAlign w:val="center"/>
          </w:tcPr>
          <w:p w14:paraId="1BAF343A">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53A76777">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1555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6D093FD6">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7.8个人使用防护用品管理</w:t>
            </w:r>
          </w:p>
        </w:tc>
        <w:tc>
          <w:tcPr>
            <w:tcW w:w="1691" w:type="dxa"/>
            <w:vAlign w:val="center"/>
          </w:tcPr>
          <w:p w14:paraId="297D836A">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680AC5C">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6008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31AD8393">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7.9 职业病危害事故应急预案及演练情况</w:t>
            </w:r>
          </w:p>
        </w:tc>
        <w:tc>
          <w:tcPr>
            <w:tcW w:w="1691" w:type="dxa"/>
            <w:vAlign w:val="center"/>
          </w:tcPr>
          <w:p w14:paraId="72022BA4">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887EB87">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21B2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4FB473A7">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7.10 职业病危害申报</w:t>
            </w:r>
          </w:p>
        </w:tc>
        <w:tc>
          <w:tcPr>
            <w:tcW w:w="1691" w:type="dxa"/>
            <w:vAlign w:val="center"/>
          </w:tcPr>
          <w:p w14:paraId="54F75CDF">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48A8F3C0">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2D7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1D772AE8">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7.11 职业健康档案</w:t>
            </w:r>
          </w:p>
        </w:tc>
        <w:tc>
          <w:tcPr>
            <w:tcW w:w="1691" w:type="dxa"/>
            <w:vAlign w:val="center"/>
          </w:tcPr>
          <w:p w14:paraId="64CD9824">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171DAFF1">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56FB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2F808233">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7.12 职业健康防护经费</w:t>
            </w:r>
          </w:p>
        </w:tc>
        <w:tc>
          <w:tcPr>
            <w:tcW w:w="1691" w:type="dxa"/>
            <w:vAlign w:val="center"/>
          </w:tcPr>
          <w:p w14:paraId="01AC283B">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71707774">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6838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4B2393EA">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8 健康监护结果与检测结果关联性分析</w:t>
            </w:r>
          </w:p>
        </w:tc>
        <w:tc>
          <w:tcPr>
            <w:tcW w:w="1691" w:type="dxa"/>
            <w:vAlign w:val="center"/>
          </w:tcPr>
          <w:p w14:paraId="37F095BD">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035A4F68">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3603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3177FF51">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8.1职业健康监护数据</w:t>
            </w:r>
          </w:p>
        </w:tc>
        <w:tc>
          <w:tcPr>
            <w:tcW w:w="1691" w:type="dxa"/>
            <w:vAlign w:val="center"/>
          </w:tcPr>
          <w:p w14:paraId="4E432643">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49F74D73">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1CE9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4A84F94D">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8.2检测数据</w:t>
            </w:r>
          </w:p>
        </w:tc>
        <w:tc>
          <w:tcPr>
            <w:tcW w:w="1691" w:type="dxa"/>
            <w:vAlign w:val="center"/>
          </w:tcPr>
          <w:p w14:paraId="52FC3E75">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4E7AF6E7">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r w14:paraId="05B9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111" w:type="dxa"/>
            <w:shd w:val="clear" w:color="auto" w:fill="auto"/>
            <w:vAlign w:val="center"/>
          </w:tcPr>
          <w:p w14:paraId="73D92FE3">
            <w:pPr>
              <w:spacing w:before="0" w:after="0" w:line="195" w:lineRule="exact"/>
              <w:ind w:left="440" w:leftChars="0"/>
              <w:rPr>
                <w:rFonts w:hint="default" w:ascii="Times New Roman" w:hAnsi="Times New Roman" w:eastAsia="宋体" w:cs="Times New Roman"/>
                <w:b w:val="0"/>
                <w:i w:val="0"/>
                <w:color w:val="000000"/>
                <w:kern w:val="2"/>
                <w:sz w:val="18"/>
                <w:szCs w:val="18"/>
                <w:lang w:val="en-US" w:eastAsia="zh-CN" w:bidi="ar-SA"/>
              </w:rPr>
            </w:pPr>
            <w:r>
              <w:rPr>
                <w:rFonts w:hint="default" w:ascii="Times New Roman" w:hAnsi="Times New Roman" w:eastAsia="宋体" w:cs="Times New Roman"/>
                <w:b w:val="0"/>
                <w:i w:val="0"/>
                <w:color w:val="000000"/>
                <w:sz w:val="18"/>
                <w:szCs w:val="18"/>
                <w:lang w:val="en-US" w:eastAsia="zh-CN" w:bidi="ar-SA"/>
              </w:rPr>
              <w:t>9 用人单位职业健康基本工作评估结果</w:t>
            </w:r>
          </w:p>
        </w:tc>
        <w:tc>
          <w:tcPr>
            <w:tcW w:w="1691" w:type="dxa"/>
            <w:vAlign w:val="center"/>
          </w:tcPr>
          <w:p w14:paraId="0E01E372">
            <w:pPr>
              <w:spacing w:line="195" w:lineRule="exact"/>
              <w:ind w:left="440"/>
              <w:rPr>
                <w:rFonts w:hint="default" w:ascii="Times New Roman" w:hAnsi="Times New Roman" w:eastAsia="宋体" w:cs="Times New Roman"/>
                <w:b w:val="0"/>
                <w:i w:val="0"/>
                <w:color w:val="000000"/>
                <w:sz w:val="18"/>
                <w:szCs w:val="18"/>
                <w:lang w:val="en-US" w:eastAsia="zh-CN" w:bidi="ar-SA"/>
              </w:rPr>
            </w:pPr>
          </w:p>
        </w:tc>
        <w:tc>
          <w:tcPr>
            <w:tcW w:w="2818" w:type="dxa"/>
            <w:vAlign w:val="center"/>
          </w:tcPr>
          <w:p w14:paraId="36E91B7A">
            <w:pPr>
              <w:spacing w:line="195" w:lineRule="exact"/>
              <w:ind w:left="440"/>
              <w:rPr>
                <w:rFonts w:hint="default" w:ascii="Times New Roman" w:hAnsi="Times New Roman" w:eastAsia="宋体" w:cs="Times New Roman"/>
                <w:b w:val="0"/>
                <w:i w:val="0"/>
                <w:color w:val="000000"/>
                <w:sz w:val="18"/>
                <w:szCs w:val="18"/>
                <w:lang w:val="en-US" w:eastAsia="zh-CN" w:bidi="ar-SA"/>
              </w:rPr>
            </w:pPr>
          </w:p>
        </w:tc>
      </w:tr>
    </w:tbl>
    <w:p w14:paraId="52FA0D94">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分项结论判断分为：符合、不符合，对于不符合项存在的问题作出简要说明，如果问题比较多或复杂，要求注明见报告第几部分第几页的分析评价。</w:t>
      </w:r>
    </w:p>
    <w:p w14:paraId="4A9913D8">
      <w:pPr>
        <w:pStyle w:val="28"/>
        <w:numPr>
          <w:ilvl w:val="0"/>
          <w:numId w:val="0"/>
        </w:numPr>
        <w:spacing w:before="156" w:after="156"/>
        <w:rPr>
          <w:rFonts w:hint="eastAsia" w:ascii="黑体" w:hAnsi="Times New Roman" w:eastAsia="黑体" w:cs="Times New Roman"/>
          <w:b w:val="0"/>
          <w:i w:val="0"/>
          <w:sz w:val="21"/>
          <w:lang w:val="en-US" w:eastAsia="zh-CN" w:bidi="ar-SA"/>
        </w:rPr>
      </w:pPr>
      <w:r>
        <w:rPr>
          <w:rFonts w:hint="eastAsia" w:ascii="黑体" w:hAnsi="Times New Roman" w:eastAsia="黑体" w:cs="Times New Roman"/>
          <w:b w:val="0"/>
          <w:i w:val="0"/>
          <w:sz w:val="21"/>
          <w:lang w:val="en-US" w:eastAsia="zh-CN" w:bidi="ar-SA"/>
        </w:rPr>
        <w:t>10.13.2 职业病危害程度判定</w:t>
      </w:r>
    </w:p>
    <w:p w14:paraId="456F2671">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根据《国家卫生健康委办公厅关于公布建设项目职业病危害风险分类管理目录的通知》（国卫办职健发〔2021〕5号）和用人单位综合风险评估结论，判定该用人单位是否属于职业病危害严重的用人单位。综合风险评估为甲类的为职业病危害程度一般的用人单位，综合风险评估为丙类的为职业病危害程度严重的用人单位。</w:t>
      </w:r>
    </w:p>
    <w:p w14:paraId="40C72587">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对于综合风险评估结论为乙类的，应综合考虑这些情况，判定用人单位是否属于职业病危害严重的用人单位。包括该用人单位存在职业病危害因素的毒理学特征和潜在危险性、职业病危害因素的浓（强）度与超标情况、职业病危害因素接触人数、用人单位职业健康基本工作情况、近3年来从业人员职业健康体检结果和职业病发病情况等因素。</w:t>
      </w:r>
    </w:p>
    <w:p w14:paraId="051383F9">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对于判定为职业病危害风险严重的用人单位，要提示用人单位重点防治，持续提升职业病防治水平。</w:t>
      </w:r>
    </w:p>
    <w:p w14:paraId="0F052661">
      <w:pPr>
        <w:pStyle w:val="28"/>
        <w:numPr>
          <w:ilvl w:val="0"/>
          <w:numId w:val="0"/>
        </w:numPr>
        <w:spacing w:before="156" w:after="156"/>
        <w:rPr>
          <w:rFonts w:hint="eastAsia" w:ascii="黑体" w:hAnsi="Times New Roman" w:eastAsia="黑体" w:cs="Times New Roman"/>
          <w:b w:val="0"/>
          <w:i w:val="0"/>
          <w:sz w:val="21"/>
          <w:lang w:val="en-US" w:eastAsia="zh-CN" w:bidi="ar-SA"/>
        </w:rPr>
      </w:pPr>
      <w:r>
        <w:rPr>
          <w:rFonts w:hint="eastAsia" w:ascii="黑体" w:hAnsi="Times New Roman" w:eastAsia="黑体" w:cs="Times New Roman"/>
          <w:b w:val="0"/>
          <w:i w:val="0"/>
          <w:sz w:val="21"/>
          <w:lang w:val="en-US" w:eastAsia="zh-CN" w:bidi="ar-SA"/>
        </w:rPr>
        <w:t>10.14 建议</w:t>
      </w:r>
    </w:p>
    <w:p w14:paraId="100C7DE7">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在对用人单位全面分析、评价的基础上，针对用人单位存在的职业病防护措施的不足，从组织管理、工程技术、个人防护、卫生保健、应急救援等方面，综合提出职业病危害控制措施的建议。</w:t>
      </w:r>
    </w:p>
    <w:p w14:paraId="0D0FD297">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对于属于职业病危害严重的用人单位，应明确提出下次开展现状评价的时间（不得超过3年）。</w:t>
      </w:r>
    </w:p>
    <w:p w14:paraId="6347A513">
      <w:pPr>
        <w:pStyle w:val="28"/>
        <w:numPr>
          <w:ilvl w:val="0"/>
          <w:numId w:val="0"/>
        </w:numPr>
        <w:spacing w:before="156" w:after="156"/>
        <w:rPr>
          <w:rFonts w:hint="eastAsia" w:ascii="黑体" w:hAnsi="Times New Roman" w:eastAsia="黑体" w:cs="Times New Roman"/>
          <w:b w:val="0"/>
          <w:i w:val="0"/>
          <w:sz w:val="21"/>
          <w:lang w:val="en-US" w:eastAsia="zh-CN" w:bidi="ar-SA"/>
        </w:rPr>
      </w:pPr>
      <w:r>
        <w:rPr>
          <w:rFonts w:hint="eastAsia" w:ascii="黑体" w:hAnsi="Times New Roman" w:eastAsia="黑体" w:cs="Times New Roman"/>
          <w:b w:val="0"/>
          <w:i w:val="0"/>
          <w:sz w:val="21"/>
          <w:lang w:val="en-US" w:eastAsia="zh-CN" w:bidi="ar-SA"/>
        </w:rPr>
        <w:t>10.14.1 整改性建议</w:t>
      </w:r>
    </w:p>
    <w:p w14:paraId="40241D2B">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用人单位存在的问题属违反法律、法规、规章和强制性标准要受到处罚的应提出整改性建议。</w:t>
      </w:r>
    </w:p>
    <w:p w14:paraId="12EEAB8C">
      <w:pPr>
        <w:pStyle w:val="28"/>
        <w:numPr>
          <w:ilvl w:val="0"/>
          <w:numId w:val="0"/>
        </w:numPr>
        <w:spacing w:before="156" w:after="156"/>
        <w:rPr>
          <w:rFonts w:hint="eastAsia" w:ascii="黑体" w:hAnsi="Times New Roman" w:eastAsia="黑体" w:cs="Times New Roman"/>
          <w:b w:val="0"/>
          <w:i w:val="0"/>
          <w:sz w:val="21"/>
          <w:lang w:val="en-US" w:eastAsia="zh-CN" w:bidi="ar-SA"/>
        </w:rPr>
      </w:pPr>
      <w:r>
        <w:rPr>
          <w:rFonts w:hint="eastAsia" w:ascii="黑体" w:hAnsi="Times New Roman" w:eastAsia="黑体" w:cs="Times New Roman"/>
          <w:b w:val="0"/>
          <w:i w:val="0"/>
          <w:sz w:val="21"/>
          <w:lang w:val="en-US" w:eastAsia="zh-CN" w:bidi="ar-SA"/>
        </w:rPr>
        <w:t>10.14.2 持续改进性建议</w:t>
      </w:r>
    </w:p>
    <w:p w14:paraId="25199C20">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用人单位存在的问题属未达到法律、法规、规章、国家及省有关规范性文件或标准的要求，但不属于要处罚的，应提出持续改进性建议。</w:t>
      </w:r>
    </w:p>
    <w:p w14:paraId="5CD650B3">
      <w:pPr>
        <w:pStyle w:val="28"/>
        <w:numPr>
          <w:ilvl w:val="0"/>
          <w:numId w:val="0"/>
        </w:numPr>
        <w:spacing w:before="156" w:after="156"/>
        <w:rPr>
          <w:rFonts w:hint="eastAsia" w:ascii="黑体" w:hAnsi="Times New Roman" w:eastAsia="黑体" w:cs="Times New Roman"/>
          <w:b w:val="0"/>
          <w:i w:val="0"/>
          <w:sz w:val="21"/>
          <w:lang w:val="en-US" w:eastAsia="zh-CN" w:bidi="ar-SA"/>
        </w:rPr>
      </w:pPr>
      <w:r>
        <w:rPr>
          <w:rFonts w:hint="eastAsia" w:ascii="黑体" w:hAnsi="Times New Roman" w:eastAsia="黑体" w:cs="Times New Roman"/>
          <w:b w:val="0"/>
          <w:i w:val="0"/>
          <w:sz w:val="21"/>
          <w:lang w:val="en-US" w:eastAsia="zh-CN" w:bidi="ar-SA"/>
        </w:rPr>
        <w:t>10.14.3 预防性告知</w:t>
      </w:r>
    </w:p>
    <w:p w14:paraId="39352712">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用人单位收到本现状评价报告后应进行公示结果和职业病危害项目申报要求；用人单位今后如何开展职业健康检查；下一次开展职业病危害因素定期检测和现状评价的时间要求。</w:t>
      </w:r>
    </w:p>
    <w:p w14:paraId="7531EB46">
      <w:pPr>
        <w:pStyle w:val="28"/>
        <w:numPr>
          <w:ilvl w:val="0"/>
          <w:numId w:val="0"/>
        </w:numPr>
        <w:spacing w:before="156" w:after="156"/>
        <w:rPr>
          <w:rFonts w:hint="eastAsia" w:ascii="黑体" w:hAnsi="Times New Roman" w:eastAsia="黑体" w:cs="Times New Roman"/>
          <w:b w:val="0"/>
          <w:i w:val="0"/>
          <w:sz w:val="21"/>
          <w:lang w:val="en-US" w:eastAsia="zh-CN" w:bidi="ar-SA"/>
        </w:rPr>
      </w:pPr>
      <w:r>
        <w:rPr>
          <w:rFonts w:hint="eastAsia" w:ascii="黑体" w:hAnsi="Times New Roman" w:eastAsia="黑体" w:cs="Times New Roman"/>
          <w:b w:val="0"/>
          <w:i w:val="0"/>
          <w:sz w:val="21"/>
          <w:lang w:val="en-US" w:eastAsia="zh-CN" w:bidi="ar-SA"/>
        </w:rPr>
        <w:t>10.15 报告格式</w:t>
      </w:r>
    </w:p>
    <w:p w14:paraId="2A6C5D80">
      <w:pPr>
        <w:pStyle w:val="12"/>
        <w:spacing w:before="312" w:after="312"/>
        <w:rPr>
          <w:rFonts w:hint="eastAsia" w:ascii="宋体" w:hAnsi="Times New Roman" w:eastAsia="宋体" w:cs="Times New Roman"/>
          <w:b w:val="0"/>
          <w:i w:val="0"/>
          <w:sz w:val="21"/>
          <w:lang w:val="en-US" w:eastAsia="zh-CN" w:bidi="ar-SA"/>
        </w:rPr>
      </w:pPr>
      <w:r>
        <w:rPr>
          <w:rFonts w:hint="eastAsia" w:ascii="宋体" w:hAnsi="Times New Roman" w:eastAsia="宋体" w:cs="Times New Roman"/>
          <w:b w:val="0"/>
          <w:i w:val="0"/>
          <w:sz w:val="21"/>
          <w:lang w:val="en-US" w:eastAsia="zh-CN" w:bidi="ar-SA"/>
        </w:rPr>
        <w:t>参见附录</w:t>
      </w:r>
      <w:r>
        <w:rPr>
          <w:rFonts w:hint="eastAsia" w:cs="Times New Roman"/>
          <w:b w:val="0"/>
          <w:i w:val="0"/>
          <w:sz w:val="21"/>
          <w:lang w:val="en-US" w:eastAsia="zh-CN" w:bidi="ar-SA"/>
        </w:rPr>
        <w:t>E</w:t>
      </w:r>
      <w:r>
        <w:rPr>
          <w:rFonts w:hint="eastAsia" w:ascii="宋体" w:hAnsi="Times New Roman" w:eastAsia="宋体" w:cs="Times New Roman"/>
          <w:b w:val="0"/>
          <w:i w:val="0"/>
          <w:sz w:val="21"/>
          <w:lang w:val="en-US" w:eastAsia="zh-CN" w:bidi="ar-SA"/>
        </w:rPr>
        <w:t>。</w:t>
      </w:r>
    </w:p>
    <w:p w14:paraId="3E843398">
      <w:pPr>
        <w:pStyle w:val="25"/>
        <w:numPr>
          <w:ilvl w:val="1"/>
          <w:numId w:val="0"/>
        </w:numPr>
        <w:spacing w:before="312" w:after="312"/>
        <w:rPr>
          <w:rFonts w:hint="eastAsia" w:ascii="黑体" w:hAnsi="Times New Roman" w:eastAsia="黑体" w:cs="Times New Roman"/>
          <w:b w:val="0"/>
          <w:i w:val="0"/>
          <w:kern w:val="2"/>
          <w:sz w:val="21"/>
          <w:szCs w:val="21"/>
          <w:lang w:val="en-US" w:eastAsia="zh-CN" w:bidi="ar-SA"/>
        </w:rPr>
      </w:pPr>
      <w:r>
        <w:rPr>
          <w:rFonts w:hint="eastAsia" w:ascii="黑体" w:hAnsi="Times New Roman" w:eastAsia="黑体" w:cs="Times New Roman"/>
          <w:b w:val="0"/>
          <w:i w:val="0"/>
          <w:kern w:val="2"/>
          <w:sz w:val="21"/>
          <w:szCs w:val="21"/>
          <w:lang w:val="en-US" w:eastAsia="zh-CN" w:bidi="ar-SA"/>
        </w:rPr>
        <w:t>11 特别说明</w:t>
      </w:r>
    </w:p>
    <w:p w14:paraId="02B8D179">
      <w:pPr>
        <w:pStyle w:val="12"/>
        <w:spacing w:before="312" w:after="312"/>
        <w:rPr>
          <w:rFonts w:hint="eastAsia" w:ascii="宋体" w:hAnsi="Times New Roman" w:eastAsia="宋体" w:cs="Times New Roman"/>
          <w:b w:val="0"/>
          <w:i w:val="0"/>
          <w:sz w:val="21"/>
          <w:lang w:val="en-US" w:eastAsia="zh-CN" w:bidi="ar-SA"/>
        </w:rPr>
        <w:sectPr>
          <w:footerReference r:id="rId12" w:type="default"/>
          <w:pgSz w:w="11906" w:h="16838"/>
          <w:pgMar w:top="1928" w:right="1134" w:bottom="1134" w:left="1134" w:header="1418" w:footer="1134" w:gutter="284"/>
          <w:cols w:space="425" w:num="1"/>
          <w:formProt w:val="0"/>
          <w:docGrid w:type="lines" w:linePitch="312" w:charSpace="0"/>
        </w:sectPr>
      </w:pPr>
      <w:r>
        <w:rPr>
          <w:rFonts w:hint="eastAsia" w:ascii="宋体" w:hAnsi="Times New Roman" w:eastAsia="宋体" w:cs="Times New Roman"/>
          <w:b w:val="0"/>
          <w:i w:val="0"/>
          <w:sz w:val="21"/>
          <w:lang w:val="en-US" w:eastAsia="zh-CN" w:bidi="ar-SA"/>
        </w:rPr>
        <w:t>本标准的使用说明见附录</w:t>
      </w:r>
      <w:r>
        <w:rPr>
          <w:rFonts w:hint="eastAsia" w:cs="Times New Roman"/>
          <w:b w:val="0"/>
          <w:i w:val="0"/>
          <w:sz w:val="21"/>
          <w:lang w:val="en-US" w:eastAsia="zh-CN" w:bidi="ar-SA"/>
        </w:rPr>
        <w:t>F</w:t>
      </w:r>
      <w:r>
        <w:rPr>
          <w:rFonts w:hint="eastAsia" w:ascii="宋体" w:hAnsi="Times New Roman" w:eastAsia="宋体" w:cs="Times New Roman"/>
          <w:b w:val="0"/>
          <w:i w:val="0"/>
          <w:sz w:val="21"/>
          <w:lang w:val="en-US" w:eastAsia="zh-CN" w:bidi="ar-SA"/>
        </w:rPr>
        <w:t>。</w:t>
      </w:r>
    </w:p>
    <w:p w14:paraId="6F1D18D1">
      <w:pPr>
        <w:pStyle w:val="36"/>
        <w:shd w:val="clear" w:color="FFFFFF" w:fill="FFFFFF"/>
        <w:spacing w:after="156"/>
        <w:rPr>
          <w:rFonts w:hint="default" w:hAnsi="Times New Roman" w:cs="Times New Roman"/>
        </w:rPr>
      </w:pPr>
    </w:p>
    <w:p w14:paraId="629F262F">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（资料性附录）</w:t>
      </w:r>
    </w:p>
    <w:p w14:paraId="235E9D00">
      <w:pPr>
        <w:spacing w:after="260"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用人单位职业病危害现状评价应收集的主要资料</w:t>
      </w:r>
    </w:p>
    <w:p w14:paraId="0338952D">
      <w:pPr>
        <w:spacing w:after="260" w:line="300" w:lineRule="exac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A．1 用人单位评价范围内的职业病危害防护设施设计，行政主管部门曾经依法作出的审核、审查、验收、备案文件等资料。</w:t>
      </w:r>
    </w:p>
    <w:p w14:paraId="314ABC5F">
      <w:pPr>
        <w:spacing w:after="260" w:line="300" w:lineRule="exac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A．2 收集近3年（可以收集企业投产以来历年的）的职业病危害评价报告、职业病危害因素定期检测、职业健康监护资料，以及发生职业病危害事故相关资料、职业病发病情况等。</w:t>
      </w:r>
    </w:p>
    <w:p w14:paraId="568C36B9">
      <w:pPr>
        <w:spacing w:after="260" w:line="30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A．3 用人单位评价范围内涉及项目的技术资料</w:t>
      </w:r>
    </w:p>
    <w:p w14:paraId="4BD64779">
      <w:pPr>
        <w:spacing w:line="30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主要包括：</w:t>
      </w:r>
    </w:p>
    <w:p w14:paraId="6990C703">
      <w:pPr>
        <w:spacing w:line="28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a）用人单位概况；</w:t>
      </w:r>
    </w:p>
    <w:p w14:paraId="188CE430">
      <w:pPr>
        <w:spacing w:line="28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b）有关总平面、建筑物内功能区域、单元内设备等布局设计图纸；</w:t>
      </w:r>
    </w:p>
    <w:p w14:paraId="30F8EA0D">
      <w:pPr>
        <w:spacing w:line="28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c）生产过程的原辅材料（催化剂）、副产品（中间品）、产品及其年用量；</w:t>
      </w:r>
    </w:p>
    <w:p w14:paraId="7E5D2F58">
      <w:pPr>
        <w:spacing w:line="28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d）生产工艺；</w:t>
      </w:r>
    </w:p>
    <w:p w14:paraId="4F58287F">
      <w:pPr>
        <w:spacing w:line="28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e）生产设备；</w:t>
      </w:r>
    </w:p>
    <w:p w14:paraId="2AC87717">
      <w:pPr>
        <w:spacing w:line="28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f）采取的职业病危害防护设施；</w:t>
      </w:r>
    </w:p>
    <w:p w14:paraId="7812E4F1">
      <w:pPr>
        <w:spacing w:after="260" w:line="280" w:lineRule="exact"/>
        <w:ind w:firstLine="36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g）采取的应急救援设施等。</w:t>
      </w:r>
    </w:p>
    <w:p w14:paraId="3157687A">
      <w:pPr>
        <w:spacing w:after="260" w:line="30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A．4 用人单位涉及项目运行情况。</w:t>
      </w:r>
    </w:p>
    <w:p w14:paraId="22CCF47B">
      <w:pPr>
        <w:spacing w:after="260" w:line="28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A．5 用人单位职业健康管理及其落实情况的各类资料。</w:t>
      </w:r>
    </w:p>
    <w:p w14:paraId="230D17DA">
      <w:pPr>
        <w:spacing w:after="260" w:line="28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A．6 国家、地方、行业有关职业卫生方面的法律、法规、标准、规范。</w:t>
      </w:r>
    </w:p>
    <w:p w14:paraId="7AF34C3D">
      <w:pPr>
        <w:spacing w:line="400" w:lineRule="exact"/>
        <w:ind w:firstLine="2260"/>
        <w:rPr>
          <w:rFonts w:hint="default" w:ascii="Times New Roman" w:hAnsi="Times New Roman" w:cs="Times New Roman"/>
        </w:rPr>
        <w:sectPr>
          <w:headerReference r:id="rId13" w:type="default"/>
          <w:footerReference r:id="rId14" w:type="default"/>
          <w:pgSz w:w="11900" w:h="16820"/>
          <w:pgMar w:top="1440" w:right="1380" w:bottom="1440" w:left="1060" w:header="1440" w:footer="1160" w:gutter="0"/>
          <w:cols w:space="720" w:num="1"/>
        </w:sectPr>
      </w:pPr>
      <w:r>
        <w:rPr>
          <w:rFonts w:hint="default" w:ascii="Times New Roman" w:hAnsi="Times New Roman" w:cs="Times New Roman"/>
        </w:rPr>
        <w:br w:type="page"/>
      </w:r>
    </w:p>
    <w:p w14:paraId="0BA88617">
      <w:pPr>
        <w:pStyle w:val="36"/>
        <w:shd w:val="clear" w:color="FFFFFF" w:fill="FFFFFF"/>
        <w:spacing w:after="156"/>
        <w:rPr>
          <w:rFonts w:hint="default" w:hAnsi="Times New Roman" w:cs="Times New Roman"/>
        </w:rPr>
      </w:pPr>
    </w:p>
    <w:p w14:paraId="098E34EB">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（资料性附录）</w:t>
      </w:r>
    </w:p>
    <w:p w14:paraId="230BAB37">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用人单位职业病危害现状评价工作程序</w:t>
      </w:r>
    </w:p>
    <w:p w14:paraId="476066AD">
      <w:pPr>
        <w:jc w:val="left"/>
        <w:rPr>
          <w:rFonts w:hint="default" w:ascii="Times New Roman" w:hAnsi="Times New Roman" w:cs="Times New Roman"/>
        </w:rPr>
      </w:pPr>
      <w:r>
        <w:drawing>
          <wp:anchor distT="0" distB="0" distL="0" distR="0" simplePos="0" relativeHeight="251663360" behindDoc="0" locked="0" layoutInCell="1" allowOverlap="1">
            <wp:simplePos x="0" y="0"/>
            <wp:positionH relativeFrom="page">
              <wp:posOffset>1910715</wp:posOffset>
            </wp:positionH>
            <wp:positionV relativeFrom="paragraph">
              <wp:posOffset>32385</wp:posOffset>
            </wp:positionV>
            <wp:extent cx="3925570" cy="6029325"/>
            <wp:effectExtent l="0" t="0" r="17780" b="9525"/>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25" cstate="print"/>
                    <a:stretch>
                      <a:fillRect/>
                    </a:stretch>
                  </pic:blipFill>
                  <pic:spPr>
                    <a:xfrm>
                      <a:off x="0" y="0"/>
                      <a:ext cx="3925570" cy="6029325"/>
                    </a:xfrm>
                    <a:prstGeom prst="rect">
                      <a:avLst/>
                    </a:prstGeom>
                  </pic:spPr>
                </pic:pic>
              </a:graphicData>
            </a:graphic>
          </wp:anchor>
        </w:drawing>
      </w:r>
    </w:p>
    <w:p w14:paraId="0712AB66">
      <w:pPr>
        <w:jc w:val="left"/>
        <w:rPr>
          <w:rFonts w:hint="default" w:ascii="Times New Roman" w:hAnsi="Times New Roman" w:cs="Times New Roman"/>
        </w:rPr>
      </w:pPr>
    </w:p>
    <w:p w14:paraId="3910DB1B">
      <w:pPr>
        <w:spacing w:before="240" w:line="260" w:lineRule="exact"/>
        <w:jc w:val="center"/>
        <w:rPr>
          <w:rFonts w:hint="default" w:ascii="Times New Roman" w:hAnsi="Times New Roman" w:cs="Times New Roman"/>
        </w:rPr>
        <w:sectPr>
          <w:footerReference r:id="rId15" w:type="default"/>
          <w:type w:val="continuous"/>
          <w:pgSz w:w="12100" w:h="16820"/>
          <w:pgMar w:top="1400" w:right="720" w:bottom="1440" w:left="1420" w:header="0" w:footer="1160" w:gutter="0"/>
          <w:cols w:space="720" w:num="1"/>
        </w:sectPr>
      </w:pPr>
      <w:r>
        <w:rPr>
          <w:rFonts w:hint="default" w:ascii="Times New Roman" w:hAnsi="Times New Roman" w:eastAsia="宋体" w:cs="Times New Roman"/>
          <w:b/>
          <w:color w:val="000000"/>
          <w:sz w:val="22"/>
        </w:rPr>
        <w:t>图B．1</w:t>
      </w:r>
      <w:r>
        <w:rPr>
          <w:rFonts w:hint="default" w:ascii="Times New Roman" w:hAnsi="Times New Roman" w:cs="Times New Roman"/>
        </w:rPr>
        <w:br w:type="page"/>
      </w:r>
    </w:p>
    <w:p w14:paraId="0AFAF0EC">
      <w:pPr>
        <w:pStyle w:val="36"/>
        <w:shd w:val="clear" w:color="FFFFFF" w:fill="FFFFFF"/>
        <w:spacing w:after="156"/>
        <w:rPr>
          <w:rFonts w:hint="default" w:hAnsi="Times New Roman" w:cs="Times New Roman"/>
        </w:rPr>
      </w:pPr>
    </w:p>
    <w:p w14:paraId="68018AAB">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（资料性附录）</w:t>
      </w:r>
    </w:p>
    <w:p w14:paraId="4E7CD676">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用人单位基本情况调查及评价参考使用例表</w:t>
      </w:r>
    </w:p>
    <w:p w14:paraId="03DC8571">
      <w:pPr>
        <w:pStyle w:val="40"/>
        <w:numPr>
          <w:ilvl w:val="1"/>
          <w:numId w:val="8"/>
        </w:numPr>
        <w:tabs>
          <w:tab w:val="left" w:pos="1044"/>
        </w:tabs>
        <w:spacing w:before="70" w:after="0" w:line="240" w:lineRule="auto"/>
        <w:ind w:left="1044" w:right="0" w:hanging="526"/>
        <w:jc w:val="left"/>
        <w:rPr>
          <w:rFonts w:hint="eastAsia" w:ascii="黑体" w:eastAsia="黑体"/>
          <w:sz w:val="21"/>
        </w:rPr>
      </w:pPr>
      <w:r>
        <w:rPr>
          <w:rFonts w:hint="eastAsia" w:ascii="黑体" w:eastAsia="黑体"/>
          <w:sz w:val="21"/>
        </w:rPr>
        <w:t>职业卫生</w:t>
      </w:r>
      <w:r>
        <w:rPr>
          <w:rFonts w:hint="eastAsia" w:ascii="黑体" w:eastAsia="黑体"/>
          <w:sz w:val="21"/>
          <w:lang w:eastAsia="zh-CN"/>
        </w:rPr>
        <w:t>前期</w:t>
      </w:r>
      <w:r>
        <w:rPr>
          <w:rFonts w:hint="eastAsia" w:ascii="黑体" w:eastAsia="黑体"/>
          <w:sz w:val="21"/>
        </w:rPr>
        <w:t>调查相关表格</w:t>
      </w:r>
    </w:p>
    <w:p w14:paraId="35E8E3C3">
      <w:pPr>
        <w:pStyle w:val="3"/>
        <w:rPr>
          <w:rFonts w:ascii="黑体"/>
          <w:sz w:val="24"/>
        </w:rPr>
      </w:pPr>
    </w:p>
    <w:p w14:paraId="2985DD7A">
      <w:pPr>
        <w:pStyle w:val="40"/>
        <w:numPr>
          <w:ilvl w:val="2"/>
          <w:numId w:val="8"/>
        </w:numPr>
        <w:tabs>
          <w:tab w:val="left" w:pos="1253"/>
        </w:tabs>
        <w:spacing w:before="0" w:after="0" w:line="240" w:lineRule="auto"/>
        <w:ind w:left="1252" w:right="0" w:hanging="735"/>
        <w:jc w:val="left"/>
        <w:rPr>
          <w:sz w:val="21"/>
        </w:rPr>
      </w:pPr>
      <w:bookmarkStart w:id="59" w:name="C.1.1　用人单位基本信息调查记录表，见表C.1。"/>
      <w:bookmarkEnd w:id="59"/>
      <w:bookmarkStart w:id="60" w:name="C.1.1　用人单位基本信息调查记录表，见表C.1。"/>
      <w:bookmarkEnd w:id="60"/>
      <w:r>
        <w:rPr>
          <w:sz w:val="21"/>
        </w:rPr>
        <w:t>用人单位基本信息调查记录表，见表</w:t>
      </w:r>
      <w:r>
        <w:rPr>
          <w:rFonts w:ascii="Times New Roman" w:eastAsia="Times New Roman"/>
          <w:sz w:val="21"/>
        </w:rPr>
        <w:t>C</w:t>
      </w:r>
      <w:r>
        <w:rPr>
          <w:sz w:val="21"/>
        </w:rPr>
        <w:t>.1。</w:t>
      </w:r>
    </w:p>
    <w:p w14:paraId="17D43FE7">
      <w:pPr>
        <w:pStyle w:val="3"/>
        <w:spacing w:before="122"/>
        <w:ind w:left="63"/>
        <w:jc w:val="center"/>
        <w:rPr>
          <w:rFonts w:hint="eastAsia" w:ascii="黑体" w:eastAsia="黑体"/>
        </w:rPr>
      </w:pPr>
      <w:r>
        <w:rPr>
          <w:rFonts w:hint="eastAsia" w:ascii="黑体" w:eastAsia="黑体"/>
        </w:rPr>
        <w:t>表 C.1 用人单位基本信息调查记录表</w:t>
      </w:r>
    </w:p>
    <w:p w14:paraId="13804A1E">
      <w:pPr>
        <w:pStyle w:val="3"/>
        <w:spacing w:before="4"/>
        <w:rPr>
          <w:rFonts w:ascii="黑体"/>
          <w:sz w:val="13"/>
        </w:rPr>
      </w:pPr>
    </w:p>
    <w:tbl>
      <w:tblPr>
        <w:tblStyle w:val="6"/>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13"/>
        <w:gridCol w:w="2970"/>
        <w:gridCol w:w="2612"/>
        <w:gridCol w:w="2873"/>
      </w:tblGrid>
      <w:tr w14:paraId="0142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842" w:type="pct"/>
            <w:vAlign w:val="center"/>
          </w:tcPr>
          <w:p w14:paraId="46FD6DB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用人单位</w:t>
            </w:r>
          </w:p>
        </w:tc>
        <w:tc>
          <w:tcPr>
            <w:tcW w:w="1460" w:type="pct"/>
            <w:vAlign w:val="center"/>
          </w:tcPr>
          <w:p w14:paraId="6306928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1284" w:type="pct"/>
            <w:vAlign w:val="center"/>
          </w:tcPr>
          <w:p w14:paraId="5993270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统一社会信用代码</w:t>
            </w:r>
          </w:p>
        </w:tc>
        <w:tc>
          <w:tcPr>
            <w:tcW w:w="1412" w:type="pct"/>
            <w:vAlign w:val="center"/>
          </w:tcPr>
          <w:p w14:paraId="0E3685F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r>
      <w:tr w14:paraId="79C2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rPr>
        <w:tc>
          <w:tcPr>
            <w:tcW w:w="842" w:type="pct"/>
            <w:vAlign w:val="center"/>
          </w:tcPr>
          <w:p w14:paraId="768F60F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单位注册地址</w:t>
            </w:r>
          </w:p>
        </w:tc>
        <w:tc>
          <w:tcPr>
            <w:tcW w:w="1460" w:type="pct"/>
            <w:vAlign w:val="center"/>
          </w:tcPr>
          <w:p w14:paraId="4DA7A21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1284" w:type="pct"/>
            <w:vAlign w:val="center"/>
          </w:tcPr>
          <w:p w14:paraId="595CCC0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技术服务地址（多个地址应逐一详细填写）</w:t>
            </w:r>
          </w:p>
        </w:tc>
        <w:tc>
          <w:tcPr>
            <w:tcW w:w="1412" w:type="pct"/>
            <w:vAlign w:val="center"/>
          </w:tcPr>
          <w:p w14:paraId="56B382A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r>
      <w:tr w14:paraId="5EFC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842" w:type="pct"/>
            <w:vAlign w:val="center"/>
          </w:tcPr>
          <w:p w14:paraId="2B8AEC8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所属行业</w:t>
            </w:r>
          </w:p>
        </w:tc>
        <w:tc>
          <w:tcPr>
            <w:tcW w:w="1460" w:type="pct"/>
            <w:vAlign w:val="center"/>
          </w:tcPr>
          <w:p w14:paraId="15927BF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1284" w:type="pct"/>
            <w:vAlign w:val="center"/>
          </w:tcPr>
          <w:p w14:paraId="6A7458C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经济类型</w:t>
            </w:r>
          </w:p>
        </w:tc>
        <w:tc>
          <w:tcPr>
            <w:tcW w:w="1412" w:type="pct"/>
            <w:vAlign w:val="center"/>
          </w:tcPr>
          <w:p w14:paraId="7A139C8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r>
      <w:tr w14:paraId="188B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842" w:type="pct"/>
            <w:vAlign w:val="center"/>
          </w:tcPr>
          <w:p w14:paraId="2335B21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企业规模</w:t>
            </w:r>
          </w:p>
        </w:tc>
        <w:tc>
          <w:tcPr>
            <w:tcW w:w="1460" w:type="pct"/>
            <w:vAlign w:val="center"/>
          </w:tcPr>
          <w:p w14:paraId="1C6B755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1284" w:type="pct"/>
            <w:vAlign w:val="center"/>
          </w:tcPr>
          <w:p w14:paraId="6061CE1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法定代表人/负责人姓名</w:t>
            </w:r>
          </w:p>
        </w:tc>
        <w:tc>
          <w:tcPr>
            <w:tcW w:w="1412" w:type="pct"/>
            <w:vAlign w:val="center"/>
          </w:tcPr>
          <w:p w14:paraId="34DAF19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r>
      <w:tr w14:paraId="3EEC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842" w:type="pct"/>
            <w:vAlign w:val="center"/>
          </w:tcPr>
          <w:p w14:paraId="1D35576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在册职工人数</w:t>
            </w:r>
          </w:p>
        </w:tc>
        <w:tc>
          <w:tcPr>
            <w:tcW w:w="1460" w:type="pct"/>
            <w:vAlign w:val="center"/>
          </w:tcPr>
          <w:p w14:paraId="7FB9181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1284" w:type="pct"/>
            <w:vAlign w:val="center"/>
          </w:tcPr>
          <w:p w14:paraId="1D55D52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劳务派遣人员数量</w:t>
            </w:r>
          </w:p>
        </w:tc>
        <w:tc>
          <w:tcPr>
            <w:tcW w:w="1412" w:type="pct"/>
            <w:vAlign w:val="center"/>
          </w:tcPr>
          <w:p w14:paraId="1681564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r>
      <w:tr w14:paraId="0B05D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842" w:type="pct"/>
            <w:vAlign w:val="center"/>
          </w:tcPr>
          <w:p w14:paraId="406BB33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联系人姓名</w:t>
            </w:r>
          </w:p>
        </w:tc>
        <w:tc>
          <w:tcPr>
            <w:tcW w:w="1460" w:type="pct"/>
            <w:vAlign w:val="center"/>
          </w:tcPr>
          <w:p w14:paraId="2C02656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1284" w:type="pct"/>
            <w:vAlign w:val="center"/>
          </w:tcPr>
          <w:p w14:paraId="6794AA1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联系人电话</w:t>
            </w:r>
          </w:p>
        </w:tc>
        <w:tc>
          <w:tcPr>
            <w:tcW w:w="1412" w:type="pct"/>
            <w:vAlign w:val="center"/>
          </w:tcPr>
          <w:p w14:paraId="0471CC5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r>
      <w:tr w14:paraId="0E35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atLeast"/>
        </w:trPr>
        <w:tc>
          <w:tcPr>
            <w:tcW w:w="842" w:type="pct"/>
            <w:vAlign w:val="center"/>
          </w:tcPr>
          <w:p w14:paraId="719A5AC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联系人邮箱</w:t>
            </w:r>
          </w:p>
        </w:tc>
        <w:tc>
          <w:tcPr>
            <w:tcW w:w="1460" w:type="pct"/>
            <w:vAlign w:val="center"/>
          </w:tcPr>
          <w:p w14:paraId="64D18F3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1284" w:type="pct"/>
            <w:vAlign w:val="center"/>
          </w:tcPr>
          <w:p w14:paraId="442047B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传真</w:t>
            </w:r>
          </w:p>
        </w:tc>
        <w:tc>
          <w:tcPr>
            <w:tcW w:w="1412" w:type="pct"/>
            <w:vAlign w:val="center"/>
          </w:tcPr>
          <w:p w14:paraId="4962AA6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r>
    </w:tbl>
    <w:p w14:paraId="56EB9235">
      <w:pPr>
        <w:pStyle w:val="40"/>
        <w:numPr>
          <w:ilvl w:val="2"/>
          <w:numId w:val="8"/>
        </w:numPr>
        <w:tabs>
          <w:tab w:val="left" w:pos="1253"/>
        </w:tabs>
        <w:spacing w:before="121" w:after="0" w:line="240" w:lineRule="auto"/>
        <w:ind w:left="1252" w:right="0" w:hanging="735"/>
        <w:jc w:val="left"/>
        <w:rPr>
          <w:sz w:val="21"/>
        </w:rPr>
      </w:pPr>
      <w:bookmarkStart w:id="61" w:name="C.1.2　原、辅材料和产品情况调查记录表，见表C.2～表C.3。"/>
      <w:bookmarkEnd w:id="61"/>
      <w:bookmarkStart w:id="62" w:name="C.1.2　原、辅材料和产品情况调查记录表，见表C.2～表C.3。"/>
      <w:bookmarkEnd w:id="62"/>
      <w:r>
        <w:rPr>
          <w:sz w:val="21"/>
        </w:rPr>
        <w:t>原、辅材料和产品情况调查记录表，见表</w:t>
      </w:r>
      <w:r>
        <w:rPr>
          <w:rFonts w:ascii="Times New Roman" w:eastAsia="Times New Roman"/>
          <w:sz w:val="21"/>
        </w:rPr>
        <w:t>C</w:t>
      </w:r>
      <w:r>
        <w:rPr>
          <w:sz w:val="21"/>
        </w:rPr>
        <w:t>.2</w:t>
      </w:r>
      <w:r>
        <w:rPr>
          <w:rFonts w:hint="eastAsia" w:ascii="黑体" w:eastAsia="黑体"/>
          <w:sz w:val="21"/>
        </w:rPr>
        <w:t>～</w:t>
      </w:r>
      <w:r>
        <w:rPr>
          <w:sz w:val="21"/>
        </w:rPr>
        <w:t>表</w:t>
      </w:r>
      <w:r>
        <w:rPr>
          <w:rFonts w:ascii="Times New Roman" w:eastAsia="Times New Roman"/>
          <w:sz w:val="21"/>
        </w:rPr>
        <w:t>C</w:t>
      </w:r>
      <w:r>
        <w:rPr>
          <w:sz w:val="21"/>
        </w:rPr>
        <w:t>.3。</w:t>
      </w:r>
    </w:p>
    <w:p w14:paraId="5B550541">
      <w:pPr>
        <w:pStyle w:val="3"/>
        <w:spacing w:before="124"/>
        <w:ind w:left="58"/>
        <w:jc w:val="center"/>
        <w:rPr>
          <w:rFonts w:hint="eastAsia" w:ascii="黑体" w:eastAsia="黑体"/>
        </w:rPr>
      </w:pPr>
      <w:r>
        <w:rPr>
          <w:rFonts w:hint="eastAsia" w:ascii="黑体" w:eastAsia="黑体"/>
        </w:rPr>
        <w:t>表 C.2 原、辅材料情况调查记录表</w:t>
      </w:r>
    </w:p>
    <w:p w14:paraId="064A7522">
      <w:pPr>
        <w:pStyle w:val="3"/>
        <w:spacing w:before="4"/>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8"/>
        <w:gridCol w:w="970"/>
        <w:gridCol w:w="970"/>
        <w:gridCol w:w="883"/>
        <w:gridCol w:w="919"/>
        <w:gridCol w:w="1222"/>
        <w:gridCol w:w="761"/>
        <w:gridCol w:w="919"/>
        <w:gridCol w:w="917"/>
        <w:gridCol w:w="927"/>
        <w:gridCol w:w="690"/>
      </w:tblGrid>
      <w:tr w14:paraId="3D26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9" w:hRule="atLeast"/>
        </w:trPr>
        <w:tc>
          <w:tcPr>
            <w:tcW w:w="477" w:type="pct"/>
            <w:vAlign w:val="center"/>
          </w:tcPr>
          <w:p w14:paraId="53D4614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478" w:type="pct"/>
            <w:vAlign w:val="center"/>
          </w:tcPr>
          <w:p w14:paraId="70FC804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物料</w:t>
            </w:r>
          </w:p>
          <w:p w14:paraId="0752F4F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名称</w:t>
            </w:r>
          </w:p>
        </w:tc>
        <w:tc>
          <w:tcPr>
            <w:tcW w:w="478" w:type="pct"/>
            <w:vAlign w:val="center"/>
          </w:tcPr>
          <w:p w14:paraId="07B702D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主要</w:t>
            </w:r>
          </w:p>
          <w:p w14:paraId="0BEFA4E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成分</w:t>
            </w:r>
          </w:p>
        </w:tc>
        <w:tc>
          <w:tcPr>
            <w:tcW w:w="435" w:type="pct"/>
            <w:vAlign w:val="center"/>
          </w:tcPr>
          <w:p w14:paraId="1ED55FA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物理</w:t>
            </w:r>
          </w:p>
          <w:p w14:paraId="33EA3D2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 xml:space="preserve">状态 </w:t>
            </w:r>
            <w:r>
              <w:rPr>
                <w:sz w:val="18"/>
                <w:vertAlign w:val="superscript"/>
              </w:rPr>
              <w:t>a</w:t>
            </w:r>
          </w:p>
        </w:tc>
        <w:tc>
          <w:tcPr>
            <w:tcW w:w="453" w:type="pct"/>
            <w:vAlign w:val="center"/>
          </w:tcPr>
          <w:p w14:paraId="7F474FC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年用量</w:t>
            </w:r>
          </w:p>
        </w:tc>
        <w:tc>
          <w:tcPr>
            <w:tcW w:w="602" w:type="pct"/>
            <w:vAlign w:val="center"/>
          </w:tcPr>
          <w:p w14:paraId="4D8744E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使用岗位</w:t>
            </w:r>
          </w:p>
          <w:p w14:paraId="6CC10BC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（工种）</w:t>
            </w:r>
          </w:p>
        </w:tc>
        <w:tc>
          <w:tcPr>
            <w:tcW w:w="375" w:type="pct"/>
            <w:vAlign w:val="center"/>
          </w:tcPr>
          <w:p w14:paraId="1C389FD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运输</w:t>
            </w:r>
          </w:p>
          <w:p w14:paraId="3985DE1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 xml:space="preserve">方式 </w:t>
            </w:r>
            <w:r>
              <w:rPr>
                <w:sz w:val="18"/>
                <w:vertAlign w:val="superscript"/>
              </w:rPr>
              <w:t>b</w:t>
            </w:r>
          </w:p>
        </w:tc>
        <w:tc>
          <w:tcPr>
            <w:tcW w:w="453" w:type="pct"/>
            <w:vAlign w:val="center"/>
          </w:tcPr>
          <w:p w14:paraId="719ED75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储存</w:t>
            </w:r>
          </w:p>
          <w:p w14:paraId="5E7E6BE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方式</w:t>
            </w:r>
            <w:r>
              <w:rPr>
                <w:sz w:val="18"/>
                <w:vertAlign w:val="superscript"/>
              </w:rPr>
              <w:t>c</w:t>
            </w:r>
          </w:p>
        </w:tc>
        <w:tc>
          <w:tcPr>
            <w:tcW w:w="452" w:type="pct"/>
            <w:vAlign w:val="center"/>
          </w:tcPr>
          <w:p w14:paraId="52DCAF5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加药/投</w:t>
            </w:r>
          </w:p>
          <w:p w14:paraId="0AC9AEE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 xml:space="preserve">料方式 </w:t>
            </w:r>
            <w:r>
              <w:rPr>
                <w:sz w:val="18"/>
                <w:vertAlign w:val="superscript"/>
              </w:rPr>
              <w:t>d</w:t>
            </w:r>
          </w:p>
        </w:tc>
        <w:tc>
          <w:tcPr>
            <w:tcW w:w="457" w:type="pct"/>
            <w:vAlign w:val="center"/>
          </w:tcPr>
          <w:p w14:paraId="53AAF21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装卸</w:t>
            </w:r>
          </w:p>
          <w:p w14:paraId="7B16EBF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 xml:space="preserve">方式 </w:t>
            </w:r>
            <w:r>
              <w:rPr>
                <w:sz w:val="18"/>
                <w:vertAlign w:val="superscript"/>
              </w:rPr>
              <w:t>e</w:t>
            </w:r>
          </w:p>
        </w:tc>
        <w:tc>
          <w:tcPr>
            <w:tcW w:w="334" w:type="pct"/>
            <w:vAlign w:val="center"/>
          </w:tcPr>
          <w:p w14:paraId="67FD240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装卸</w:t>
            </w:r>
          </w:p>
          <w:p w14:paraId="5593D69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周期</w:t>
            </w:r>
          </w:p>
        </w:tc>
      </w:tr>
      <w:tr w14:paraId="4EB6A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77" w:type="pct"/>
          </w:tcPr>
          <w:p w14:paraId="7E32D0A2">
            <w:pPr>
              <w:pStyle w:val="41"/>
              <w:rPr>
                <w:rFonts w:ascii="Times New Roman"/>
                <w:sz w:val="18"/>
              </w:rPr>
            </w:pPr>
          </w:p>
        </w:tc>
        <w:tc>
          <w:tcPr>
            <w:tcW w:w="478" w:type="pct"/>
          </w:tcPr>
          <w:p w14:paraId="7593E1EF">
            <w:pPr>
              <w:pStyle w:val="41"/>
              <w:rPr>
                <w:rFonts w:ascii="Times New Roman"/>
                <w:sz w:val="18"/>
              </w:rPr>
            </w:pPr>
          </w:p>
        </w:tc>
        <w:tc>
          <w:tcPr>
            <w:tcW w:w="478" w:type="pct"/>
          </w:tcPr>
          <w:p w14:paraId="7275AE83">
            <w:pPr>
              <w:pStyle w:val="41"/>
              <w:rPr>
                <w:rFonts w:ascii="Times New Roman"/>
                <w:sz w:val="18"/>
              </w:rPr>
            </w:pPr>
          </w:p>
        </w:tc>
        <w:tc>
          <w:tcPr>
            <w:tcW w:w="435" w:type="pct"/>
          </w:tcPr>
          <w:p w14:paraId="3EDEEFB3">
            <w:pPr>
              <w:pStyle w:val="41"/>
              <w:rPr>
                <w:rFonts w:ascii="Times New Roman"/>
                <w:sz w:val="18"/>
              </w:rPr>
            </w:pPr>
          </w:p>
        </w:tc>
        <w:tc>
          <w:tcPr>
            <w:tcW w:w="453" w:type="pct"/>
          </w:tcPr>
          <w:p w14:paraId="0A2D7704">
            <w:pPr>
              <w:pStyle w:val="41"/>
              <w:rPr>
                <w:rFonts w:ascii="Times New Roman"/>
                <w:sz w:val="18"/>
              </w:rPr>
            </w:pPr>
          </w:p>
        </w:tc>
        <w:tc>
          <w:tcPr>
            <w:tcW w:w="602" w:type="pct"/>
          </w:tcPr>
          <w:p w14:paraId="50A0EB52">
            <w:pPr>
              <w:pStyle w:val="41"/>
              <w:rPr>
                <w:rFonts w:ascii="Times New Roman"/>
                <w:sz w:val="18"/>
              </w:rPr>
            </w:pPr>
          </w:p>
        </w:tc>
        <w:tc>
          <w:tcPr>
            <w:tcW w:w="375" w:type="pct"/>
          </w:tcPr>
          <w:p w14:paraId="21683ED5">
            <w:pPr>
              <w:pStyle w:val="41"/>
              <w:rPr>
                <w:rFonts w:ascii="Times New Roman"/>
                <w:sz w:val="18"/>
              </w:rPr>
            </w:pPr>
          </w:p>
        </w:tc>
        <w:tc>
          <w:tcPr>
            <w:tcW w:w="453" w:type="pct"/>
          </w:tcPr>
          <w:p w14:paraId="1FFAB76D">
            <w:pPr>
              <w:pStyle w:val="41"/>
              <w:rPr>
                <w:rFonts w:ascii="Times New Roman"/>
                <w:sz w:val="18"/>
              </w:rPr>
            </w:pPr>
          </w:p>
        </w:tc>
        <w:tc>
          <w:tcPr>
            <w:tcW w:w="452" w:type="pct"/>
          </w:tcPr>
          <w:p w14:paraId="40DC309E">
            <w:pPr>
              <w:pStyle w:val="41"/>
              <w:rPr>
                <w:rFonts w:ascii="Times New Roman"/>
                <w:sz w:val="18"/>
              </w:rPr>
            </w:pPr>
          </w:p>
        </w:tc>
        <w:tc>
          <w:tcPr>
            <w:tcW w:w="457" w:type="pct"/>
          </w:tcPr>
          <w:p w14:paraId="476A0E0B">
            <w:pPr>
              <w:pStyle w:val="41"/>
              <w:rPr>
                <w:rFonts w:ascii="Times New Roman"/>
                <w:sz w:val="18"/>
              </w:rPr>
            </w:pPr>
          </w:p>
        </w:tc>
        <w:tc>
          <w:tcPr>
            <w:tcW w:w="334" w:type="pct"/>
          </w:tcPr>
          <w:p w14:paraId="0DC9BFAD">
            <w:pPr>
              <w:pStyle w:val="41"/>
              <w:rPr>
                <w:rFonts w:ascii="Times New Roman"/>
                <w:sz w:val="18"/>
              </w:rPr>
            </w:pPr>
          </w:p>
        </w:tc>
      </w:tr>
      <w:tr w14:paraId="3338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6" w:hRule="atLeast"/>
        </w:trPr>
        <w:tc>
          <w:tcPr>
            <w:tcW w:w="5000" w:type="pct"/>
            <w:gridSpan w:val="11"/>
          </w:tcPr>
          <w:p w14:paraId="03D8ABCA">
            <w:pPr>
              <w:pStyle w:val="41"/>
              <w:keepNext w:val="0"/>
              <w:keepLines w:val="0"/>
              <w:pageBreakBefore w:val="0"/>
              <w:widowControl w:val="0"/>
              <w:kinsoku/>
              <w:wordWrap/>
              <w:overflowPunct/>
              <w:topLinePunct w:val="0"/>
              <w:autoSpaceDE/>
              <w:autoSpaceDN/>
              <w:bidi w:val="0"/>
              <w:adjustRightInd w:val="0"/>
              <w:snapToGrid/>
              <w:spacing w:line="240" w:lineRule="auto"/>
              <w:ind w:left="0"/>
              <w:textAlignment w:val="auto"/>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物理状态如果是固态，应写明粉末、颗粒状、片状、条状等。</w:t>
            </w:r>
          </w:p>
          <w:p w14:paraId="5811E263">
            <w:pPr>
              <w:pStyle w:val="41"/>
              <w:keepNext w:val="0"/>
              <w:keepLines w:val="0"/>
              <w:pageBreakBefore w:val="0"/>
              <w:widowControl w:val="0"/>
              <w:kinsoku/>
              <w:wordWrap/>
              <w:overflowPunct/>
              <w:topLinePunct w:val="0"/>
              <w:autoSpaceDE/>
              <w:autoSpaceDN/>
              <w:bidi w:val="0"/>
              <w:adjustRightInd w:val="0"/>
              <w:snapToGrid/>
              <w:spacing w:line="240" w:lineRule="auto"/>
              <w:ind w:left="0"/>
              <w:textAlignment w:val="auto"/>
              <w:rPr>
                <w:sz w:val="18"/>
              </w:rPr>
            </w:pPr>
            <w:r>
              <w:rPr>
                <w:rFonts w:ascii="Times New Roman" w:eastAsia="Times New Roman"/>
                <w:sz w:val="18"/>
                <w:vertAlign w:val="superscript"/>
              </w:rPr>
              <w:t>b</w:t>
            </w:r>
            <w:r>
              <w:rPr>
                <w:rFonts w:ascii="Times New Roman" w:eastAsia="Times New Roman"/>
                <w:sz w:val="18"/>
                <w:vertAlign w:val="baseline"/>
              </w:rPr>
              <w:t xml:space="preserve"> </w:t>
            </w:r>
            <w:r>
              <w:rPr>
                <w:sz w:val="18"/>
                <w:vertAlign w:val="baseline"/>
              </w:rPr>
              <w:t>运输方式是指厂内运输方式，包括槽罐车、叉车、货车、皮带等。</w:t>
            </w:r>
          </w:p>
          <w:p w14:paraId="6B1B7C9B">
            <w:pPr>
              <w:pStyle w:val="41"/>
              <w:keepNext w:val="0"/>
              <w:keepLines w:val="0"/>
              <w:pageBreakBefore w:val="0"/>
              <w:widowControl w:val="0"/>
              <w:kinsoku/>
              <w:wordWrap/>
              <w:overflowPunct/>
              <w:topLinePunct w:val="0"/>
              <w:autoSpaceDE/>
              <w:autoSpaceDN/>
              <w:bidi w:val="0"/>
              <w:adjustRightInd w:val="0"/>
              <w:snapToGrid/>
              <w:spacing w:line="240" w:lineRule="auto"/>
              <w:ind w:left="0"/>
              <w:textAlignment w:val="auto"/>
              <w:rPr>
                <w:sz w:val="18"/>
              </w:rPr>
            </w:pPr>
            <w:r>
              <w:rPr>
                <w:rFonts w:ascii="Times New Roman" w:eastAsia="Times New Roman"/>
                <w:sz w:val="18"/>
                <w:vertAlign w:val="superscript"/>
              </w:rPr>
              <w:t>c</w:t>
            </w:r>
            <w:r>
              <w:rPr>
                <w:rFonts w:ascii="Times New Roman" w:eastAsia="Times New Roman"/>
                <w:sz w:val="18"/>
                <w:vertAlign w:val="baseline"/>
              </w:rPr>
              <w:t xml:space="preserve"> </w:t>
            </w:r>
            <w:r>
              <w:rPr>
                <w:sz w:val="18"/>
                <w:vertAlign w:val="baseline"/>
              </w:rPr>
              <w:t>储存方式指袋装、桶装、罐装、散装等。</w:t>
            </w:r>
          </w:p>
          <w:p w14:paraId="43F3ABE9">
            <w:pPr>
              <w:pStyle w:val="41"/>
              <w:keepNext w:val="0"/>
              <w:keepLines w:val="0"/>
              <w:pageBreakBefore w:val="0"/>
              <w:widowControl w:val="0"/>
              <w:kinsoku/>
              <w:wordWrap/>
              <w:overflowPunct/>
              <w:topLinePunct w:val="0"/>
              <w:autoSpaceDE/>
              <w:autoSpaceDN/>
              <w:bidi w:val="0"/>
              <w:adjustRightInd w:val="0"/>
              <w:snapToGrid/>
              <w:spacing w:line="240" w:lineRule="auto"/>
              <w:ind w:left="0"/>
              <w:textAlignment w:val="auto"/>
              <w:rPr>
                <w:sz w:val="18"/>
              </w:rPr>
            </w:pPr>
            <w:r>
              <w:rPr>
                <w:rFonts w:ascii="Times New Roman" w:eastAsia="Times New Roman"/>
                <w:sz w:val="18"/>
                <w:vertAlign w:val="superscript"/>
              </w:rPr>
              <w:t>d</w:t>
            </w:r>
            <w:r>
              <w:rPr>
                <w:rFonts w:ascii="Times New Roman" w:eastAsia="Times New Roman"/>
                <w:sz w:val="18"/>
                <w:vertAlign w:val="baseline"/>
              </w:rPr>
              <w:t xml:space="preserve"> </w:t>
            </w:r>
            <w:r>
              <w:rPr>
                <w:sz w:val="18"/>
                <w:vertAlign w:val="baseline"/>
              </w:rPr>
              <w:t>加药</w:t>
            </w:r>
            <w:r>
              <w:rPr>
                <w:rFonts w:ascii="Times New Roman" w:eastAsia="Times New Roman"/>
                <w:sz w:val="18"/>
                <w:vertAlign w:val="baseline"/>
              </w:rPr>
              <w:t>/</w:t>
            </w:r>
            <w:r>
              <w:rPr>
                <w:sz w:val="18"/>
                <w:vertAlign w:val="baseline"/>
              </w:rPr>
              <w:t>投料方式是指自动、人工加药等。</w:t>
            </w:r>
          </w:p>
          <w:p w14:paraId="5903AB3D">
            <w:pPr>
              <w:pStyle w:val="41"/>
              <w:keepNext w:val="0"/>
              <w:keepLines w:val="0"/>
              <w:pageBreakBefore w:val="0"/>
              <w:widowControl w:val="0"/>
              <w:kinsoku/>
              <w:wordWrap/>
              <w:overflowPunct/>
              <w:topLinePunct w:val="0"/>
              <w:autoSpaceDE/>
              <w:autoSpaceDN/>
              <w:bidi w:val="0"/>
              <w:adjustRightInd w:val="0"/>
              <w:snapToGrid/>
              <w:spacing w:line="240" w:lineRule="auto"/>
              <w:ind w:left="0"/>
              <w:textAlignment w:val="auto"/>
              <w:rPr>
                <w:sz w:val="18"/>
              </w:rPr>
            </w:pPr>
            <w:r>
              <w:rPr>
                <w:rFonts w:ascii="Times New Roman" w:eastAsia="Times New Roman"/>
                <w:sz w:val="18"/>
                <w:vertAlign w:val="superscript"/>
              </w:rPr>
              <w:t>e</w:t>
            </w:r>
            <w:r>
              <w:rPr>
                <w:rFonts w:ascii="Times New Roman" w:eastAsia="Times New Roman"/>
                <w:sz w:val="18"/>
                <w:vertAlign w:val="baseline"/>
              </w:rPr>
              <w:t xml:space="preserve"> </w:t>
            </w:r>
            <w:r>
              <w:rPr>
                <w:sz w:val="18"/>
                <w:vertAlign w:val="baseline"/>
              </w:rPr>
              <w:t>装卸方式是指接驳、人工装卸等。</w:t>
            </w:r>
          </w:p>
        </w:tc>
      </w:tr>
    </w:tbl>
    <w:p w14:paraId="49E6E460">
      <w:pPr>
        <w:pStyle w:val="3"/>
        <w:spacing w:before="121"/>
        <w:ind w:left="61"/>
        <w:jc w:val="center"/>
        <w:rPr>
          <w:rFonts w:hint="eastAsia" w:ascii="黑体" w:eastAsia="黑体"/>
        </w:rPr>
      </w:pPr>
      <w:r>
        <w:rPr>
          <w:rFonts w:hint="eastAsia" w:ascii="黑体" w:eastAsia="黑体"/>
        </w:rPr>
        <w:t>表 C.3 产品、中间产品、副产品和联产品情况调查记录表</w:t>
      </w:r>
    </w:p>
    <w:p w14:paraId="48D56ADD">
      <w:pPr>
        <w:pStyle w:val="3"/>
        <w:spacing w:before="4"/>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9"/>
        <w:gridCol w:w="1449"/>
        <w:gridCol w:w="1450"/>
        <w:gridCol w:w="1450"/>
        <w:gridCol w:w="1448"/>
        <w:gridCol w:w="1448"/>
        <w:gridCol w:w="1452"/>
      </w:tblGrid>
      <w:tr w14:paraId="4C72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714" w:type="pct"/>
            <w:vAlign w:val="center"/>
          </w:tcPr>
          <w:p w14:paraId="7B0076A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714" w:type="pct"/>
            <w:vAlign w:val="center"/>
          </w:tcPr>
          <w:p w14:paraId="64E744D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物料名称</w:t>
            </w:r>
          </w:p>
        </w:tc>
        <w:tc>
          <w:tcPr>
            <w:tcW w:w="714" w:type="pct"/>
            <w:vAlign w:val="center"/>
          </w:tcPr>
          <w:p w14:paraId="5B6A03E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主要成分</w:t>
            </w:r>
          </w:p>
        </w:tc>
        <w:tc>
          <w:tcPr>
            <w:tcW w:w="714" w:type="pct"/>
            <w:vAlign w:val="center"/>
          </w:tcPr>
          <w:p w14:paraId="3F9DD7A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物理状态</w:t>
            </w:r>
          </w:p>
        </w:tc>
        <w:tc>
          <w:tcPr>
            <w:tcW w:w="713" w:type="pct"/>
            <w:vAlign w:val="center"/>
          </w:tcPr>
          <w:p w14:paraId="31FC13B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年产量</w:t>
            </w:r>
          </w:p>
        </w:tc>
        <w:tc>
          <w:tcPr>
            <w:tcW w:w="713" w:type="pct"/>
            <w:vAlign w:val="center"/>
          </w:tcPr>
          <w:p w14:paraId="4D18DE8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影响岗位</w:t>
            </w:r>
          </w:p>
          <w:p w14:paraId="4122E44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（工种）</w:t>
            </w:r>
          </w:p>
        </w:tc>
        <w:tc>
          <w:tcPr>
            <w:tcW w:w="715" w:type="pct"/>
            <w:vAlign w:val="center"/>
          </w:tcPr>
          <w:p w14:paraId="6D7CC35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包装方式</w:t>
            </w:r>
          </w:p>
        </w:tc>
      </w:tr>
      <w:tr w14:paraId="743C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714" w:type="pct"/>
          </w:tcPr>
          <w:p w14:paraId="612B81BF">
            <w:pPr>
              <w:pStyle w:val="41"/>
              <w:rPr>
                <w:rFonts w:ascii="Times New Roman"/>
                <w:sz w:val="18"/>
              </w:rPr>
            </w:pPr>
          </w:p>
        </w:tc>
        <w:tc>
          <w:tcPr>
            <w:tcW w:w="714" w:type="pct"/>
          </w:tcPr>
          <w:p w14:paraId="5C392C7C">
            <w:pPr>
              <w:pStyle w:val="41"/>
              <w:rPr>
                <w:rFonts w:ascii="Times New Roman"/>
                <w:sz w:val="18"/>
              </w:rPr>
            </w:pPr>
          </w:p>
        </w:tc>
        <w:tc>
          <w:tcPr>
            <w:tcW w:w="714" w:type="pct"/>
          </w:tcPr>
          <w:p w14:paraId="20C4B2AA">
            <w:pPr>
              <w:pStyle w:val="41"/>
              <w:rPr>
                <w:rFonts w:ascii="Times New Roman"/>
                <w:sz w:val="18"/>
              </w:rPr>
            </w:pPr>
          </w:p>
        </w:tc>
        <w:tc>
          <w:tcPr>
            <w:tcW w:w="714" w:type="pct"/>
          </w:tcPr>
          <w:p w14:paraId="7EF642C5">
            <w:pPr>
              <w:pStyle w:val="41"/>
              <w:rPr>
                <w:rFonts w:ascii="Times New Roman"/>
                <w:sz w:val="18"/>
              </w:rPr>
            </w:pPr>
          </w:p>
        </w:tc>
        <w:tc>
          <w:tcPr>
            <w:tcW w:w="713" w:type="pct"/>
          </w:tcPr>
          <w:p w14:paraId="5F3429BD">
            <w:pPr>
              <w:pStyle w:val="41"/>
              <w:rPr>
                <w:rFonts w:ascii="Times New Roman"/>
                <w:sz w:val="18"/>
              </w:rPr>
            </w:pPr>
          </w:p>
        </w:tc>
        <w:tc>
          <w:tcPr>
            <w:tcW w:w="713" w:type="pct"/>
          </w:tcPr>
          <w:p w14:paraId="3B1F845E">
            <w:pPr>
              <w:pStyle w:val="41"/>
              <w:rPr>
                <w:rFonts w:ascii="Times New Roman"/>
                <w:sz w:val="18"/>
              </w:rPr>
            </w:pPr>
          </w:p>
        </w:tc>
        <w:tc>
          <w:tcPr>
            <w:tcW w:w="715" w:type="pct"/>
          </w:tcPr>
          <w:p w14:paraId="57486BC6">
            <w:pPr>
              <w:pStyle w:val="41"/>
              <w:rPr>
                <w:rFonts w:ascii="Times New Roman"/>
                <w:sz w:val="18"/>
              </w:rPr>
            </w:pPr>
          </w:p>
        </w:tc>
      </w:tr>
    </w:tbl>
    <w:p w14:paraId="63380541">
      <w:pPr>
        <w:pStyle w:val="40"/>
        <w:numPr>
          <w:ilvl w:val="2"/>
          <w:numId w:val="8"/>
        </w:numPr>
        <w:tabs>
          <w:tab w:val="left" w:pos="1253"/>
        </w:tabs>
        <w:spacing w:before="122" w:after="0" w:line="240" w:lineRule="auto"/>
        <w:ind w:left="1252" w:right="0" w:hanging="735"/>
        <w:jc w:val="left"/>
        <w:rPr>
          <w:sz w:val="21"/>
        </w:rPr>
      </w:pPr>
      <w:bookmarkStart w:id="63" w:name="C.1.3　辐射源项概况调查记录表，见表C.4～表C.6。"/>
      <w:bookmarkEnd w:id="63"/>
      <w:bookmarkStart w:id="64" w:name="C.1.3　辐射源项概况调查记录表，见表C.4～表C.6。"/>
      <w:bookmarkEnd w:id="64"/>
      <w:r>
        <w:rPr>
          <w:sz w:val="21"/>
        </w:rPr>
        <w:t>辐射源项概况调查记录表，见表</w:t>
      </w:r>
      <w:r>
        <w:rPr>
          <w:rFonts w:ascii="Times New Roman" w:eastAsia="Times New Roman"/>
          <w:sz w:val="21"/>
        </w:rPr>
        <w:t>C</w:t>
      </w:r>
      <w:r>
        <w:rPr>
          <w:sz w:val="21"/>
        </w:rPr>
        <w:t>.4</w:t>
      </w:r>
      <w:r>
        <w:rPr>
          <w:rFonts w:hint="eastAsia" w:ascii="黑体" w:eastAsia="黑体"/>
          <w:sz w:val="21"/>
        </w:rPr>
        <w:t>～</w:t>
      </w:r>
      <w:r>
        <w:rPr>
          <w:sz w:val="21"/>
        </w:rPr>
        <w:t>表</w:t>
      </w:r>
      <w:r>
        <w:rPr>
          <w:rFonts w:ascii="Times New Roman" w:eastAsia="Times New Roman"/>
          <w:sz w:val="21"/>
        </w:rPr>
        <w:t>C</w:t>
      </w:r>
      <w:r>
        <w:rPr>
          <w:sz w:val="21"/>
        </w:rPr>
        <w:t>.6。</w:t>
      </w:r>
    </w:p>
    <w:p w14:paraId="480C36F4">
      <w:pPr>
        <w:pStyle w:val="3"/>
        <w:spacing w:before="122"/>
        <w:ind w:left="63"/>
        <w:jc w:val="center"/>
        <w:rPr>
          <w:rFonts w:hint="eastAsia" w:ascii="黑体" w:eastAsia="黑体"/>
        </w:rPr>
      </w:pPr>
      <w:r>
        <w:rPr>
          <w:rFonts w:hint="eastAsia" w:ascii="黑体" w:eastAsia="黑体"/>
        </w:rPr>
        <w:t>表 C.4 射线装置使用情况调查记录表</w:t>
      </w:r>
    </w:p>
    <w:p w14:paraId="5468FBA5">
      <w:pPr>
        <w:pStyle w:val="3"/>
        <w:spacing w:before="5"/>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10"/>
        <w:gridCol w:w="1110"/>
        <w:gridCol w:w="1422"/>
        <w:gridCol w:w="962"/>
        <w:gridCol w:w="1110"/>
        <w:gridCol w:w="1110"/>
        <w:gridCol w:w="1110"/>
        <w:gridCol w:w="864"/>
        <w:gridCol w:w="1348"/>
      </w:tblGrid>
      <w:tr w14:paraId="60D1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6" w:hRule="atLeast"/>
        </w:trPr>
        <w:tc>
          <w:tcPr>
            <w:tcW w:w="547" w:type="pct"/>
            <w:vAlign w:val="center"/>
          </w:tcPr>
          <w:p w14:paraId="30623EA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547" w:type="pct"/>
            <w:vAlign w:val="center"/>
          </w:tcPr>
          <w:p w14:paraId="1632BB1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701" w:type="pct"/>
            <w:vAlign w:val="center"/>
          </w:tcPr>
          <w:p w14:paraId="7784A51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射线装置</w:t>
            </w:r>
          </w:p>
          <w:p w14:paraId="65306E4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名称和类别</w:t>
            </w:r>
          </w:p>
        </w:tc>
        <w:tc>
          <w:tcPr>
            <w:tcW w:w="474" w:type="pct"/>
            <w:vAlign w:val="center"/>
          </w:tcPr>
          <w:p w14:paraId="6757816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型号</w:t>
            </w:r>
          </w:p>
        </w:tc>
        <w:tc>
          <w:tcPr>
            <w:tcW w:w="547" w:type="pct"/>
            <w:vAlign w:val="center"/>
          </w:tcPr>
          <w:p w14:paraId="275151A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生产厂家</w:t>
            </w:r>
          </w:p>
        </w:tc>
        <w:tc>
          <w:tcPr>
            <w:tcW w:w="547" w:type="pct"/>
            <w:vAlign w:val="center"/>
          </w:tcPr>
          <w:p w14:paraId="73FF679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数量</w:t>
            </w:r>
          </w:p>
        </w:tc>
        <w:tc>
          <w:tcPr>
            <w:tcW w:w="547" w:type="pct"/>
            <w:vAlign w:val="center"/>
          </w:tcPr>
          <w:p w14:paraId="1F35A0B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额定参数</w:t>
            </w:r>
          </w:p>
        </w:tc>
        <w:tc>
          <w:tcPr>
            <w:tcW w:w="426" w:type="pct"/>
            <w:vAlign w:val="center"/>
          </w:tcPr>
          <w:p w14:paraId="2C4A3D7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使用</w:t>
            </w:r>
          </w:p>
          <w:p w14:paraId="2007430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参数</w:t>
            </w:r>
          </w:p>
        </w:tc>
        <w:tc>
          <w:tcPr>
            <w:tcW w:w="661" w:type="pct"/>
            <w:vAlign w:val="center"/>
          </w:tcPr>
          <w:p w14:paraId="1115AAF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人员操作方</w:t>
            </w:r>
          </w:p>
          <w:p w14:paraId="065B7B3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式和位置</w:t>
            </w:r>
          </w:p>
        </w:tc>
      </w:tr>
      <w:tr w14:paraId="2210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47" w:type="pct"/>
          </w:tcPr>
          <w:p w14:paraId="0F014389">
            <w:pPr>
              <w:pStyle w:val="41"/>
              <w:rPr>
                <w:rFonts w:ascii="Times New Roman"/>
                <w:sz w:val="18"/>
              </w:rPr>
            </w:pPr>
          </w:p>
        </w:tc>
        <w:tc>
          <w:tcPr>
            <w:tcW w:w="547" w:type="pct"/>
          </w:tcPr>
          <w:p w14:paraId="3EF9CA0F">
            <w:pPr>
              <w:pStyle w:val="41"/>
              <w:rPr>
                <w:rFonts w:ascii="Times New Roman"/>
                <w:sz w:val="18"/>
              </w:rPr>
            </w:pPr>
          </w:p>
        </w:tc>
        <w:tc>
          <w:tcPr>
            <w:tcW w:w="701" w:type="pct"/>
          </w:tcPr>
          <w:p w14:paraId="40048182">
            <w:pPr>
              <w:pStyle w:val="41"/>
              <w:rPr>
                <w:rFonts w:ascii="Times New Roman"/>
                <w:sz w:val="18"/>
              </w:rPr>
            </w:pPr>
          </w:p>
        </w:tc>
        <w:tc>
          <w:tcPr>
            <w:tcW w:w="474" w:type="pct"/>
          </w:tcPr>
          <w:p w14:paraId="5807E8EE">
            <w:pPr>
              <w:pStyle w:val="41"/>
              <w:rPr>
                <w:rFonts w:ascii="Times New Roman"/>
                <w:sz w:val="18"/>
              </w:rPr>
            </w:pPr>
          </w:p>
        </w:tc>
        <w:tc>
          <w:tcPr>
            <w:tcW w:w="547" w:type="pct"/>
          </w:tcPr>
          <w:p w14:paraId="7DA9B508">
            <w:pPr>
              <w:pStyle w:val="41"/>
              <w:rPr>
                <w:rFonts w:ascii="Times New Roman"/>
                <w:sz w:val="18"/>
              </w:rPr>
            </w:pPr>
          </w:p>
        </w:tc>
        <w:tc>
          <w:tcPr>
            <w:tcW w:w="547" w:type="pct"/>
          </w:tcPr>
          <w:p w14:paraId="2F609F25">
            <w:pPr>
              <w:pStyle w:val="41"/>
              <w:rPr>
                <w:rFonts w:ascii="Times New Roman"/>
                <w:sz w:val="18"/>
              </w:rPr>
            </w:pPr>
          </w:p>
        </w:tc>
        <w:tc>
          <w:tcPr>
            <w:tcW w:w="547" w:type="pct"/>
          </w:tcPr>
          <w:p w14:paraId="0516A1C5">
            <w:pPr>
              <w:pStyle w:val="41"/>
              <w:rPr>
                <w:rFonts w:ascii="Times New Roman"/>
                <w:sz w:val="18"/>
              </w:rPr>
            </w:pPr>
          </w:p>
        </w:tc>
        <w:tc>
          <w:tcPr>
            <w:tcW w:w="426" w:type="pct"/>
          </w:tcPr>
          <w:p w14:paraId="5C450D5A">
            <w:pPr>
              <w:pStyle w:val="41"/>
              <w:rPr>
                <w:rFonts w:ascii="Times New Roman"/>
                <w:sz w:val="18"/>
              </w:rPr>
            </w:pPr>
          </w:p>
        </w:tc>
        <w:tc>
          <w:tcPr>
            <w:tcW w:w="661" w:type="pct"/>
          </w:tcPr>
          <w:p w14:paraId="0D45509C">
            <w:pPr>
              <w:pStyle w:val="41"/>
              <w:rPr>
                <w:rFonts w:ascii="Times New Roman"/>
                <w:sz w:val="18"/>
              </w:rPr>
            </w:pPr>
          </w:p>
        </w:tc>
      </w:tr>
      <w:tr w14:paraId="00CB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trPr>
        <w:tc>
          <w:tcPr>
            <w:tcW w:w="5000" w:type="pct"/>
            <w:gridSpan w:val="9"/>
          </w:tcPr>
          <w:p w14:paraId="21E1586B">
            <w:pPr>
              <w:pStyle w:val="41"/>
              <w:spacing w:before="106"/>
              <w:ind w:left="107"/>
              <w:rPr>
                <w:sz w:val="18"/>
              </w:rPr>
            </w:pPr>
            <w:r>
              <w:rPr>
                <w:sz w:val="18"/>
              </w:rPr>
              <w:t>布局简图，标出射线装置和人员操作位置等内容</w:t>
            </w:r>
          </w:p>
        </w:tc>
      </w:tr>
    </w:tbl>
    <w:p w14:paraId="2121232D">
      <w:pPr>
        <w:pStyle w:val="3"/>
        <w:spacing w:before="18"/>
        <w:ind w:left="416" w:right="921"/>
        <w:jc w:val="center"/>
        <w:rPr>
          <w:rFonts w:hint="eastAsia" w:ascii="黑体" w:eastAsia="黑体"/>
        </w:rPr>
      </w:pPr>
      <w:r>
        <w:rPr>
          <w:rFonts w:hint="eastAsia" w:ascii="黑体" w:eastAsia="黑体"/>
        </w:rPr>
        <w:t>表 C.5 密封源使用情况调查记录表</w:t>
      </w:r>
    </w:p>
    <w:p w14:paraId="3E074C03">
      <w:pPr>
        <w:pStyle w:val="3"/>
        <w:spacing w:before="2"/>
        <w:rPr>
          <w:rFonts w:ascii="黑体"/>
          <w:sz w:val="13"/>
        </w:rPr>
      </w:pP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99"/>
        <w:gridCol w:w="1165"/>
        <w:gridCol w:w="1233"/>
        <w:gridCol w:w="1546"/>
        <w:gridCol w:w="1037"/>
        <w:gridCol w:w="1037"/>
        <w:gridCol w:w="1037"/>
        <w:gridCol w:w="1037"/>
        <w:gridCol w:w="1051"/>
      </w:tblGrid>
      <w:tr w14:paraId="0659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3" w:type="pct"/>
            <w:vAlign w:val="center"/>
          </w:tcPr>
          <w:p w14:paraId="254F54F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575" w:type="pct"/>
            <w:vAlign w:val="center"/>
          </w:tcPr>
          <w:p w14:paraId="22E2EAB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608" w:type="pct"/>
            <w:vAlign w:val="center"/>
          </w:tcPr>
          <w:p w14:paraId="16DBCF5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源类别</w:t>
            </w:r>
          </w:p>
        </w:tc>
        <w:tc>
          <w:tcPr>
            <w:tcW w:w="762" w:type="pct"/>
            <w:vAlign w:val="center"/>
          </w:tcPr>
          <w:p w14:paraId="5684192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出厂日期</w:t>
            </w:r>
          </w:p>
        </w:tc>
        <w:tc>
          <w:tcPr>
            <w:tcW w:w="511" w:type="pct"/>
            <w:vAlign w:val="center"/>
          </w:tcPr>
          <w:p w14:paraId="77C9E94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出厂活度</w:t>
            </w:r>
          </w:p>
        </w:tc>
        <w:tc>
          <w:tcPr>
            <w:tcW w:w="511" w:type="pct"/>
            <w:vAlign w:val="center"/>
          </w:tcPr>
          <w:p w14:paraId="3EBF8D9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数量</w:t>
            </w:r>
          </w:p>
        </w:tc>
        <w:tc>
          <w:tcPr>
            <w:tcW w:w="511" w:type="pct"/>
            <w:vAlign w:val="center"/>
          </w:tcPr>
          <w:p w14:paraId="34E5476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位置</w:t>
            </w:r>
          </w:p>
        </w:tc>
        <w:tc>
          <w:tcPr>
            <w:tcW w:w="511" w:type="pct"/>
            <w:vAlign w:val="center"/>
          </w:tcPr>
          <w:p w14:paraId="7BA8747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操作方式</w:t>
            </w:r>
          </w:p>
        </w:tc>
        <w:tc>
          <w:tcPr>
            <w:tcW w:w="511" w:type="pct"/>
            <w:vAlign w:val="center"/>
          </w:tcPr>
          <w:p w14:paraId="07BF585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储存场所</w:t>
            </w:r>
          </w:p>
        </w:tc>
      </w:tr>
      <w:tr w14:paraId="7CEA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3" w:type="pct"/>
          </w:tcPr>
          <w:p w14:paraId="0BEE2663">
            <w:pPr>
              <w:pStyle w:val="41"/>
              <w:rPr>
                <w:rFonts w:ascii="Times New Roman"/>
                <w:sz w:val="18"/>
              </w:rPr>
            </w:pPr>
          </w:p>
        </w:tc>
        <w:tc>
          <w:tcPr>
            <w:tcW w:w="575" w:type="pct"/>
          </w:tcPr>
          <w:p w14:paraId="2850DD2C">
            <w:pPr>
              <w:pStyle w:val="41"/>
              <w:rPr>
                <w:rFonts w:ascii="Times New Roman"/>
                <w:sz w:val="18"/>
              </w:rPr>
            </w:pPr>
          </w:p>
        </w:tc>
        <w:tc>
          <w:tcPr>
            <w:tcW w:w="608" w:type="pct"/>
          </w:tcPr>
          <w:p w14:paraId="74E43730">
            <w:pPr>
              <w:pStyle w:val="41"/>
              <w:rPr>
                <w:rFonts w:ascii="Times New Roman"/>
                <w:sz w:val="18"/>
              </w:rPr>
            </w:pPr>
          </w:p>
        </w:tc>
        <w:tc>
          <w:tcPr>
            <w:tcW w:w="762" w:type="pct"/>
          </w:tcPr>
          <w:p w14:paraId="21272C4E">
            <w:pPr>
              <w:pStyle w:val="41"/>
              <w:rPr>
                <w:rFonts w:ascii="Times New Roman"/>
                <w:sz w:val="18"/>
              </w:rPr>
            </w:pPr>
          </w:p>
        </w:tc>
        <w:tc>
          <w:tcPr>
            <w:tcW w:w="511" w:type="pct"/>
          </w:tcPr>
          <w:p w14:paraId="5248C3ED">
            <w:pPr>
              <w:pStyle w:val="41"/>
              <w:rPr>
                <w:rFonts w:ascii="Times New Roman"/>
                <w:sz w:val="18"/>
              </w:rPr>
            </w:pPr>
          </w:p>
        </w:tc>
        <w:tc>
          <w:tcPr>
            <w:tcW w:w="511" w:type="pct"/>
          </w:tcPr>
          <w:p w14:paraId="1CA089A5">
            <w:pPr>
              <w:pStyle w:val="41"/>
              <w:rPr>
                <w:rFonts w:ascii="Times New Roman"/>
                <w:sz w:val="18"/>
              </w:rPr>
            </w:pPr>
          </w:p>
        </w:tc>
        <w:tc>
          <w:tcPr>
            <w:tcW w:w="511" w:type="pct"/>
          </w:tcPr>
          <w:p w14:paraId="5BA276C4">
            <w:pPr>
              <w:pStyle w:val="41"/>
              <w:rPr>
                <w:rFonts w:ascii="Times New Roman"/>
                <w:sz w:val="18"/>
              </w:rPr>
            </w:pPr>
          </w:p>
        </w:tc>
        <w:tc>
          <w:tcPr>
            <w:tcW w:w="511" w:type="pct"/>
          </w:tcPr>
          <w:p w14:paraId="2CEB5C32">
            <w:pPr>
              <w:pStyle w:val="41"/>
              <w:rPr>
                <w:rFonts w:ascii="Times New Roman"/>
                <w:sz w:val="18"/>
              </w:rPr>
            </w:pPr>
          </w:p>
        </w:tc>
        <w:tc>
          <w:tcPr>
            <w:tcW w:w="511" w:type="pct"/>
          </w:tcPr>
          <w:p w14:paraId="5A044A86">
            <w:pPr>
              <w:pStyle w:val="41"/>
              <w:rPr>
                <w:rFonts w:ascii="Times New Roman"/>
                <w:sz w:val="18"/>
              </w:rPr>
            </w:pPr>
          </w:p>
        </w:tc>
      </w:tr>
      <w:tr w14:paraId="03D7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trPr>
        <w:tc>
          <w:tcPr>
            <w:tcW w:w="5000" w:type="pct"/>
            <w:gridSpan w:val="9"/>
          </w:tcPr>
          <w:p w14:paraId="08E41892">
            <w:pPr>
              <w:pStyle w:val="41"/>
              <w:spacing w:before="105"/>
              <w:ind w:left="106"/>
              <w:rPr>
                <w:sz w:val="18"/>
              </w:rPr>
            </w:pPr>
            <w:r>
              <w:rPr>
                <w:sz w:val="18"/>
              </w:rPr>
              <w:t>布局简图，标出密封源和人员操作或巡检可到达位置等内容</w:t>
            </w:r>
          </w:p>
        </w:tc>
      </w:tr>
    </w:tbl>
    <w:p w14:paraId="075E11E7">
      <w:pPr>
        <w:pStyle w:val="3"/>
        <w:spacing w:before="121"/>
        <w:ind w:left="416" w:right="921"/>
        <w:jc w:val="center"/>
        <w:rPr>
          <w:rFonts w:hint="eastAsia" w:ascii="黑体" w:eastAsia="黑体"/>
        </w:rPr>
      </w:pPr>
      <w:r>
        <w:rPr>
          <w:rFonts w:hint="eastAsia" w:ascii="黑体" w:eastAsia="黑体"/>
        </w:rPr>
        <w:t>表 C.6 非密封放射性物质使用情况调查记录表</w:t>
      </w:r>
    </w:p>
    <w:p w14:paraId="75B6C7E1">
      <w:pPr>
        <w:pStyle w:val="3"/>
        <w:spacing w:before="5"/>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7"/>
        <w:gridCol w:w="1015"/>
        <w:gridCol w:w="1015"/>
        <w:gridCol w:w="1015"/>
        <w:gridCol w:w="1017"/>
        <w:gridCol w:w="1015"/>
        <w:gridCol w:w="1015"/>
        <w:gridCol w:w="1011"/>
        <w:gridCol w:w="1012"/>
        <w:gridCol w:w="1016"/>
      </w:tblGrid>
      <w:tr w14:paraId="65B5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501" w:type="pct"/>
          </w:tcPr>
          <w:p w14:paraId="58BC69E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500" w:type="pct"/>
          </w:tcPr>
          <w:p w14:paraId="7D422AC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500" w:type="pct"/>
          </w:tcPr>
          <w:p w14:paraId="59B26B2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p w14:paraId="705337C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级别</w:t>
            </w:r>
          </w:p>
        </w:tc>
        <w:tc>
          <w:tcPr>
            <w:tcW w:w="500" w:type="pct"/>
          </w:tcPr>
          <w:p w14:paraId="105C49F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核素名称</w:t>
            </w:r>
          </w:p>
        </w:tc>
        <w:tc>
          <w:tcPr>
            <w:tcW w:w="501" w:type="pct"/>
          </w:tcPr>
          <w:p w14:paraId="59F92FE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日操作</w:t>
            </w:r>
          </w:p>
          <w:p w14:paraId="36ABCBD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最大量</w:t>
            </w:r>
          </w:p>
        </w:tc>
        <w:tc>
          <w:tcPr>
            <w:tcW w:w="500" w:type="pct"/>
          </w:tcPr>
          <w:p w14:paraId="7F81A43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日等效最</w:t>
            </w:r>
          </w:p>
          <w:p w14:paraId="0AA508C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大操作量</w:t>
            </w:r>
          </w:p>
        </w:tc>
        <w:tc>
          <w:tcPr>
            <w:tcW w:w="500" w:type="pct"/>
          </w:tcPr>
          <w:p w14:paraId="11ABE49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年最大</w:t>
            </w:r>
          </w:p>
          <w:p w14:paraId="2B58FBA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操作量</w:t>
            </w:r>
          </w:p>
        </w:tc>
        <w:tc>
          <w:tcPr>
            <w:tcW w:w="498" w:type="pct"/>
          </w:tcPr>
          <w:p w14:paraId="45E7138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物理状态</w:t>
            </w:r>
          </w:p>
        </w:tc>
        <w:tc>
          <w:tcPr>
            <w:tcW w:w="498" w:type="pct"/>
          </w:tcPr>
          <w:p w14:paraId="0AEA96C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操作方式</w:t>
            </w:r>
          </w:p>
        </w:tc>
        <w:tc>
          <w:tcPr>
            <w:tcW w:w="500" w:type="pct"/>
          </w:tcPr>
          <w:p w14:paraId="1CCAD85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储存场所</w:t>
            </w:r>
          </w:p>
        </w:tc>
      </w:tr>
      <w:tr w14:paraId="6773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501" w:type="pct"/>
          </w:tcPr>
          <w:p w14:paraId="4597008B">
            <w:pPr>
              <w:pStyle w:val="41"/>
              <w:rPr>
                <w:rFonts w:ascii="Times New Roman"/>
                <w:sz w:val="18"/>
              </w:rPr>
            </w:pPr>
          </w:p>
        </w:tc>
        <w:tc>
          <w:tcPr>
            <w:tcW w:w="500" w:type="pct"/>
          </w:tcPr>
          <w:p w14:paraId="72628F2A">
            <w:pPr>
              <w:pStyle w:val="41"/>
              <w:rPr>
                <w:rFonts w:ascii="Times New Roman"/>
                <w:sz w:val="18"/>
              </w:rPr>
            </w:pPr>
          </w:p>
        </w:tc>
        <w:tc>
          <w:tcPr>
            <w:tcW w:w="500" w:type="pct"/>
          </w:tcPr>
          <w:p w14:paraId="36853C9F">
            <w:pPr>
              <w:pStyle w:val="41"/>
              <w:rPr>
                <w:rFonts w:ascii="Times New Roman"/>
                <w:sz w:val="18"/>
              </w:rPr>
            </w:pPr>
          </w:p>
        </w:tc>
        <w:tc>
          <w:tcPr>
            <w:tcW w:w="500" w:type="pct"/>
          </w:tcPr>
          <w:p w14:paraId="52893C31">
            <w:pPr>
              <w:pStyle w:val="41"/>
              <w:rPr>
                <w:rFonts w:ascii="Times New Roman"/>
                <w:sz w:val="18"/>
              </w:rPr>
            </w:pPr>
          </w:p>
        </w:tc>
        <w:tc>
          <w:tcPr>
            <w:tcW w:w="501" w:type="pct"/>
          </w:tcPr>
          <w:p w14:paraId="2B1CE48F">
            <w:pPr>
              <w:pStyle w:val="41"/>
              <w:rPr>
                <w:rFonts w:ascii="Times New Roman"/>
                <w:sz w:val="18"/>
              </w:rPr>
            </w:pPr>
          </w:p>
        </w:tc>
        <w:tc>
          <w:tcPr>
            <w:tcW w:w="500" w:type="pct"/>
          </w:tcPr>
          <w:p w14:paraId="0A275C00">
            <w:pPr>
              <w:pStyle w:val="41"/>
              <w:rPr>
                <w:rFonts w:ascii="Times New Roman"/>
                <w:sz w:val="18"/>
              </w:rPr>
            </w:pPr>
          </w:p>
        </w:tc>
        <w:tc>
          <w:tcPr>
            <w:tcW w:w="500" w:type="pct"/>
          </w:tcPr>
          <w:p w14:paraId="4601AC93">
            <w:pPr>
              <w:pStyle w:val="41"/>
              <w:rPr>
                <w:rFonts w:ascii="Times New Roman"/>
                <w:sz w:val="18"/>
              </w:rPr>
            </w:pPr>
          </w:p>
        </w:tc>
        <w:tc>
          <w:tcPr>
            <w:tcW w:w="498" w:type="pct"/>
          </w:tcPr>
          <w:p w14:paraId="62F6584F">
            <w:pPr>
              <w:pStyle w:val="41"/>
              <w:rPr>
                <w:rFonts w:ascii="Times New Roman"/>
                <w:sz w:val="18"/>
              </w:rPr>
            </w:pPr>
          </w:p>
        </w:tc>
        <w:tc>
          <w:tcPr>
            <w:tcW w:w="498" w:type="pct"/>
          </w:tcPr>
          <w:p w14:paraId="590A3694">
            <w:pPr>
              <w:pStyle w:val="41"/>
              <w:rPr>
                <w:rFonts w:ascii="Times New Roman"/>
                <w:sz w:val="18"/>
              </w:rPr>
            </w:pPr>
          </w:p>
        </w:tc>
        <w:tc>
          <w:tcPr>
            <w:tcW w:w="500" w:type="pct"/>
          </w:tcPr>
          <w:p w14:paraId="5B030B05">
            <w:pPr>
              <w:pStyle w:val="41"/>
              <w:rPr>
                <w:rFonts w:ascii="Times New Roman"/>
                <w:sz w:val="18"/>
              </w:rPr>
            </w:pPr>
          </w:p>
        </w:tc>
      </w:tr>
    </w:tbl>
    <w:p w14:paraId="481EA0BA">
      <w:pPr>
        <w:pStyle w:val="40"/>
        <w:numPr>
          <w:ilvl w:val="2"/>
          <w:numId w:val="8"/>
        </w:numPr>
        <w:tabs>
          <w:tab w:val="left" w:pos="970"/>
        </w:tabs>
        <w:spacing w:before="121" w:after="0" w:line="240" w:lineRule="auto"/>
        <w:ind w:left="969" w:right="0" w:hanging="738"/>
        <w:jc w:val="left"/>
        <w:rPr>
          <w:sz w:val="21"/>
        </w:rPr>
      </w:pPr>
      <w:bookmarkStart w:id="65" w:name="C.1.4　生产工艺和设备布局情况调查记录表，见表C.7～表C.8。"/>
      <w:bookmarkEnd w:id="65"/>
      <w:bookmarkStart w:id="66" w:name="C.1.4　生产工艺和设备布局情况调查记录表，见表C.7～表C.8。"/>
      <w:bookmarkEnd w:id="66"/>
      <w:r>
        <w:rPr>
          <w:sz w:val="21"/>
        </w:rPr>
        <w:t>生产工艺和设备布局情况调查记录表，见表</w:t>
      </w:r>
      <w:r>
        <w:rPr>
          <w:rFonts w:ascii="Times New Roman" w:eastAsia="Times New Roman"/>
          <w:sz w:val="21"/>
        </w:rPr>
        <w:t>C</w:t>
      </w:r>
      <w:r>
        <w:rPr>
          <w:sz w:val="21"/>
        </w:rPr>
        <w:t>.7</w:t>
      </w:r>
      <w:r>
        <w:rPr>
          <w:rFonts w:hint="eastAsia" w:ascii="黑体" w:eastAsia="黑体"/>
          <w:sz w:val="21"/>
        </w:rPr>
        <w:t>～</w:t>
      </w:r>
      <w:r>
        <w:rPr>
          <w:sz w:val="21"/>
        </w:rPr>
        <w:t>表</w:t>
      </w:r>
      <w:r>
        <w:rPr>
          <w:rFonts w:ascii="Times New Roman" w:eastAsia="Times New Roman"/>
          <w:sz w:val="21"/>
        </w:rPr>
        <w:t>C</w:t>
      </w:r>
      <w:r>
        <w:rPr>
          <w:sz w:val="21"/>
        </w:rPr>
        <w:t>.8。</w:t>
      </w:r>
    </w:p>
    <w:p w14:paraId="387C7ECF">
      <w:pPr>
        <w:pStyle w:val="3"/>
        <w:spacing w:before="122"/>
        <w:ind w:left="416" w:right="921"/>
        <w:jc w:val="center"/>
        <w:rPr>
          <w:rFonts w:hint="eastAsia" w:ascii="黑体" w:eastAsia="黑体"/>
        </w:rPr>
      </w:pPr>
      <w:r>
        <w:rPr>
          <w:rFonts w:hint="eastAsia" w:ascii="黑体" w:eastAsia="黑体"/>
        </w:rPr>
        <w:t>表 C.7 生产工艺调查记录表</w:t>
      </w:r>
    </w:p>
    <w:p w14:paraId="66E89963">
      <w:pPr>
        <w:pStyle w:val="3"/>
        <w:spacing w:before="5"/>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3"/>
        <w:gridCol w:w="6044"/>
        <w:gridCol w:w="2551"/>
      </w:tblGrid>
      <w:tr w14:paraId="65AF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765" w:type="pct"/>
            <w:vAlign w:val="center"/>
          </w:tcPr>
          <w:p w14:paraId="7A91EE1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工艺名称</w:t>
            </w:r>
          </w:p>
        </w:tc>
        <w:tc>
          <w:tcPr>
            <w:tcW w:w="2978" w:type="pct"/>
            <w:vAlign w:val="center"/>
          </w:tcPr>
          <w:p w14:paraId="0A08EF4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 xml:space="preserve">流程简图 </w:t>
            </w:r>
            <w:r>
              <w:rPr>
                <w:sz w:val="18"/>
                <w:vertAlign w:val="superscript"/>
              </w:rPr>
              <w:t>a</w:t>
            </w:r>
          </w:p>
        </w:tc>
        <w:tc>
          <w:tcPr>
            <w:tcW w:w="1255" w:type="pct"/>
            <w:vAlign w:val="center"/>
          </w:tcPr>
          <w:p w14:paraId="3B29542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手工作业工序/内容</w:t>
            </w:r>
          </w:p>
        </w:tc>
      </w:tr>
      <w:tr w14:paraId="2F3A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trPr>
        <w:tc>
          <w:tcPr>
            <w:tcW w:w="765" w:type="pct"/>
          </w:tcPr>
          <w:p w14:paraId="204ACA5D">
            <w:pPr>
              <w:pStyle w:val="41"/>
              <w:rPr>
                <w:rFonts w:ascii="Times New Roman"/>
                <w:sz w:val="18"/>
              </w:rPr>
            </w:pPr>
          </w:p>
        </w:tc>
        <w:tc>
          <w:tcPr>
            <w:tcW w:w="2978" w:type="pct"/>
          </w:tcPr>
          <w:p w14:paraId="526D26BC">
            <w:pPr>
              <w:pStyle w:val="41"/>
              <w:rPr>
                <w:rFonts w:ascii="Times New Roman"/>
                <w:sz w:val="18"/>
              </w:rPr>
            </w:pPr>
          </w:p>
        </w:tc>
        <w:tc>
          <w:tcPr>
            <w:tcW w:w="1255" w:type="pct"/>
          </w:tcPr>
          <w:p w14:paraId="0E185733">
            <w:pPr>
              <w:pStyle w:val="41"/>
              <w:rPr>
                <w:rFonts w:ascii="Times New Roman"/>
                <w:sz w:val="18"/>
              </w:rPr>
            </w:pPr>
          </w:p>
        </w:tc>
      </w:tr>
      <w:tr w14:paraId="43F1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5000" w:type="pct"/>
            <w:gridSpan w:val="3"/>
          </w:tcPr>
          <w:p w14:paraId="72DFCF79">
            <w:pPr>
              <w:pStyle w:val="41"/>
              <w:spacing w:before="55"/>
              <w:ind w:left="317"/>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生产工艺流程简图按生产工序绘制。</w:t>
            </w:r>
          </w:p>
        </w:tc>
      </w:tr>
    </w:tbl>
    <w:p w14:paraId="35E26748">
      <w:pPr>
        <w:pStyle w:val="3"/>
        <w:spacing w:before="121"/>
        <w:ind w:left="416" w:right="921"/>
        <w:jc w:val="center"/>
        <w:rPr>
          <w:rFonts w:hint="eastAsia" w:ascii="黑体" w:eastAsia="黑体"/>
        </w:rPr>
      </w:pPr>
      <w:r>
        <w:rPr>
          <w:rFonts w:hint="eastAsia" w:ascii="黑体" w:eastAsia="黑体"/>
        </w:rPr>
        <w:t>表 C.8 生产设备及布局情况调查记录表</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36"/>
        <w:gridCol w:w="1449"/>
        <w:gridCol w:w="1658"/>
        <w:gridCol w:w="1238"/>
        <w:gridCol w:w="1033"/>
        <w:gridCol w:w="923"/>
        <w:gridCol w:w="1033"/>
        <w:gridCol w:w="1776"/>
      </w:tblGrid>
      <w:tr w14:paraId="4936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511" w:type="pct"/>
            <w:vMerge w:val="restart"/>
            <w:vAlign w:val="center"/>
          </w:tcPr>
          <w:p w14:paraId="3E13FED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714" w:type="pct"/>
            <w:vMerge w:val="restart"/>
            <w:vAlign w:val="center"/>
          </w:tcPr>
          <w:p w14:paraId="6EF298B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817" w:type="pct"/>
            <w:vMerge w:val="restart"/>
            <w:vAlign w:val="center"/>
          </w:tcPr>
          <w:p w14:paraId="42A3186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设备名称</w:t>
            </w:r>
          </w:p>
        </w:tc>
        <w:tc>
          <w:tcPr>
            <w:tcW w:w="610" w:type="pct"/>
            <w:vMerge w:val="restart"/>
            <w:vAlign w:val="center"/>
          </w:tcPr>
          <w:p w14:paraId="0914278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型号及规格</w:t>
            </w:r>
          </w:p>
        </w:tc>
        <w:tc>
          <w:tcPr>
            <w:tcW w:w="964" w:type="pct"/>
            <w:gridSpan w:val="2"/>
            <w:vAlign w:val="center"/>
          </w:tcPr>
          <w:p w14:paraId="601CE1A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数量（台/套）</w:t>
            </w:r>
          </w:p>
        </w:tc>
        <w:tc>
          <w:tcPr>
            <w:tcW w:w="509" w:type="pct"/>
            <w:vMerge w:val="restart"/>
            <w:vAlign w:val="center"/>
          </w:tcPr>
          <w:p w14:paraId="7880943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操作岗位</w:t>
            </w:r>
          </w:p>
        </w:tc>
        <w:tc>
          <w:tcPr>
            <w:tcW w:w="872" w:type="pct"/>
            <w:vMerge w:val="restart"/>
            <w:vAlign w:val="center"/>
          </w:tcPr>
          <w:p w14:paraId="6F0258F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设备布局 a</w:t>
            </w:r>
          </w:p>
        </w:tc>
      </w:tr>
      <w:tr w14:paraId="6B89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11" w:type="pct"/>
            <w:vMerge w:val="continue"/>
          </w:tcPr>
          <w:p w14:paraId="5A56317D">
            <w:pPr>
              <w:rPr>
                <w:sz w:val="2"/>
                <w:szCs w:val="2"/>
              </w:rPr>
            </w:pPr>
          </w:p>
        </w:tc>
        <w:tc>
          <w:tcPr>
            <w:tcW w:w="714" w:type="pct"/>
            <w:vMerge w:val="continue"/>
          </w:tcPr>
          <w:p w14:paraId="20B9CFEF">
            <w:pPr>
              <w:rPr>
                <w:sz w:val="2"/>
                <w:szCs w:val="2"/>
              </w:rPr>
            </w:pPr>
          </w:p>
        </w:tc>
        <w:tc>
          <w:tcPr>
            <w:tcW w:w="817" w:type="pct"/>
            <w:vMerge w:val="continue"/>
          </w:tcPr>
          <w:p w14:paraId="6C2ECF8A">
            <w:pPr>
              <w:rPr>
                <w:sz w:val="2"/>
                <w:szCs w:val="2"/>
              </w:rPr>
            </w:pPr>
          </w:p>
        </w:tc>
        <w:tc>
          <w:tcPr>
            <w:tcW w:w="610" w:type="pct"/>
            <w:vMerge w:val="continue"/>
          </w:tcPr>
          <w:p w14:paraId="6104697C">
            <w:pPr>
              <w:rPr>
                <w:sz w:val="2"/>
                <w:szCs w:val="2"/>
              </w:rPr>
            </w:pPr>
          </w:p>
        </w:tc>
        <w:tc>
          <w:tcPr>
            <w:tcW w:w="509" w:type="pct"/>
            <w:vAlign w:val="center"/>
          </w:tcPr>
          <w:p w14:paraId="66807CD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总数</w:t>
            </w:r>
          </w:p>
        </w:tc>
        <w:tc>
          <w:tcPr>
            <w:tcW w:w="454" w:type="pct"/>
            <w:vAlign w:val="center"/>
          </w:tcPr>
          <w:p w14:paraId="4705750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运行</w:t>
            </w:r>
          </w:p>
        </w:tc>
        <w:tc>
          <w:tcPr>
            <w:tcW w:w="509" w:type="pct"/>
            <w:vMerge w:val="continue"/>
          </w:tcPr>
          <w:p w14:paraId="292F1F3F">
            <w:pPr>
              <w:rPr>
                <w:sz w:val="2"/>
                <w:szCs w:val="2"/>
              </w:rPr>
            </w:pPr>
          </w:p>
        </w:tc>
        <w:tc>
          <w:tcPr>
            <w:tcW w:w="872" w:type="pct"/>
            <w:vMerge w:val="continue"/>
          </w:tcPr>
          <w:p w14:paraId="3084878B">
            <w:pPr>
              <w:rPr>
                <w:sz w:val="2"/>
                <w:szCs w:val="2"/>
              </w:rPr>
            </w:pPr>
          </w:p>
        </w:tc>
      </w:tr>
      <w:tr w14:paraId="32AB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11" w:type="pct"/>
          </w:tcPr>
          <w:p w14:paraId="0DD94C45">
            <w:pPr>
              <w:pStyle w:val="41"/>
              <w:rPr>
                <w:rFonts w:ascii="Times New Roman"/>
                <w:sz w:val="18"/>
              </w:rPr>
            </w:pPr>
          </w:p>
        </w:tc>
        <w:tc>
          <w:tcPr>
            <w:tcW w:w="714" w:type="pct"/>
          </w:tcPr>
          <w:p w14:paraId="34A40D36">
            <w:pPr>
              <w:pStyle w:val="41"/>
              <w:rPr>
                <w:rFonts w:ascii="Times New Roman"/>
                <w:sz w:val="18"/>
              </w:rPr>
            </w:pPr>
          </w:p>
        </w:tc>
        <w:tc>
          <w:tcPr>
            <w:tcW w:w="817" w:type="pct"/>
          </w:tcPr>
          <w:p w14:paraId="2A34CCA9">
            <w:pPr>
              <w:pStyle w:val="41"/>
              <w:rPr>
                <w:rFonts w:ascii="Times New Roman"/>
                <w:sz w:val="18"/>
              </w:rPr>
            </w:pPr>
          </w:p>
        </w:tc>
        <w:tc>
          <w:tcPr>
            <w:tcW w:w="610" w:type="pct"/>
          </w:tcPr>
          <w:p w14:paraId="24889818">
            <w:pPr>
              <w:pStyle w:val="41"/>
              <w:rPr>
                <w:rFonts w:ascii="Times New Roman"/>
                <w:sz w:val="18"/>
              </w:rPr>
            </w:pPr>
          </w:p>
        </w:tc>
        <w:tc>
          <w:tcPr>
            <w:tcW w:w="509" w:type="pct"/>
          </w:tcPr>
          <w:p w14:paraId="2F4B3728">
            <w:pPr>
              <w:pStyle w:val="41"/>
              <w:rPr>
                <w:rFonts w:ascii="Times New Roman"/>
                <w:sz w:val="18"/>
              </w:rPr>
            </w:pPr>
          </w:p>
        </w:tc>
        <w:tc>
          <w:tcPr>
            <w:tcW w:w="454" w:type="pct"/>
          </w:tcPr>
          <w:p w14:paraId="68A68EC1">
            <w:pPr>
              <w:pStyle w:val="41"/>
              <w:rPr>
                <w:rFonts w:ascii="Times New Roman"/>
                <w:sz w:val="18"/>
              </w:rPr>
            </w:pPr>
          </w:p>
        </w:tc>
        <w:tc>
          <w:tcPr>
            <w:tcW w:w="509" w:type="pct"/>
          </w:tcPr>
          <w:p w14:paraId="341571E9">
            <w:pPr>
              <w:pStyle w:val="41"/>
              <w:rPr>
                <w:rFonts w:ascii="Times New Roman"/>
                <w:sz w:val="18"/>
              </w:rPr>
            </w:pPr>
          </w:p>
        </w:tc>
        <w:tc>
          <w:tcPr>
            <w:tcW w:w="872" w:type="pct"/>
          </w:tcPr>
          <w:p w14:paraId="1B90B74C">
            <w:pPr>
              <w:pStyle w:val="41"/>
              <w:rPr>
                <w:rFonts w:ascii="Times New Roman"/>
                <w:sz w:val="18"/>
              </w:rPr>
            </w:pPr>
          </w:p>
        </w:tc>
      </w:tr>
      <w:tr w14:paraId="7513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9" w:hRule="atLeast"/>
        </w:trPr>
        <w:tc>
          <w:tcPr>
            <w:tcW w:w="511" w:type="pct"/>
          </w:tcPr>
          <w:p w14:paraId="7F2510F2">
            <w:pPr>
              <w:pStyle w:val="41"/>
              <w:spacing w:before="107" w:line="242" w:lineRule="auto"/>
              <w:ind w:right="200"/>
              <w:rPr>
                <w:sz w:val="18"/>
              </w:rPr>
            </w:pPr>
            <w:r>
              <w:rPr>
                <w:sz w:val="18"/>
              </w:rPr>
              <w:t>设备布局图</w:t>
            </w:r>
          </w:p>
        </w:tc>
        <w:tc>
          <w:tcPr>
            <w:tcW w:w="4488" w:type="pct"/>
            <w:gridSpan w:val="7"/>
          </w:tcPr>
          <w:p w14:paraId="76D81489">
            <w:pPr>
              <w:pStyle w:val="41"/>
              <w:rPr>
                <w:rFonts w:ascii="Times New Roman"/>
                <w:sz w:val="18"/>
              </w:rPr>
            </w:pPr>
          </w:p>
        </w:tc>
      </w:tr>
      <w:tr w14:paraId="1D6C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5000" w:type="pct"/>
            <w:gridSpan w:val="8"/>
          </w:tcPr>
          <w:p w14:paraId="56DCBF0B">
            <w:pPr>
              <w:pStyle w:val="41"/>
              <w:ind w:left="317"/>
              <w:rPr>
                <w:sz w:val="18"/>
              </w:rPr>
            </w:pPr>
            <w:r>
              <w:rPr>
                <w:rFonts w:ascii="Times New Roman" w:hAnsi="Times New Roman" w:eastAsia="Times New Roman"/>
                <w:position w:val="6"/>
                <w:sz w:val="11"/>
              </w:rPr>
              <w:t xml:space="preserve">a </w:t>
            </w:r>
            <w:r>
              <w:rPr>
                <w:sz w:val="18"/>
              </w:rPr>
              <w:t>设备布局可参考</w:t>
            </w:r>
            <w:r>
              <w:rPr>
                <w:rFonts w:ascii="Times New Roman" w:hAnsi="Times New Roman" w:eastAsia="Times New Roman"/>
                <w:sz w:val="18"/>
              </w:rPr>
              <w:t>“</w:t>
            </w:r>
            <w:r>
              <w:rPr>
                <w:spacing w:val="-3"/>
                <w:sz w:val="18"/>
              </w:rPr>
              <w:t>机群式布局、</w:t>
            </w:r>
            <w:r>
              <w:rPr>
                <w:rFonts w:ascii="Times New Roman" w:hAnsi="Times New Roman" w:eastAsia="Times New Roman"/>
                <w:sz w:val="18"/>
              </w:rPr>
              <w:t xml:space="preserve">U </w:t>
            </w:r>
            <w:r>
              <w:rPr>
                <w:spacing w:val="-4"/>
                <w:sz w:val="18"/>
              </w:rPr>
              <w:t>型生产线布局、直线型生产线布局、</w:t>
            </w:r>
            <w:r>
              <w:rPr>
                <w:rFonts w:ascii="Times New Roman" w:hAnsi="Times New Roman" w:eastAsia="Times New Roman"/>
                <w:sz w:val="18"/>
              </w:rPr>
              <w:t xml:space="preserve">Y </w:t>
            </w:r>
            <w:r>
              <w:rPr>
                <w:spacing w:val="-3"/>
                <w:sz w:val="18"/>
              </w:rPr>
              <w:t>型生产线布局、其他</w:t>
            </w:r>
            <w:r>
              <w:rPr>
                <w:rFonts w:ascii="Times New Roman" w:hAnsi="Times New Roman" w:eastAsia="Times New Roman"/>
                <w:sz w:val="18"/>
              </w:rPr>
              <w:t>”</w:t>
            </w:r>
            <w:r>
              <w:rPr>
                <w:spacing w:val="-4"/>
                <w:sz w:val="18"/>
              </w:rPr>
              <w:t>进行描述，并附设备布</w:t>
            </w:r>
          </w:p>
          <w:p w14:paraId="1C4A80ED">
            <w:pPr>
              <w:pStyle w:val="41"/>
              <w:spacing w:before="5" w:line="210" w:lineRule="exact"/>
              <w:ind w:left="497"/>
              <w:rPr>
                <w:sz w:val="18"/>
              </w:rPr>
            </w:pPr>
            <w:r>
              <w:rPr>
                <w:sz w:val="18"/>
              </w:rPr>
              <w:t>局图。</w:t>
            </w:r>
          </w:p>
        </w:tc>
      </w:tr>
    </w:tbl>
    <w:p w14:paraId="122FFBD4">
      <w:pPr>
        <w:pStyle w:val="40"/>
        <w:numPr>
          <w:ilvl w:val="2"/>
          <w:numId w:val="8"/>
        </w:numPr>
        <w:tabs>
          <w:tab w:val="left" w:pos="970"/>
        </w:tabs>
        <w:spacing w:before="123" w:after="0" w:line="240" w:lineRule="auto"/>
        <w:ind w:left="969" w:right="0" w:hanging="738"/>
        <w:jc w:val="left"/>
        <w:rPr>
          <w:sz w:val="21"/>
        </w:rPr>
      </w:pPr>
      <w:bookmarkStart w:id="67" w:name="C.1.5　劳动定员和职业病危害因素接触调查记录表，见表C.9。"/>
      <w:bookmarkEnd w:id="67"/>
      <w:bookmarkStart w:id="68" w:name="C.1.5　劳动定员和职业病危害因素接触调查记录表，见表C.9。"/>
      <w:bookmarkEnd w:id="68"/>
      <w:r>
        <w:rPr>
          <w:sz w:val="21"/>
        </w:rPr>
        <w:t>劳动定员和职业病危害因素接触调查记录表，见表</w:t>
      </w:r>
      <w:r>
        <w:rPr>
          <w:rFonts w:ascii="Times New Roman" w:eastAsia="Times New Roman"/>
          <w:sz w:val="21"/>
        </w:rPr>
        <w:t>C</w:t>
      </w:r>
      <w:r>
        <w:rPr>
          <w:sz w:val="21"/>
        </w:rPr>
        <w:t>.9。</w:t>
      </w:r>
    </w:p>
    <w:p w14:paraId="1CA720D3">
      <w:pPr>
        <w:pStyle w:val="3"/>
        <w:spacing w:before="122"/>
        <w:ind w:left="416" w:right="921"/>
        <w:jc w:val="center"/>
        <w:rPr>
          <w:rFonts w:hint="eastAsia" w:ascii="黑体" w:eastAsia="黑体"/>
        </w:rPr>
      </w:pPr>
      <w:r>
        <w:rPr>
          <w:rFonts w:hint="eastAsia" w:ascii="黑体" w:eastAsia="黑体"/>
        </w:rPr>
        <w:t>表 C.9 劳动定员和职业病危害因素接触情况调查记录表</w:t>
      </w:r>
    </w:p>
    <w:p w14:paraId="7A4534CD">
      <w:pPr>
        <w:pStyle w:val="3"/>
        <w:spacing w:before="5"/>
        <w:rPr>
          <w:rFonts w:ascii="黑体"/>
          <w:sz w:val="13"/>
        </w:rPr>
      </w:pP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590"/>
        <w:gridCol w:w="832"/>
        <w:gridCol w:w="546"/>
        <w:gridCol w:w="629"/>
        <w:gridCol w:w="919"/>
        <w:gridCol w:w="576"/>
        <w:gridCol w:w="639"/>
        <w:gridCol w:w="639"/>
        <w:gridCol w:w="1026"/>
        <w:gridCol w:w="702"/>
        <w:gridCol w:w="639"/>
        <w:gridCol w:w="525"/>
        <w:gridCol w:w="639"/>
        <w:gridCol w:w="651"/>
      </w:tblGrid>
      <w:tr w14:paraId="6875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291" w:type="pct"/>
            <w:vMerge w:val="restart"/>
          </w:tcPr>
          <w:p w14:paraId="26A6A70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71674CC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291" w:type="pct"/>
            <w:vMerge w:val="restart"/>
          </w:tcPr>
          <w:p w14:paraId="6811405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715CCE1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410" w:type="pct"/>
            <w:vMerge w:val="restart"/>
          </w:tcPr>
          <w:p w14:paraId="13667A7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2E9CA9E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岗位</w:t>
            </w:r>
          </w:p>
          <w:p w14:paraId="7752E16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（工种）</w:t>
            </w:r>
          </w:p>
        </w:tc>
        <w:tc>
          <w:tcPr>
            <w:tcW w:w="579" w:type="pct"/>
            <w:gridSpan w:val="2"/>
            <w:vAlign w:val="center"/>
          </w:tcPr>
          <w:p w14:paraId="7EE1832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人数</w:t>
            </w:r>
          </w:p>
        </w:tc>
        <w:tc>
          <w:tcPr>
            <w:tcW w:w="453" w:type="pct"/>
            <w:vMerge w:val="restart"/>
          </w:tcPr>
          <w:p w14:paraId="027FA70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69871FE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工作地点及内容</w:t>
            </w:r>
          </w:p>
        </w:tc>
        <w:tc>
          <w:tcPr>
            <w:tcW w:w="284" w:type="pct"/>
            <w:vMerge w:val="restart"/>
          </w:tcPr>
          <w:p w14:paraId="47D2DE8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77B7E0D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工作班制</w:t>
            </w:r>
          </w:p>
        </w:tc>
        <w:tc>
          <w:tcPr>
            <w:tcW w:w="315" w:type="pct"/>
            <w:vMerge w:val="restart"/>
          </w:tcPr>
          <w:p w14:paraId="3490C97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6AFF2BE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作业方式a</w:t>
            </w:r>
          </w:p>
        </w:tc>
        <w:tc>
          <w:tcPr>
            <w:tcW w:w="315" w:type="pct"/>
            <w:vMerge w:val="restart"/>
          </w:tcPr>
          <w:p w14:paraId="75D000B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5FBE017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作业类型b</w:t>
            </w:r>
          </w:p>
        </w:tc>
        <w:tc>
          <w:tcPr>
            <w:tcW w:w="506" w:type="pct"/>
            <w:vMerge w:val="restart"/>
          </w:tcPr>
          <w:p w14:paraId="53D394B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3EA65B8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职业病危害因素</w:t>
            </w:r>
          </w:p>
        </w:tc>
        <w:tc>
          <w:tcPr>
            <w:tcW w:w="346" w:type="pct"/>
            <w:vMerge w:val="restart"/>
          </w:tcPr>
          <w:p w14:paraId="7B8DFA5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4EA7289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来源 c</w:t>
            </w:r>
          </w:p>
        </w:tc>
        <w:tc>
          <w:tcPr>
            <w:tcW w:w="574" w:type="pct"/>
            <w:gridSpan w:val="2"/>
          </w:tcPr>
          <w:p w14:paraId="0748660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时间</w:t>
            </w:r>
          </w:p>
          <w:p w14:paraId="371A374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（h/d,d/w）</w:t>
            </w:r>
          </w:p>
        </w:tc>
        <w:tc>
          <w:tcPr>
            <w:tcW w:w="315" w:type="pct"/>
            <w:vMerge w:val="restart"/>
          </w:tcPr>
          <w:p w14:paraId="786EDDD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体力劳动强度d</w:t>
            </w:r>
          </w:p>
        </w:tc>
        <w:tc>
          <w:tcPr>
            <w:tcW w:w="314" w:type="pct"/>
            <w:vMerge w:val="restart"/>
          </w:tcPr>
          <w:p w14:paraId="29F648F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1788853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接触类型e</w:t>
            </w:r>
          </w:p>
        </w:tc>
      </w:tr>
      <w:tr w14:paraId="4AB4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91" w:type="pct"/>
            <w:vMerge w:val="continue"/>
          </w:tcPr>
          <w:p w14:paraId="02BAEFDE">
            <w:pPr>
              <w:rPr>
                <w:sz w:val="2"/>
                <w:szCs w:val="2"/>
              </w:rPr>
            </w:pPr>
          </w:p>
        </w:tc>
        <w:tc>
          <w:tcPr>
            <w:tcW w:w="291" w:type="pct"/>
            <w:vMerge w:val="continue"/>
          </w:tcPr>
          <w:p w14:paraId="344727F2">
            <w:pPr>
              <w:rPr>
                <w:sz w:val="2"/>
                <w:szCs w:val="2"/>
              </w:rPr>
            </w:pPr>
          </w:p>
        </w:tc>
        <w:tc>
          <w:tcPr>
            <w:tcW w:w="410" w:type="pct"/>
            <w:vMerge w:val="continue"/>
          </w:tcPr>
          <w:p w14:paraId="4BBEBDB7">
            <w:pPr>
              <w:rPr>
                <w:sz w:val="2"/>
                <w:szCs w:val="2"/>
              </w:rPr>
            </w:pPr>
          </w:p>
        </w:tc>
        <w:tc>
          <w:tcPr>
            <w:tcW w:w="269" w:type="pct"/>
            <w:vAlign w:val="center"/>
          </w:tcPr>
          <w:p w14:paraId="7016401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总数</w:t>
            </w:r>
          </w:p>
        </w:tc>
        <w:tc>
          <w:tcPr>
            <w:tcW w:w="309" w:type="pct"/>
            <w:vAlign w:val="center"/>
          </w:tcPr>
          <w:p w14:paraId="677F8EE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数/班</w:t>
            </w:r>
          </w:p>
        </w:tc>
        <w:tc>
          <w:tcPr>
            <w:tcW w:w="453" w:type="pct"/>
            <w:vMerge w:val="continue"/>
          </w:tcPr>
          <w:p w14:paraId="68FBBD99">
            <w:pPr>
              <w:rPr>
                <w:sz w:val="2"/>
                <w:szCs w:val="2"/>
              </w:rPr>
            </w:pPr>
          </w:p>
        </w:tc>
        <w:tc>
          <w:tcPr>
            <w:tcW w:w="284" w:type="pct"/>
            <w:vMerge w:val="continue"/>
          </w:tcPr>
          <w:p w14:paraId="5FBFB424">
            <w:pPr>
              <w:rPr>
                <w:sz w:val="2"/>
                <w:szCs w:val="2"/>
              </w:rPr>
            </w:pPr>
          </w:p>
        </w:tc>
        <w:tc>
          <w:tcPr>
            <w:tcW w:w="315" w:type="pct"/>
            <w:vMerge w:val="continue"/>
          </w:tcPr>
          <w:p w14:paraId="7A0682F0">
            <w:pPr>
              <w:rPr>
                <w:sz w:val="2"/>
                <w:szCs w:val="2"/>
              </w:rPr>
            </w:pPr>
          </w:p>
        </w:tc>
        <w:tc>
          <w:tcPr>
            <w:tcW w:w="315" w:type="pct"/>
            <w:vMerge w:val="continue"/>
          </w:tcPr>
          <w:p w14:paraId="020CBDCE">
            <w:pPr>
              <w:rPr>
                <w:sz w:val="2"/>
                <w:szCs w:val="2"/>
              </w:rPr>
            </w:pPr>
          </w:p>
        </w:tc>
        <w:tc>
          <w:tcPr>
            <w:tcW w:w="506" w:type="pct"/>
            <w:vMerge w:val="continue"/>
          </w:tcPr>
          <w:p w14:paraId="0DBA67A1">
            <w:pPr>
              <w:rPr>
                <w:sz w:val="2"/>
                <w:szCs w:val="2"/>
              </w:rPr>
            </w:pPr>
          </w:p>
        </w:tc>
        <w:tc>
          <w:tcPr>
            <w:tcW w:w="346" w:type="pct"/>
            <w:vMerge w:val="continue"/>
          </w:tcPr>
          <w:p w14:paraId="4CFCBA32">
            <w:pPr>
              <w:rPr>
                <w:sz w:val="2"/>
                <w:szCs w:val="2"/>
              </w:rPr>
            </w:pPr>
          </w:p>
        </w:tc>
        <w:tc>
          <w:tcPr>
            <w:tcW w:w="315" w:type="pct"/>
          </w:tcPr>
          <w:p w14:paraId="2541D187">
            <w:pPr>
              <w:pStyle w:val="41"/>
              <w:spacing w:before="54"/>
              <w:ind w:left="130"/>
              <w:rPr>
                <w:sz w:val="18"/>
              </w:rPr>
            </w:pPr>
            <w:r>
              <w:rPr>
                <w:sz w:val="18"/>
              </w:rPr>
              <w:t>工作</w:t>
            </w:r>
          </w:p>
        </w:tc>
        <w:tc>
          <w:tcPr>
            <w:tcW w:w="258" w:type="pct"/>
          </w:tcPr>
          <w:p w14:paraId="4278A678">
            <w:pPr>
              <w:pStyle w:val="41"/>
              <w:spacing w:before="54"/>
              <w:ind w:left="76"/>
              <w:rPr>
                <w:sz w:val="18"/>
              </w:rPr>
            </w:pPr>
            <w:r>
              <w:rPr>
                <w:sz w:val="18"/>
              </w:rPr>
              <w:t>接触</w:t>
            </w:r>
          </w:p>
        </w:tc>
        <w:tc>
          <w:tcPr>
            <w:tcW w:w="315" w:type="pct"/>
            <w:vMerge w:val="continue"/>
          </w:tcPr>
          <w:p w14:paraId="5FF62C8C">
            <w:pPr>
              <w:rPr>
                <w:sz w:val="2"/>
                <w:szCs w:val="2"/>
              </w:rPr>
            </w:pPr>
          </w:p>
        </w:tc>
        <w:tc>
          <w:tcPr>
            <w:tcW w:w="314" w:type="pct"/>
            <w:vMerge w:val="continue"/>
          </w:tcPr>
          <w:p w14:paraId="054B5DED">
            <w:pPr>
              <w:rPr>
                <w:sz w:val="2"/>
                <w:szCs w:val="2"/>
              </w:rPr>
            </w:pPr>
          </w:p>
        </w:tc>
      </w:tr>
      <w:tr w14:paraId="15D3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291" w:type="pct"/>
          </w:tcPr>
          <w:p w14:paraId="7B8C9E94">
            <w:pPr>
              <w:pStyle w:val="41"/>
              <w:rPr>
                <w:rFonts w:ascii="Times New Roman"/>
                <w:sz w:val="18"/>
              </w:rPr>
            </w:pPr>
          </w:p>
        </w:tc>
        <w:tc>
          <w:tcPr>
            <w:tcW w:w="291" w:type="pct"/>
          </w:tcPr>
          <w:p w14:paraId="1EA36DA1">
            <w:pPr>
              <w:pStyle w:val="41"/>
              <w:rPr>
                <w:rFonts w:ascii="Times New Roman"/>
                <w:sz w:val="18"/>
              </w:rPr>
            </w:pPr>
          </w:p>
        </w:tc>
        <w:tc>
          <w:tcPr>
            <w:tcW w:w="410" w:type="pct"/>
          </w:tcPr>
          <w:p w14:paraId="37D54AF1">
            <w:pPr>
              <w:pStyle w:val="41"/>
              <w:rPr>
                <w:rFonts w:ascii="Times New Roman"/>
                <w:sz w:val="18"/>
              </w:rPr>
            </w:pPr>
          </w:p>
        </w:tc>
        <w:tc>
          <w:tcPr>
            <w:tcW w:w="269" w:type="pct"/>
          </w:tcPr>
          <w:p w14:paraId="69535D88">
            <w:pPr>
              <w:pStyle w:val="41"/>
              <w:rPr>
                <w:rFonts w:ascii="Times New Roman"/>
                <w:sz w:val="18"/>
              </w:rPr>
            </w:pPr>
          </w:p>
        </w:tc>
        <w:tc>
          <w:tcPr>
            <w:tcW w:w="309" w:type="pct"/>
          </w:tcPr>
          <w:p w14:paraId="60305C97">
            <w:pPr>
              <w:pStyle w:val="41"/>
              <w:rPr>
                <w:rFonts w:ascii="Times New Roman"/>
                <w:sz w:val="18"/>
              </w:rPr>
            </w:pPr>
          </w:p>
        </w:tc>
        <w:tc>
          <w:tcPr>
            <w:tcW w:w="453" w:type="pct"/>
          </w:tcPr>
          <w:p w14:paraId="78669C67">
            <w:pPr>
              <w:pStyle w:val="41"/>
              <w:rPr>
                <w:rFonts w:ascii="Times New Roman"/>
                <w:sz w:val="18"/>
              </w:rPr>
            </w:pPr>
          </w:p>
        </w:tc>
        <w:tc>
          <w:tcPr>
            <w:tcW w:w="284" w:type="pct"/>
          </w:tcPr>
          <w:p w14:paraId="0CED234A">
            <w:pPr>
              <w:pStyle w:val="41"/>
              <w:rPr>
                <w:rFonts w:ascii="Times New Roman"/>
                <w:sz w:val="18"/>
              </w:rPr>
            </w:pPr>
          </w:p>
        </w:tc>
        <w:tc>
          <w:tcPr>
            <w:tcW w:w="315" w:type="pct"/>
          </w:tcPr>
          <w:p w14:paraId="4155B546">
            <w:pPr>
              <w:pStyle w:val="41"/>
              <w:rPr>
                <w:rFonts w:ascii="Times New Roman"/>
                <w:sz w:val="18"/>
              </w:rPr>
            </w:pPr>
          </w:p>
        </w:tc>
        <w:tc>
          <w:tcPr>
            <w:tcW w:w="315" w:type="pct"/>
          </w:tcPr>
          <w:p w14:paraId="29050369">
            <w:pPr>
              <w:pStyle w:val="41"/>
              <w:rPr>
                <w:rFonts w:ascii="Times New Roman"/>
                <w:sz w:val="18"/>
              </w:rPr>
            </w:pPr>
          </w:p>
        </w:tc>
        <w:tc>
          <w:tcPr>
            <w:tcW w:w="506" w:type="pct"/>
          </w:tcPr>
          <w:p w14:paraId="35288FAC">
            <w:pPr>
              <w:pStyle w:val="41"/>
              <w:rPr>
                <w:rFonts w:ascii="Times New Roman"/>
                <w:sz w:val="18"/>
              </w:rPr>
            </w:pPr>
          </w:p>
        </w:tc>
        <w:tc>
          <w:tcPr>
            <w:tcW w:w="346" w:type="pct"/>
          </w:tcPr>
          <w:p w14:paraId="36C863FE">
            <w:pPr>
              <w:pStyle w:val="41"/>
              <w:rPr>
                <w:rFonts w:ascii="Times New Roman"/>
                <w:sz w:val="18"/>
              </w:rPr>
            </w:pPr>
          </w:p>
        </w:tc>
        <w:tc>
          <w:tcPr>
            <w:tcW w:w="315" w:type="pct"/>
          </w:tcPr>
          <w:p w14:paraId="4E56B128">
            <w:pPr>
              <w:pStyle w:val="41"/>
              <w:rPr>
                <w:rFonts w:ascii="Times New Roman"/>
                <w:sz w:val="18"/>
              </w:rPr>
            </w:pPr>
          </w:p>
        </w:tc>
        <w:tc>
          <w:tcPr>
            <w:tcW w:w="258" w:type="pct"/>
          </w:tcPr>
          <w:p w14:paraId="5DF1EA45">
            <w:pPr>
              <w:pStyle w:val="41"/>
              <w:rPr>
                <w:rFonts w:ascii="Times New Roman"/>
                <w:sz w:val="18"/>
              </w:rPr>
            </w:pPr>
          </w:p>
        </w:tc>
        <w:tc>
          <w:tcPr>
            <w:tcW w:w="315" w:type="pct"/>
          </w:tcPr>
          <w:p w14:paraId="466CB6F0">
            <w:pPr>
              <w:pStyle w:val="41"/>
              <w:rPr>
                <w:rFonts w:ascii="Times New Roman"/>
                <w:sz w:val="18"/>
              </w:rPr>
            </w:pPr>
          </w:p>
        </w:tc>
        <w:tc>
          <w:tcPr>
            <w:tcW w:w="314" w:type="pct"/>
          </w:tcPr>
          <w:p w14:paraId="42C4FEB4">
            <w:pPr>
              <w:pStyle w:val="41"/>
              <w:rPr>
                <w:rFonts w:ascii="Times New Roman"/>
                <w:sz w:val="18"/>
              </w:rPr>
            </w:pPr>
          </w:p>
        </w:tc>
      </w:tr>
      <w:tr w14:paraId="5862B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11" w:hRule="atLeast"/>
        </w:trPr>
        <w:tc>
          <w:tcPr>
            <w:tcW w:w="5000" w:type="pct"/>
            <w:gridSpan w:val="15"/>
          </w:tcPr>
          <w:p w14:paraId="34C4EE7F">
            <w:pPr>
              <w:pStyle w:val="41"/>
              <w:spacing w:before="107" w:line="240" w:lineRule="auto"/>
              <w:ind w:left="266"/>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开展评价技术服务时需调查作业方式，作业方式指手工作业、半手工作业、自动化作业等。</w:t>
            </w:r>
          </w:p>
          <w:p w14:paraId="608B5A40">
            <w:pPr>
              <w:pStyle w:val="41"/>
              <w:spacing w:before="2" w:line="240" w:lineRule="auto"/>
              <w:ind w:left="266"/>
              <w:rPr>
                <w:sz w:val="18"/>
              </w:rPr>
            </w:pPr>
            <w:r>
              <w:rPr>
                <w:rFonts w:ascii="Times New Roman" w:eastAsia="Times New Roman"/>
                <w:sz w:val="18"/>
                <w:vertAlign w:val="superscript"/>
              </w:rPr>
              <w:t>b</w:t>
            </w:r>
            <w:r>
              <w:rPr>
                <w:rFonts w:ascii="Times New Roman" w:eastAsia="Times New Roman"/>
                <w:sz w:val="18"/>
                <w:vertAlign w:val="baseline"/>
              </w:rPr>
              <w:t xml:space="preserve"> </w:t>
            </w:r>
            <w:r>
              <w:rPr>
                <w:sz w:val="18"/>
                <w:vertAlign w:val="baseline"/>
              </w:rPr>
              <w:t>作业类型指固定作业和流动作业（含周期性巡检作业）。</w:t>
            </w:r>
          </w:p>
          <w:p w14:paraId="5003F614">
            <w:pPr>
              <w:pStyle w:val="41"/>
              <w:spacing w:before="2" w:line="240" w:lineRule="auto"/>
              <w:ind w:left="266"/>
              <w:rPr>
                <w:sz w:val="18"/>
              </w:rPr>
            </w:pPr>
            <w:r>
              <w:rPr>
                <w:rFonts w:ascii="Times New Roman" w:eastAsia="Times New Roman"/>
                <w:sz w:val="18"/>
                <w:vertAlign w:val="superscript"/>
              </w:rPr>
              <w:t>c</w:t>
            </w:r>
            <w:r>
              <w:rPr>
                <w:rFonts w:ascii="Times New Roman" w:eastAsia="Times New Roman"/>
                <w:sz w:val="18"/>
                <w:vertAlign w:val="baseline"/>
              </w:rPr>
              <w:t xml:space="preserve"> </w:t>
            </w:r>
            <w:r>
              <w:rPr>
                <w:sz w:val="18"/>
                <w:vertAlign w:val="baseline"/>
              </w:rPr>
              <w:t>来源指产生职业病危害因素的原辅料、设备、工艺环节等。</w:t>
            </w:r>
          </w:p>
          <w:p w14:paraId="6C552E42">
            <w:pPr>
              <w:pStyle w:val="41"/>
              <w:spacing w:before="3" w:line="240" w:lineRule="auto"/>
              <w:ind w:left="266"/>
              <w:rPr>
                <w:sz w:val="18"/>
              </w:rPr>
            </w:pPr>
            <w:r>
              <w:rPr>
                <w:rFonts w:ascii="Times New Roman" w:eastAsia="Times New Roman"/>
                <w:sz w:val="18"/>
                <w:vertAlign w:val="superscript"/>
              </w:rPr>
              <w:t>d</w:t>
            </w:r>
            <w:r>
              <w:rPr>
                <w:rFonts w:ascii="Times New Roman" w:eastAsia="Times New Roman"/>
                <w:sz w:val="18"/>
                <w:vertAlign w:val="baseline"/>
              </w:rPr>
              <w:t xml:space="preserve"> </w:t>
            </w:r>
            <w:r>
              <w:rPr>
                <w:sz w:val="18"/>
                <w:vertAlign w:val="baseline"/>
              </w:rPr>
              <w:t>职业病危害因素为高温时，需调查劳动者体力劳动强度分级。</w:t>
            </w:r>
          </w:p>
          <w:p w14:paraId="0BB824A1">
            <w:pPr>
              <w:pStyle w:val="41"/>
              <w:spacing w:before="2" w:line="240" w:lineRule="auto"/>
              <w:ind w:left="266" w:right="26"/>
              <w:rPr>
                <w:sz w:val="18"/>
              </w:rPr>
            </w:pPr>
            <w:r>
              <w:rPr>
                <w:rFonts w:ascii="Times New Roman" w:eastAsia="Times New Roman"/>
                <w:sz w:val="18"/>
                <w:vertAlign w:val="superscript"/>
              </w:rPr>
              <w:t>e</w:t>
            </w:r>
            <w:r>
              <w:rPr>
                <w:rFonts w:ascii="Times New Roman" w:eastAsia="Times New Roman"/>
                <w:sz w:val="18"/>
                <w:vertAlign w:val="baseline"/>
              </w:rPr>
              <w:t xml:space="preserve"> </w:t>
            </w:r>
            <w:r>
              <w:rPr>
                <w:spacing w:val="-1"/>
                <w:sz w:val="18"/>
                <w:vertAlign w:val="baseline"/>
              </w:rPr>
              <w:t>接触类型指根据现场调查判断岗位接触的职业病危害因素浓度</w:t>
            </w:r>
            <w:r>
              <w:rPr>
                <w:sz w:val="18"/>
                <w:vertAlign w:val="baseline"/>
              </w:rPr>
              <w:t>（或强度</w:t>
            </w:r>
            <w:r>
              <w:rPr>
                <w:spacing w:val="-8"/>
                <w:sz w:val="18"/>
                <w:vertAlign w:val="baseline"/>
              </w:rPr>
              <w:t>）</w:t>
            </w:r>
            <w:r>
              <w:rPr>
                <w:spacing w:val="-2"/>
                <w:sz w:val="18"/>
                <w:vertAlign w:val="baseline"/>
              </w:rPr>
              <w:t>是否相对稳定，填写浓度</w:t>
            </w:r>
            <w:r>
              <w:rPr>
                <w:spacing w:val="-3"/>
                <w:sz w:val="18"/>
                <w:vertAlign w:val="baseline"/>
              </w:rPr>
              <w:t>（</w:t>
            </w:r>
            <w:r>
              <w:rPr>
                <w:sz w:val="18"/>
                <w:vertAlign w:val="baseline"/>
              </w:rPr>
              <w:t>或强度</w:t>
            </w:r>
            <w:r>
              <w:rPr>
                <w:spacing w:val="-5"/>
                <w:sz w:val="18"/>
                <w:vertAlign w:val="baseline"/>
              </w:rPr>
              <w:t>）</w:t>
            </w:r>
            <w:r>
              <w:rPr>
                <w:spacing w:val="-6"/>
                <w:sz w:val="18"/>
                <w:vertAlign w:val="baseline"/>
              </w:rPr>
              <w:t>相对稳</w:t>
            </w:r>
            <w:r>
              <w:rPr>
                <w:sz w:val="18"/>
                <w:vertAlign w:val="baseline"/>
              </w:rPr>
              <w:t>定、浓度（或强度）相对不稳定。</w:t>
            </w:r>
          </w:p>
        </w:tc>
      </w:tr>
    </w:tbl>
    <w:p w14:paraId="3FFDC9D8">
      <w:pPr>
        <w:pStyle w:val="40"/>
        <w:numPr>
          <w:ilvl w:val="2"/>
          <w:numId w:val="8"/>
        </w:numPr>
        <w:tabs>
          <w:tab w:val="left" w:pos="970"/>
        </w:tabs>
        <w:spacing w:before="4" w:after="0" w:line="240" w:lineRule="auto"/>
        <w:ind w:left="969" w:right="0" w:hanging="738"/>
        <w:jc w:val="left"/>
        <w:rPr>
          <w:sz w:val="21"/>
        </w:rPr>
      </w:pPr>
      <w:bookmarkStart w:id="69" w:name="C.1.6　浓度（或强度）相对不稳定岗位接触情况调查记录表，见表C.10。"/>
      <w:bookmarkEnd w:id="69"/>
      <w:bookmarkStart w:id="70" w:name="C.1.6　浓度（或强度）相对不稳定岗位接触情况调查记录表，见表C.10。"/>
      <w:bookmarkEnd w:id="70"/>
      <w:r>
        <w:rPr>
          <w:sz w:val="21"/>
        </w:rPr>
        <w:t>浓度（或强度）相对不稳定岗位接触情况调查记录表，见表</w:t>
      </w:r>
      <w:r>
        <w:rPr>
          <w:rFonts w:ascii="Times New Roman" w:eastAsia="Times New Roman"/>
          <w:sz w:val="21"/>
        </w:rPr>
        <w:t>C</w:t>
      </w:r>
      <w:r>
        <w:rPr>
          <w:sz w:val="21"/>
        </w:rPr>
        <w:t>.10。</w:t>
      </w:r>
    </w:p>
    <w:p w14:paraId="1DB86480">
      <w:pPr>
        <w:pStyle w:val="3"/>
        <w:spacing w:before="18"/>
        <w:ind w:left="61"/>
        <w:jc w:val="center"/>
        <w:rPr>
          <w:rFonts w:hint="eastAsia" w:ascii="黑体" w:eastAsia="黑体"/>
        </w:rPr>
      </w:pPr>
      <w:r>
        <w:rPr>
          <w:rFonts w:hint="eastAsia" w:ascii="黑体" w:eastAsia="黑体"/>
        </w:rPr>
        <w:t>表 C.10 浓度（或强度）相对不稳定岗位接触情况调查记录表</w:t>
      </w:r>
    </w:p>
    <w:p w14:paraId="235139D2">
      <w:pPr>
        <w:pStyle w:val="3"/>
        <w:spacing w:before="2"/>
        <w:rPr>
          <w:rFonts w:ascii="黑体"/>
          <w:sz w:val="13"/>
        </w:rPr>
      </w:pP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1"/>
        <w:gridCol w:w="931"/>
        <w:gridCol w:w="844"/>
        <w:gridCol w:w="844"/>
        <w:gridCol w:w="1570"/>
        <w:gridCol w:w="584"/>
        <w:gridCol w:w="771"/>
        <w:gridCol w:w="1240"/>
        <w:gridCol w:w="1175"/>
        <w:gridCol w:w="1434"/>
      </w:tblGrid>
      <w:tr w14:paraId="4556F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3" w:hRule="atLeast"/>
        </w:trPr>
        <w:tc>
          <w:tcPr>
            <w:tcW w:w="370" w:type="pct"/>
            <w:vAlign w:val="center"/>
          </w:tcPr>
          <w:p w14:paraId="1CBA596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459" w:type="pct"/>
            <w:vAlign w:val="center"/>
          </w:tcPr>
          <w:p w14:paraId="374787B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416" w:type="pct"/>
            <w:vAlign w:val="center"/>
          </w:tcPr>
          <w:p w14:paraId="233BD13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岗位</w:t>
            </w:r>
          </w:p>
          <w:p w14:paraId="1D30749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（工种）</w:t>
            </w:r>
          </w:p>
        </w:tc>
        <w:tc>
          <w:tcPr>
            <w:tcW w:w="416" w:type="pct"/>
            <w:vAlign w:val="center"/>
          </w:tcPr>
          <w:p w14:paraId="61CC130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劳动者</w:t>
            </w:r>
          </w:p>
          <w:p w14:paraId="12D499D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姓名</w:t>
            </w:r>
          </w:p>
        </w:tc>
        <w:tc>
          <w:tcPr>
            <w:tcW w:w="774" w:type="pct"/>
            <w:vAlign w:val="center"/>
          </w:tcPr>
          <w:p w14:paraId="7B9933C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接触时机/时段 a</w:t>
            </w:r>
          </w:p>
        </w:tc>
        <w:tc>
          <w:tcPr>
            <w:tcW w:w="288" w:type="pct"/>
            <w:vAlign w:val="center"/>
          </w:tcPr>
          <w:p w14:paraId="3963E74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w:t>
            </w:r>
          </w:p>
          <w:p w14:paraId="0084197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地点</w:t>
            </w:r>
          </w:p>
        </w:tc>
        <w:tc>
          <w:tcPr>
            <w:tcW w:w="380" w:type="pct"/>
            <w:vAlign w:val="center"/>
          </w:tcPr>
          <w:p w14:paraId="293CF0B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w:t>
            </w:r>
          </w:p>
          <w:p w14:paraId="2F9A0F7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内容</w:t>
            </w:r>
          </w:p>
        </w:tc>
        <w:tc>
          <w:tcPr>
            <w:tcW w:w="611" w:type="pct"/>
            <w:vAlign w:val="center"/>
          </w:tcPr>
          <w:p w14:paraId="4B8D43E0">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职业病</w:t>
            </w:r>
          </w:p>
          <w:p w14:paraId="20666D5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危害因素</w:t>
            </w:r>
          </w:p>
        </w:tc>
        <w:tc>
          <w:tcPr>
            <w:tcW w:w="579" w:type="pct"/>
            <w:vAlign w:val="center"/>
          </w:tcPr>
          <w:p w14:paraId="4547C4A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接触时间</w:t>
            </w:r>
          </w:p>
          <w:p w14:paraId="6A915CD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（h/d,d/w）</w:t>
            </w:r>
          </w:p>
        </w:tc>
        <w:tc>
          <w:tcPr>
            <w:tcW w:w="704" w:type="pct"/>
            <w:vAlign w:val="center"/>
          </w:tcPr>
          <w:p w14:paraId="21C0E5A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接触频度 b</w:t>
            </w:r>
          </w:p>
        </w:tc>
      </w:tr>
      <w:tr w14:paraId="3E69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370" w:type="pct"/>
            <w:vMerge w:val="restart"/>
          </w:tcPr>
          <w:p w14:paraId="76AF0C58">
            <w:pPr>
              <w:pStyle w:val="41"/>
              <w:rPr>
                <w:rFonts w:ascii="Times New Roman"/>
                <w:sz w:val="18"/>
              </w:rPr>
            </w:pPr>
          </w:p>
        </w:tc>
        <w:tc>
          <w:tcPr>
            <w:tcW w:w="459" w:type="pct"/>
            <w:vMerge w:val="restart"/>
          </w:tcPr>
          <w:p w14:paraId="5002430D">
            <w:pPr>
              <w:pStyle w:val="41"/>
              <w:rPr>
                <w:rFonts w:ascii="Times New Roman"/>
                <w:sz w:val="18"/>
              </w:rPr>
            </w:pPr>
          </w:p>
        </w:tc>
        <w:tc>
          <w:tcPr>
            <w:tcW w:w="416" w:type="pct"/>
            <w:vMerge w:val="restart"/>
          </w:tcPr>
          <w:p w14:paraId="60389CA0">
            <w:pPr>
              <w:pStyle w:val="41"/>
              <w:rPr>
                <w:rFonts w:ascii="Times New Roman"/>
                <w:sz w:val="18"/>
              </w:rPr>
            </w:pPr>
          </w:p>
        </w:tc>
        <w:tc>
          <w:tcPr>
            <w:tcW w:w="416" w:type="pct"/>
            <w:vMerge w:val="restart"/>
          </w:tcPr>
          <w:p w14:paraId="1FD674ED">
            <w:pPr>
              <w:pStyle w:val="41"/>
              <w:rPr>
                <w:rFonts w:ascii="Times New Roman"/>
                <w:sz w:val="18"/>
              </w:rPr>
            </w:pPr>
          </w:p>
        </w:tc>
        <w:tc>
          <w:tcPr>
            <w:tcW w:w="774" w:type="pct"/>
          </w:tcPr>
          <w:p w14:paraId="3FEBC072">
            <w:pPr>
              <w:pStyle w:val="41"/>
              <w:rPr>
                <w:rFonts w:ascii="Times New Roman"/>
                <w:sz w:val="18"/>
              </w:rPr>
            </w:pPr>
          </w:p>
        </w:tc>
        <w:tc>
          <w:tcPr>
            <w:tcW w:w="288" w:type="pct"/>
          </w:tcPr>
          <w:p w14:paraId="7AECA2D8">
            <w:pPr>
              <w:pStyle w:val="41"/>
              <w:rPr>
                <w:rFonts w:ascii="Times New Roman"/>
                <w:sz w:val="18"/>
              </w:rPr>
            </w:pPr>
          </w:p>
        </w:tc>
        <w:tc>
          <w:tcPr>
            <w:tcW w:w="380" w:type="pct"/>
          </w:tcPr>
          <w:p w14:paraId="610DF518">
            <w:pPr>
              <w:pStyle w:val="41"/>
              <w:rPr>
                <w:rFonts w:ascii="Times New Roman"/>
                <w:sz w:val="18"/>
              </w:rPr>
            </w:pPr>
          </w:p>
        </w:tc>
        <w:tc>
          <w:tcPr>
            <w:tcW w:w="611" w:type="pct"/>
          </w:tcPr>
          <w:p w14:paraId="4CB5BA0C">
            <w:pPr>
              <w:pStyle w:val="41"/>
              <w:rPr>
                <w:rFonts w:ascii="Times New Roman"/>
                <w:sz w:val="18"/>
              </w:rPr>
            </w:pPr>
          </w:p>
        </w:tc>
        <w:tc>
          <w:tcPr>
            <w:tcW w:w="579" w:type="pct"/>
          </w:tcPr>
          <w:p w14:paraId="70302CFE">
            <w:pPr>
              <w:pStyle w:val="41"/>
              <w:rPr>
                <w:rFonts w:ascii="Times New Roman"/>
                <w:sz w:val="18"/>
              </w:rPr>
            </w:pPr>
          </w:p>
        </w:tc>
        <w:tc>
          <w:tcPr>
            <w:tcW w:w="704" w:type="pct"/>
          </w:tcPr>
          <w:p w14:paraId="3C17B099">
            <w:pPr>
              <w:pStyle w:val="41"/>
              <w:rPr>
                <w:rFonts w:ascii="Times New Roman"/>
                <w:sz w:val="18"/>
              </w:rPr>
            </w:pPr>
          </w:p>
        </w:tc>
      </w:tr>
      <w:tr w14:paraId="09E8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trPr>
        <w:tc>
          <w:tcPr>
            <w:tcW w:w="370" w:type="pct"/>
            <w:vMerge w:val="continue"/>
          </w:tcPr>
          <w:p w14:paraId="0F289B4D">
            <w:pPr>
              <w:rPr>
                <w:sz w:val="2"/>
                <w:szCs w:val="2"/>
              </w:rPr>
            </w:pPr>
          </w:p>
        </w:tc>
        <w:tc>
          <w:tcPr>
            <w:tcW w:w="459" w:type="pct"/>
            <w:vMerge w:val="continue"/>
          </w:tcPr>
          <w:p w14:paraId="5A3BB15A">
            <w:pPr>
              <w:rPr>
                <w:sz w:val="2"/>
                <w:szCs w:val="2"/>
              </w:rPr>
            </w:pPr>
          </w:p>
        </w:tc>
        <w:tc>
          <w:tcPr>
            <w:tcW w:w="416" w:type="pct"/>
            <w:vMerge w:val="continue"/>
          </w:tcPr>
          <w:p w14:paraId="42E7A3F7">
            <w:pPr>
              <w:rPr>
                <w:sz w:val="2"/>
                <w:szCs w:val="2"/>
              </w:rPr>
            </w:pPr>
          </w:p>
        </w:tc>
        <w:tc>
          <w:tcPr>
            <w:tcW w:w="416" w:type="pct"/>
            <w:vMerge w:val="continue"/>
          </w:tcPr>
          <w:p w14:paraId="35734066">
            <w:pPr>
              <w:rPr>
                <w:sz w:val="2"/>
                <w:szCs w:val="2"/>
              </w:rPr>
            </w:pPr>
          </w:p>
        </w:tc>
        <w:tc>
          <w:tcPr>
            <w:tcW w:w="774" w:type="pct"/>
          </w:tcPr>
          <w:p w14:paraId="308B6F16">
            <w:pPr>
              <w:pStyle w:val="41"/>
              <w:rPr>
                <w:rFonts w:ascii="Times New Roman"/>
                <w:sz w:val="18"/>
              </w:rPr>
            </w:pPr>
          </w:p>
        </w:tc>
        <w:tc>
          <w:tcPr>
            <w:tcW w:w="288" w:type="pct"/>
          </w:tcPr>
          <w:p w14:paraId="2A1F216D">
            <w:pPr>
              <w:pStyle w:val="41"/>
              <w:rPr>
                <w:rFonts w:ascii="Times New Roman"/>
                <w:sz w:val="18"/>
              </w:rPr>
            </w:pPr>
          </w:p>
        </w:tc>
        <w:tc>
          <w:tcPr>
            <w:tcW w:w="380" w:type="pct"/>
          </w:tcPr>
          <w:p w14:paraId="668995A8">
            <w:pPr>
              <w:pStyle w:val="41"/>
              <w:rPr>
                <w:rFonts w:ascii="Times New Roman"/>
                <w:sz w:val="18"/>
              </w:rPr>
            </w:pPr>
          </w:p>
        </w:tc>
        <w:tc>
          <w:tcPr>
            <w:tcW w:w="611" w:type="pct"/>
          </w:tcPr>
          <w:p w14:paraId="6FACF3C6">
            <w:pPr>
              <w:pStyle w:val="41"/>
              <w:rPr>
                <w:rFonts w:ascii="Times New Roman"/>
                <w:sz w:val="18"/>
              </w:rPr>
            </w:pPr>
          </w:p>
        </w:tc>
        <w:tc>
          <w:tcPr>
            <w:tcW w:w="579" w:type="pct"/>
          </w:tcPr>
          <w:p w14:paraId="2E7584B3">
            <w:pPr>
              <w:pStyle w:val="41"/>
              <w:rPr>
                <w:rFonts w:ascii="Times New Roman"/>
                <w:sz w:val="18"/>
              </w:rPr>
            </w:pPr>
          </w:p>
        </w:tc>
        <w:tc>
          <w:tcPr>
            <w:tcW w:w="704" w:type="pct"/>
          </w:tcPr>
          <w:p w14:paraId="6FAF82ED">
            <w:pPr>
              <w:pStyle w:val="41"/>
              <w:rPr>
                <w:rFonts w:ascii="Times New Roman"/>
                <w:sz w:val="18"/>
              </w:rPr>
            </w:pPr>
          </w:p>
        </w:tc>
      </w:tr>
      <w:tr w14:paraId="44E4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4" w:hRule="atLeast"/>
        </w:trPr>
        <w:tc>
          <w:tcPr>
            <w:tcW w:w="5000" w:type="pct"/>
            <w:gridSpan w:val="10"/>
          </w:tcPr>
          <w:p w14:paraId="050A984A">
            <w:pPr>
              <w:pStyle w:val="41"/>
              <w:spacing w:before="2" w:line="242" w:lineRule="auto"/>
              <w:ind w:left="265" w:right="-72"/>
              <w:rPr>
                <w:sz w:val="18"/>
              </w:rPr>
            </w:pPr>
            <w:r>
              <w:rPr>
                <w:rFonts w:ascii="Times New Roman" w:eastAsia="Times New Roman"/>
                <w:sz w:val="18"/>
                <w:vertAlign w:val="superscript"/>
              </w:rPr>
              <w:t>a</w:t>
            </w:r>
            <w:r>
              <w:rPr>
                <w:rFonts w:ascii="Times New Roman" w:eastAsia="Times New Roman"/>
                <w:spacing w:val="-15"/>
                <w:sz w:val="18"/>
                <w:vertAlign w:val="baseline"/>
              </w:rPr>
              <w:t xml:space="preserve"> </w:t>
            </w:r>
            <w:r>
              <w:rPr>
                <w:spacing w:val="-2"/>
                <w:sz w:val="18"/>
                <w:vertAlign w:val="baseline"/>
              </w:rPr>
              <w:t>接触时机指劳动者接触职业病危害因素浓度</w:t>
            </w:r>
            <w:r>
              <w:rPr>
                <w:sz w:val="18"/>
                <w:vertAlign w:val="baseline"/>
              </w:rPr>
              <w:t>（或强度</w:t>
            </w:r>
            <w:r>
              <w:rPr>
                <w:spacing w:val="-22"/>
                <w:sz w:val="18"/>
                <w:vertAlign w:val="baseline"/>
              </w:rPr>
              <w:t>）</w:t>
            </w:r>
            <w:r>
              <w:rPr>
                <w:spacing w:val="-2"/>
                <w:sz w:val="18"/>
                <w:vertAlign w:val="baseline"/>
              </w:rPr>
              <w:t>发生明显波动的作业</w:t>
            </w:r>
            <w:r>
              <w:rPr>
                <w:spacing w:val="-3"/>
                <w:sz w:val="18"/>
                <w:vertAlign w:val="baseline"/>
              </w:rPr>
              <w:t>（</w:t>
            </w:r>
            <w:r>
              <w:rPr>
                <w:spacing w:val="-9"/>
                <w:sz w:val="18"/>
                <w:vertAlign w:val="baseline"/>
              </w:rPr>
              <w:t>如调漆、取样、投料、卸料或清洁等</w:t>
            </w:r>
            <w:r>
              <w:rPr>
                <w:spacing w:val="-89"/>
                <w:sz w:val="18"/>
                <w:vertAlign w:val="baseline"/>
              </w:rPr>
              <w:t>）</w:t>
            </w:r>
            <w:r>
              <w:rPr>
                <w:sz w:val="18"/>
                <w:vertAlign w:val="baseline"/>
              </w:rPr>
              <w:t>、</w:t>
            </w:r>
            <w:r>
              <w:rPr>
                <w:spacing w:val="-1"/>
                <w:sz w:val="18"/>
                <w:vertAlign w:val="baseline"/>
              </w:rPr>
              <w:t>流动作业和非常规作业</w:t>
            </w:r>
            <w:r>
              <w:rPr>
                <w:sz w:val="18"/>
                <w:vertAlign w:val="baseline"/>
              </w:rPr>
              <w:t>（</w:t>
            </w:r>
            <w:r>
              <w:rPr>
                <w:spacing w:val="-3"/>
                <w:sz w:val="18"/>
                <w:vertAlign w:val="baseline"/>
              </w:rPr>
              <w:t>检维修、密闭空间等特殊作业</w:t>
            </w:r>
            <w:r>
              <w:rPr>
                <w:spacing w:val="-10"/>
                <w:sz w:val="18"/>
                <w:vertAlign w:val="baseline"/>
              </w:rPr>
              <w:t>）；</w:t>
            </w:r>
            <w:r>
              <w:rPr>
                <w:sz w:val="18"/>
                <w:vertAlign w:val="baseline"/>
              </w:rPr>
              <w:t>接触时段指采用定点检测结果评估劳动者一个工作班的接触浓度（或强度）时，划分的检测时段。</w:t>
            </w:r>
          </w:p>
          <w:p w14:paraId="3413AAD6">
            <w:pPr>
              <w:pStyle w:val="41"/>
              <w:spacing w:before="2" w:line="211" w:lineRule="exact"/>
              <w:ind w:left="265"/>
              <w:rPr>
                <w:sz w:val="18"/>
              </w:rPr>
            </w:pPr>
            <w:r>
              <w:rPr>
                <w:rFonts w:ascii="Times New Roman" w:eastAsia="Times New Roman"/>
                <w:sz w:val="18"/>
                <w:vertAlign w:val="superscript"/>
              </w:rPr>
              <w:t>b</w:t>
            </w:r>
            <w:r>
              <w:rPr>
                <w:rFonts w:ascii="Times New Roman" w:eastAsia="Times New Roman"/>
                <w:sz w:val="18"/>
                <w:vertAlign w:val="baseline"/>
              </w:rPr>
              <w:t xml:space="preserve"> </w:t>
            </w:r>
            <w:r>
              <w:rPr>
                <w:sz w:val="18"/>
                <w:vertAlign w:val="baseline"/>
              </w:rPr>
              <w:t>接触频度指每班接触次数，每次接触时间以及相继接触的间隔时间。</w:t>
            </w:r>
          </w:p>
        </w:tc>
      </w:tr>
    </w:tbl>
    <w:p w14:paraId="22EA5121">
      <w:pPr>
        <w:pStyle w:val="40"/>
        <w:numPr>
          <w:ilvl w:val="2"/>
          <w:numId w:val="8"/>
        </w:numPr>
        <w:tabs>
          <w:tab w:val="left" w:pos="1253"/>
        </w:tabs>
        <w:spacing w:before="120" w:after="0" w:line="240" w:lineRule="auto"/>
        <w:ind w:left="1252" w:right="0" w:hanging="735"/>
        <w:jc w:val="left"/>
        <w:rPr>
          <w:sz w:val="21"/>
        </w:rPr>
      </w:pPr>
      <w:bookmarkStart w:id="71" w:name="C.1.7　职业病防护设施设置及运行情况调查记录表，见表C.11。"/>
      <w:bookmarkEnd w:id="71"/>
      <w:bookmarkStart w:id="72" w:name="C.1.7　职业病防护设施设置及运行情况调查记录表，见表C.11。"/>
      <w:bookmarkEnd w:id="72"/>
      <w:r>
        <w:rPr>
          <w:sz w:val="21"/>
        </w:rPr>
        <w:t>职业病防护设施设置及运行情况调查记录表，见表</w:t>
      </w:r>
      <w:r>
        <w:rPr>
          <w:rFonts w:ascii="Times New Roman" w:eastAsia="Times New Roman"/>
          <w:sz w:val="21"/>
        </w:rPr>
        <w:t>C</w:t>
      </w:r>
      <w:r>
        <w:rPr>
          <w:sz w:val="21"/>
        </w:rPr>
        <w:t>.11。</w:t>
      </w:r>
    </w:p>
    <w:p w14:paraId="0BF97A61">
      <w:pPr>
        <w:pStyle w:val="3"/>
        <w:spacing w:before="124"/>
        <w:ind w:left="61"/>
        <w:jc w:val="center"/>
        <w:rPr>
          <w:rFonts w:hint="eastAsia" w:ascii="黑体" w:eastAsia="黑体"/>
        </w:rPr>
      </w:pPr>
      <w:r>
        <w:rPr>
          <w:rFonts w:hint="eastAsia" w:ascii="黑体" w:eastAsia="黑体"/>
        </w:rPr>
        <w:t>表 C.11 职业病防护设施设置及运行情况调查记录表</w:t>
      </w:r>
    </w:p>
    <w:p w14:paraId="788B91BC">
      <w:pPr>
        <w:pStyle w:val="3"/>
        <w:spacing w:before="5"/>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27"/>
        <w:gridCol w:w="1043"/>
        <w:gridCol w:w="994"/>
        <w:gridCol w:w="927"/>
        <w:gridCol w:w="1078"/>
        <w:gridCol w:w="1851"/>
        <w:gridCol w:w="769"/>
        <w:gridCol w:w="773"/>
        <w:gridCol w:w="925"/>
        <w:gridCol w:w="759"/>
      </w:tblGrid>
      <w:tr w14:paraId="7FE5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6" w:type="pct"/>
            <w:vMerge w:val="restart"/>
            <w:vAlign w:val="center"/>
          </w:tcPr>
          <w:p w14:paraId="376CBF2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514" w:type="pct"/>
            <w:vMerge w:val="restart"/>
            <w:vAlign w:val="center"/>
          </w:tcPr>
          <w:p w14:paraId="1248D0B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947" w:type="pct"/>
            <w:gridSpan w:val="2"/>
            <w:vAlign w:val="center"/>
          </w:tcPr>
          <w:p w14:paraId="729F52A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职业病防护设施</w:t>
            </w:r>
          </w:p>
        </w:tc>
        <w:tc>
          <w:tcPr>
            <w:tcW w:w="531" w:type="pct"/>
            <w:vMerge w:val="restart"/>
            <w:vAlign w:val="center"/>
          </w:tcPr>
          <w:p w14:paraId="43D11D7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技术参数 b</w:t>
            </w:r>
          </w:p>
        </w:tc>
        <w:tc>
          <w:tcPr>
            <w:tcW w:w="912" w:type="pct"/>
            <w:vMerge w:val="restart"/>
            <w:vAlign w:val="center"/>
          </w:tcPr>
          <w:p w14:paraId="6824B6A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1A0718F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设置地点或岗位</w:t>
            </w:r>
          </w:p>
        </w:tc>
        <w:tc>
          <w:tcPr>
            <w:tcW w:w="760" w:type="pct"/>
            <w:gridSpan w:val="2"/>
            <w:vAlign w:val="center"/>
          </w:tcPr>
          <w:p w14:paraId="56DE552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数量（台/套）</w:t>
            </w:r>
          </w:p>
        </w:tc>
        <w:tc>
          <w:tcPr>
            <w:tcW w:w="456" w:type="pct"/>
            <w:vMerge w:val="restart"/>
            <w:vAlign w:val="center"/>
          </w:tcPr>
          <w:p w14:paraId="794F0F6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维护情况 b</w:t>
            </w:r>
          </w:p>
        </w:tc>
        <w:tc>
          <w:tcPr>
            <w:tcW w:w="370" w:type="pct"/>
            <w:vMerge w:val="restart"/>
            <w:vAlign w:val="center"/>
          </w:tcPr>
          <w:p w14:paraId="3FB31F4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149F9FD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备注</w:t>
            </w:r>
          </w:p>
        </w:tc>
      </w:tr>
      <w:tr w14:paraId="3E54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trPr>
        <w:tc>
          <w:tcPr>
            <w:tcW w:w="506" w:type="pct"/>
            <w:vMerge w:val="continue"/>
          </w:tcPr>
          <w:p w14:paraId="13F645D7">
            <w:pPr>
              <w:rPr>
                <w:sz w:val="2"/>
                <w:szCs w:val="2"/>
              </w:rPr>
            </w:pPr>
          </w:p>
        </w:tc>
        <w:tc>
          <w:tcPr>
            <w:tcW w:w="514" w:type="pct"/>
            <w:vMerge w:val="continue"/>
          </w:tcPr>
          <w:p w14:paraId="38258BEF">
            <w:pPr>
              <w:rPr>
                <w:sz w:val="2"/>
                <w:szCs w:val="2"/>
              </w:rPr>
            </w:pPr>
          </w:p>
        </w:tc>
        <w:tc>
          <w:tcPr>
            <w:tcW w:w="490" w:type="pct"/>
            <w:vAlign w:val="center"/>
          </w:tcPr>
          <w:p w14:paraId="3FECF40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类型 a</w:t>
            </w:r>
          </w:p>
        </w:tc>
        <w:tc>
          <w:tcPr>
            <w:tcW w:w="456" w:type="pct"/>
            <w:vAlign w:val="center"/>
          </w:tcPr>
          <w:p w14:paraId="632D7DF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名称</w:t>
            </w:r>
          </w:p>
        </w:tc>
        <w:tc>
          <w:tcPr>
            <w:tcW w:w="531" w:type="pct"/>
            <w:vMerge w:val="continue"/>
          </w:tcPr>
          <w:p w14:paraId="48CD2D6E">
            <w:pPr>
              <w:rPr>
                <w:sz w:val="2"/>
                <w:szCs w:val="2"/>
              </w:rPr>
            </w:pPr>
          </w:p>
        </w:tc>
        <w:tc>
          <w:tcPr>
            <w:tcW w:w="912" w:type="pct"/>
            <w:vMerge w:val="continue"/>
          </w:tcPr>
          <w:p w14:paraId="5316E675">
            <w:pPr>
              <w:rPr>
                <w:sz w:val="2"/>
                <w:szCs w:val="2"/>
              </w:rPr>
            </w:pPr>
          </w:p>
        </w:tc>
        <w:tc>
          <w:tcPr>
            <w:tcW w:w="379" w:type="pct"/>
            <w:vAlign w:val="center"/>
          </w:tcPr>
          <w:p w14:paraId="53768FB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总数</w:t>
            </w:r>
          </w:p>
        </w:tc>
        <w:tc>
          <w:tcPr>
            <w:tcW w:w="381" w:type="pct"/>
            <w:vAlign w:val="center"/>
          </w:tcPr>
          <w:p w14:paraId="3031DF2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运行</w:t>
            </w:r>
          </w:p>
        </w:tc>
        <w:tc>
          <w:tcPr>
            <w:tcW w:w="456" w:type="pct"/>
            <w:vMerge w:val="continue"/>
          </w:tcPr>
          <w:p w14:paraId="2743060A">
            <w:pPr>
              <w:rPr>
                <w:sz w:val="2"/>
                <w:szCs w:val="2"/>
              </w:rPr>
            </w:pPr>
          </w:p>
        </w:tc>
        <w:tc>
          <w:tcPr>
            <w:tcW w:w="370" w:type="pct"/>
            <w:vMerge w:val="continue"/>
          </w:tcPr>
          <w:p w14:paraId="3273C821">
            <w:pPr>
              <w:rPr>
                <w:sz w:val="2"/>
                <w:szCs w:val="2"/>
              </w:rPr>
            </w:pPr>
          </w:p>
        </w:tc>
      </w:tr>
      <w:tr w14:paraId="7B66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506" w:type="pct"/>
          </w:tcPr>
          <w:p w14:paraId="3586A100">
            <w:pPr>
              <w:pStyle w:val="41"/>
              <w:rPr>
                <w:rFonts w:ascii="Times New Roman"/>
                <w:sz w:val="18"/>
              </w:rPr>
            </w:pPr>
          </w:p>
        </w:tc>
        <w:tc>
          <w:tcPr>
            <w:tcW w:w="514" w:type="pct"/>
          </w:tcPr>
          <w:p w14:paraId="59E03BAD">
            <w:pPr>
              <w:pStyle w:val="41"/>
              <w:rPr>
                <w:rFonts w:ascii="Times New Roman"/>
                <w:sz w:val="18"/>
              </w:rPr>
            </w:pPr>
          </w:p>
        </w:tc>
        <w:tc>
          <w:tcPr>
            <w:tcW w:w="490" w:type="pct"/>
          </w:tcPr>
          <w:p w14:paraId="2FB4BCB4">
            <w:pPr>
              <w:pStyle w:val="41"/>
              <w:rPr>
                <w:rFonts w:ascii="Times New Roman"/>
                <w:sz w:val="18"/>
              </w:rPr>
            </w:pPr>
          </w:p>
        </w:tc>
        <w:tc>
          <w:tcPr>
            <w:tcW w:w="456" w:type="pct"/>
          </w:tcPr>
          <w:p w14:paraId="5D4AC225">
            <w:pPr>
              <w:pStyle w:val="41"/>
              <w:rPr>
                <w:rFonts w:ascii="Times New Roman"/>
                <w:sz w:val="18"/>
              </w:rPr>
            </w:pPr>
          </w:p>
        </w:tc>
        <w:tc>
          <w:tcPr>
            <w:tcW w:w="531" w:type="pct"/>
          </w:tcPr>
          <w:p w14:paraId="5B201EFD">
            <w:pPr>
              <w:pStyle w:val="41"/>
              <w:rPr>
                <w:rFonts w:ascii="Times New Roman"/>
                <w:sz w:val="18"/>
              </w:rPr>
            </w:pPr>
          </w:p>
        </w:tc>
        <w:tc>
          <w:tcPr>
            <w:tcW w:w="912" w:type="pct"/>
          </w:tcPr>
          <w:p w14:paraId="0A4CA36F">
            <w:pPr>
              <w:pStyle w:val="41"/>
              <w:rPr>
                <w:rFonts w:ascii="Times New Roman"/>
                <w:sz w:val="18"/>
              </w:rPr>
            </w:pPr>
          </w:p>
        </w:tc>
        <w:tc>
          <w:tcPr>
            <w:tcW w:w="379" w:type="pct"/>
          </w:tcPr>
          <w:p w14:paraId="01BC89B0">
            <w:pPr>
              <w:pStyle w:val="41"/>
              <w:rPr>
                <w:rFonts w:ascii="Times New Roman"/>
                <w:sz w:val="18"/>
              </w:rPr>
            </w:pPr>
          </w:p>
        </w:tc>
        <w:tc>
          <w:tcPr>
            <w:tcW w:w="381" w:type="pct"/>
          </w:tcPr>
          <w:p w14:paraId="50B8D614">
            <w:pPr>
              <w:pStyle w:val="41"/>
              <w:rPr>
                <w:rFonts w:ascii="Times New Roman"/>
                <w:sz w:val="18"/>
              </w:rPr>
            </w:pPr>
          </w:p>
        </w:tc>
        <w:tc>
          <w:tcPr>
            <w:tcW w:w="456" w:type="pct"/>
          </w:tcPr>
          <w:p w14:paraId="282AA68B">
            <w:pPr>
              <w:pStyle w:val="41"/>
              <w:rPr>
                <w:rFonts w:ascii="Times New Roman"/>
                <w:sz w:val="18"/>
              </w:rPr>
            </w:pPr>
          </w:p>
        </w:tc>
        <w:tc>
          <w:tcPr>
            <w:tcW w:w="370" w:type="pct"/>
          </w:tcPr>
          <w:p w14:paraId="0B776A7D">
            <w:pPr>
              <w:pStyle w:val="41"/>
              <w:rPr>
                <w:rFonts w:ascii="Times New Roman"/>
                <w:sz w:val="18"/>
              </w:rPr>
            </w:pPr>
          </w:p>
        </w:tc>
      </w:tr>
      <w:tr w14:paraId="240B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5000" w:type="pct"/>
            <w:gridSpan w:val="10"/>
          </w:tcPr>
          <w:p w14:paraId="0B402EDB">
            <w:pPr>
              <w:pStyle w:val="41"/>
              <w:spacing w:before="2"/>
              <w:ind w:left="316"/>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职业病防护设施类型指防毒、防尘、防噪、减振、防暑降温、防低温、防非电离辐射和防电离辐射等防护设施。</w:t>
            </w:r>
          </w:p>
          <w:p w14:paraId="5755B081">
            <w:pPr>
              <w:pStyle w:val="41"/>
              <w:spacing w:before="2" w:line="212" w:lineRule="exact"/>
              <w:ind w:left="316"/>
              <w:rPr>
                <w:sz w:val="18"/>
              </w:rPr>
            </w:pPr>
            <w:r>
              <w:rPr>
                <w:rFonts w:ascii="Times New Roman" w:eastAsia="Times New Roman"/>
                <w:sz w:val="18"/>
                <w:vertAlign w:val="superscript"/>
              </w:rPr>
              <w:t>b</w:t>
            </w:r>
            <w:r>
              <w:rPr>
                <w:sz w:val="18"/>
                <w:vertAlign w:val="baseline"/>
              </w:rPr>
              <w:t>职业病防护设施技术参数和维护情况在开展评价技术服务时调查。</w:t>
            </w:r>
          </w:p>
        </w:tc>
      </w:tr>
    </w:tbl>
    <w:p w14:paraId="0CD3019C">
      <w:pPr>
        <w:pStyle w:val="40"/>
        <w:numPr>
          <w:ilvl w:val="2"/>
          <w:numId w:val="8"/>
        </w:numPr>
        <w:tabs>
          <w:tab w:val="left" w:pos="1253"/>
        </w:tabs>
        <w:spacing w:before="121" w:after="0" w:line="240" w:lineRule="auto"/>
        <w:ind w:left="1252" w:right="0" w:hanging="735"/>
        <w:jc w:val="left"/>
        <w:rPr>
          <w:sz w:val="21"/>
        </w:rPr>
      </w:pPr>
      <w:bookmarkStart w:id="73" w:name="C.1.8　个人使用的职业病防护用品配置及使用情况调查记录表，见表C.12。"/>
      <w:bookmarkEnd w:id="73"/>
      <w:bookmarkStart w:id="74" w:name="C.1.8　个人使用的职业病防护用品配置及使用情况调查记录表，见表C.12。"/>
      <w:bookmarkEnd w:id="74"/>
      <w:r>
        <w:rPr>
          <w:sz w:val="21"/>
        </w:rPr>
        <w:t>个人使用的职业病防护用品配置及使用情况调查记录表，见表</w:t>
      </w:r>
      <w:r>
        <w:rPr>
          <w:rFonts w:ascii="Times New Roman" w:eastAsia="Times New Roman"/>
          <w:sz w:val="21"/>
        </w:rPr>
        <w:t>C</w:t>
      </w:r>
      <w:r>
        <w:rPr>
          <w:sz w:val="21"/>
        </w:rPr>
        <w:t>.12。</w:t>
      </w:r>
    </w:p>
    <w:p w14:paraId="3736CB45">
      <w:pPr>
        <w:pStyle w:val="3"/>
        <w:spacing w:before="122"/>
        <w:ind w:left="58"/>
        <w:jc w:val="center"/>
        <w:rPr>
          <w:rFonts w:hint="eastAsia" w:ascii="黑体" w:eastAsia="黑体"/>
        </w:rPr>
      </w:pPr>
      <w:r>
        <w:rPr>
          <w:rFonts w:hint="eastAsia" w:ascii="黑体" w:eastAsia="黑体"/>
        </w:rPr>
        <w:t>表 C.12 个人使用的职业病防护用品配置及使用情况调查记录表</w:t>
      </w:r>
    </w:p>
    <w:p w14:paraId="035BC9DE">
      <w:pPr>
        <w:pStyle w:val="3"/>
        <w:spacing w:before="5"/>
        <w:rPr>
          <w:rFonts w:hint="eastAsia" w:ascii="黑体" w:eastAsia="黑体"/>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45"/>
        <w:gridCol w:w="950"/>
        <w:gridCol w:w="1264"/>
        <w:gridCol w:w="942"/>
        <w:gridCol w:w="1122"/>
        <w:gridCol w:w="1096"/>
        <w:gridCol w:w="1303"/>
        <w:gridCol w:w="1390"/>
        <w:gridCol w:w="1134"/>
      </w:tblGrid>
      <w:tr w14:paraId="253F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34" w:type="pct"/>
            <w:gridSpan w:val="2"/>
            <w:vAlign w:val="center"/>
          </w:tcPr>
          <w:p w14:paraId="7F7FF97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职业病防护用品</w:t>
            </w:r>
          </w:p>
        </w:tc>
        <w:tc>
          <w:tcPr>
            <w:tcW w:w="623" w:type="pct"/>
            <w:vMerge w:val="restart"/>
            <w:vAlign w:val="center"/>
          </w:tcPr>
          <w:p w14:paraId="5451EF4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生产厂家</w:t>
            </w:r>
          </w:p>
        </w:tc>
        <w:tc>
          <w:tcPr>
            <w:tcW w:w="464" w:type="pct"/>
            <w:vMerge w:val="restart"/>
            <w:vAlign w:val="center"/>
          </w:tcPr>
          <w:p w14:paraId="7A4196E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型号或规格</w:t>
            </w:r>
          </w:p>
        </w:tc>
        <w:tc>
          <w:tcPr>
            <w:tcW w:w="553" w:type="pct"/>
            <w:vMerge w:val="restart"/>
            <w:vAlign w:val="center"/>
          </w:tcPr>
          <w:p w14:paraId="0BC17B0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防护性能参数 c</w:t>
            </w:r>
          </w:p>
        </w:tc>
        <w:tc>
          <w:tcPr>
            <w:tcW w:w="540" w:type="pct"/>
            <w:vMerge w:val="restart"/>
            <w:vAlign w:val="center"/>
          </w:tcPr>
          <w:p w14:paraId="5003FDC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配备岗位</w:t>
            </w:r>
          </w:p>
        </w:tc>
        <w:tc>
          <w:tcPr>
            <w:tcW w:w="642" w:type="pct"/>
            <w:vMerge w:val="restart"/>
            <w:vAlign w:val="center"/>
          </w:tcPr>
          <w:p w14:paraId="78AE760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佩戴情况</w:t>
            </w:r>
          </w:p>
        </w:tc>
        <w:tc>
          <w:tcPr>
            <w:tcW w:w="685" w:type="pct"/>
            <w:vMerge w:val="restart"/>
            <w:vAlign w:val="center"/>
          </w:tcPr>
          <w:p w14:paraId="1B93F56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更换周期</w:t>
            </w:r>
          </w:p>
        </w:tc>
        <w:tc>
          <w:tcPr>
            <w:tcW w:w="555" w:type="pct"/>
            <w:vMerge w:val="restart"/>
            <w:vAlign w:val="center"/>
          </w:tcPr>
          <w:p w14:paraId="472360C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p w14:paraId="237BD34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备注</w:t>
            </w:r>
          </w:p>
        </w:tc>
      </w:tr>
      <w:tr w14:paraId="2A3D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6" w:type="pct"/>
            <w:vAlign w:val="center"/>
          </w:tcPr>
          <w:p w14:paraId="40C2DD4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分类 a</w:t>
            </w:r>
          </w:p>
        </w:tc>
        <w:tc>
          <w:tcPr>
            <w:tcW w:w="467" w:type="pct"/>
            <w:vAlign w:val="center"/>
          </w:tcPr>
          <w:p w14:paraId="48803B6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类别 b</w:t>
            </w:r>
          </w:p>
        </w:tc>
        <w:tc>
          <w:tcPr>
            <w:tcW w:w="623" w:type="pct"/>
            <w:vMerge w:val="continue"/>
          </w:tcPr>
          <w:p w14:paraId="118EB1A6">
            <w:pPr>
              <w:rPr>
                <w:sz w:val="2"/>
                <w:szCs w:val="2"/>
              </w:rPr>
            </w:pPr>
          </w:p>
        </w:tc>
        <w:tc>
          <w:tcPr>
            <w:tcW w:w="464" w:type="pct"/>
            <w:vMerge w:val="continue"/>
          </w:tcPr>
          <w:p w14:paraId="16409B9E">
            <w:pPr>
              <w:rPr>
                <w:sz w:val="2"/>
                <w:szCs w:val="2"/>
              </w:rPr>
            </w:pPr>
          </w:p>
        </w:tc>
        <w:tc>
          <w:tcPr>
            <w:tcW w:w="553" w:type="pct"/>
            <w:vMerge w:val="continue"/>
          </w:tcPr>
          <w:p w14:paraId="7D73A026">
            <w:pPr>
              <w:rPr>
                <w:sz w:val="2"/>
                <w:szCs w:val="2"/>
              </w:rPr>
            </w:pPr>
          </w:p>
        </w:tc>
        <w:tc>
          <w:tcPr>
            <w:tcW w:w="540" w:type="pct"/>
            <w:vMerge w:val="continue"/>
          </w:tcPr>
          <w:p w14:paraId="0075EAF2">
            <w:pPr>
              <w:rPr>
                <w:sz w:val="2"/>
                <w:szCs w:val="2"/>
              </w:rPr>
            </w:pPr>
          </w:p>
        </w:tc>
        <w:tc>
          <w:tcPr>
            <w:tcW w:w="642" w:type="pct"/>
            <w:vMerge w:val="continue"/>
          </w:tcPr>
          <w:p w14:paraId="67427CCA">
            <w:pPr>
              <w:rPr>
                <w:sz w:val="2"/>
                <w:szCs w:val="2"/>
              </w:rPr>
            </w:pPr>
          </w:p>
        </w:tc>
        <w:tc>
          <w:tcPr>
            <w:tcW w:w="685" w:type="pct"/>
            <w:vMerge w:val="continue"/>
          </w:tcPr>
          <w:p w14:paraId="699001FA">
            <w:pPr>
              <w:rPr>
                <w:sz w:val="2"/>
                <w:szCs w:val="2"/>
              </w:rPr>
            </w:pPr>
          </w:p>
        </w:tc>
        <w:tc>
          <w:tcPr>
            <w:tcW w:w="555" w:type="pct"/>
            <w:vMerge w:val="continue"/>
          </w:tcPr>
          <w:p w14:paraId="2D591ABA">
            <w:pPr>
              <w:rPr>
                <w:sz w:val="2"/>
                <w:szCs w:val="2"/>
              </w:rPr>
            </w:pPr>
          </w:p>
        </w:tc>
      </w:tr>
      <w:tr w14:paraId="40AC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466" w:type="pct"/>
          </w:tcPr>
          <w:p w14:paraId="6A0F5F47">
            <w:pPr>
              <w:pStyle w:val="41"/>
              <w:rPr>
                <w:rFonts w:ascii="Times New Roman"/>
                <w:sz w:val="18"/>
              </w:rPr>
            </w:pPr>
          </w:p>
        </w:tc>
        <w:tc>
          <w:tcPr>
            <w:tcW w:w="467" w:type="pct"/>
          </w:tcPr>
          <w:p w14:paraId="1D991EA4">
            <w:pPr>
              <w:pStyle w:val="41"/>
              <w:rPr>
                <w:rFonts w:ascii="Times New Roman"/>
                <w:sz w:val="18"/>
              </w:rPr>
            </w:pPr>
          </w:p>
        </w:tc>
        <w:tc>
          <w:tcPr>
            <w:tcW w:w="623" w:type="pct"/>
          </w:tcPr>
          <w:p w14:paraId="2D33CA2B">
            <w:pPr>
              <w:pStyle w:val="41"/>
              <w:rPr>
                <w:rFonts w:ascii="Times New Roman"/>
                <w:sz w:val="18"/>
              </w:rPr>
            </w:pPr>
          </w:p>
        </w:tc>
        <w:tc>
          <w:tcPr>
            <w:tcW w:w="464" w:type="pct"/>
          </w:tcPr>
          <w:p w14:paraId="093F4D1A">
            <w:pPr>
              <w:pStyle w:val="41"/>
              <w:rPr>
                <w:rFonts w:ascii="Times New Roman"/>
                <w:sz w:val="18"/>
              </w:rPr>
            </w:pPr>
          </w:p>
        </w:tc>
        <w:tc>
          <w:tcPr>
            <w:tcW w:w="553" w:type="pct"/>
          </w:tcPr>
          <w:p w14:paraId="0A983DDC">
            <w:pPr>
              <w:pStyle w:val="41"/>
              <w:rPr>
                <w:rFonts w:ascii="Times New Roman"/>
                <w:sz w:val="18"/>
              </w:rPr>
            </w:pPr>
          </w:p>
        </w:tc>
        <w:tc>
          <w:tcPr>
            <w:tcW w:w="540" w:type="pct"/>
          </w:tcPr>
          <w:p w14:paraId="4D66B796">
            <w:pPr>
              <w:pStyle w:val="41"/>
              <w:rPr>
                <w:rFonts w:ascii="Times New Roman"/>
                <w:sz w:val="18"/>
              </w:rPr>
            </w:pPr>
          </w:p>
        </w:tc>
        <w:tc>
          <w:tcPr>
            <w:tcW w:w="642" w:type="pct"/>
          </w:tcPr>
          <w:p w14:paraId="4EC0D369">
            <w:pPr>
              <w:pStyle w:val="41"/>
              <w:rPr>
                <w:rFonts w:ascii="Times New Roman"/>
                <w:sz w:val="18"/>
              </w:rPr>
            </w:pPr>
          </w:p>
        </w:tc>
        <w:tc>
          <w:tcPr>
            <w:tcW w:w="685" w:type="pct"/>
          </w:tcPr>
          <w:p w14:paraId="580052A4">
            <w:pPr>
              <w:pStyle w:val="41"/>
              <w:rPr>
                <w:rFonts w:ascii="Times New Roman"/>
                <w:sz w:val="18"/>
              </w:rPr>
            </w:pPr>
          </w:p>
        </w:tc>
        <w:tc>
          <w:tcPr>
            <w:tcW w:w="555" w:type="pct"/>
          </w:tcPr>
          <w:p w14:paraId="3E1AB32C">
            <w:pPr>
              <w:pStyle w:val="41"/>
              <w:rPr>
                <w:rFonts w:ascii="Times New Roman"/>
                <w:sz w:val="18"/>
              </w:rPr>
            </w:pPr>
          </w:p>
        </w:tc>
      </w:tr>
      <w:tr w14:paraId="237C0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5000" w:type="pct"/>
            <w:gridSpan w:val="9"/>
          </w:tcPr>
          <w:p w14:paraId="03C0B6B5">
            <w:pPr>
              <w:pStyle w:val="41"/>
              <w:spacing w:before="1" w:line="240" w:lineRule="auto"/>
              <w:ind w:left="316"/>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职业病防护用品分类包括眼面防护、听力防护、呼吸防护、防护服装、手部防护、足部防护等。</w:t>
            </w:r>
          </w:p>
          <w:p w14:paraId="6D1A0FD1">
            <w:pPr>
              <w:pStyle w:val="41"/>
              <w:spacing w:before="3" w:line="240" w:lineRule="auto"/>
              <w:ind w:left="316"/>
              <w:rPr>
                <w:sz w:val="18"/>
              </w:rPr>
            </w:pPr>
            <w:r>
              <w:rPr>
                <w:rFonts w:ascii="Times New Roman" w:eastAsia="Times New Roman"/>
                <w:sz w:val="18"/>
                <w:vertAlign w:val="superscript"/>
              </w:rPr>
              <w:t>b</w:t>
            </w:r>
            <w:r>
              <w:rPr>
                <w:rFonts w:ascii="Times New Roman" w:eastAsia="Times New Roman"/>
                <w:sz w:val="18"/>
                <w:vertAlign w:val="baseline"/>
              </w:rPr>
              <w:t xml:space="preserve"> </w:t>
            </w:r>
            <w:r>
              <w:rPr>
                <w:sz w:val="18"/>
                <w:vertAlign w:val="baseline"/>
              </w:rPr>
              <w:t>职业病防护用品类别如耳塞、耳罩、防尘口罩等。</w:t>
            </w:r>
          </w:p>
          <w:p w14:paraId="470FC15B">
            <w:pPr>
              <w:pStyle w:val="41"/>
              <w:spacing w:before="2" w:line="240" w:lineRule="auto"/>
              <w:ind w:left="316"/>
              <w:rPr>
                <w:sz w:val="18"/>
              </w:rPr>
            </w:pPr>
            <w:r>
              <w:rPr>
                <w:rFonts w:ascii="Times New Roman" w:eastAsia="Times New Roman"/>
                <w:sz w:val="18"/>
                <w:vertAlign w:val="superscript"/>
              </w:rPr>
              <w:t>c</w:t>
            </w:r>
            <w:r>
              <w:rPr>
                <w:rFonts w:ascii="Times New Roman" w:eastAsia="Times New Roman"/>
                <w:sz w:val="18"/>
                <w:vertAlign w:val="baseline"/>
              </w:rPr>
              <w:t xml:space="preserve"> </w:t>
            </w:r>
            <w:r>
              <w:rPr>
                <w:sz w:val="18"/>
                <w:vertAlign w:val="baseline"/>
              </w:rPr>
              <w:t>职业病防护用品防护性能参数在开展评价技术服务时调查。</w:t>
            </w:r>
          </w:p>
        </w:tc>
      </w:tr>
    </w:tbl>
    <w:p w14:paraId="72E84E21">
      <w:pPr>
        <w:pStyle w:val="3"/>
        <w:spacing w:before="2"/>
        <w:rPr>
          <w:rFonts w:ascii="黑体"/>
        </w:rPr>
      </w:pPr>
    </w:p>
    <w:p w14:paraId="75267B95">
      <w:pPr>
        <w:pStyle w:val="40"/>
        <w:numPr>
          <w:ilvl w:val="1"/>
          <w:numId w:val="8"/>
        </w:numPr>
        <w:tabs>
          <w:tab w:val="left" w:pos="1044"/>
        </w:tabs>
        <w:spacing w:before="0" w:after="0" w:line="240" w:lineRule="auto"/>
        <w:ind w:left="1044" w:right="0" w:hanging="526"/>
        <w:jc w:val="left"/>
        <w:rPr>
          <w:sz w:val="21"/>
        </w:rPr>
      </w:pPr>
      <w:bookmarkStart w:id="75" w:name="C.2.2　职业卫生调查。"/>
      <w:bookmarkEnd w:id="75"/>
      <w:bookmarkStart w:id="76" w:name="C.2.1　前期调查表格，见表C.1～表C.12。"/>
      <w:bookmarkEnd w:id="76"/>
      <w:bookmarkStart w:id="77" w:name="C.2.1　前期调查表格，见表C.1～表C.12。"/>
      <w:bookmarkEnd w:id="77"/>
      <w:bookmarkStart w:id="78" w:name="C.2　现状评价职业卫生调查相关表格"/>
      <w:bookmarkEnd w:id="78"/>
      <w:bookmarkStart w:id="79" w:name="C.2.2　职业卫生调查。"/>
      <w:bookmarkEnd w:id="79"/>
      <w:r>
        <w:rPr>
          <w:sz w:val="21"/>
        </w:rPr>
        <w:t>职业卫生调查。</w:t>
      </w:r>
    </w:p>
    <w:p w14:paraId="0291A5E0">
      <w:pPr>
        <w:pStyle w:val="40"/>
        <w:numPr>
          <w:ilvl w:val="2"/>
          <w:numId w:val="8"/>
        </w:numPr>
        <w:tabs>
          <w:tab w:val="left" w:pos="1464"/>
        </w:tabs>
        <w:spacing w:before="2" w:after="0" w:line="240" w:lineRule="auto"/>
        <w:ind w:left="1252" w:right="0" w:hanging="735"/>
        <w:jc w:val="left"/>
        <w:rPr>
          <w:sz w:val="21"/>
        </w:rPr>
      </w:pPr>
      <w:bookmarkStart w:id="80" w:name="C.2.2.1　生产运行状况调查记录表，见表C.13。"/>
      <w:bookmarkEnd w:id="80"/>
      <w:bookmarkStart w:id="81" w:name="C.2.2.1　生产运行状况调查记录表，见表C.13。"/>
      <w:bookmarkEnd w:id="81"/>
      <w:r>
        <w:rPr>
          <w:sz w:val="21"/>
        </w:rPr>
        <w:t>生产运行状况调查记录表，见表</w:t>
      </w:r>
      <w:r>
        <w:rPr>
          <w:rFonts w:ascii="Times New Roman" w:eastAsia="Times New Roman"/>
          <w:sz w:val="21"/>
        </w:rPr>
        <w:t>C</w:t>
      </w:r>
      <w:r>
        <w:rPr>
          <w:sz w:val="21"/>
        </w:rPr>
        <w:t>.13。</w:t>
      </w:r>
    </w:p>
    <w:p w14:paraId="344D97CE">
      <w:pPr>
        <w:pStyle w:val="3"/>
        <w:spacing w:before="122"/>
        <w:ind w:left="61"/>
        <w:jc w:val="center"/>
        <w:rPr>
          <w:rFonts w:hint="eastAsia" w:ascii="黑体" w:eastAsia="黑体"/>
        </w:rPr>
      </w:pPr>
      <w:r>
        <w:rPr>
          <w:rFonts w:hint="eastAsia" w:ascii="黑体" w:eastAsia="黑体"/>
        </w:rPr>
        <w:t>表 C.13 生产运行状况调查记录表</w:t>
      </w:r>
    </w:p>
    <w:p w14:paraId="41D42C73">
      <w:pPr>
        <w:pStyle w:val="3"/>
        <w:spacing w:before="5"/>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52"/>
        <w:gridCol w:w="2885"/>
        <w:gridCol w:w="3127"/>
        <w:gridCol w:w="1884"/>
      </w:tblGrid>
      <w:tr w14:paraId="512A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09" w:type="pct"/>
            <w:vAlign w:val="center"/>
          </w:tcPr>
          <w:p w14:paraId="22DAC57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产品</w:t>
            </w:r>
          </w:p>
        </w:tc>
        <w:tc>
          <w:tcPr>
            <w:tcW w:w="1421" w:type="pct"/>
            <w:vAlign w:val="center"/>
          </w:tcPr>
          <w:p w14:paraId="54B8D49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设计能力</w:t>
            </w:r>
          </w:p>
        </w:tc>
        <w:tc>
          <w:tcPr>
            <w:tcW w:w="1540" w:type="pct"/>
            <w:vAlign w:val="center"/>
          </w:tcPr>
          <w:p w14:paraId="4B20056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工程变化情况</w:t>
            </w:r>
          </w:p>
        </w:tc>
        <w:tc>
          <w:tcPr>
            <w:tcW w:w="928" w:type="pct"/>
            <w:vAlign w:val="center"/>
          </w:tcPr>
          <w:p w14:paraId="1279C0C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现行运行能力</w:t>
            </w:r>
          </w:p>
        </w:tc>
      </w:tr>
      <w:tr w14:paraId="01C3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1109" w:type="pct"/>
          </w:tcPr>
          <w:p w14:paraId="1D5C2D22">
            <w:pPr>
              <w:pStyle w:val="41"/>
              <w:rPr>
                <w:rFonts w:ascii="Times New Roman"/>
                <w:sz w:val="18"/>
              </w:rPr>
            </w:pPr>
          </w:p>
        </w:tc>
        <w:tc>
          <w:tcPr>
            <w:tcW w:w="1421" w:type="pct"/>
          </w:tcPr>
          <w:p w14:paraId="53E13D78">
            <w:pPr>
              <w:pStyle w:val="41"/>
              <w:rPr>
                <w:rFonts w:ascii="Times New Roman"/>
                <w:sz w:val="18"/>
              </w:rPr>
            </w:pPr>
          </w:p>
        </w:tc>
        <w:tc>
          <w:tcPr>
            <w:tcW w:w="1540" w:type="pct"/>
          </w:tcPr>
          <w:p w14:paraId="66474DBA">
            <w:pPr>
              <w:pStyle w:val="41"/>
              <w:rPr>
                <w:rFonts w:ascii="Times New Roman"/>
                <w:sz w:val="18"/>
              </w:rPr>
            </w:pPr>
          </w:p>
        </w:tc>
        <w:tc>
          <w:tcPr>
            <w:tcW w:w="928" w:type="pct"/>
          </w:tcPr>
          <w:p w14:paraId="42D86914">
            <w:pPr>
              <w:pStyle w:val="41"/>
              <w:rPr>
                <w:rFonts w:ascii="Times New Roman"/>
                <w:sz w:val="18"/>
              </w:rPr>
            </w:pPr>
          </w:p>
        </w:tc>
      </w:tr>
    </w:tbl>
    <w:p w14:paraId="75466075">
      <w:pPr>
        <w:pStyle w:val="40"/>
        <w:numPr>
          <w:ilvl w:val="2"/>
          <w:numId w:val="8"/>
        </w:numPr>
        <w:tabs>
          <w:tab w:val="left" w:pos="1464"/>
        </w:tabs>
        <w:spacing w:before="123" w:after="0" w:line="240" w:lineRule="auto"/>
        <w:ind w:left="1252" w:right="0" w:hanging="735"/>
        <w:jc w:val="left"/>
        <w:rPr>
          <w:sz w:val="21"/>
        </w:rPr>
      </w:pPr>
      <w:bookmarkStart w:id="82" w:name="C.2.2.2　总体布局调查记录表，见表C.14～表C.15。"/>
      <w:bookmarkEnd w:id="82"/>
      <w:bookmarkStart w:id="83" w:name="C.2.2.2　总体布局调查记录表，见表C.14～表C.15。"/>
      <w:bookmarkEnd w:id="83"/>
      <w:r>
        <w:rPr>
          <w:sz w:val="21"/>
        </w:rPr>
        <w:t>总体布局调查记录表，见表</w:t>
      </w:r>
      <w:r>
        <w:rPr>
          <w:rFonts w:ascii="Times New Roman" w:eastAsia="Times New Roman"/>
          <w:sz w:val="21"/>
        </w:rPr>
        <w:t>C</w:t>
      </w:r>
      <w:r>
        <w:rPr>
          <w:sz w:val="21"/>
        </w:rPr>
        <w:t>.14</w:t>
      </w:r>
      <w:r>
        <w:rPr>
          <w:rFonts w:hint="eastAsia" w:ascii="黑体" w:eastAsia="黑体"/>
          <w:sz w:val="21"/>
        </w:rPr>
        <w:t>～</w:t>
      </w:r>
      <w:r>
        <w:rPr>
          <w:sz w:val="21"/>
        </w:rPr>
        <w:t>表</w:t>
      </w:r>
      <w:r>
        <w:rPr>
          <w:rFonts w:ascii="Times New Roman" w:eastAsia="Times New Roman"/>
          <w:sz w:val="21"/>
        </w:rPr>
        <w:t>C</w:t>
      </w:r>
      <w:r>
        <w:rPr>
          <w:sz w:val="21"/>
        </w:rPr>
        <w:t>.15。</w:t>
      </w:r>
    </w:p>
    <w:p w14:paraId="532794E6">
      <w:pPr>
        <w:pStyle w:val="3"/>
        <w:spacing w:before="18"/>
        <w:ind w:left="416" w:right="923"/>
        <w:jc w:val="center"/>
        <w:rPr>
          <w:rFonts w:hint="eastAsia" w:ascii="黑体" w:eastAsia="黑体"/>
        </w:rPr>
      </w:pPr>
      <w:r>
        <w:rPr>
          <w:rFonts w:hint="eastAsia" w:ascii="黑体" w:eastAsia="黑体"/>
        </w:rPr>
        <w:t>表 C.14 厂区总平面布置情况调查记录表</w:t>
      </w:r>
    </w:p>
    <w:p w14:paraId="0BEDA447">
      <w:pPr>
        <w:pStyle w:val="3"/>
        <w:spacing w:before="2"/>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69"/>
        <w:gridCol w:w="4318"/>
        <w:gridCol w:w="4261"/>
      </w:tblGrid>
      <w:tr w14:paraId="12BE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73" w:type="pct"/>
            <w:vAlign w:val="center"/>
          </w:tcPr>
          <w:p w14:paraId="1205401C">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功能分区</w:t>
            </w:r>
          </w:p>
        </w:tc>
        <w:tc>
          <w:tcPr>
            <w:tcW w:w="2127" w:type="pct"/>
            <w:vAlign w:val="center"/>
          </w:tcPr>
          <w:p w14:paraId="308FF83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主要车间或建（构）筑物</w:t>
            </w:r>
          </w:p>
        </w:tc>
        <w:tc>
          <w:tcPr>
            <w:tcW w:w="2099" w:type="pct"/>
            <w:vAlign w:val="center"/>
          </w:tcPr>
          <w:p w14:paraId="70E2114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与全年最小频率风向的相对位置</w:t>
            </w:r>
          </w:p>
        </w:tc>
      </w:tr>
      <w:tr w14:paraId="6243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773" w:type="pct"/>
            <w:vAlign w:val="center"/>
          </w:tcPr>
          <w:p w14:paraId="640B6A7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厂前区</w:t>
            </w:r>
          </w:p>
        </w:tc>
        <w:tc>
          <w:tcPr>
            <w:tcW w:w="2127" w:type="pct"/>
          </w:tcPr>
          <w:p w14:paraId="344873A9">
            <w:pPr>
              <w:pStyle w:val="41"/>
              <w:spacing w:before="76"/>
              <w:ind w:left="26"/>
              <w:jc w:val="center"/>
              <w:rPr>
                <w:sz w:val="18"/>
              </w:rPr>
            </w:pPr>
            <w:r>
              <w:rPr>
                <w:sz w:val="18"/>
              </w:rPr>
              <w:t>/</w:t>
            </w:r>
          </w:p>
        </w:tc>
        <w:tc>
          <w:tcPr>
            <w:tcW w:w="2099" w:type="pct"/>
          </w:tcPr>
          <w:p w14:paraId="3B17DC85">
            <w:pPr>
              <w:pStyle w:val="41"/>
              <w:rPr>
                <w:rFonts w:ascii="Times New Roman"/>
                <w:sz w:val="18"/>
              </w:rPr>
            </w:pPr>
          </w:p>
        </w:tc>
      </w:tr>
      <w:tr w14:paraId="7AC29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773" w:type="pct"/>
            <w:vAlign w:val="center"/>
          </w:tcPr>
          <w:p w14:paraId="6E213B1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生活区</w:t>
            </w:r>
          </w:p>
        </w:tc>
        <w:tc>
          <w:tcPr>
            <w:tcW w:w="2127" w:type="pct"/>
          </w:tcPr>
          <w:p w14:paraId="73C0B89A">
            <w:pPr>
              <w:pStyle w:val="41"/>
              <w:spacing w:before="76"/>
              <w:ind w:left="26"/>
              <w:jc w:val="center"/>
              <w:rPr>
                <w:sz w:val="18"/>
              </w:rPr>
            </w:pPr>
            <w:r>
              <w:rPr>
                <w:sz w:val="18"/>
              </w:rPr>
              <w:t>/</w:t>
            </w:r>
          </w:p>
        </w:tc>
        <w:tc>
          <w:tcPr>
            <w:tcW w:w="2099" w:type="pct"/>
          </w:tcPr>
          <w:p w14:paraId="0B0C7CA9">
            <w:pPr>
              <w:pStyle w:val="41"/>
              <w:rPr>
                <w:rFonts w:ascii="Times New Roman"/>
                <w:sz w:val="18"/>
              </w:rPr>
            </w:pPr>
          </w:p>
        </w:tc>
      </w:tr>
      <w:tr w14:paraId="2A4E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73" w:type="pct"/>
            <w:vAlign w:val="center"/>
          </w:tcPr>
          <w:p w14:paraId="2EF05E6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辅助生产区</w:t>
            </w:r>
          </w:p>
        </w:tc>
        <w:tc>
          <w:tcPr>
            <w:tcW w:w="2127" w:type="pct"/>
          </w:tcPr>
          <w:p w14:paraId="13773631">
            <w:pPr>
              <w:pStyle w:val="41"/>
              <w:rPr>
                <w:rFonts w:ascii="Times New Roman"/>
                <w:sz w:val="18"/>
              </w:rPr>
            </w:pPr>
          </w:p>
        </w:tc>
        <w:tc>
          <w:tcPr>
            <w:tcW w:w="2099" w:type="pct"/>
          </w:tcPr>
          <w:p w14:paraId="507714DA">
            <w:pPr>
              <w:pStyle w:val="41"/>
              <w:rPr>
                <w:rFonts w:ascii="Times New Roman"/>
                <w:sz w:val="18"/>
              </w:rPr>
            </w:pPr>
          </w:p>
        </w:tc>
      </w:tr>
      <w:tr w14:paraId="4203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773" w:type="pct"/>
            <w:vAlign w:val="center"/>
          </w:tcPr>
          <w:p w14:paraId="03560DA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生产区</w:t>
            </w:r>
          </w:p>
        </w:tc>
        <w:tc>
          <w:tcPr>
            <w:tcW w:w="2127" w:type="pct"/>
          </w:tcPr>
          <w:p w14:paraId="042866F1">
            <w:pPr>
              <w:pStyle w:val="41"/>
              <w:rPr>
                <w:rFonts w:ascii="Times New Roman"/>
                <w:sz w:val="18"/>
              </w:rPr>
            </w:pPr>
          </w:p>
        </w:tc>
        <w:tc>
          <w:tcPr>
            <w:tcW w:w="2099" w:type="pct"/>
          </w:tcPr>
          <w:p w14:paraId="2CC2ABF0">
            <w:pPr>
              <w:pStyle w:val="41"/>
              <w:rPr>
                <w:rFonts w:ascii="Times New Roman"/>
                <w:sz w:val="18"/>
              </w:rPr>
            </w:pPr>
          </w:p>
        </w:tc>
      </w:tr>
    </w:tbl>
    <w:p w14:paraId="75807DE4">
      <w:pPr>
        <w:pStyle w:val="3"/>
        <w:spacing w:before="122"/>
        <w:ind w:left="416" w:right="921"/>
        <w:jc w:val="center"/>
        <w:rPr>
          <w:rFonts w:hint="eastAsia" w:ascii="黑体" w:eastAsia="黑体"/>
        </w:rPr>
      </w:pPr>
      <w:r>
        <w:rPr>
          <w:rFonts w:hint="eastAsia" w:ascii="黑体" w:eastAsia="黑体"/>
        </w:rPr>
        <w:t>表 C.15 厂区竖向布置情况调查记录表</w:t>
      </w:r>
    </w:p>
    <w:p w14:paraId="592A1F87">
      <w:pPr>
        <w:pStyle w:val="3"/>
        <w:spacing w:before="4"/>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91"/>
        <w:gridCol w:w="1565"/>
        <w:gridCol w:w="1565"/>
        <w:gridCol w:w="5127"/>
      </w:tblGrid>
      <w:tr w14:paraId="3E99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932" w:type="pct"/>
            <w:vAlign w:val="center"/>
          </w:tcPr>
          <w:p w14:paraId="7697995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厂房或建筑物</w:t>
            </w:r>
          </w:p>
        </w:tc>
        <w:tc>
          <w:tcPr>
            <w:tcW w:w="771" w:type="pct"/>
            <w:vAlign w:val="center"/>
          </w:tcPr>
          <w:p w14:paraId="39261F6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总层数</w:t>
            </w:r>
          </w:p>
        </w:tc>
        <w:tc>
          <w:tcPr>
            <w:tcW w:w="771" w:type="pct"/>
            <w:vAlign w:val="center"/>
          </w:tcPr>
          <w:p w14:paraId="0B0BBCC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各楼层</w:t>
            </w:r>
          </w:p>
        </w:tc>
        <w:tc>
          <w:tcPr>
            <w:tcW w:w="2525" w:type="pct"/>
            <w:vAlign w:val="center"/>
          </w:tcPr>
          <w:p w14:paraId="67327A1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各层布置情况 a</w:t>
            </w:r>
          </w:p>
        </w:tc>
      </w:tr>
      <w:tr w14:paraId="6FCA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932" w:type="pct"/>
            <w:vMerge w:val="restart"/>
          </w:tcPr>
          <w:p w14:paraId="3032678D">
            <w:pPr>
              <w:pStyle w:val="41"/>
              <w:rPr>
                <w:rFonts w:ascii="Times New Roman"/>
                <w:sz w:val="18"/>
              </w:rPr>
            </w:pPr>
          </w:p>
        </w:tc>
        <w:tc>
          <w:tcPr>
            <w:tcW w:w="771" w:type="pct"/>
            <w:vMerge w:val="restart"/>
          </w:tcPr>
          <w:p w14:paraId="61AF9759">
            <w:pPr>
              <w:pStyle w:val="41"/>
              <w:rPr>
                <w:rFonts w:ascii="Times New Roman"/>
                <w:sz w:val="18"/>
              </w:rPr>
            </w:pPr>
          </w:p>
        </w:tc>
        <w:tc>
          <w:tcPr>
            <w:tcW w:w="771" w:type="pct"/>
          </w:tcPr>
          <w:p w14:paraId="5723F3E2">
            <w:pPr>
              <w:pStyle w:val="41"/>
              <w:rPr>
                <w:rFonts w:ascii="Times New Roman"/>
                <w:sz w:val="18"/>
              </w:rPr>
            </w:pPr>
          </w:p>
        </w:tc>
        <w:tc>
          <w:tcPr>
            <w:tcW w:w="2525" w:type="pct"/>
          </w:tcPr>
          <w:p w14:paraId="0A265572">
            <w:pPr>
              <w:pStyle w:val="41"/>
              <w:rPr>
                <w:rFonts w:ascii="Times New Roman"/>
                <w:sz w:val="18"/>
              </w:rPr>
            </w:pPr>
          </w:p>
        </w:tc>
      </w:tr>
      <w:tr w14:paraId="339F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trPr>
        <w:tc>
          <w:tcPr>
            <w:tcW w:w="932" w:type="pct"/>
            <w:vMerge w:val="continue"/>
          </w:tcPr>
          <w:p w14:paraId="65E8E6E1">
            <w:pPr>
              <w:rPr>
                <w:sz w:val="2"/>
                <w:szCs w:val="2"/>
              </w:rPr>
            </w:pPr>
          </w:p>
        </w:tc>
        <w:tc>
          <w:tcPr>
            <w:tcW w:w="771" w:type="pct"/>
            <w:vMerge w:val="continue"/>
          </w:tcPr>
          <w:p w14:paraId="56E23C16">
            <w:pPr>
              <w:rPr>
                <w:sz w:val="2"/>
                <w:szCs w:val="2"/>
              </w:rPr>
            </w:pPr>
          </w:p>
        </w:tc>
        <w:tc>
          <w:tcPr>
            <w:tcW w:w="771" w:type="pct"/>
          </w:tcPr>
          <w:p w14:paraId="6568F67F">
            <w:pPr>
              <w:pStyle w:val="41"/>
              <w:rPr>
                <w:rFonts w:ascii="Times New Roman"/>
                <w:sz w:val="18"/>
              </w:rPr>
            </w:pPr>
          </w:p>
        </w:tc>
        <w:tc>
          <w:tcPr>
            <w:tcW w:w="2525" w:type="pct"/>
          </w:tcPr>
          <w:p w14:paraId="69487656">
            <w:pPr>
              <w:pStyle w:val="41"/>
              <w:rPr>
                <w:rFonts w:ascii="Times New Roman"/>
                <w:sz w:val="18"/>
              </w:rPr>
            </w:pPr>
          </w:p>
        </w:tc>
      </w:tr>
      <w:tr w14:paraId="33EF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5000" w:type="pct"/>
            <w:gridSpan w:val="4"/>
          </w:tcPr>
          <w:p w14:paraId="42311852">
            <w:pPr>
              <w:pStyle w:val="41"/>
              <w:spacing w:before="55"/>
              <w:ind w:left="286"/>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重点调查各层存在的放散大量热量或有害气体、噪声与振动较大的装置或设备等。</w:t>
            </w:r>
          </w:p>
        </w:tc>
      </w:tr>
    </w:tbl>
    <w:p w14:paraId="7BDEF91C">
      <w:pPr>
        <w:pStyle w:val="40"/>
        <w:numPr>
          <w:ilvl w:val="2"/>
          <w:numId w:val="8"/>
        </w:numPr>
        <w:tabs>
          <w:tab w:val="left" w:pos="1179"/>
        </w:tabs>
        <w:spacing w:before="121" w:after="0" w:line="240" w:lineRule="auto"/>
        <w:ind w:left="1252" w:right="0" w:hanging="735"/>
        <w:jc w:val="left"/>
        <w:rPr>
          <w:sz w:val="21"/>
        </w:rPr>
      </w:pPr>
      <w:bookmarkStart w:id="84" w:name="C.2.2.3　应急救援设施设置及运行情况调查记录表，见表C.16。"/>
      <w:bookmarkEnd w:id="84"/>
      <w:bookmarkStart w:id="85" w:name="C.2.2.3　应急救援设施设置及运行情况调查记录表，见表C.16。"/>
      <w:bookmarkEnd w:id="85"/>
      <w:r>
        <w:rPr>
          <w:sz w:val="21"/>
        </w:rPr>
        <w:t>应急救援设施设置及运行情况调查记录表，见表</w:t>
      </w:r>
      <w:r>
        <w:rPr>
          <w:rFonts w:ascii="Times New Roman" w:eastAsia="Times New Roman"/>
          <w:sz w:val="21"/>
        </w:rPr>
        <w:t>C</w:t>
      </w:r>
      <w:r>
        <w:rPr>
          <w:sz w:val="21"/>
        </w:rPr>
        <w:t>.16。</w:t>
      </w:r>
    </w:p>
    <w:p w14:paraId="1F0D74D1">
      <w:pPr>
        <w:pStyle w:val="3"/>
        <w:spacing w:before="125"/>
        <w:ind w:left="416" w:right="923"/>
        <w:jc w:val="center"/>
        <w:rPr>
          <w:rFonts w:hint="eastAsia" w:ascii="黑体" w:eastAsia="黑体"/>
        </w:rPr>
      </w:pPr>
      <w:r>
        <w:rPr>
          <w:rFonts w:hint="eastAsia" w:ascii="黑体" w:eastAsia="黑体"/>
        </w:rPr>
        <w:t>表 C.16 应急救援设施设置及运行情况调查记录表</w:t>
      </w:r>
    </w:p>
    <w:p w14:paraId="0D5C8F97">
      <w:pPr>
        <w:pStyle w:val="3"/>
        <w:spacing w:before="2"/>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2"/>
        <w:gridCol w:w="1014"/>
        <w:gridCol w:w="1015"/>
        <w:gridCol w:w="1015"/>
        <w:gridCol w:w="1015"/>
        <w:gridCol w:w="1015"/>
        <w:gridCol w:w="1015"/>
        <w:gridCol w:w="1015"/>
        <w:gridCol w:w="1015"/>
        <w:gridCol w:w="1017"/>
      </w:tblGrid>
      <w:tr w14:paraId="3002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9" w:type="pct"/>
            <w:vAlign w:val="center"/>
          </w:tcPr>
          <w:p w14:paraId="0468989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500" w:type="pct"/>
            <w:vAlign w:val="center"/>
          </w:tcPr>
          <w:p w14:paraId="79AC90B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500" w:type="pct"/>
            <w:vAlign w:val="center"/>
          </w:tcPr>
          <w:p w14:paraId="55FE888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类型</w:t>
            </w:r>
            <w:r>
              <w:rPr>
                <w:sz w:val="18"/>
                <w:vertAlign w:val="superscript"/>
              </w:rPr>
              <w:t>a</w:t>
            </w:r>
          </w:p>
        </w:tc>
        <w:tc>
          <w:tcPr>
            <w:tcW w:w="500" w:type="pct"/>
            <w:vAlign w:val="center"/>
          </w:tcPr>
          <w:p w14:paraId="02958CE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名称</w:t>
            </w:r>
          </w:p>
        </w:tc>
        <w:tc>
          <w:tcPr>
            <w:tcW w:w="500" w:type="pct"/>
            <w:vAlign w:val="center"/>
          </w:tcPr>
          <w:p w14:paraId="1D93C19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技术参数</w:t>
            </w:r>
          </w:p>
        </w:tc>
        <w:tc>
          <w:tcPr>
            <w:tcW w:w="500" w:type="pct"/>
            <w:vAlign w:val="center"/>
          </w:tcPr>
          <w:p w14:paraId="4528DE59">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数量</w:t>
            </w:r>
          </w:p>
        </w:tc>
        <w:tc>
          <w:tcPr>
            <w:tcW w:w="500" w:type="pct"/>
            <w:vAlign w:val="center"/>
          </w:tcPr>
          <w:p w14:paraId="29C1E3B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设置地点</w:t>
            </w:r>
          </w:p>
        </w:tc>
        <w:tc>
          <w:tcPr>
            <w:tcW w:w="500" w:type="pct"/>
            <w:vAlign w:val="center"/>
          </w:tcPr>
          <w:p w14:paraId="6ABB556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运行情况</w:t>
            </w:r>
          </w:p>
        </w:tc>
        <w:tc>
          <w:tcPr>
            <w:tcW w:w="500" w:type="pct"/>
            <w:vAlign w:val="center"/>
          </w:tcPr>
          <w:p w14:paraId="1E86BD9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维护情况</w:t>
            </w:r>
          </w:p>
        </w:tc>
        <w:tc>
          <w:tcPr>
            <w:tcW w:w="500" w:type="pct"/>
            <w:vAlign w:val="center"/>
          </w:tcPr>
          <w:p w14:paraId="4F453C1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备注</w:t>
            </w:r>
          </w:p>
        </w:tc>
      </w:tr>
      <w:tr w14:paraId="3AD2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499" w:type="pct"/>
          </w:tcPr>
          <w:p w14:paraId="1FB39203">
            <w:pPr>
              <w:pStyle w:val="41"/>
              <w:rPr>
                <w:rFonts w:ascii="Times New Roman"/>
                <w:sz w:val="18"/>
              </w:rPr>
            </w:pPr>
          </w:p>
        </w:tc>
        <w:tc>
          <w:tcPr>
            <w:tcW w:w="500" w:type="pct"/>
          </w:tcPr>
          <w:p w14:paraId="080DF934">
            <w:pPr>
              <w:pStyle w:val="41"/>
              <w:rPr>
                <w:rFonts w:ascii="Times New Roman"/>
                <w:sz w:val="18"/>
              </w:rPr>
            </w:pPr>
          </w:p>
        </w:tc>
        <w:tc>
          <w:tcPr>
            <w:tcW w:w="500" w:type="pct"/>
          </w:tcPr>
          <w:p w14:paraId="56ABD8A6">
            <w:pPr>
              <w:pStyle w:val="41"/>
              <w:rPr>
                <w:rFonts w:ascii="Times New Roman"/>
                <w:sz w:val="18"/>
              </w:rPr>
            </w:pPr>
          </w:p>
        </w:tc>
        <w:tc>
          <w:tcPr>
            <w:tcW w:w="500" w:type="pct"/>
          </w:tcPr>
          <w:p w14:paraId="0133E2D4">
            <w:pPr>
              <w:pStyle w:val="41"/>
              <w:rPr>
                <w:rFonts w:ascii="Times New Roman"/>
                <w:sz w:val="18"/>
              </w:rPr>
            </w:pPr>
          </w:p>
        </w:tc>
        <w:tc>
          <w:tcPr>
            <w:tcW w:w="500" w:type="pct"/>
          </w:tcPr>
          <w:p w14:paraId="3B8463C3">
            <w:pPr>
              <w:pStyle w:val="41"/>
              <w:rPr>
                <w:rFonts w:ascii="Times New Roman"/>
                <w:sz w:val="18"/>
              </w:rPr>
            </w:pPr>
          </w:p>
        </w:tc>
        <w:tc>
          <w:tcPr>
            <w:tcW w:w="500" w:type="pct"/>
          </w:tcPr>
          <w:p w14:paraId="6C09375A">
            <w:pPr>
              <w:pStyle w:val="41"/>
              <w:rPr>
                <w:rFonts w:ascii="Times New Roman"/>
                <w:sz w:val="18"/>
              </w:rPr>
            </w:pPr>
          </w:p>
        </w:tc>
        <w:tc>
          <w:tcPr>
            <w:tcW w:w="500" w:type="pct"/>
          </w:tcPr>
          <w:p w14:paraId="30562119">
            <w:pPr>
              <w:pStyle w:val="41"/>
              <w:rPr>
                <w:rFonts w:ascii="Times New Roman"/>
                <w:sz w:val="18"/>
              </w:rPr>
            </w:pPr>
          </w:p>
        </w:tc>
        <w:tc>
          <w:tcPr>
            <w:tcW w:w="500" w:type="pct"/>
          </w:tcPr>
          <w:p w14:paraId="7F66AC9E">
            <w:pPr>
              <w:pStyle w:val="41"/>
              <w:rPr>
                <w:rFonts w:ascii="Times New Roman"/>
                <w:sz w:val="18"/>
              </w:rPr>
            </w:pPr>
          </w:p>
        </w:tc>
        <w:tc>
          <w:tcPr>
            <w:tcW w:w="500" w:type="pct"/>
          </w:tcPr>
          <w:p w14:paraId="2FF9D1A3">
            <w:pPr>
              <w:pStyle w:val="41"/>
              <w:rPr>
                <w:rFonts w:ascii="Times New Roman"/>
                <w:sz w:val="18"/>
              </w:rPr>
            </w:pPr>
          </w:p>
        </w:tc>
        <w:tc>
          <w:tcPr>
            <w:tcW w:w="500" w:type="pct"/>
          </w:tcPr>
          <w:p w14:paraId="14C92D4B">
            <w:pPr>
              <w:pStyle w:val="41"/>
              <w:rPr>
                <w:rFonts w:ascii="Times New Roman"/>
                <w:sz w:val="18"/>
              </w:rPr>
            </w:pPr>
          </w:p>
        </w:tc>
      </w:tr>
      <w:tr w14:paraId="46EB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3" w:hRule="atLeast"/>
        </w:trPr>
        <w:tc>
          <w:tcPr>
            <w:tcW w:w="5000" w:type="pct"/>
            <w:gridSpan w:val="10"/>
          </w:tcPr>
          <w:p w14:paraId="1C4B359E">
            <w:pPr>
              <w:pStyle w:val="41"/>
              <w:spacing w:before="1"/>
              <w:ind w:left="237" w:right="-15"/>
              <w:rPr>
                <w:sz w:val="18"/>
              </w:rPr>
            </w:pPr>
            <w:r>
              <w:rPr>
                <w:rFonts w:ascii="Times New Roman" w:eastAsia="Times New Roman"/>
                <w:sz w:val="18"/>
                <w:vertAlign w:val="superscript"/>
              </w:rPr>
              <w:t>a</w:t>
            </w:r>
            <w:r>
              <w:rPr>
                <w:rFonts w:ascii="Times New Roman" w:eastAsia="Times New Roman"/>
                <w:spacing w:val="-17"/>
                <w:sz w:val="18"/>
                <w:vertAlign w:val="baseline"/>
              </w:rPr>
              <w:t xml:space="preserve"> </w:t>
            </w:r>
            <w:r>
              <w:rPr>
                <w:spacing w:val="-6"/>
                <w:sz w:val="18"/>
                <w:vertAlign w:val="baseline"/>
              </w:rPr>
              <w:t>应急救援设施类型包括监测报警装置、冲洗用设备设施、急救或损伤处置用品、通信设施、运输设施、泄险设施、紧</w:t>
            </w:r>
          </w:p>
          <w:p w14:paraId="2D9CA7EE">
            <w:pPr>
              <w:pStyle w:val="41"/>
              <w:spacing w:before="3" w:line="212" w:lineRule="exact"/>
              <w:ind w:left="237"/>
              <w:rPr>
                <w:sz w:val="18"/>
              </w:rPr>
            </w:pPr>
            <w:r>
              <w:rPr>
                <w:sz w:val="18"/>
              </w:rPr>
              <w:t>急救援站、有毒气体防护站等。</w:t>
            </w:r>
          </w:p>
        </w:tc>
      </w:tr>
    </w:tbl>
    <w:p w14:paraId="332E8EEE">
      <w:pPr>
        <w:pStyle w:val="40"/>
        <w:numPr>
          <w:ilvl w:val="2"/>
          <w:numId w:val="8"/>
        </w:numPr>
        <w:tabs>
          <w:tab w:val="left" w:pos="1179"/>
        </w:tabs>
        <w:spacing w:before="121" w:after="0" w:line="240" w:lineRule="auto"/>
        <w:ind w:left="1252" w:right="0" w:hanging="735"/>
        <w:jc w:val="left"/>
        <w:rPr>
          <w:sz w:val="21"/>
        </w:rPr>
      </w:pPr>
      <w:bookmarkStart w:id="86" w:name="C.2.2.4　建筑卫生学调查记录表，见表C.17～表C.20。"/>
      <w:bookmarkEnd w:id="86"/>
      <w:bookmarkStart w:id="87" w:name="C.2.2.4　建筑卫生学调查记录表，见表C.17～表C.20。"/>
      <w:bookmarkEnd w:id="87"/>
      <w:r>
        <w:rPr>
          <w:sz w:val="21"/>
        </w:rPr>
        <w:t>建筑卫生学调查记录表，见表</w:t>
      </w:r>
      <w:r>
        <w:rPr>
          <w:rFonts w:ascii="Times New Roman" w:eastAsia="Times New Roman"/>
          <w:sz w:val="21"/>
        </w:rPr>
        <w:t>C</w:t>
      </w:r>
      <w:r>
        <w:rPr>
          <w:sz w:val="21"/>
        </w:rPr>
        <w:t>.17</w:t>
      </w:r>
      <w:r>
        <w:rPr>
          <w:rFonts w:hint="eastAsia" w:ascii="黑体" w:eastAsia="黑体"/>
          <w:sz w:val="21"/>
        </w:rPr>
        <w:t>～</w:t>
      </w:r>
      <w:r>
        <w:rPr>
          <w:sz w:val="21"/>
        </w:rPr>
        <w:t>表</w:t>
      </w:r>
      <w:r>
        <w:rPr>
          <w:rFonts w:ascii="Times New Roman" w:eastAsia="Times New Roman"/>
          <w:sz w:val="21"/>
        </w:rPr>
        <w:t>C</w:t>
      </w:r>
      <w:r>
        <w:rPr>
          <w:sz w:val="21"/>
        </w:rPr>
        <w:t>.20。</w:t>
      </w:r>
    </w:p>
    <w:p w14:paraId="35554271">
      <w:pPr>
        <w:pStyle w:val="3"/>
        <w:spacing w:before="124"/>
        <w:ind w:left="416" w:right="921"/>
        <w:jc w:val="center"/>
        <w:rPr>
          <w:rFonts w:hint="eastAsia" w:ascii="黑体" w:eastAsia="黑体"/>
        </w:rPr>
      </w:pPr>
      <w:r>
        <w:rPr>
          <w:rFonts w:hint="eastAsia" w:ascii="黑体" w:eastAsia="黑体"/>
        </w:rPr>
        <w:t>表 C.17 通风情况调查记录表</w:t>
      </w:r>
    </w:p>
    <w:p w14:paraId="18167EAC">
      <w:pPr>
        <w:pStyle w:val="3"/>
        <w:spacing w:before="4"/>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7"/>
        <w:gridCol w:w="1437"/>
        <w:gridCol w:w="1686"/>
        <w:gridCol w:w="1741"/>
        <w:gridCol w:w="1380"/>
        <w:gridCol w:w="1410"/>
        <w:gridCol w:w="1565"/>
      </w:tblGrid>
      <w:tr w14:paraId="17A9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57" w:type="pct"/>
            <w:vAlign w:val="center"/>
          </w:tcPr>
          <w:p w14:paraId="11CB92A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708" w:type="pct"/>
            <w:vAlign w:val="center"/>
          </w:tcPr>
          <w:p w14:paraId="33A10C23">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831" w:type="pct"/>
            <w:vAlign w:val="center"/>
          </w:tcPr>
          <w:p w14:paraId="40C0E03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通风类型</w:t>
            </w:r>
            <w:r>
              <w:rPr>
                <w:sz w:val="18"/>
                <w:vertAlign w:val="superscript"/>
              </w:rPr>
              <w:t>a</w:t>
            </w:r>
          </w:p>
        </w:tc>
        <w:tc>
          <w:tcPr>
            <w:tcW w:w="858" w:type="pct"/>
            <w:vAlign w:val="center"/>
          </w:tcPr>
          <w:p w14:paraId="5449E5C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通风设备名称</w:t>
            </w:r>
          </w:p>
        </w:tc>
        <w:tc>
          <w:tcPr>
            <w:tcW w:w="680" w:type="pct"/>
            <w:vAlign w:val="center"/>
          </w:tcPr>
          <w:p w14:paraId="31D0299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型号</w:t>
            </w:r>
          </w:p>
        </w:tc>
        <w:tc>
          <w:tcPr>
            <w:tcW w:w="695" w:type="pct"/>
            <w:vAlign w:val="center"/>
          </w:tcPr>
          <w:p w14:paraId="55F40FA8">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数量</w:t>
            </w:r>
          </w:p>
        </w:tc>
        <w:tc>
          <w:tcPr>
            <w:tcW w:w="767" w:type="pct"/>
            <w:vAlign w:val="center"/>
          </w:tcPr>
          <w:p w14:paraId="1A26D0A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额定参数</w:t>
            </w:r>
          </w:p>
        </w:tc>
      </w:tr>
      <w:tr w14:paraId="49AF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457" w:type="pct"/>
          </w:tcPr>
          <w:p w14:paraId="07A81EC3">
            <w:pPr>
              <w:pStyle w:val="41"/>
              <w:rPr>
                <w:rFonts w:ascii="Times New Roman"/>
                <w:sz w:val="18"/>
              </w:rPr>
            </w:pPr>
          </w:p>
        </w:tc>
        <w:tc>
          <w:tcPr>
            <w:tcW w:w="708" w:type="pct"/>
          </w:tcPr>
          <w:p w14:paraId="5CB6083D">
            <w:pPr>
              <w:pStyle w:val="41"/>
              <w:rPr>
                <w:rFonts w:ascii="Times New Roman"/>
                <w:sz w:val="18"/>
              </w:rPr>
            </w:pPr>
          </w:p>
        </w:tc>
        <w:tc>
          <w:tcPr>
            <w:tcW w:w="831" w:type="pct"/>
          </w:tcPr>
          <w:p w14:paraId="693549BC">
            <w:pPr>
              <w:pStyle w:val="41"/>
              <w:rPr>
                <w:rFonts w:ascii="Times New Roman"/>
                <w:sz w:val="18"/>
              </w:rPr>
            </w:pPr>
          </w:p>
        </w:tc>
        <w:tc>
          <w:tcPr>
            <w:tcW w:w="858" w:type="pct"/>
          </w:tcPr>
          <w:p w14:paraId="33DC5C6B">
            <w:pPr>
              <w:pStyle w:val="41"/>
              <w:rPr>
                <w:rFonts w:ascii="Times New Roman"/>
                <w:sz w:val="18"/>
              </w:rPr>
            </w:pPr>
          </w:p>
        </w:tc>
        <w:tc>
          <w:tcPr>
            <w:tcW w:w="680" w:type="pct"/>
          </w:tcPr>
          <w:p w14:paraId="27AEB057">
            <w:pPr>
              <w:pStyle w:val="41"/>
              <w:rPr>
                <w:rFonts w:ascii="Times New Roman"/>
                <w:sz w:val="18"/>
              </w:rPr>
            </w:pPr>
          </w:p>
        </w:tc>
        <w:tc>
          <w:tcPr>
            <w:tcW w:w="695" w:type="pct"/>
          </w:tcPr>
          <w:p w14:paraId="63B7F272">
            <w:pPr>
              <w:pStyle w:val="41"/>
              <w:rPr>
                <w:rFonts w:ascii="Times New Roman"/>
                <w:sz w:val="18"/>
              </w:rPr>
            </w:pPr>
          </w:p>
        </w:tc>
        <w:tc>
          <w:tcPr>
            <w:tcW w:w="767" w:type="pct"/>
          </w:tcPr>
          <w:p w14:paraId="3AD59765">
            <w:pPr>
              <w:pStyle w:val="41"/>
              <w:rPr>
                <w:rFonts w:ascii="Times New Roman"/>
                <w:sz w:val="18"/>
              </w:rPr>
            </w:pPr>
          </w:p>
        </w:tc>
      </w:tr>
      <w:tr w14:paraId="6CE8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7"/>
          </w:tcPr>
          <w:p w14:paraId="76E3A564">
            <w:pPr>
              <w:pStyle w:val="41"/>
              <w:spacing w:before="55"/>
              <w:ind w:left="317"/>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通风类型指自然通风、机械通风（不含局部排风罩）、混合通风。</w:t>
            </w:r>
          </w:p>
        </w:tc>
      </w:tr>
    </w:tbl>
    <w:p w14:paraId="3DB8BDAF">
      <w:pPr>
        <w:pStyle w:val="3"/>
        <w:spacing w:before="121"/>
        <w:ind w:left="416" w:right="923"/>
        <w:jc w:val="center"/>
        <w:rPr>
          <w:rFonts w:hint="eastAsia" w:ascii="黑体" w:eastAsia="黑体"/>
        </w:rPr>
      </w:pPr>
      <w:r>
        <w:rPr>
          <w:rFonts w:hint="eastAsia" w:ascii="黑体" w:eastAsia="黑体"/>
        </w:rPr>
        <w:t>表 C.18 封闭式车间气流组织调查记录表</w:t>
      </w:r>
    </w:p>
    <w:p w14:paraId="0000CA60">
      <w:pPr>
        <w:pStyle w:val="3"/>
        <w:spacing w:before="4"/>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9"/>
        <w:gridCol w:w="1851"/>
        <w:gridCol w:w="2742"/>
        <w:gridCol w:w="2206"/>
        <w:gridCol w:w="2210"/>
      </w:tblGrid>
      <w:tr w14:paraId="1631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rPr>
        <w:tc>
          <w:tcPr>
            <w:tcW w:w="561" w:type="pct"/>
            <w:vAlign w:val="center"/>
          </w:tcPr>
          <w:p w14:paraId="0260ABE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912" w:type="pct"/>
            <w:vAlign w:val="center"/>
          </w:tcPr>
          <w:p w14:paraId="5071512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1351" w:type="pct"/>
            <w:vAlign w:val="center"/>
          </w:tcPr>
          <w:p w14:paraId="5691EF8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 xml:space="preserve">气流组织形式 </w:t>
            </w:r>
            <w:r>
              <w:rPr>
                <w:sz w:val="18"/>
                <w:vertAlign w:val="superscript"/>
              </w:rPr>
              <w:t>a</w:t>
            </w:r>
          </w:p>
        </w:tc>
        <w:tc>
          <w:tcPr>
            <w:tcW w:w="1087" w:type="pct"/>
            <w:vAlign w:val="center"/>
          </w:tcPr>
          <w:p w14:paraId="5419967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额定新风量</w:t>
            </w:r>
          </w:p>
        </w:tc>
        <w:tc>
          <w:tcPr>
            <w:tcW w:w="1087" w:type="pct"/>
            <w:vAlign w:val="center"/>
          </w:tcPr>
          <w:p w14:paraId="79B5777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额定排风量</w:t>
            </w:r>
          </w:p>
        </w:tc>
      </w:tr>
      <w:tr w14:paraId="3D050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561" w:type="pct"/>
          </w:tcPr>
          <w:p w14:paraId="4C99A380">
            <w:pPr>
              <w:pStyle w:val="41"/>
              <w:rPr>
                <w:rFonts w:ascii="Times New Roman"/>
                <w:sz w:val="18"/>
              </w:rPr>
            </w:pPr>
          </w:p>
        </w:tc>
        <w:tc>
          <w:tcPr>
            <w:tcW w:w="912" w:type="pct"/>
          </w:tcPr>
          <w:p w14:paraId="40B931FE">
            <w:pPr>
              <w:pStyle w:val="41"/>
              <w:rPr>
                <w:rFonts w:ascii="Times New Roman"/>
                <w:sz w:val="18"/>
              </w:rPr>
            </w:pPr>
          </w:p>
        </w:tc>
        <w:tc>
          <w:tcPr>
            <w:tcW w:w="1351" w:type="pct"/>
          </w:tcPr>
          <w:p w14:paraId="7B49E3C8">
            <w:pPr>
              <w:pStyle w:val="41"/>
              <w:rPr>
                <w:rFonts w:ascii="Times New Roman"/>
                <w:sz w:val="18"/>
              </w:rPr>
            </w:pPr>
          </w:p>
        </w:tc>
        <w:tc>
          <w:tcPr>
            <w:tcW w:w="1087" w:type="pct"/>
          </w:tcPr>
          <w:p w14:paraId="7BB489A4">
            <w:pPr>
              <w:pStyle w:val="41"/>
              <w:rPr>
                <w:rFonts w:ascii="Times New Roman"/>
                <w:sz w:val="18"/>
              </w:rPr>
            </w:pPr>
          </w:p>
        </w:tc>
        <w:tc>
          <w:tcPr>
            <w:tcW w:w="1087" w:type="pct"/>
          </w:tcPr>
          <w:p w14:paraId="62C7DFBE">
            <w:pPr>
              <w:pStyle w:val="41"/>
              <w:rPr>
                <w:rFonts w:ascii="Times New Roman"/>
                <w:sz w:val="18"/>
              </w:rPr>
            </w:pPr>
          </w:p>
        </w:tc>
      </w:tr>
      <w:tr w14:paraId="6A0D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5"/>
          </w:tcPr>
          <w:p w14:paraId="1EE0561F">
            <w:pPr>
              <w:pStyle w:val="41"/>
              <w:spacing w:before="55"/>
              <w:ind w:left="317"/>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气流组织形式指侧送侧回（排）、上送下回（排）、下送上回（排）、上送上回（排）等。</w:t>
            </w:r>
          </w:p>
        </w:tc>
      </w:tr>
    </w:tbl>
    <w:p w14:paraId="49C55F22">
      <w:pPr>
        <w:pStyle w:val="3"/>
        <w:spacing w:before="121"/>
        <w:ind w:left="416" w:right="923"/>
        <w:jc w:val="center"/>
        <w:rPr>
          <w:rFonts w:hint="eastAsia" w:ascii="黑体" w:eastAsia="黑体"/>
        </w:rPr>
      </w:pPr>
      <w:r>
        <w:rPr>
          <w:rFonts w:hint="eastAsia" w:ascii="黑体" w:eastAsia="黑体"/>
        </w:rPr>
        <w:t>表 C.19 采光与照明调查记录表</w:t>
      </w:r>
    </w:p>
    <w:p w14:paraId="1AADF31C">
      <w:pPr>
        <w:pStyle w:val="3"/>
        <w:spacing w:before="5"/>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39"/>
        <w:gridCol w:w="4412"/>
        <w:gridCol w:w="3597"/>
      </w:tblGrid>
      <w:tr w14:paraId="63E4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54" w:type="pct"/>
            <w:vAlign w:val="center"/>
          </w:tcPr>
          <w:p w14:paraId="6724141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单元</w:t>
            </w:r>
          </w:p>
        </w:tc>
        <w:tc>
          <w:tcPr>
            <w:tcW w:w="2174" w:type="pct"/>
            <w:vAlign w:val="center"/>
          </w:tcPr>
          <w:p w14:paraId="507F59F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工作场所</w:t>
            </w:r>
          </w:p>
        </w:tc>
        <w:tc>
          <w:tcPr>
            <w:tcW w:w="1770" w:type="pct"/>
            <w:vAlign w:val="center"/>
          </w:tcPr>
          <w:p w14:paraId="324F21E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采光/照明形式</w:t>
            </w:r>
            <w:r>
              <w:rPr>
                <w:sz w:val="18"/>
                <w:vertAlign w:val="superscript"/>
              </w:rPr>
              <w:t>a</w:t>
            </w:r>
          </w:p>
        </w:tc>
      </w:tr>
      <w:tr w14:paraId="00BF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1054" w:type="pct"/>
          </w:tcPr>
          <w:p w14:paraId="38F6C0F9">
            <w:pPr>
              <w:pStyle w:val="41"/>
              <w:rPr>
                <w:rFonts w:ascii="Times New Roman"/>
                <w:sz w:val="18"/>
              </w:rPr>
            </w:pPr>
          </w:p>
        </w:tc>
        <w:tc>
          <w:tcPr>
            <w:tcW w:w="2174" w:type="pct"/>
          </w:tcPr>
          <w:p w14:paraId="241D5818">
            <w:pPr>
              <w:pStyle w:val="41"/>
              <w:rPr>
                <w:rFonts w:ascii="Times New Roman"/>
                <w:sz w:val="18"/>
              </w:rPr>
            </w:pPr>
          </w:p>
        </w:tc>
        <w:tc>
          <w:tcPr>
            <w:tcW w:w="1770" w:type="pct"/>
          </w:tcPr>
          <w:p w14:paraId="6CA7216F">
            <w:pPr>
              <w:pStyle w:val="41"/>
              <w:rPr>
                <w:rFonts w:ascii="Times New Roman"/>
                <w:sz w:val="18"/>
              </w:rPr>
            </w:pPr>
          </w:p>
        </w:tc>
      </w:tr>
      <w:tr w14:paraId="6E79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tcPr>
          <w:p w14:paraId="469B49E5">
            <w:pPr>
              <w:pStyle w:val="41"/>
              <w:spacing w:before="54"/>
              <w:ind w:left="317"/>
              <w:rPr>
                <w:sz w:val="18"/>
              </w:rPr>
            </w:pPr>
            <w:r>
              <w:rPr>
                <w:rFonts w:ascii="Times New Roman" w:eastAsia="Times New Roman"/>
                <w:position w:val="6"/>
                <w:sz w:val="11"/>
              </w:rPr>
              <w:t xml:space="preserve">a </w:t>
            </w:r>
            <w:r>
              <w:rPr>
                <w:sz w:val="18"/>
              </w:rPr>
              <w:t>采光</w:t>
            </w:r>
            <w:r>
              <w:rPr>
                <w:rFonts w:ascii="Times New Roman" w:eastAsia="Times New Roman"/>
                <w:sz w:val="18"/>
              </w:rPr>
              <w:t>/</w:t>
            </w:r>
            <w:r>
              <w:rPr>
                <w:sz w:val="18"/>
              </w:rPr>
              <w:t>照明形式指自然采光、人工照明和混合照明。</w:t>
            </w:r>
          </w:p>
        </w:tc>
      </w:tr>
    </w:tbl>
    <w:p w14:paraId="63B0CDD0">
      <w:pPr>
        <w:pStyle w:val="3"/>
        <w:spacing w:before="120"/>
        <w:ind w:left="416" w:right="921"/>
        <w:jc w:val="center"/>
        <w:rPr>
          <w:rFonts w:hint="eastAsia" w:ascii="黑体" w:eastAsia="黑体"/>
        </w:rPr>
      </w:pPr>
      <w:r>
        <w:rPr>
          <w:rFonts w:hint="eastAsia" w:ascii="黑体" w:eastAsia="黑体"/>
        </w:rPr>
        <w:t>表 C.20 主要建筑物特征调查记录表</w:t>
      </w:r>
    </w:p>
    <w:p w14:paraId="387364B1">
      <w:pPr>
        <w:pStyle w:val="3"/>
        <w:spacing w:before="5"/>
        <w:rPr>
          <w:rFonts w:ascii="黑体"/>
          <w:sz w:val="13"/>
        </w:rPr>
      </w:pPr>
    </w:p>
    <w:tbl>
      <w:tblPr>
        <w:tblStyle w:val="6"/>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3"/>
        <w:gridCol w:w="1083"/>
        <w:gridCol w:w="1083"/>
        <w:gridCol w:w="1083"/>
        <w:gridCol w:w="1570"/>
        <w:gridCol w:w="1423"/>
        <w:gridCol w:w="1423"/>
        <w:gridCol w:w="1428"/>
      </w:tblGrid>
      <w:tr w14:paraId="04E1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32" w:type="pct"/>
            <w:vMerge w:val="restart"/>
            <w:vAlign w:val="center"/>
          </w:tcPr>
          <w:p w14:paraId="4BA4084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建筑物名称</w:t>
            </w:r>
          </w:p>
        </w:tc>
        <w:tc>
          <w:tcPr>
            <w:tcW w:w="532" w:type="pct"/>
            <w:vMerge w:val="restart"/>
            <w:vAlign w:val="center"/>
          </w:tcPr>
          <w:p w14:paraId="3BF8078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朝向</w:t>
            </w:r>
          </w:p>
        </w:tc>
        <w:tc>
          <w:tcPr>
            <w:tcW w:w="532" w:type="pct"/>
            <w:vMerge w:val="restart"/>
            <w:vAlign w:val="center"/>
          </w:tcPr>
          <w:p w14:paraId="70747A5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楼高</w:t>
            </w:r>
          </w:p>
          <w:p w14:paraId="373D15B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（m）</w:t>
            </w:r>
          </w:p>
        </w:tc>
        <w:tc>
          <w:tcPr>
            <w:tcW w:w="532" w:type="pct"/>
            <w:vMerge w:val="restart"/>
            <w:vAlign w:val="center"/>
          </w:tcPr>
          <w:p w14:paraId="0A15DC9A">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层数</w:t>
            </w:r>
          </w:p>
        </w:tc>
        <w:tc>
          <w:tcPr>
            <w:tcW w:w="771" w:type="pct"/>
            <w:vMerge w:val="restart"/>
            <w:vAlign w:val="center"/>
          </w:tcPr>
          <w:p w14:paraId="4DE904BF">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与最近建筑间距</w:t>
            </w:r>
          </w:p>
          <w:p w14:paraId="3AD1AFA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（m）</w:t>
            </w:r>
          </w:p>
        </w:tc>
        <w:tc>
          <w:tcPr>
            <w:tcW w:w="2099" w:type="pct"/>
            <w:gridSpan w:val="3"/>
            <w:vAlign w:val="center"/>
          </w:tcPr>
          <w:p w14:paraId="07BF71D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产生强腐蚀性物质、高毒物质</w:t>
            </w:r>
          </w:p>
        </w:tc>
      </w:tr>
      <w:tr w14:paraId="3298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32" w:type="pct"/>
            <w:vMerge w:val="continue"/>
            <w:vAlign w:val="center"/>
          </w:tcPr>
          <w:p w14:paraId="36548C1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532" w:type="pct"/>
            <w:vMerge w:val="continue"/>
            <w:vAlign w:val="center"/>
          </w:tcPr>
          <w:p w14:paraId="78142F8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532" w:type="pct"/>
            <w:vMerge w:val="continue"/>
            <w:vAlign w:val="center"/>
          </w:tcPr>
          <w:p w14:paraId="2B63BE0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532" w:type="pct"/>
            <w:vMerge w:val="continue"/>
            <w:vAlign w:val="center"/>
          </w:tcPr>
          <w:p w14:paraId="62BE05A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771" w:type="pct"/>
            <w:vMerge w:val="continue"/>
            <w:vAlign w:val="center"/>
          </w:tcPr>
          <w:p w14:paraId="6644F6C2">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p>
        </w:tc>
        <w:tc>
          <w:tcPr>
            <w:tcW w:w="699" w:type="pct"/>
            <w:vAlign w:val="center"/>
          </w:tcPr>
          <w:p w14:paraId="423AFF31">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墙体材料</w:t>
            </w:r>
          </w:p>
        </w:tc>
        <w:tc>
          <w:tcPr>
            <w:tcW w:w="699" w:type="pct"/>
            <w:vAlign w:val="center"/>
          </w:tcPr>
          <w:p w14:paraId="14BF683E">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墙面材料</w:t>
            </w:r>
          </w:p>
        </w:tc>
        <w:tc>
          <w:tcPr>
            <w:tcW w:w="699" w:type="pct"/>
            <w:vAlign w:val="center"/>
          </w:tcPr>
          <w:p w14:paraId="7E46154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地面材料</w:t>
            </w:r>
          </w:p>
        </w:tc>
      </w:tr>
      <w:tr w14:paraId="69F7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532" w:type="pct"/>
          </w:tcPr>
          <w:p w14:paraId="155C8955">
            <w:pPr>
              <w:pStyle w:val="41"/>
              <w:rPr>
                <w:rFonts w:ascii="Times New Roman"/>
                <w:sz w:val="18"/>
              </w:rPr>
            </w:pPr>
          </w:p>
        </w:tc>
        <w:tc>
          <w:tcPr>
            <w:tcW w:w="532" w:type="pct"/>
          </w:tcPr>
          <w:p w14:paraId="0806713F">
            <w:pPr>
              <w:pStyle w:val="41"/>
              <w:rPr>
                <w:rFonts w:ascii="Times New Roman"/>
                <w:sz w:val="18"/>
              </w:rPr>
            </w:pPr>
          </w:p>
        </w:tc>
        <w:tc>
          <w:tcPr>
            <w:tcW w:w="532" w:type="pct"/>
          </w:tcPr>
          <w:p w14:paraId="3FE1ACDA">
            <w:pPr>
              <w:pStyle w:val="41"/>
              <w:rPr>
                <w:rFonts w:ascii="Times New Roman"/>
                <w:sz w:val="18"/>
              </w:rPr>
            </w:pPr>
          </w:p>
        </w:tc>
        <w:tc>
          <w:tcPr>
            <w:tcW w:w="532" w:type="pct"/>
          </w:tcPr>
          <w:p w14:paraId="21965610">
            <w:pPr>
              <w:pStyle w:val="41"/>
              <w:rPr>
                <w:rFonts w:ascii="Times New Roman"/>
                <w:sz w:val="18"/>
              </w:rPr>
            </w:pPr>
          </w:p>
        </w:tc>
        <w:tc>
          <w:tcPr>
            <w:tcW w:w="771" w:type="pct"/>
          </w:tcPr>
          <w:p w14:paraId="3AB69C6B">
            <w:pPr>
              <w:pStyle w:val="41"/>
              <w:rPr>
                <w:rFonts w:ascii="Times New Roman"/>
                <w:sz w:val="18"/>
              </w:rPr>
            </w:pPr>
          </w:p>
        </w:tc>
        <w:tc>
          <w:tcPr>
            <w:tcW w:w="699" w:type="pct"/>
          </w:tcPr>
          <w:p w14:paraId="67B434D7">
            <w:pPr>
              <w:pStyle w:val="41"/>
              <w:rPr>
                <w:rFonts w:ascii="Times New Roman"/>
                <w:sz w:val="18"/>
              </w:rPr>
            </w:pPr>
          </w:p>
        </w:tc>
        <w:tc>
          <w:tcPr>
            <w:tcW w:w="699" w:type="pct"/>
          </w:tcPr>
          <w:p w14:paraId="0B645F3D">
            <w:pPr>
              <w:pStyle w:val="41"/>
              <w:rPr>
                <w:rFonts w:ascii="Times New Roman"/>
                <w:sz w:val="18"/>
              </w:rPr>
            </w:pPr>
          </w:p>
        </w:tc>
        <w:tc>
          <w:tcPr>
            <w:tcW w:w="699" w:type="pct"/>
          </w:tcPr>
          <w:p w14:paraId="0572B2BA">
            <w:pPr>
              <w:pStyle w:val="41"/>
              <w:rPr>
                <w:rFonts w:ascii="Times New Roman"/>
                <w:sz w:val="18"/>
              </w:rPr>
            </w:pPr>
          </w:p>
        </w:tc>
      </w:tr>
    </w:tbl>
    <w:p w14:paraId="704CB0D4">
      <w:pPr>
        <w:pStyle w:val="40"/>
        <w:numPr>
          <w:ilvl w:val="2"/>
          <w:numId w:val="8"/>
        </w:numPr>
        <w:tabs>
          <w:tab w:val="left" w:pos="1179"/>
        </w:tabs>
        <w:spacing w:before="121" w:after="0" w:line="240" w:lineRule="auto"/>
        <w:ind w:left="1252" w:right="0" w:hanging="735"/>
        <w:jc w:val="left"/>
        <w:rPr>
          <w:sz w:val="21"/>
        </w:rPr>
      </w:pPr>
      <w:bookmarkStart w:id="88" w:name="C.2.2.5　辅助用室调查记录表，见表C.21。"/>
      <w:bookmarkEnd w:id="88"/>
      <w:bookmarkStart w:id="89" w:name="C.2.2.5　辅助用室调查记录表，见表C.21。"/>
      <w:bookmarkEnd w:id="89"/>
      <w:r>
        <w:rPr>
          <w:sz w:val="21"/>
        </w:rPr>
        <w:t>辅助用室调查记录表，见表C.21。</w:t>
      </w:r>
    </w:p>
    <w:p w14:paraId="332EA99A">
      <w:pPr>
        <w:pStyle w:val="3"/>
        <w:spacing w:before="122"/>
        <w:ind w:left="61"/>
        <w:jc w:val="center"/>
        <w:rPr>
          <w:rFonts w:hint="eastAsia" w:ascii="黑体" w:eastAsia="黑体"/>
        </w:rPr>
      </w:pPr>
      <w:r>
        <w:rPr>
          <w:rFonts w:hint="eastAsia" w:ascii="黑体" w:eastAsia="黑体"/>
        </w:rPr>
        <w:t>表 C.21 辅助用室调查记录表</w:t>
      </w:r>
    </w:p>
    <w:p w14:paraId="29A05E68">
      <w:pPr>
        <w:pStyle w:val="3"/>
        <w:spacing w:before="4"/>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72"/>
        <w:gridCol w:w="1140"/>
        <w:gridCol w:w="1508"/>
        <w:gridCol w:w="1508"/>
        <w:gridCol w:w="1698"/>
        <w:gridCol w:w="1307"/>
        <w:gridCol w:w="804"/>
        <w:gridCol w:w="1309"/>
      </w:tblGrid>
      <w:tr w14:paraId="0517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atLeast"/>
        </w:trPr>
        <w:tc>
          <w:tcPr>
            <w:tcW w:w="430" w:type="pct"/>
          </w:tcPr>
          <w:p w14:paraId="76EA7A4C">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单元</w:t>
            </w:r>
          </w:p>
        </w:tc>
        <w:tc>
          <w:tcPr>
            <w:tcW w:w="562" w:type="pct"/>
          </w:tcPr>
          <w:p w14:paraId="6C8D6A3A">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工作场所</w:t>
            </w:r>
          </w:p>
        </w:tc>
        <w:tc>
          <w:tcPr>
            <w:tcW w:w="743" w:type="pct"/>
          </w:tcPr>
          <w:p w14:paraId="4AACFC60">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最大班人数</w:t>
            </w:r>
          </w:p>
        </w:tc>
        <w:tc>
          <w:tcPr>
            <w:tcW w:w="743" w:type="pct"/>
          </w:tcPr>
          <w:p w14:paraId="60A3174A">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最大班女工人数</w:t>
            </w:r>
          </w:p>
        </w:tc>
        <w:tc>
          <w:tcPr>
            <w:tcW w:w="837" w:type="pct"/>
          </w:tcPr>
          <w:p w14:paraId="5239F5EF">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辅助用室名称a</w:t>
            </w:r>
          </w:p>
        </w:tc>
        <w:tc>
          <w:tcPr>
            <w:tcW w:w="644" w:type="pct"/>
          </w:tcPr>
          <w:p w14:paraId="743F7F78">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设置地点</w:t>
            </w:r>
          </w:p>
        </w:tc>
        <w:tc>
          <w:tcPr>
            <w:tcW w:w="396" w:type="pct"/>
          </w:tcPr>
          <w:p w14:paraId="43656FD3">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数量</w:t>
            </w:r>
          </w:p>
        </w:tc>
        <w:tc>
          <w:tcPr>
            <w:tcW w:w="643" w:type="pct"/>
          </w:tcPr>
          <w:p w14:paraId="51F56CEF">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卫生设施</w:t>
            </w:r>
          </w:p>
        </w:tc>
      </w:tr>
      <w:tr w14:paraId="44FC3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430" w:type="pct"/>
          </w:tcPr>
          <w:p w14:paraId="106F84EF">
            <w:pPr>
              <w:pStyle w:val="41"/>
              <w:rPr>
                <w:rFonts w:ascii="Times New Roman"/>
                <w:sz w:val="18"/>
              </w:rPr>
            </w:pPr>
          </w:p>
        </w:tc>
        <w:tc>
          <w:tcPr>
            <w:tcW w:w="562" w:type="pct"/>
          </w:tcPr>
          <w:p w14:paraId="5CEEE7D9">
            <w:pPr>
              <w:pStyle w:val="41"/>
              <w:rPr>
                <w:rFonts w:ascii="Times New Roman"/>
                <w:sz w:val="18"/>
              </w:rPr>
            </w:pPr>
          </w:p>
        </w:tc>
        <w:tc>
          <w:tcPr>
            <w:tcW w:w="743" w:type="pct"/>
          </w:tcPr>
          <w:p w14:paraId="44033D45">
            <w:pPr>
              <w:pStyle w:val="41"/>
              <w:rPr>
                <w:rFonts w:ascii="Times New Roman"/>
                <w:sz w:val="18"/>
              </w:rPr>
            </w:pPr>
          </w:p>
        </w:tc>
        <w:tc>
          <w:tcPr>
            <w:tcW w:w="743" w:type="pct"/>
          </w:tcPr>
          <w:p w14:paraId="181ED68E">
            <w:pPr>
              <w:pStyle w:val="41"/>
              <w:rPr>
                <w:rFonts w:ascii="Times New Roman"/>
                <w:sz w:val="18"/>
              </w:rPr>
            </w:pPr>
          </w:p>
        </w:tc>
        <w:tc>
          <w:tcPr>
            <w:tcW w:w="837" w:type="pct"/>
          </w:tcPr>
          <w:p w14:paraId="6C333F7D">
            <w:pPr>
              <w:pStyle w:val="41"/>
              <w:rPr>
                <w:rFonts w:ascii="Times New Roman"/>
                <w:sz w:val="18"/>
              </w:rPr>
            </w:pPr>
          </w:p>
        </w:tc>
        <w:tc>
          <w:tcPr>
            <w:tcW w:w="644" w:type="pct"/>
          </w:tcPr>
          <w:p w14:paraId="299AD2BE">
            <w:pPr>
              <w:pStyle w:val="41"/>
              <w:rPr>
                <w:rFonts w:ascii="Times New Roman"/>
                <w:sz w:val="18"/>
              </w:rPr>
            </w:pPr>
          </w:p>
        </w:tc>
        <w:tc>
          <w:tcPr>
            <w:tcW w:w="396" w:type="pct"/>
          </w:tcPr>
          <w:p w14:paraId="1C33A4BB">
            <w:pPr>
              <w:pStyle w:val="41"/>
              <w:rPr>
                <w:rFonts w:ascii="Times New Roman"/>
                <w:sz w:val="18"/>
              </w:rPr>
            </w:pPr>
          </w:p>
        </w:tc>
        <w:tc>
          <w:tcPr>
            <w:tcW w:w="643" w:type="pct"/>
          </w:tcPr>
          <w:p w14:paraId="0776FEA8">
            <w:pPr>
              <w:pStyle w:val="41"/>
              <w:rPr>
                <w:rFonts w:ascii="Times New Roman"/>
                <w:sz w:val="18"/>
              </w:rPr>
            </w:pPr>
          </w:p>
        </w:tc>
      </w:tr>
      <w:tr w14:paraId="6673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000" w:type="pct"/>
            <w:gridSpan w:val="8"/>
          </w:tcPr>
          <w:p w14:paraId="3E135408">
            <w:pPr>
              <w:pStyle w:val="41"/>
              <w:spacing w:line="230" w:lineRule="atLeast"/>
              <w:ind w:left="316" w:right="43"/>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辅助用室包括浴室、更</w:t>
            </w:r>
            <w:r>
              <w:rPr>
                <w:rFonts w:ascii="Times New Roman" w:eastAsia="Times New Roman"/>
                <w:sz w:val="18"/>
                <w:vertAlign w:val="baseline"/>
              </w:rPr>
              <w:t>/</w:t>
            </w:r>
            <w:r>
              <w:rPr>
                <w:sz w:val="18"/>
                <w:vertAlign w:val="baseline"/>
              </w:rPr>
              <w:t>存衣室、休息室、盥洗室、厕所、食堂、妇女卫生室、医务室、洗消室、消毒室及专用洗衣房、工作服干燥室等。</w:t>
            </w:r>
          </w:p>
        </w:tc>
      </w:tr>
    </w:tbl>
    <w:p w14:paraId="289B10A7">
      <w:pPr>
        <w:pStyle w:val="40"/>
        <w:numPr>
          <w:ilvl w:val="2"/>
          <w:numId w:val="8"/>
        </w:numPr>
        <w:tabs>
          <w:tab w:val="left" w:pos="1464"/>
        </w:tabs>
        <w:spacing w:before="122" w:after="0" w:line="240" w:lineRule="auto"/>
        <w:ind w:left="1252" w:right="0" w:hanging="735"/>
        <w:jc w:val="left"/>
        <w:rPr>
          <w:sz w:val="21"/>
        </w:rPr>
      </w:pPr>
      <w:bookmarkStart w:id="90" w:name="C.2.2.6　职业卫生管理情况调查记录表，见表C.22～表C.30。"/>
      <w:bookmarkEnd w:id="90"/>
      <w:bookmarkStart w:id="91" w:name="C.2.2.6　职业卫生管理情况调查记录表，见表C.22～表C.30。"/>
      <w:bookmarkEnd w:id="91"/>
      <w:r>
        <w:rPr>
          <w:sz w:val="21"/>
        </w:rPr>
        <w:t>职业卫生管理情况调查记录表，见表</w:t>
      </w:r>
      <w:r>
        <w:rPr>
          <w:rFonts w:ascii="Times New Roman" w:eastAsia="Times New Roman"/>
          <w:sz w:val="21"/>
        </w:rPr>
        <w:t>C</w:t>
      </w:r>
      <w:r>
        <w:rPr>
          <w:sz w:val="21"/>
        </w:rPr>
        <w:t>.22～表</w:t>
      </w:r>
      <w:r>
        <w:rPr>
          <w:rFonts w:ascii="Times New Roman" w:eastAsia="Times New Roman"/>
          <w:sz w:val="21"/>
        </w:rPr>
        <w:t>C</w:t>
      </w:r>
      <w:r>
        <w:rPr>
          <w:sz w:val="21"/>
        </w:rPr>
        <w:t>.30。</w:t>
      </w:r>
    </w:p>
    <w:p w14:paraId="7FE772AB">
      <w:pPr>
        <w:pStyle w:val="3"/>
        <w:spacing w:before="122"/>
        <w:ind w:left="61"/>
        <w:jc w:val="center"/>
        <w:rPr>
          <w:rFonts w:hint="eastAsia" w:ascii="黑体" w:eastAsia="黑体"/>
        </w:rPr>
      </w:pPr>
      <w:r>
        <w:rPr>
          <w:rFonts w:hint="eastAsia" w:ascii="黑体" w:eastAsia="黑体"/>
        </w:rPr>
        <w:t>表 C.22 职业卫生管理机构及管理人员设置情况调查记录表</w:t>
      </w:r>
    </w:p>
    <w:p w14:paraId="035C0F8C">
      <w:pPr>
        <w:pStyle w:val="3"/>
        <w:spacing w:before="5"/>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44"/>
        <w:gridCol w:w="1975"/>
        <w:gridCol w:w="1977"/>
        <w:gridCol w:w="1975"/>
        <w:gridCol w:w="1975"/>
      </w:tblGrid>
      <w:tr w14:paraId="648B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06" w:type="pct"/>
            <w:vAlign w:val="center"/>
          </w:tcPr>
          <w:p w14:paraId="1EE0D526">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机构名称</w:t>
            </w:r>
          </w:p>
        </w:tc>
        <w:tc>
          <w:tcPr>
            <w:tcW w:w="973" w:type="pct"/>
            <w:vAlign w:val="center"/>
          </w:tcPr>
          <w:p w14:paraId="32BDB75B">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职业卫生管理人员配</w:t>
            </w:r>
          </w:p>
          <w:p w14:paraId="40D84404">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备数量</w:t>
            </w:r>
          </w:p>
        </w:tc>
        <w:tc>
          <w:tcPr>
            <w:tcW w:w="974" w:type="pct"/>
            <w:vAlign w:val="center"/>
          </w:tcPr>
          <w:p w14:paraId="2FF1DE45">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专职/兼职</w:t>
            </w:r>
          </w:p>
        </w:tc>
        <w:tc>
          <w:tcPr>
            <w:tcW w:w="973" w:type="pct"/>
            <w:vAlign w:val="center"/>
          </w:tcPr>
          <w:p w14:paraId="4CDEA29D">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任命文件</w:t>
            </w:r>
          </w:p>
        </w:tc>
        <w:tc>
          <w:tcPr>
            <w:tcW w:w="973" w:type="pct"/>
            <w:vAlign w:val="center"/>
          </w:tcPr>
          <w:p w14:paraId="3D053D67">
            <w:pPr>
              <w:pStyle w:val="41"/>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auto"/>
              <w:rPr>
                <w:sz w:val="18"/>
              </w:rPr>
            </w:pPr>
            <w:r>
              <w:rPr>
                <w:sz w:val="18"/>
              </w:rPr>
              <w:t>培训情况</w:t>
            </w:r>
          </w:p>
        </w:tc>
      </w:tr>
      <w:tr w14:paraId="7004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1106" w:type="pct"/>
          </w:tcPr>
          <w:p w14:paraId="374192D7">
            <w:pPr>
              <w:pStyle w:val="41"/>
              <w:rPr>
                <w:rFonts w:ascii="Times New Roman"/>
                <w:sz w:val="18"/>
              </w:rPr>
            </w:pPr>
          </w:p>
        </w:tc>
        <w:tc>
          <w:tcPr>
            <w:tcW w:w="973" w:type="pct"/>
          </w:tcPr>
          <w:p w14:paraId="0C6A4CE7">
            <w:pPr>
              <w:pStyle w:val="41"/>
              <w:rPr>
                <w:rFonts w:ascii="Times New Roman"/>
                <w:sz w:val="18"/>
              </w:rPr>
            </w:pPr>
          </w:p>
        </w:tc>
        <w:tc>
          <w:tcPr>
            <w:tcW w:w="974" w:type="pct"/>
          </w:tcPr>
          <w:p w14:paraId="220CEA8C">
            <w:pPr>
              <w:pStyle w:val="41"/>
              <w:rPr>
                <w:rFonts w:ascii="Times New Roman"/>
                <w:sz w:val="18"/>
              </w:rPr>
            </w:pPr>
          </w:p>
        </w:tc>
        <w:tc>
          <w:tcPr>
            <w:tcW w:w="973" w:type="pct"/>
          </w:tcPr>
          <w:p w14:paraId="626E7497">
            <w:pPr>
              <w:pStyle w:val="41"/>
              <w:spacing w:before="55"/>
              <w:ind w:left="109" w:right="82"/>
              <w:jc w:val="center"/>
              <w:rPr>
                <w:sz w:val="18"/>
              </w:rPr>
            </w:pPr>
            <w:r>
              <w:rPr>
                <w:sz w:val="18"/>
              </w:rPr>
              <w:t>□有 □无</w:t>
            </w:r>
          </w:p>
        </w:tc>
        <w:tc>
          <w:tcPr>
            <w:tcW w:w="973" w:type="pct"/>
          </w:tcPr>
          <w:p w14:paraId="60645F1A">
            <w:pPr>
              <w:pStyle w:val="41"/>
              <w:spacing w:before="55"/>
              <w:ind w:left="535"/>
              <w:rPr>
                <w:sz w:val="18"/>
              </w:rPr>
            </w:pPr>
            <w:r>
              <w:rPr>
                <w:sz w:val="18"/>
              </w:rPr>
              <w:t>□有 □无</w:t>
            </w:r>
          </w:p>
        </w:tc>
      </w:tr>
    </w:tbl>
    <w:p w14:paraId="1A98FD3F">
      <w:pPr>
        <w:pStyle w:val="3"/>
        <w:spacing w:before="121"/>
        <w:ind w:left="61"/>
        <w:jc w:val="center"/>
        <w:rPr>
          <w:rFonts w:hint="eastAsia" w:ascii="黑体" w:eastAsia="黑体"/>
        </w:rPr>
      </w:pPr>
      <w:r>
        <w:rPr>
          <w:rFonts w:hint="eastAsia" w:ascii="黑体" w:eastAsia="黑体"/>
        </w:rPr>
        <w:t>表 C.23 职业病防治计划和实施方案调查记录表</w:t>
      </w:r>
    </w:p>
    <w:p w14:paraId="0B13F5F5">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769"/>
        <w:gridCol w:w="2253"/>
        <w:gridCol w:w="1498"/>
        <w:gridCol w:w="3626"/>
      </w:tblGrid>
      <w:tr w14:paraId="20D4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64" w:type="pct"/>
          </w:tcPr>
          <w:p w14:paraId="4E0C004F">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职业病防治计划</w:t>
            </w:r>
          </w:p>
        </w:tc>
        <w:tc>
          <w:tcPr>
            <w:tcW w:w="1110" w:type="pct"/>
          </w:tcPr>
          <w:p w14:paraId="06F18438">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文件号及版次</w:t>
            </w:r>
          </w:p>
        </w:tc>
        <w:tc>
          <w:tcPr>
            <w:tcW w:w="738" w:type="pct"/>
          </w:tcPr>
          <w:p w14:paraId="1FEDC896">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实施方案</w:t>
            </w:r>
          </w:p>
        </w:tc>
        <w:tc>
          <w:tcPr>
            <w:tcW w:w="1786" w:type="pct"/>
          </w:tcPr>
          <w:p w14:paraId="7F90AA69">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执行情况</w:t>
            </w:r>
          </w:p>
        </w:tc>
      </w:tr>
      <w:tr w14:paraId="6DB60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1364" w:type="pct"/>
          </w:tcPr>
          <w:p w14:paraId="5CAFE4CF">
            <w:pPr>
              <w:pStyle w:val="41"/>
              <w:rPr>
                <w:rFonts w:ascii="Times New Roman"/>
                <w:sz w:val="18"/>
              </w:rPr>
            </w:pPr>
          </w:p>
        </w:tc>
        <w:tc>
          <w:tcPr>
            <w:tcW w:w="1110" w:type="pct"/>
          </w:tcPr>
          <w:p w14:paraId="69488646">
            <w:pPr>
              <w:pStyle w:val="41"/>
              <w:rPr>
                <w:rFonts w:ascii="Times New Roman"/>
                <w:sz w:val="18"/>
              </w:rPr>
            </w:pPr>
          </w:p>
        </w:tc>
        <w:tc>
          <w:tcPr>
            <w:tcW w:w="738" w:type="pct"/>
          </w:tcPr>
          <w:p w14:paraId="6763DF45">
            <w:pPr>
              <w:pStyle w:val="41"/>
              <w:rPr>
                <w:rFonts w:ascii="Times New Roman"/>
                <w:sz w:val="18"/>
              </w:rPr>
            </w:pPr>
          </w:p>
        </w:tc>
        <w:tc>
          <w:tcPr>
            <w:tcW w:w="1786" w:type="pct"/>
          </w:tcPr>
          <w:p w14:paraId="7EB366C3">
            <w:pPr>
              <w:pStyle w:val="41"/>
              <w:rPr>
                <w:rFonts w:ascii="Times New Roman"/>
                <w:sz w:val="18"/>
              </w:rPr>
            </w:pPr>
          </w:p>
        </w:tc>
      </w:tr>
    </w:tbl>
    <w:p w14:paraId="0D76C71D">
      <w:pPr>
        <w:pStyle w:val="3"/>
        <w:spacing w:before="122"/>
        <w:ind w:left="61"/>
        <w:jc w:val="center"/>
        <w:rPr>
          <w:rFonts w:hint="eastAsia" w:ascii="黑体" w:eastAsia="黑体"/>
        </w:rPr>
      </w:pPr>
      <w:r>
        <w:rPr>
          <w:rFonts w:hint="eastAsia" w:ascii="黑体" w:eastAsia="黑体"/>
        </w:rPr>
        <w:t>表 C.24 职业卫生管理制度和操作规程调查记录表</w:t>
      </w:r>
    </w:p>
    <w:p w14:paraId="4F804445">
      <w:pPr>
        <w:pStyle w:val="3"/>
        <w:spacing w:before="4"/>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970"/>
        <w:gridCol w:w="2051"/>
        <w:gridCol w:w="1498"/>
        <w:gridCol w:w="3627"/>
      </w:tblGrid>
      <w:tr w14:paraId="58F7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63" w:type="pct"/>
          </w:tcPr>
          <w:p w14:paraId="3C1517C6">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名称</w:t>
            </w:r>
          </w:p>
        </w:tc>
        <w:tc>
          <w:tcPr>
            <w:tcW w:w="1010" w:type="pct"/>
          </w:tcPr>
          <w:p w14:paraId="38D667C0">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文件号及版次</w:t>
            </w:r>
          </w:p>
        </w:tc>
        <w:tc>
          <w:tcPr>
            <w:tcW w:w="738" w:type="pct"/>
          </w:tcPr>
          <w:p w14:paraId="22483E41">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管理部门</w:t>
            </w:r>
          </w:p>
        </w:tc>
        <w:tc>
          <w:tcPr>
            <w:tcW w:w="1786" w:type="pct"/>
          </w:tcPr>
          <w:p w14:paraId="40509950">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执行情况</w:t>
            </w:r>
          </w:p>
        </w:tc>
      </w:tr>
      <w:tr w14:paraId="6EC6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1463" w:type="pct"/>
          </w:tcPr>
          <w:p w14:paraId="4484DF5A">
            <w:pPr>
              <w:pStyle w:val="41"/>
              <w:rPr>
                <w:rFonts w:ascii="Times New Roman"/>
                <w:sz w:val="18"/>
              </w:rPr>
            </w:pPr>
          </w:p>
        </w:tc>
        <w:tc>
          <w:tcPr>
            <w:tcW w:w="1010" w:type="pct"/>
          </w:tcPr>
          <w:p w14:paraId="3AFF1810">
            <w:pPr>
              <w:pStyle w:val="41"/>
              <w:rPr>
                <w:rFonts w:ascii="Times New Roman"/>
                <w:sz w:val="18"/>
              </w:rPr>
            </w:pPr>
          </w:p>
        </w:tc>
        <w:tc>
          <w:tcPr>
            <w:tcW w:w="738" w:type="pct"/>
          </w:tcPr>
          <w:p w14:paraId="2F33F781">
            <w:pPr>
              <w:pStyle w:val="41"/>
              <w:rPr>
                <w:rFonts w:ascii="Times New Roman"/>
                <w:sz w:val="18"/>
              </w:rPr>
            </w:pPr>
          </w:p>
        </w:tc>
        <w:tc>
          <w:tcPr>
            <w:tcW w:w="1786" w:type="pct"/>
          </w:tcPr>
          <w:p w14:paraId="049342E5">
            <w:pPr>
              <w:pStyle w:val="41"/>
              <w:rPr>
                <w:rFonts w:ascii="Times New Roman"/>
                <w:sz w:val="18"/>
              </w:rPr>
            </w:pPr>
          </w:p>
        </w:tc>
      </w:tr>
    </w:tbl>
    <w:p w14:paraId="5606453B">
      <w:pPr>
        <w:pStyle w:val="3"/>
        <w:spacing w:before="121"/>
        <w:ind w:left="61"/>
        <w:jc w:val="center"/>
        <w:rPr>
          <w:rFonts w:hint="eastAsia" w:ascii="黑体" w:eastAsia="黑体"/>
        </w:rPr>
      </w:pPr>
      <w:r>
        <w:rPr>
          <w:rFonts w:hint="eastAsia" w:ascii="黑体" w:eastAsia="黑体"/>
        </w:rPr>
        <w:t>表 C.25 应急救援机构设置及其配备调查记录表</w:t>
      </w:r>
    </w:p>
    <w:p w14:paraId="6B10ED1F">
      <w:pPr>
        <w:pStyle w:val="3"/>
        <w:spacing w:before="4"/>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1"/>
        <w:gridCol w:w="2421"/>
        <w:gridCol w:w="5306"/>
      </w:tblGrid>
      <w:tr w14:paraId="0B64B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3" w:type="pct"/>
            <w:vAlign w:val="center"/>
          </w:tcPr>
          <w:p w14:paraId="1FC8002D">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机构种类</w:t>
            </w:r>
          </w:p>
        </w:tc>
        <w:tc>
          <w:tcPr>
            <w:tcW w:w="1193" w:type="pct"/>
            <w:vAlign w:val="center"/>
          </w:tcPr>
          <w:p w14:paraId="15921337">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名称</w:t>
            </w:r>
          </w:p>
        </w:tc>
        <w:tc>
          <w:tcPr>
            <w:tcW w:w="2612" w:type="pct"/>
            <w:vAlign w:val="center"/>
          </w:tcPr>
          <w:p w14:paraId="11925BB2">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配备情况</w:t>
            </w:r>
            <w:r>
              <w:rPr>
                <w:sz w:val="18"/>
                <w:vertAlign w:val="superscript"/>
              </w:rPr>
              <w:t>a</w:t>
            </w:r>
          </w:p>
        </w:tc>
      </w:tr>
      <w:tr w14:paraId="53C4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93" w:type="pct"/>
          </w:tcPr>
          <w:p w14:paraId="38CC5FED">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应急救援组织机构</w:t>
            </w:r>
          </w:p>
        </w:tc>
        <w:tc>
          <w:tcPr>
            <w:tcW w:w="1193" w:type="pct"/>
          </w:tcPr>
          <w:p w14:paraId="35C3F374">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p>
        </w:tc>
        <w:tc>
          <w:tcPr>
            <w:tcW w:w="2612" w:type="pct"/>
          </w:tcPr>
          <w:p w14:paraId="43B39E54">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p>
        </w:tc>
      </w:tr>
      <w:tr w14:paraId="53E9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93" w:type="pct"/>
          </w:tcPr>
          <w:p w14:paraId="458AD033">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医务室</w:t>
            </w:r>
          </w:p>
        </w:tc>
        <w:tc>
          <w:tcPr>
            <w:tcW w:w="1193" w:type="pct"/>
          </w:tcPr>
          <w:p w14:paraId="20248E09">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p>
        </w:tc>
        <w:tc>
          <w:tcPr>
            <w:tcW w:w="2612" w:type="pct"/>
          </w:tcPr>
          <w:p w14:paraId="2C2C4EE0">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p>
        </w:tc>
      </w:tr>
      <w:tr w14:paraId="4EA4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193" w:type="pct"/>
          </w:tcPr>
          <w:p w14:paraId="14D1728D">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r>
              <w:rPr>
                <w:sz w:val="18"/>
              </w:rPr>
              <w:t>应急救援医院</w:t>
            </w:r>
          </w:p>
        </w:tc>
        <w:tc>
          <w:tcPr>
            <w:tcW w:w="1193" w:type="pct"/>
          </w:tcPr>
          <w:p w14:paraId="25412E6B">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p>
        </w:tc>
        <w:tc>
          <w:tcPr>
            <w:tcW w:w="2612" w:type="pct"/>
          </w:tcPr>
          <w:p w14:paraId="6AA61EB4">
            <w:pPr>
              <w:pStyle w:val="41"/>
              <w:keepNext w:val="0"/>
              <w:keepLines w:val="0"/>
              <w:pageBreakBefore w:val="0"/>
              <w:widowControl w:val="0"/>
              <w:kinsoku/>
              <w:wordWrap/>
              <w:overflowPunct/>
              <w:topLinePunct w:val="0"/>
              <w:autoSpaceDE/>
              <w:autoSpaceDN/>
              <w:bidi w:val="0"/>
              <w:adjustRightInd w:val="0"/>
              <w:snapToGrid/>
              <w:ind w:left="0"/>
              <w:jc w:val="center"/>
              <w:textAlignment w:val="auto"/>
              <w:rPr>
                <w:sz w:val="18"/>
              </w:rPr>
            </w:pPr>
          </w:p>
        </w:tc>
      </w:tr>
      <w:tr w14:paraId="7DD8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5000" w:type="pct"/>
            <w:gridSpan w:val="3"/>
          </w:tcPr>
          <w:p w14:paraId="4DA680F7">
            <w:pPr>
              <w:pStyle w:val="41"/>
              <w:keepNext w:val="0"/>
              <w:keepLines w:val="0"/>
              <w:pageBreakBefore w:val="0"/>
              <w:widowControl w:val="0"/>
              <w:kinsoku/>
              <w:wordWrap/>
              <w:overflowPunct/>
              <w:topLinePunct w:val="0"/>
              <w:autoSpaceDE/>
              <w:autoSpaceDN/>
              <w:bidi w:val="0"/>
              <w:adjustRightInd w:val="0"/>
              <w:snapToGrid/>
              <w:ind w:left="0"/>
              <w:jc w:val="both"/>
              <w:textAlignment w:val="auto"/>
              <w:rPr>
                <w:sz w:val="18"/>
              </w:rPr>
            </w:pPr>
            <w:r>
              <w:rPr>
                <w:sz w:val="18"/>
              </w:rPr>
              <w:t>a 配备情况包括人员、设备等。</w:t>
            </w:r>
          </w:p>
        </w:tc>
      </w:tr>
    </w:tbl>
    <w:p w14:paraId="17A180FD">
      <w:pPr>
        <w:pStyle w:val="3"/>
        <w:spacing w:before="122"/>
        <w:ind w:left="58"/>
        <w:jc w:val="center"/>
        <w:rPr>
          <w:rFonts w:hint="eastAsia" w:ascii="黑体" w:eastAsia="黑体"/>
        </w:rPr>
      </w:pPr>
      <w:r>
        <w:rPr>
          <w:rFonts w:hint="eastAsia" w:ascii="黑体" w:eastAsia="黑体"/>
        </w:rPr>
        <w:t>表 C.26 应急救援预案及演练情况调查记录表</w:t>
      </w:r>
    </w:p>
    <w:p w14:paraId="50B49602">
      <w:pPr>
        <w:pStyle w:val="3"/>
        <w:spacing w:before="3"/>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01"/>
        <w:gridCol w:w="1406"/>
        <w:gridCol w:w="1408"/>
        <w:gridCol w:w="1408"/>
        <w:gridCol w:w="1423"/>
      </w:tblGrid>
      <w:tr w14:paraId="23DD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218" w:type="pct"/>
          </w:tcPr>
          <w:p w14:paraId="7DF224AB">
            <w:pPr>
              <w:pStyle w:val="41"/>
              <w:jc w:val="center"/>
              <w:rPr>
                <w:rFonts w:ascii="Times New Roman"/>
                <w:sz w:val="18"/>
              </w:rPr>
            </w:pPr>
            <w:r>
              <w:rPr>
                <w:rFonts w:ascii="Times New Roman"/>
                <w:sz w:val="18"/>
              </w:rPr>
              <w:t>预案名称</w:t>
            </w:r>
          </w:p>
        </w:tc>
        <w:tc>
          <w:tcPr>
            <w:tcW w:w="693" w:type="pct"/>
          </w:tcPr>
          <w:p w14:paraId="4F31BC01">
            <w:pPr>
              <w:pStyle w:val="41"/>
              <w:jc w:val="center"/>
              <w:rPr>
                <w:rFonts w:ascii="Times New Roman"/>
                <w:sz w:val="18"/>
              </w:rPr>
            </w:pPr>
            <w:r>
              <w:rPr>
                <w:rFonts w:ascii="Times New Roman"/>
                <w:sz w:val="18"/>
              </w:rPr>
              <w:t>演练时间</w:t>
            </w:r>
          </w:p>
        </w:tc>
        <w:tc>
          <w:tcPr>
            <w:tcW w:w="694" w:type="pct"/>
          </w:tcPr>
          <w:p w14:paraId="36A71330">
            <w:pPr>
              <w:pStyle w:val="41"/>
              <w:jc w:val="center"/>
              <w:rPr>
                <w:rFonts w:ascii="Times New Roman"/>
                <w:sz w:val="18"/>
              </w:rPr>
            </w:pPr>
            <w:r>
              <w:rPr>
                <w:rFonts w:ascii="Times New Roman"/>
                <w:sz w:val="18"/>
              </w:rPr>
              <w:t>演练形式 a</w:t>
            </w:r>
          </w:p>
        </w:tc>
        <w:tc>
          <w:tcPr>
            <w:tcW w:w="694" w:type="pct"/>
          </w:tcPr>
          <w:p w14:paraId="187E8BCE">
            <w:pPr>
              <w:pStyle w:val="41"/>
              <w:jc w:val="center"/>
              <w:rPr>
                <w:rFonts w:ascii="Times New Roman"/>
                <w:sz w:val="18"/>
              </w:rPr>
            </w:pPr>
            <w:r>
              <w:rPr>
                <w:rFonts w:ascii="Times New Roman"/>
                <w:sz w:val="18"/>
              </w:rPr>
              <w:t>演练效果</w:t>
            </w:r>
          </w:p>
        </w:tc>
        <w:tc>
          <w:tcPr>
            <w:tcW w:w="698" w:type="pct"/>
          </w:tcPr>
          <w:p w14:paraId="49BD757C">
            <w:pPr>
              <w:pStyle w:val="41"/>
              <w:jc w:val="center"/>
              <w:rPr>
                <w:rFonts w:ascii="Times New Roman"/>
                <w:sz w:val="18"/>
              </w:rPr>
            </w:pPr>
            <w:r>
              <w:rPr>
                <w:rFonts w:ascii="Times New Roman"/>
                <w:sz w:val="18"/>
              </w:rPr>
              <w:t>备注</w:t>
            </w:r>
          </w:p>
        </w:tc>
      </w:tr>
      <w:tr w14:paraId="3398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2218" w:type="pct"/>
          </w:tcPr>
          <w:p w14:paraId="58DF3DE2">
            <w:pPr>
              <w:pStyle w:val="41"/>
              <w:rPr>
                <w:rFonts w:ascii="Times New Roman"/>
                <w:sz w:val="18"/>
              </w:rPr>
            </w:pPr>
          </w:p>
        </w:tc>
        <w:tc>
          <w:tcPr>
            <w:tcW w:w="693" w:type="pct"/>
          </w:tcPr>
          <w:p w14:paraId="3CA7FC3D">
            <w:pPr>
              <w:pStyle w:val="41"/>
              <w:rPr>
                <w:rFonts w:ascii="Times New Roman"/>
                <w:sz w:val="18"/>
              </w:rPr>
            </w:pPr>
          </w:p>
        </w:tc>
        <w:tc>
          <w:tcPr>
            <w:tcW w:w="694" w:type="pct"/>
          </w:tcPr>
          <w:p w14:paraId="7A6A128E">
            <w:pPr>
              <w:pStyle w:val="41"/>
              <w:rPr>
                <w:rFonts w:ascii="Times New Roman"/>
                <w:sz w:val="18"/>
              </w:rPr>
            </w:pPr>
          </w:p>
        </w:tc>
        <w:tc>
          <w:tcPr>
            <w:tcW w:w="694" w:type="pct"/>
          </w:tcPr>
          <w:p w14:paraId="6EEC074B">
            <w:pPr>
              <w:pStyle w:val="41"/>
              <w:rPr>
                <w:rFonts w:ascii="Times New Roman"/>
                <w:sz w:val="18"/>
              </w:rPr>
            </w:pPr>
          </w:p>
        </w:tc>
        <w:tc>
          <w:tcPr>
            <w:tcW w:w="698" w:type="pct"/>
          </w:tcPr>
          <w:p w14:paraId="0FC5A225">
            <w:pPr>
              <w:pStyle w:val="41"/>
              <w:rPr>
                <w:rFonts w:ascii="Times New Roman"/>
                <w:sz w:val="18"/>
              </w:rPr>
            </w:pPr>
          </w:p>
        </w:tc>
      </w:tr>
      <w:tr w14:paraId="4A27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5"/>
          </w:tcPr>
          <w:p w14:paraId="2F14248F">
            <w:pPr>
              <w:pStyle w:val="41"/>
              <w:spacing w:before="55"/>
              <w:ind w:left="316"/>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演练形式包括桌面推演、实战演练和混合演练。</w:t>
            </w:r>
          </w:p>
        </w:tc>
      </w:tr>
    </w:tbl>
    <w:p w14:paraId="30CF420D">
      <w:pPr>
        <w:pStyle w:val="3"/>
        <w:spacing w:before="122"/>
        <w:ind w:left="58"/>
        <w:jc w:val="center"/>
        <w:rPr>
          <w:rFonts w:hint="eastAsia" w:ascii="黑体" w:eastAsia="黑体"/>
        </w:rPr>
      </w:pPr>
      <w:r>
        <w:rPr>
          <w:rFonts w:hint="eastAsia" w:ascii="黑体" w:eastAsia="黑体"/>
        </w:rPr>
        <w:t>表 C.27 职业病危害警示标识设置情况调查记录表</w:t>
      </w:r>
    </w:p>
    <w:p w14:paraId="23FD511D">
      <w:pPr>
        <w:pStyle w:val="3"/>
        <w:spacing w:before="4"/>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17"/>
        <w:gridCol w:w="1817"/>
        <w:gridCol w:w="1180"/>
        <w:gridCol w:w="1180"/>
        <w:gridCol w:w="875"/>
        <w:gridCol w:w="1671"/>
        <w:gridCol w:w="1608"/>
      </w:tblGrid>
      <w:tr w14:paraId="27E31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95" w:type="pct"/>
            <w:vMerge w:val="restart"/>
            <w:vAlign w:val="center"/>
          </w:tcPr>
          <w:p w14:paraId="1EE5F2A2">
            <w:pPr>
              <w:pStyle w:val="41"/>
              <w:jc w:val="center"/>
              <w:rPr>
                <w:rFonts w:ascii="Times New Roman"/>
                <w:sz w:val="18"/>
              </w:rPr>
            </w:pPr>
            <w:r>
              <w:rPr>
                <w:rFonts w:ascii="Times New Roman"/>
                <w:sz w:val="18"/>
              </w:rPr>
              <w:t>单元</w:t>
            </w:r>
          </w:p>
        </w:tc>
        <w:tc>
          <w:tcPr>
            <w:tcW w:w="895" w:type="pct"/>
            <w:vMerge w:val="restart"/>
            <w:vAlign w:val="center"/>
          </w:tcPr>
          <w:p w14:paraId="5E3F50D0">
            <w:pPr>
              <w:pStyle w:val="41"/>
              <w:jc w:val="center"/>
              <w:rPr>
                <w:rFonts w:ascii="Times New Roman"/>
                <w:sz w:val="18"/>
              </w:rPr>
            </w:pPr>
            <w:r>
              <w:rPr>
                <w:rFonts w:ascii="Times New Roman"/>
                <w:sz w:val="18"/>
              </w:rPr>
              <w:t>工作场所</w:t>
            </w:r>
          </w:p>
        </w:tc>
        <w:tc>
          <w:tcPr>
            <w:tcW w:w="1162" w:type="pct"/>
            <w:gridSpan w:val="2"/>
            <w:vAlign w:val="center"/>
          </w:tcPr>
          <w:p w14:paraId="5F9FFFE3">
            <w:pPr>
              <w:pStyle w:val="41"/>
              <w:jc w:val="center"/>
              <w:rPr>
                <w:rFonts w:ascii="Times New Roman"/>
                <w:sz w:val="18"/>
              </w:rPr>
            </w:pPr>
            <w:r>
              <w:rPr>
                <w:rFonts w:ascii="Times New Roman"/>
                <w:sz w:val="18"/>
              </w:rPr>
              <w:t>警示标识</w:t>
            </w:r>
          </w:p>
        </w:tc>
        <w:tc>
          <w:tcPr>
            <w:tcW w:w="431" w:type="pct"/>
            <w:vMerge w:val="restart"/>
            <w:vAlign w:val="center"/>
          </w:tcPr>
          <w:p w14:paraId="5E245376">
            <w:pPr>
              <w:pStyle w:val="41"/>
              <w:jc w:val="center"/>
              <w:rPr>
                <w:rFonts w:ascii="Times New Roman"/>
                <w:sz w:val="18"/>
              </w:rPr>
            </w:pPr>
            <w:r>
              <w:rPr>
                <w:rFonts w:ascii="Times New Roman"/>
                <w:sz w:val="18"/>
              </w:rPr>
              <w:t>数量</w:t>
            </w:r>
          </w:p>
        </w:tc>
        <w:tc>
          <w:tcPr>
            <w:tcW w:w="823" w:type="pct"/>
            <w:vMerge w:val="restart"/>
            <w:vAlign w:val="center"/>
          </w:tcPr>
          <w:p w14:paraId="04A40845">
            <w:pPr>
              <w:pStyle w:val="41"/>
              <w:jc w:val="center"/>
              <w:rPr>
                <w:rFonts w:ascii="Times New Roman"/>
                <w:sz w:val="18"/>
              </w:rPr>
            </w:pPr>
            <w:r>
              <w:rPr>
                <w:rFonts w:ascii="Times New Roman"/>
                <w:sz w:val="18"/>
              </w:rPr>
              <w:t>设置地点</w:t>
            </w:r>
          </w:p>
        </w:tc>
        <w:tc>
          <w:tcPr>
            <w:tcW w:w="792" w:type="pct"/>
            <w:vMerge w:val="restart"/>
            <w:vAlign w:val="center"/>
          </w:tcPr>
          <w:p w14:paraId="64DF730E">
            <w:pPr>
              <w:pStyle w:val="41"/>
              <w:jc w:val="center"/>
              <w:rPr>
                <w:rFonts w:ascii="Times New Roman"/>
                <w:sz w:val="18"/>
              </w:rPr>
            </w:pPr>
            <w:r>
              <w:rPr>
                <w:rFonts w:ascii="Times New Roman"/>
                <w:sz w:val="18"/>
              </w:rPr>
              <w:t>备注</w:t>
            </w:r>
          </w:p>
        </w:tc>
      </w:tr>
      <w:tr w14:paraId="78F48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95" w:type="pct"/>
            <w:vMerge w:val="continue"/>
          </w:tcPr>
          <w:p w14:paraId="13643CC4">
            <w:pPr>
              <w:rPr>
                <w:sz w:val="2"/>
                <w:szCs w:val="2"/>
              </w:rPr>
            </w:pPr>
          </w:p>
        </w:tc>
        <w:tc>
          <w:tcPr>
            <w:tcW w:w="895" w:type="pct"/>
            <w:vMerge w:val="continue"/>
          </w:tcPr>
          <w:p w14:paraId="7D0FCC1D">
            <w:pPr>
              <w:rPr>
                <w:sz w:val="2"/>
                <w:szCs w:val="2"/>
              </w:rPr>
            </w:pPr>
          </w:p>
        </w:tc>
        <w:tc>
          <w:tcPr>
            <w:tcW w:w="581" w:type="pct"/>
          </w:tcPr>
          <w:p w14:paraId="023D0249">
            <w:pPr>
              <w:pStyle w:val="41"/>
              <w:jc w:val="center"/>
              <w:rPr>
                <w:rFonts w:ascii="Times New Roman"/>
                <w:sz w:val="18"/>
              </w:rPr>
            </w:pPr>
            <w:r>
              <w:rPr>
                <w:rFonts w:ascii="Times New Roman"/>
                <w:sz w:val="18"/>
              </w:rPr>
              <w:t>种类</w:t>
            </w:r>
          </w:p>
        </w:tc>
        <w:tc>
          <w:tcPr>
            <w:tcW w:w="581" w:type="pct"/>
          </w:tcPr>
          <w:p w14:paraId="2F74497D">
            <w:pPr>
              <w:pStyle w:val="41"/>
              <w:jc w:val="center"/>
              <w:rPr>
                <w:rFonts w:ascii="Times New Roman"/>
                <w:sz w:val="18"/>
              </w:rPr>
            </w:pPr>
            <w:r>
              <w:rPr>
                <w:rFonts w:ascii="Times New Roman"/>
                <w:sz w:val="18"/>
              </w:rPr>
              <w:t>内容</w:t>
            </w:r>
          </w:p>
        </w:tc>
        <w:tc>
          <w:tcPr>
            <w:tcW w:w="431" w:type="pct"/>
            <w:vMerge w:val="continue"/>
          </w:tcPr>
          <w:p w14:paraId="0F659E1B">
            <w:pPr>
              <w:rPr>
                <w:sz w:val="2"/>
                <w:szCs w:val="2"/>
              </w:rPr>
            </w:pPr>
          </w:p>
        </w:tc>
        <w:tc>
          <w:tcPr>
            <w:tcW w:w="823" w:type="pct"/>
            <w:vMerge w:val="continue"/>
          </w:tcPr>
          <w:p w14:paraId="509ED0B7">
            <w:pPr>
              <w:rPr>
                <w:sz w:val="2"/>
                <w:szCs w:val="2"/>
              </w:rPr>
            </w:pPr>
          </w:p>
        </w:tc>
        <w:tc>
          <w:tcPr>
            <w:tcW w:w="792" w:type="pct"/>
            <w:vMerge w:val="continue"/>
          </w:tcPr>
          <w:p w14:paraId="2ACF6619">
            <w:pPr>
              <w:rPr>
                <w:sz w:val="2"/>
                <w:szCs w:val="2"/>
              </w:rPr>
            </w:pPr>
          </w:p>
        </w:tc>
      </w:tr>
      <w:tr w14:paraId="41D4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895" w:type="pct"/>
          </w:tcPr>
          <w:p w14:paraId="0F9895E1">
            <w:pPr>
              <w:pStyle w:val="41"/>
              <w:rPr>
                <w:rFonts w:ascii="Times New Roman"/>
                <w:sz w:val="18"/>
              </w:rPr>
            </w:pPr>
          </w:p>
        </w:tc>
        <w:tc>
          <w:tcPr>
            <w:tcW w:w="895" w:type="pct"/>
          </w:tcPr>
          <w:p w14:paraId="62250E19">
            <w:pPr>
              <w:pStyle w:val="41"/>
              <w:rPr>
                <w:rFonts w:ascii="Times New Roman"/>
                <w:sz w:val="18"/>
              </w:rPr>
            </w:pPr>
          </w:p>
        </w:tc>
        <w:tc>
          <w:tcPr>
            <w:tcW w:w="581" w:type="pct"/>
          </w:tcPr>
          <w:p w14:paraId="27A3033A">
            <w:pPr>
              <w:pStyle w:val="41"/>
              <w:rPr>
                <w:rFonts w:ascii="Times New Roman"/>
                <w:sz w:val="18"/>
              </w:rPr>
            </w:pPr>
          </w:p>
        </w:tc>
        <w:tc>
          <w:tcPr>
            <w:tcW w:w="581" w:type="pct"/>
          </w:tcPr>
          <w:p w14:paraId="7C698B70">
            <w:pPr>
              <w:pStyle w:val="41"/>
              <w:rPr>
                <w:rFonts w:ascii="Times New Roman"/>
                <w:sz w:val="18"/>
              </w:rPr>
            </w:pPr>
          </w:p>
        </w:tc>
        <w:tc>
          <w:tcPr>
            <w:tcW w:w="431" w:type="pct"/>
          </w:tcPr>
          <w:p w14:paraId="50F15ADE">
            <w:pPr>
              <w:pStyle w:val="41"/>
              <w:rPr>
                <w:rFonts w:ascii="Times New Roman"/>
                <w:sz w:val="18"/>
              </w:rPr>
            </w:pPr>
          </w:p>
        </w:tc>
        <w:tc>
          <w:tcPr>
            <w:tcW w:w="823" w:type="pct"/>
          </w:tcPr>
          <w:p w14:paraId="2A137640">
            <w:pPr>
              <w:pStyle w:val="41"/>
              <w:rPr>
                <w:rFonts w:ascii="Times New Roman"/>
                <w:sz w:val="18"/>
              </w:rPr>
            </w:pPr>
          </w:p>
        </w:tc>
        <w:tc>
          <w:tcPr>
            <w:tcW w:w="792" w:type="pct"/>
          </w:tcPr>
          <w:p w14:paraId="688CF4FE">
            <w:pPr>
              <w:pStyle w:val="41"/>
              <w:rPr>
                <w:rFonts w:ascii="Times New Roman"/>
                <w:sz w:val="18"/>
              </w:rPr>
            </w:pPr>
          </w:p>
        </w:tc>
      </w:tr>
    </w:tbl>
    <w:p w14:paraId="2AAF20B5">
      <w:pPr>
        <w:pStyle w:val="3"/>
        <w:spacing w:before="121"/>
        <w:ind w:left="58"/>
        <w:jc w:val="center"/>
        <w:rPr>
          <w:rFonts w:hint="eastAsia" w:ascii="黑体" w:eastAsia="黑体"/>
        </w:rPr>
      </w:pPr>
      <w:r>
        <w:rPr>
          <w:rFonts w:hint="eastAsia" w:ascii="黑体" w:eastAsia="黑体"/>
        </w:rPr>
        <w:t>表 C.28 职业病危害申报情况调查记录表</w:t>
      </w:r>
    </w:p>
    <w:p w14:paraId="38C71C28">
      <w:pPr>
        <w:pStyle w:val="3"/>
        <w:spacing w:before="4"/>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77"/>
        <w:gridCol w:w="3686"/>
        <w:gridCol w:w="4385"/>
      </w:tblGrid>
      <w:tr w14:paraId="461A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23" w:type="pct"/>
          </w:tcPr>
          <w:p w14:paraId="4865286F">
            <w:pPr>
              <w:pStyle w:val="41"/>
              <w:jc w:val="center"/>
              <w:rPr>
                <w:rFonts w:ascii="Times New Roman"/>
                <w:sz w:val="18"/>
              </w:rPr>
            </w:pPr>
            <w:r>
              <w:rPr>
                <w:rFonts w:ascii="Times New Roman"/>
                <w:sz w:val="18"/>
              </w:rPr>
              <w:t>申报类型</w:t>
            </w:r>
          </w:p>
        </w:tc>
        <w:tc>
          <w:tcPr>
            <w:tcW w:w="1816" w:type="pct"/>
          </w:tcPr>
          <w:p w14:paraId="5AE16B6F">
            <w:pPr>
              <w:pStyle w:val="41"/>
              <w:jc w:val="center"/>
              <w:rPr>
                <w:rFonts w:ascii="Times New Roman"/>
                <w:sz w:val="18"/>
              </w:rPr>
            </w:pPr>
            <w:r>
              <w:rPr>
                <w:rFonts w:ascii="Times New Roman"/>
                <w:sz w:val="18"/>
              </w:rPr>
              <w:t>申报日期</w:t>
            </w:r>
          </w:p>
        </w:tc>
        <w:tc>
          <w:tcPr>
            <w:tcW w:w="2160" w:type="pct"/>
          </w:tcPr>
          <w:p w14:paraId="2175AFB6">
            <w:pPr>
              <w:pStyle w:val="41"/>
              <w:jc w:val="center"/>
              <w:rPr>
                <w:rFonts w:ascii="Times New Roman"/>
                <w:sz w:val="18"/>
              </w:rPr>
            </w:pPr>
            <w:r>
              <w:rPr>
                <w:rFonts w:ascii="Times New Roman"/>
                <w:sz w:val="18"/>
              </w:rPr>
              <w:t>有无申报回执</w:t>
            </w:r>
          </w:p>
        </w:tc>
      </w:tr>
      <w:tr w14:paraId="02FA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trPr>
        <w:tc>
          <w:tcPr>
            <w:tcW w:w="1023" w:type="pct"/>
          </w:tcPr>
          <w:p w14:paraId="0FB01052">
            <w:pPr>
              <w:pStyle w:val="41"/>
              <w:jc w:val="center"/>
              <w:rPr>
                <w:rFonts w:ascii="Times New Roman"/>
                <w:sz w:val="18"/>
              </w:rPr>
            </w:pPr>
            <w:r>
              <w:rPr>
                <w:rFonts w:ascii="Times New Roman"/>
                <w:sz w:val="18"/>
              </w:rPr>
              <w:t>初次申报</w:t>
            </w:r>
          </w:p>
        </w:tc>
        <w:tc>
          <w:tcPr>
            <w:tcW w:w="1816" w:type="pct"/>
          </w:tcPr>
          <w:p w14:paraId="2D329788">
            <w:pPr>
              <w:pStyle w:val="41"/>
              <w:rPr>
                <w:rFonts w:ascii="Times New Roman"/>
                <w:sz w:val="18"/>
              </w:rPr>
            </w:pPr>
          </w:p>
        </w:tc>
        <w:tc>
          <w:tcPr>
            <w:tcW w:w="2160" w:type="pct"/>
          </w:tcPr>
          <w:p w14:paraId="092B5121">
            <w:pPr>
              <w:pStyle w:val="41"/>
              <w:rPr>
                <w:rFonts w:ascii="Times New Roman"/>
                <w:sz w:val="18"/>
              </w:rPr>
            </w:pPr>
          </w:p>
        </w:tc>
      </w:tr>
      <w:tr w14:paraId="551F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trPr>
        <w:tc>
          <w:tcPr>
            <w:tcW w:w="1023" w:type="pct"/>
            <w:shd w:val="clear" w:color="auto" w:fill="auto"/>
            <w:vAlign w:val="top"/>
          </w:tcPr>
          <w:p w14:paraId="43CE847B">
            <w:pPr>
              <w:pStyle w:val="41"/>
              <w:jc w:val="center"/>
              <w:rPr>
                <w:rFonts w:ascii="Times New Roman"/>
                <w:sz w:val="18"/>
                <w:lang w:val="en-US" w:eastAsia="zh-CN"/>
              </w:rPr>
            </w:pPr>
            <w:r>
              <w:rPr>
                <w:rFonts w:ascii="Times New Roman"/>
                <w:sz w:val="18"/>
              </w:rPr>
              <w:t>变更申报</w:t>
            </w:r>
          </w:p>
        </w:tc>
        <w:tc>
          <w:tcPr>
            <w:tcW w:w="1816" w:type="pct"/>
            <w:shd w:val="clear" w:color="auto" w:fill="auto"/>
            <w:vAlign w:val="top"/>
          </w:tcPr>
          <w:p w14:paraId="08680288">
            <w:pPr>
              <w:pStyle w:val="41"/>
              <w:rPr>
                <w:rFonts w:ascii="Times New Roman" w:hAnsi="宋体" w:eastAsia="宋体" w:cs="宋体"/>
                <w:kern w:val="2"/>
                <w:sz w:val="18"/>
                <w:szCs w:val="21"/>
                <w:lang w:val="en-US" w:eastAsia="zh-CN" w:bidi="ar-SA"/>
              </w:rPr>
            </w:pPr>
          </w:p>
        </w:tc>
        <w:tc>
          <w:tcPr>
            <w:tcW w:w="2160" w:type="pct"/>
            <w:shd w:val="clear" w:color="auto" w:fill="auto"/>
            <w:vAlign w:val="top"/>
          </w:tcPr>
          <w:p w14:paraId="67BD9D48">
            <w:pPr>
              <w:pStyle w:val="41"/>
              <w:rPr>
                <w:rFonts w:ascii="Times New Roman" w:hAnsi="宋体" w:eastAsia="宋体" w:cs="宋体"/>
                <w:kern w:val="2"/>
                <w:sz w:val="18"/>
                <w:szCs w:val="21"/>
                <w:lang w:val="en-US" w:eastAsia="zh-CN" w:bidi="ar-SA"/>
              </w:rPr>
            </w:pPr>
          </w:p>
        </w:tc>
      </w:tr>
      <w:tr w14:paraId="615C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trPr>
        <w:tc>
          <w:tcPr>
            <w:tcW w:w="1023" w:type="pct"/>
            <w:shd w:val="clear" w:color="auto" w:fill="auto"/>
            <w:vAlign w:val="top"/>
          </w:tcPr>
          <w:p w14:paraId="49BE6C72">
            <w:pPr>
              <w:pStyle w:val="41"/>
              <w:jc w:val="center"/>
              <w:rPr>
                <w:rFonts w:ascii="Times New Roman"/>
                <w:sz w:val="18"/>
                <w:lang w:val="en-US" w:eastAsia="zh-CN"/>
              </w:rPr>
            </w:pPr>
            <w:r>
              <w:rPr>
                <w:rFonts w:ascii="Times New Roman"/>
                <w:sz w:val="18"/>
              </w:rPr>
              <w:t>年度更新</w:t>
            </w:r>
          </w:p>
        </w:tc>
        <w:tc>
          <w:tcPr>
            <w:tcW w:w="1816" w:type="pct"/>
            <w:shd w:val="clear" w:color="auto" w:fill="auto"/>
            <w:vAlign w:val="top"/>
          </w:tcPr>
          <w:p w14:paraId="0583159F">
            <w:pPr>
              <w:pStyle w:val="41"/>
              <w:rPr>
                <w:rFonts w:ascii="Times New Roman" w:hAnsi="宋体" w:eastAsia="宋体" w:cs="宋体"/>
                <w:kern w:val="2"/>
                <w:sz w:val="18"/>
                <w:szCs w:val="21"/>
                <w:lang w:val="en-US" w:eastAsia="zh-CN" w:bidi="ar-SA"/>
              </w:rPr>
            </w:pPr>
          </w:p>
        </w:tc>
        <w:tc>
          <w:tcPr>
            <w:tcW w:w="2160" w:type="pct"/>
            <w:shd w:val="clear" w:color="auto" w:fill="auto"/>
            <w:vAlign w:val="top"/>
          </w:tcPr>
          <w:p w14:paraId="206DB9A9">
            <w:pPr>
              <w:pStyle w:val="41"/>
              <w:rPr>
                <w:rFonts w:ascii="Times New Roman" w:hAnsi="宋体" w:eastAsia="宋体" w:cs="宋体"/>
                <w:kern w:val="2"/>
                <w:sz w:val="18"/>
                <w:szCs w:val="21"/>
                <w:lang w:val="en-US" w:eastAsia="zh-CN" w:bidi="ar-SA"/>
              </w:rPr>
            </w:pPr>
          </w:p>
        </w:tc>
      </w:tr>
    </w:tbl>
    <w:p w14:paraId="3CDE9BDF">
      <w:pPr>
        <w:pStyle w:val="3"/>
        <w:spacing w:before="139"/>
        <w:ind w:left="416" w:right="921"/>
        <w:jc w:val="center"/>
        <w:rPr>
          <w:rFonts w:hint="eastAsia" w:ascii="黑体" w:eastAsia="黑体"/>
        </w:rPr>
      </w:pPr>
      <w:r>
        <w:rPr>
          <w:rFonts w:hint="eastAsia" w:ascii="黑体" w:eastAsia="黑体"/>
        </w:rPr>
        <w:t>表 C.29 职业卫生档案调查记录表</w:t>
      </w:r>
    </w:p>
    <w:p w14:paraId="37DE0245">
      <w:pPr>
        <w:pStyle w:val="3"/>
        <w:spacing w:before="3"/>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01"/>
        <w:gridCol w:w="3127"/>
        <w:gridCol w:w="2520"/>
      </w:tblGrid>
      <w:tr w14:paraId="3BF4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217" w:type="pct"/>
          </w:tcPr>
          <w:p w14:paraId="26CC464E">
            <w:pPr>
              <w:pStyle w:val="41"/>
              <w:jc w:val="center"/>
              <w:rPr>
                <w:rFonts w:ascii="Times New Roman"/>
                <w:sz w:val="18"/>
              </w:rPr>
            </w:pPr>
            <w:r>
              <w:rPr>
                <w:rFonts w:ascii="Times New Roman"/>
                <w:sz w:val="18"/>
              </w:rPr>
              <w:t>档案名称</w:t>
            </w:r>
          </w:p>
        </w:tc>
        <w:tc>
          <w:tcPr>
            <w:tcW w:w="1540" w:type="pct"/>
          </w:tcPr>
          <w:p w14:paraId="151311FB">
            <w:pPr>
              <w:pStyle w:val="41"/>
              <w:jc w:val="center"/>
              <w:rPr>
                <w:rFonts w:ascii="Times New Roman"/>
                <w:sz w:val="18"/>
              </w:rPr>
            </w:pPr>
            <w:r>
              <w:rPr>
                <w:rFonts w:ascii="Times New Roman"/>
                <w:sz w:val="18"/>
              </w:rPr>
              <w:t>内容</w:t>
            </w:r>
          </w:p>
        </w:tc>
        <w:tc>
          <w:tcPr>
            <w:tcW w:w="1241" w:type="pct"/>
          </w:tcPr>
          <w:p w14:paraId="3D77A71E">
            <w:pPr>
              <w:pStyle w:val="41"/>
              <w:jc w:val="center"/>
              <w:rPr>
                <w:rFonts w:ascii="Times New Roman"/>
                <w:sz w:val="18"/>
              </w:rPr>
            </w:pPr>
            <w:r>
              <w:rPr>
                <w:rFonts w:ascii="Times New Roman"/>
                <w:sz w:val="18"/>
              </w:rPr>
              <w:t>管理部门</w:t>
            </w:r>
          </w:p>
        </w:tc>
      </w:tr>
      <w:tr w14:paraId="2F66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217" w:type="pct"/>
          </w:tcPr>
          <w:p w14:paraId="36E8FEE7">
            <w:pPr>
              <w:pStyle w:val="41"/>
              <w:jc w:val="center"/>
              <w:rPr>
                <w:rFonts w:ascii="Times New Roman"/>
                <w:sz w:val="18"/>
              </w:rPr>
            </w:pPr>
            <w:r>
              <w:rPr>
                <w:rFonts w:ascii="Times New Roman"/>
                <w:sz w:val="18"/>
              </w:rPr>
              <w:t>建设项目职业卫生“三同时”档案</w:t>
            </w:r>
          </w:p>
        </w:tc>
        <w:tc>
          <w:tcPr>
            <w:tcW w:w="1540" w:type="pct"/>
          </w:tcPr>
          <w:p w14:paraId="714AFBAD">
            <w:pPr>
              <w:pStyle w:val="41"/>
              <w:rPr>
                <w:rFonts w:ascii="Times New Roman"/>
                <w:sz w:val="18"/>
              </w:rPr>
            </w:pPr>
          </w:p>
        </w:tc>
        <w:tc>
          <w:tcPr>
            <w:tcW w:w="1241" w:type="pct"/>
          </w:tcPr>
          <w:p w14:paraId="7B0AC5AC">
            <w:pPr>
              <w:pStyle w:val="41"/>
              <w:rPr>
                <w:rFonts w:ascii="Times New Roman"/>
                <w:sz w:val="18"/>
              </w:rPr>
            </w:pPr>
          </w:p>
        </w:tc>
      </w:tr>
      <w:tr w14:paraId="329EA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217" w:type="pct"/>
          </w:tcPr>
          <w:p w14:paraId="63A67FB4">
            <w:pPr>
              <w:pStyle w:val="41"/>
              <w:jc w:val="center"/>
              <w:rPr>
                <w:rFonts w:ascii="Times New Roman"/>
                <w:sz w:val="18"/>
              </w:rPr>
            </w:pPr>
            <w:r>
              <w:rPr>
                <w:rFonts w:ascii="Times New Roman"/>
                <w:sz w:val="18"/>
              </w:rPr>
              <w:t>职业卫生管理档案</w:t>
            </w:r>
          </w:p>
        </w:tc>
        <w:tc>
          <w:tcPr>
            <w:tcW w:w="1540" w:type="pct"/>
          </w:tcPr>
          <w:p w14:paraId="784DA18B">
            <w:pPr>
              <w:pStyle w:val="41"/>
              <w:rPr>
                <w:rFonts w:ascii="Times New Roman"/>
                <w:sz w:val="18"/>
              </w:rPr>
            </w:pPr>
          </w:p>
        </w:tc>
        <w:tc>
          <w:tcPr>
            <w:tcW w:w="1241" w:type="pct"/>
          </w:tcPr>
          <w:p w14:paraId="415A3E2D">
            <w:pPr>
              <w:pStyle w:val="41"/>
              <w:rPr>
                <w:rFonts w:ascii="Times New Roman"/>
                <w:sz w:val="18"/>
              </w:rPr>
            </w:pPr>
          </w:p>
        </w:tc>
      </w:tr>
      <w:tr w14:paraId="6250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217" w:type="pct"/>
          </w:tcPr>
          <w:p w14:paraId="0225583E">
            <w:pPr>
              <w:pStyle w:val="41"/>
              <w:jc w:val="center"/>
              <w:rPr>
                <w:rFonts w:ascii="Times New Roman"/>
                <w:sz w:val="18"/>
              </w:rPr>
            </w:pPr>
            <w:r>
              <w:rPr>
                <w:rFonts w:ascii="Times New Roman"/>
                <w:sz w:val="18"/>
              </w:rPr>
              <w:t>职业卫生宣传培训档案</w:t>
            </w:r>
          </w:p>
        </w:tc>
        <w:tc>
          <w:tcPr>
            <w:tcW w:w="1540" w:type="pct"/>
          </w:tcPr>
          <w:p w14:paraId="37B4DDD2">
            <w:pPr>
              <w:pStyle w:val="41"/>
              <w:rPr>
                <w:rFonts w:ascii="Times New Roman"/>
                <w:sz w:val="18"/>
              </w:rPr>
            </w:pPr>
          </w:p>
        </w:tc>
        <w:tc>
          <w:tcPr>
            <w:tcW w:w="1241" w:type="pct"/>
          </w:tcPr>
          <w:p w14:paraId="7A08C3D2">
            <w:pPr>
              <w:pStyle w:val="41"/>
              <w:rPr>
                <w:rFonts w:ascii="Times New Roman"/>
                <w:sz w:val="18"/>
              </w:rPr>
            </w:pPr>
          </w:p>
        </w:tc>
      </w:tr>
      <w:tr w14:paraId="789A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217" w:type="pct"/>
          </w:tcPr>
          <w:p w14:paraId="7489A93E">
            <w:pPr>
              <w:pStyle w:val="41"/>
              <w:jc w:val="center"/>
              <w:rPr>
                <w:rFonts w:ascii="Times New Roman"/>
                <w:sz w:val="18"/>
              </w:rPr>
            </w:pPr>
            <w:r>
              <w:rPr>
                <w:rFonts w:ascii="Times New Roman"/>
                <w:sz w:val="18"/>
              </w:rPr>
              <w:t>职业病危害因素监测与检测评价档案</w:t>
            </w:r>
          </w:p>
        </w:tc>
        <w:tc>
          <w:tcPr>
            <w:tcW w:w="1540" w:type="pct"/>
          </w:tcPr>
          <w:p w14:paraId="63DB1A29">
            <w:pPr>
              <w:pStyle w:val="41"/>
              <w:rPr>
                <w:rFonts w:ascii="Times New Roman"/>
                <w:sz w:val="18"/>
              </w:rPr>
            </w:pPr>
          </w:p>
        </w:tc>
        <w:tc>
          <w:tcPr>
            <w:tcW w:w="1241" w:type="pct"/>
          </w:tcPr>
          <w:p w14:paraId="6C5B5AAD">
            <w:pPr>
              <w:pStyle w:val="41"/>
              <w:rPr>
                <w:rFonts w:ascii="Times New Roman"/>
                <w:sz w:val="18"/>
              </w:rPr>
            </w:pPr>
          </w:p>
        </w:tc>
      </w:tr>
      <w:tr w14:paraId="0C8F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217" w:type="pct"/>
          </w:tcPr>
          <w:p w14:paraId="4DDD41D0">
            <w:pPr>
              <w:pStyle w:val="41"/>
              <w:jc w:val="center"/>
              <w:rPr>
                <w:rFonts w:ascii="Times New Roman"/>
                <w:sz w:val="18"/>
              </w:rPr>
            </w:pPr>
            <w:r>
              <w:rPr>
                <w:rFonts w:ascii="Times New Roman"/>
                <w:sz w:val="18"/>
              </w:rPr>
              <w:t>用人单位职业健康监护管理档案</w:t>
            </w:r>
          </w:p>
        </w:tc>
        <w:tc>
          <w:tcPr>
            <w:tcW w:w="1540" w:type="pct"/>
          </w:tcPr>
          <w:p w14:paraId="2416BAE6">
            <w:pPr>
              <w:pStyle w:val="41"/>
              <w:rPr>
                <w:rFonts w:ascii="Times New Roman"/>
                <w:sz w:val="18"/>
              </w:rPr>
            </w:pPr>
          </w:p>
        </w:tc>
        <w:tc>
          <w:tcPr>
            <w:tcW w:w="1241" w:type="pct"/>
          </w:tcPr>
          <w:p w14:paraId="6A21107B">
            <w:pPr>
              <w:pStyle w:val="41"/>
              <w:rPr>
                <w:rFonts w:ascii="Times New Roman"/>
                <w:sz w:val="18"/>
              </w:rPr>
            </w:pPr>
          </w:p>
        </w:tc>
      </w:tr>
      <w:tr w14:paraId="532C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217" w:type="pct"/>
          </w:tcPr>
          <w:p w14:paraId="2F4E692F">
            <w:pPr>
              <w:pStyle w:val="41"/>
              <w:jc w:val="center"/>
              <w:rPr>
                <w:rFonts w:ascii="Times New Roman"/>
                <w:sz w:val="18"/>
              </w:rPr>
            </w:pPr>
            <w:r>
              <w:rPr>
                <w:rFonts w:ascii="Times New Roman"/>
                <w:sz w:val="18"/>
              </w:rPr>
              <w:t>劳动者个人职业健康监护档案</w:t>
            </w:r>
          </w:p>
        </w:tc>
        <w:tc>
          <w:tcPr>
            <w:tcW w:w="1540" w:type="pct"/>
          </w:tcPr>
          <w:p w14:paraId="347EB0DC">
            <w:pPr>
              <w:pStyle w:val="41"/>
              <w:rPr>
                <w:rFonts w:ascii="Times New Roman"/>
                <w:sz w:val="18"/>
              </w:rPr>
            </w:pPr>
          </w:p>
        </w:tc>
        <w:tc>
          <w:tcPr>
            <w:tcW w:w="1241" w:type="pct"/>
          </w:tcPr>
          <w:p w14:paraId="20E54025">
            <w:pPr>
              <w:pStyle w:val="41"/>
              <w:rPr>
                <w:rFonts w:ascii="Times New Roman"/>
                <w:sz w:val="18"/>
              </w:rPr>
            </w:pPr>
          </w:p>
        </w:tc>
      </w:tr>
      <w:tr w14:paraId="5BF60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2217" w:type="pct"/>
          </w:tcPr>
          <w:p w14:paraId="187DB2E3">
            <w:pPr>
              <w:pStyle w:val="41"/>
              <w:jc w:val="center"/>
              <w:rPr>
                <w:rFonts w:ascii="Times New Roman"/>
                <w:sz w:val="18"/>
              </w:rPr>
            </w:pPr>
            <w:r>
              <w:rPr>
                <w:rFonts w:ascii="Times New Roman"/>
                <w:sz w:val="18"/>
              </w:rPr>
              <w:t>法律法规要求的其他资料文件</w:t>
            </w:r>
          </w:p>
        </w:tc>
        <w:tc>
          <w:tcPr>
            <w:tcW w:w="1540" w:type="pct"/>
          </w:tcPr>
          <w:p w14:paraId="04EE8BCB">
            <w:pPr>
              <w:pStyle w:val="41"/>
              <w:rPr>
                <w:rFonts w:ascii="Times New Roman"/>
                <w:sz w:val="18"/>
              </w:rPr>
            </w:pPr>
          </w:p>
        </w:tc>
        <w:tc>
          <w:tcPr>
            <w:tcW w:w="1241" w:type="pct"/>
          </w:tcPr>
          <w:p w14:paraId="60AB793D">
            <w:pPr>
              <w:pStyle w:val="41"/>
              <w:rPr>
                <w:rFonts w:ascii="Times New Roman"/>
                <w:sz w:val="18"/>
              </w:rPr>
            </w:pPr>
          </w:p>
        </w:tc>
      </w:tr>
    </w:tbl>
    <w:p w14:paraId="7999B97D">
      <w:pPr>
        <w:pStyle w:val="3"/>
        <w:spacing w:before="122"/>
        <w:ind w:left="416" w:right="923"/>
        <w:jc w:val="center"/>
        <w:rPr>
          <w:rFonts w:hint="eastAsia" w:ascii="黑体" w:eastAsia="黑体"/>
        </w:rPr>
      </w:pPr>
      <w:r>
        <w:rPr>
          <w:rFonts w:hint="eastAsia" w:ascii="黑体" w:eastAsia="黑体"/>
        </w:rPr>
        <w:t>表 C.30 职业病危害防治经费调查记录表</w:t>
      </w:r>
    </w:p>
    <w:p w14:paraId="0F69794D">
      <w:pPr>
        <w:pStyle w:val="3"/>
        <w:spacing w:before="4"/>
        <w:rPr>
          <w:rFonts w:ascii="黑体"/>
          <w:sz w:val="13"/>
        </w:rPr>
      </w:pPr>
    </w:p>
    <w:tbl>
      <w:tblPr>
        <w:tblStyle w:val="6"/>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18"/>
        <w:gridCol w:w="2968"/>
        <w:gridCol w:w="2964"/>
        <w:gridCol w:w="1806"/>
      </w:tblGrid>
      <w:tr w14:paraId="572ED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651" w:type="pct"/>
            <w:gridSpan w:val="2"/>
            <w:vAlign w:val="center"/>
          </w:tcPr>
          <w:p w14:paraId="35E86BE6">
            <w:pPr>
              <w:pStyle w:val="41"/>
              <w:jc w:val="center"/>
              <w:rPr>
                <w:rFonts w:ascii="Times New Roman"/>
                <w:sz w:val="18"/>
              </w:rPr>
            </w:pPr>
            <w:r>
              <w:rPr>
                <w:rFonts w:ascii="Times New Roman"/>
                <w:sz w:val="18"/>
              </w:rPr>
              <w:t>职业病防治项目</w:t>
            </w:r>
          </w:p>
        </w:tc>
        <w:tc>
          <w:tcPr>
            <w:tcW w:w="1459" w:type="pct"/>
            <w:vMerge w:val="restart"/>
            <w:vAlign w:val="center"/>
          </w:tcPr>
          <w:p w14:paraId="037395DA">
            <w:pPr>
              <w:pStyle w:val="41"/>
              <w:jc w:val="center"/>
              <w:rPr>
                <w:rFonts w:ascii="Times New Roman"/>
                <w:sz w:val="18"/>
              </w:rPr>
            </w:pPr>
            <w:r>
              <w:rPr>
                <w:rFonts w:ascii="Times New Roman"/>
                <w:sz w:val="18"/>
              </w:rPr>
              <w:t>金额（万元）</w:t>
            </w:r>
          </w:p>
        </w:tc>
        <w:tc>
          <w:tcPr>
            <w:tcW w:w="889" w:type="pct"/>
            <w:vMerge w:val="restart"/>
            <w:vAlign w:val="center"/>
          </w:tcPr>
          <w:p w14:paraId="0576191A">
            <w:pPr>
              <w:pStyle w:val="41"/>
              <w:jc w:val="center"/>
              <w:rPr>
                <w:rFonts w:ascii="Times New Roman"/>
                <w:sz w:val="18"/>
              </w:rPr>
            </w:pPr>
            <w:r>
              <w:rPr>
                <w:rFonts w:ascii="Times New Roman"/>
                <w:sz w:val="18"/>
              </w:rPr>
              <w:t>备注</w:t>
            </w:r>
          </w:p>
        </w:tc>
      </w:tr>
      <w:tr w14:paraId="55D86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90" w:type="pct"/>
            <w:vAlign w:val="center"/>
          </w:tcPr>
          <w:p w14:paraId="609DA7EC">
            <w:pPr>
              <w:pStyle w:val="41"/>
              <w:jc w:val="center"/>
              <w:rPr>
                <w:rFonts w:ascii="Times New Roman"/>
                <w:sz w:val="18"/>
              </w:rPr>
            </w:pPr>
            <w:r>
              <w:rPr>
                <w:rFonts w:ascii="Times New Roman"/>
                <w:sz w:val="18"/>
              </w:rPr>
              <w:t>类型</w:t>
            </w:r>
          </w:p>
        </w:tc>
        <w:tc>
          <w:tcPr>
            <w:tcW w:w="1460" w:type="pct"/>
            <w:vAlign w:val="center"/>
          </w:tcPr>
          <w:p w14:paraId="4FDFF5D4">
            <w:pPr>
              <w:pStyle w:val="41"/>
              <w:jc w:val="center"/>
              <w:rPr>
                <w:rFonts w:ascii="Times New Roman"/>
                <w:sz w:val="18"/>
              </w:rPr>
            </w:pPr>
            <w:r>
              <w:rPr>
                <w:rFonts w:ascii="Times New Roman"/>
                <w:sz w:val="18"/>
              </w:rPr>
              <w:t>内容</w:t>
            </w:r>
          </w:p>
        </w:tc>
        <w:tc>
          <w:tcPr>
            <w:tcW w:w="1459" w:type="pct"/>
            <w:vMerge w:val="continue"/>
            <w:vAlign w:val="center"/>
          </w:tcPr>
          <w:p w14:paraId="5E4E5711">
            <w:pPr>
              <w:pStyle w:val="41"/>
              <w:jc w:val="center"/>
              <w:rPr>
                <w:rFonts w:ascii="Times New Roman"/>
                <w:sz w:val="18"/>
              </w:rPr>
            </w:pPr>
          </w:p>
        </w:tc>
        <w:tc>
          <w:tcPr>
            <w:tcW w:w="889" w:type="pct"/>
            <w:vMerge w:val="continue"/>
            <w:vAlign w:val="center"/>
          </w:tcPr>
          <w:p w14:paraId="5472C24B">
            <w:pPr>
              <w:pStyle w:val="41"/>
              <w:jc w:val="center"/>
              <w:rPr>
                <w:rFonts w:ascii="Times New Roman"/>
                <w:sz w:val="18"/>
              </w:rPr>
            </w:pPr>
          </w:p>
        </w:tc>
      </w:tr>
      <w:tr w14:paraId="6E1B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190" w:type="pct"/>
          </w:tcPr>
          <w:p w14:paraId="45CB5D25">
            <w:pPr>
              <w:pStyle w:val="41"/>
              <w:jc w:val="center"/>
              <w:rPr>
                <w:rFonts w:ascii="Times New Roman"/>
                <w:sz w:val="18"/>
              </w:rPr>
            </w:pPr>
            <w:r>
              <w:rPr>
                <w:rFonts w:ascii="Times New Roman"/>
                <w:sz w:val="18"/>
              </w:rPr>
              <w:t>职业病防护设施</w:t>
            </w:r>
          </w:p>
        </w:tc>
        <w:tc>
          <w:tcPr>
            <w:tcW w:w="1460" w:type="pct"/>
          </w:tcPr>
          <w:p w14:paraId="17297607">
            <w:pPr>
              <w:pStyle w:val="41"/>
              <w:rPr>
                <w:rFonts w:ascii="Times New Roman"/>
                <w:sz w:val="18"/>
              </w:rPr>
            </w:pPr>
          </w:p>
        </w:tc>
        <w:tc>
          <w:tcPr>
            <w:tcW w:w="1459" w:type="pct"/>
          </w:tcPr>
          <w:p w14:paraId="4B853AE3">
            <w:pPr>
              <w:pStyle w:val="41"/>
              <w:rPr>
                <w:rFonts w:ascii="Times New Roman"/>
                <w:sz w:val="18"/>
              </w:rPr>
            </w:pPr>
          </w:p>
        </w:tc>
        <w:tc>
          <w:tcPr>
            <w:tcW w:w="889" w:type="pct"/>
          </w:tcPr>
          <w:p w14:paraId="4B2BFEA9">
            <w:pPr>
              <w:pStyle w:val="41"/>
              <w:rPr>
                <w:rFonts w:ascii="Times New Roman"/>
                <w:sz w:val="18"/>
              </w:rPr>
            </w:pPr>
          </w:p>
        </w:tc>
      </w:tr>
      <w:tr w14:paraId="63C9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7A107D11">
            <w:pPr>
              <w:pStyle w:val="41"/>
              <w:jc w:val="center"/>
              <w:rPr>
                <w:rFonts w:ascii="Times New Roman"/>
                <w:sz w:val="18"/>
              </w:rPr>
            </w:pPr>
            <w:r>
              <w:rPr>
                <w:rFonts w:ascii="Times New Roman"/>
                <w:sz w:val="18"/>
              </w:rPr>
              <w:t>个体防护用品</w:t>
            </w:r>
          </w:p>
        </w:tc>
        <w:tc>
          <w:tcPr>
            <w:tcW w:w="1460" w:type="pct"/>
          </w:tcPr>
          <w:p w14:paraId="5A86C68E">
            <w:pPr>
              <w:pStyle w:val="41"/>
              <w:rPr>
                <w:rFonts w:ascii="Times New Roman"/>
                <w:sz w:val="18"/>
              </w:rPr>
            </w:pPr>
          </w:p>
        </w:tc>
        <w:tc>
          <w:tcPr>
            <w:tcW w:w="1459" w:type="pct"/>
          </w:tcPr>
          <w:p w14:paraId="68725A70">
            <w:pPr>
              <w:pStyle w:val="41"/>
              <w:rPr>
                <w:rFonts w:ascii="Times New Roman"/>
                <w:sz w:val="18"/>
              </w:rPr>
            </w:pPr>
          </w:p>
        </w:tc>
        <w:tc>
          <w:tcPr>
            <w:tcW w:w="889" w:type="pct"/>
          </w:tcPr>
          <w:p w14:paraId="11183B4B">
            <w:pPr>
              <w:pStyle w:val="41"/>
              <w:rPr>
                <w:rFonts w:ascii="Times New Roman"/>
                <w:sz w:val="18"/>
              </w:rPr>
            </w:pPr>
          </w:p>
        </w:tc>
      </w:tr>
      <w:tr w14:paraId="3894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0225BD38">
            <w:pPr>
              <w:pStyle w:val="41"/>
              <w:jc w:val="center"/>
              <w:rPr>
                <w:rFonts w:ascii="Times New Roman"/>
                <w:sz w:val="18"/>
              </w:rPr>
            </w:pPr>
            <w:r>
              <w:rPr>
                <w:rFonts w:ascii="Times New Roman"/>
                <w:sz w:val="18"/>
              </w:rPr>
              <w:t>应急救援设施</w:t>
            </w:r>
          </w:p>
        </w:tc>
        <w:tc>
          <w:tcPr>
            <w:tcW w:w="1460" w:type="pct"/>
          </w:tcPr>
          <w:p w14:paraId="00242520">
            <w:pPr>
              <w:pStyle w:val="41"/>
              <w:rPr>
                <w:rFonts w:ascii="Times New Roman"/>
                <w:sz w:val="18"/>
              </w:rPr>
            </w:pPr>
          </w:p>
        </w:tc>
        <w:tc>
          <w:tcPr>
            <w:tcW w:w="1459" w:type="pct"/>
          </w:tcPr>
          <w:p w14:paraId="1BD0E1F2">
            <w:pPr>
              <w:pStyle w:val="41"/>
              <w:rPr>
                <w:rFonts w:ascii="Times New Roman"/>
                <w:sz w:val="18"/>
              </w:rPr>
            </w:pPr>
          </w:p>
        </w:tc>
        <w:tc>
          <w:tcPr>
            <w:tcW w:w="889" w:type="pct"/>
          </w:tcPr>
          <w:p w14:paraId="241809B1">
            <w:pPr>
              <w:pStyle w:val="41"/>
              <w:rPr>
                <w:rFonts w:ascii="Times New Roman"/>
                <w:sz w:val="18"/>
              </w:rPr>
            </w:pPr>
          </w:p>
        </w:tc>
      </w:tr>
      <w:tr w14:paraId="590D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2B448A16">
            <w:pPr>
              <w:pStyle w:val="41"/>
              <w:jc w:val="center"/>
              <w:rPr>
                <w:rFonts w:ascii="Times New Roman"/>
                <w:sz w:val="18"/>
              </w:rPr>
            </w:pPr>
            <w:r>
              <w:rPr>
                <w:rFonts w:ascii="Times New Roman"/>
                <w:sz w:val="18"/>
              </w:rPr>
              <w:t>职业健康监护</w:t>
            </w:r>
          </w:p>
        </w:tc>
        <w:tc>
          <w:tcPr>
            <w:tcW w:w="1460" w:type="pct"/>
          </w:tcPr>
          <w:p w14:paraId="5F7D190B">
            <w:pPr>
              <w:pStyle w:val="41"/>
              <w:rPr>
                <w:rFonts w:ascii="Times New Roman"/>
                <w:sz w:val="18"/>
              </w:rPr>
            </w:pPr>
          </w:p>
        </w:tc>
        <w:tc>
          <w:tcPr>
            <w:tcW w:w="1459" w:type="pct"/>
          </w:tcPr>
          <w:p w14:paraId="5A0C2FBA">
            <w:pPr>
              <w:pStyle w:val="41"/>
              <w:rPr>
                <w:rFonts w:ascii="Times New Roman"/>
                <w:sz w:val="18"/>
              </w:rPr>
            </w:pPr>
          </w:p>
        </w:tc>
        <w:tc>
          <w:tcPr>
            <w:tcW w:w="889" w:type="pct"/>
          </w:tcPr>
          <w:p w14:paraId="49D9987C">
            <w:pPr>
              <w:pStyle w:val="41"/>
              <w:rPr>
                <w:rFonts w:ascii="Times New Roman"/>
                <w:sz w:val="18"/>
              </w:rPr>
            </w:pPr>
          </w:p>
        </w:tc>
      </w:tr>
      <w:tr w14:paraId="7A5CB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1E68456E">
            <w:pPr>
              <w:pStyle w:val="41"/>
              <w:jc w:val="center"/>
              <w:rPr>
                <w:rFonts w:ascii="Times New Roman"/>
                <w:sz w:val="18"/>
              </w:rPr>
            </w:pPr>
            <w:r>
              <w:rPr>
                <w:rFonts w:ascii="Times New Roman"/>
                <w:sz w:val="18"/>
              </w:rPr>
              <w:t>职业病危害评价</w:t>
            </w:r>
          </w:p>
        </w:tc>
        <w:tc>
          <w:tcPr>
            <w:tcW w:w="1460" w:type="pct"/>
          </w:tcPr>
          <w:p w14:paraId="13B9DFA1">
            <w:pPr>
              <w:pStyle w:val="41"/>
              <w:rPr>
                <w:rFonts w:ascii="Times New Roman"/>
                <w:sz w:val="18"/>
              </w:rPr>
            </w:pPr>
          </w:p>
        </w:tc>
        <w:tc>
          <w:tcPr>
            <w:tcW w:w="1459" w:type="pct"/>
          </w:tcPr>
          <w:p w14:paraId="202DFB75">
            <w:pPr>
              <w:pStyle w:val="41"/>
              <w:rPr>
                <w:rFonts w:ascii="Times New Roman"/>
                <w:sz w:val="18"/>
              </w:rPr>
            </w:pPr>
          </w:p>
        </w:tc>
        <w:tc>
          <w:tcPr>
            <w:tcW w:w="889" w:type="pct"/>
          </w:tcPr>
          <w:p w14:paraId="34227E12">
            <w:pPr>
              <w:pStyle w:val="41"/>
              <w:rPr>
                <w:rFonts w:ascii="Times New Roman"/>
                <w:sz w:val="18"/>
              </w:rPr>
            </w:pPr>
          </w:p>
        </w:tc>
      </w:tr>
      <w:tr w14:paraId="3C99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57536EC2">
            <w:pPr>
              <w:pStyle w:val="41"/>
              <w:jc w:val="center"/>
              <w:rPr>
                <w:rFonts w:ascii="Times New Roman"/>
                <w:sz w:val="18"/>
              </w:rPr>
            </w:pPr>
            <w:r>
              <w:rPr>
                <w:rFonts w:ascii="Times New Roman"/>
                <w:sz w:val="18"/>
              </w:rPr>
              <w:t>职业病危害因素检测</w:t>
            </w:r>
          </w:p>
        </w:tc>
        <w:tc>
          <w:tcPr>
            <w:tcW w:w="1460" w:type="pct"/>
          </w:tcPr>
          <w:p w14:paraId="59343230">
            <w:pPr>
              <w:pStyle w:val="41"/>
              <w:rPr>
                <w:rFonts w:ascii="Times New Roman"/>
                <w:sz w:val="18"/>
              </w:rPr>
            </w:pPr>
          </w:p>
        </w:tc>
        <w:tc>
          <w:tcPr>
            <w:tcW w:w="1459" w:type="pct"/>
          </w:tcPr>
          <w:p w14:paraId="23C935D1">
            <w:pPr>
              <w:pStyle w:val="41"/>
              <w:rPr>
                <w:rFonts w:ascii="Times New Roman"/>
                <w:sz w:val="18"/>
              </w:rPr>
            </w:pPr>
          </w:p>
        </w:tc>
        <w:tc>
          <w:tcPr>
            <w:tcW w:w="889" w:type="pct"/>
          </w:tcPr>
          <w:p w14:paraId="21D5B645">
            <w:pPr>
              <w:pStyle w:val="41"/>
              <w:rPr>
                <w:rFonts w:ascii="Times New Roman"/>
                <w:sz w:val="18"/>
              </w:rPr>
            </w:pPr>
          </w:p>
        </w:tc>
      </w:tr>
      <w:tr w14:paraId="5F54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15B9B374">
            <w:pPr>
              <w:pStyle w:val="41"/>
              <w:jc w:val="center"/>
              <w:rPr>
                <w:rFonts w:ascii="Times New Roman"/>
                <w:sz w:val="18"/>
              </w:rPr>
            </w:pPr>
            <w:r>
              <w:rPr>
                <w:rFonts w:ascii="Times New Roman"/>
                <w:sz w:val="18"/>
              </w:rPr>
              <w:t>职业卫生宣传培训</w:t>
            </w:r>
          </w:p>
        </w:tc>
        <w:tc>
          <w:tcPr>
            <w:tcW w:w="1460" w:type="pct"/>
          </w:tcPr>
          <w:p w14:paraId="5532E23C">
            <w:pPr>
              <w:pStyle w:val="41"/>
              <w:rPr>
                <w:rFonts w:ascii="Times New Roman"/>
                <w:sz w:val="18"/>
              </w:rPr>
            </w:pPr>
          </w:p>
        </w:tc>
        <w:tc>
          <w:tcPr>
            <w:tcW w:w="1459" w:type="pct"/>
          </w:tcPr>
          <w:p w14:paraId="13B3CD84">
            <w:pPr>
              <w:pStyle w:val="41"/>
              <w:rPr>
                <w:rFonts w:ascii="Times New Roman"/>
                <w:sz w:val="18"/>
              </w:rPr>
            </w:pPr>
          </w:p>
        </w:tc>
        <w:tc>
          <w:tcPr>
            <w:tcW w:w="889" w:type="pct"/>
          </w:tcPr>
          <w:p w14:paraId="559C8DCE">
            <w:pPr>
              <w:pStyle w:val="41"/>
              <w:rPr>
                <w:rFonts w:ascii="Times New Roman"/>
                <w:sz w:val="18"/>
              </w:rPr>
            </w:pPr>
          </w:p>
        </w:tc>
      </w:tr>
      <w:tr w14:paraId="14C4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41F91985">
            <w:pPr>
              <w:pStyle w:val="41"/>
              <w:jc w:val="center"/>
              <w:rPr>
                <w:rFonts w:ascii="Times New Roman"/>
                <w:sz w:val="18"/>
              </w:rPr>
            </w:pPr>
            <w:r>
              <w:rPr>
                <w:rFonts w:ascii="Times New Roman"/>
                <w:sz w:val="18"/>
              </w:rPr>
              <w:t>职业病危害警示标识</w:t>
            </w:r>
          </w:p>
        </w:tc>
        <w:tc>
          <w:tcPr>
            <w:tcW w:w="1460" w:type="pct"/>
          </w:tcPr>
          <w:p w14:paraId="7416E534">
            <w:pPr>
              <w:pStyle w:val="41"/>
              <w:rPr>
                <w:rFonts w:ascii="Times New Roman"/>
                <w:sz w:val="18"/>
              </w:rPr>
            </w:pPr>
          </w:p>
        </w:tc>
        <w:tc>
          <w:tcPr>
            <w:tcW w:w="1459" w:type="pct"/>
          </w:tcPr>
          <w:p w14:paraId="2C36B935">
            <w:pPr>
              <w:pStyle w:val="41"/>
              <w:rPr>
                <w:rFonts w:ascii="Times New Roman"/>
                <w:sz w:val="18"/>
              </w:rPr>
            </w:pPr>
          </w:p>
        </w:tc>
        <w:tc>
          <w:tcPr>
            <w:tcW w:w="889" w:type="pct"/>
          </w:tcPr>
          <w:p w14:paraId="6071056C">
            <w:pPr>
              <w:pStyle w:val="41"/>
              <w:rPr>
                <w:rFonts w:ascii="Times New Roman"/>
                <w:sz w:val="18"/>
              </w:rPr>
            </w:pPr>
          </w:p>
        </w:tc>
      </w:tr>
      <w:tr w14:paraId="0125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1AD28CDB">
            <w:pPr>
              <w:pStyle w:val="41"/>
              <w:jc w:val="center"/>
              <w:rPr>
                <w:rFonts w:ascii="Times New Roman"/>
                <w:sz w:val="18"/>
              </w:rPr>
            </w:pPr>
            <w:r>
              <w:rPr>
                <w:rFonts w:ascii="Times New Roman"/>
                <w:sz w:val="18"/>
              </w:rPr>
              <w:t>职业病危害治理</w:t>
            </w:r>
          </w:p>
        </w:tc>
        <w:tc>
          <w:tcPr>
            <w:tcW w:w="1460" w:type="pct"/>
          </w:tcPr>
          <w:p w14:paraId="44CDE09E">
            <w:pPr>
              <w:pStyle w:val="41"/>
              <w:rPr>
                <w:rFonts w:ascii="Times New Roman"/>
                <w:sz w:val="18"/>
              </w:rPr>
            </w:pPr>
          </w:p>
        </w:tc>
        <w:tc>
          <w:tcPr>
            <w:tcW w:w="1459" w:type="pct"/>
          </w:tcPr>
          <w:p w14:paraId="5CCD9B16">
            <w:pPr>
              <w:pStyle w:val="41"/>
              <w:rPr>
                <w:rFonts w:ascii="Times New Roman"/>
                <w:sz w:val="18"/>
              </w:rPr>
            </w:pPr>
          </w:p>
        </w:tc>
        <w:tc>
          <w:tcPr>
            <w:tcW w:w="889" w:type="pct"/>
          </w:tcPr>
          <w:p w14:paraId="24C28E33">
            <w:pPr>
              <w:pStyle w:val="41"/>
              <w:rPr>
                <w:rFonts w:ascii="Times New Roman"/>
                <w:sz w:val="18"/>
              </w:rPr>
            </w:pPr>
          </w:p>
        </w:tc>
      </w:tr>
      <w:tr w14:paraId="0029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190" w:type="pct"/>
          </w:tcPr>
          <w:p w14:paraId="346356AB">
            <w:pPr>
              <w:pStyle w:val="41"/>
              <w:jc w:val="center"/>
              <w:rPr>
                <w:rFonts w:ascii="Times New Roman"/>
                <w:sz w:val="18"/>
              </w:rPr>
            </w:pPr>
            <w:r>
              <w:rPr>
                <w:rFonts w:ascii="Times New Roman"/>
                <w:sz w:val="18"/>
              </w:rPr>
              <w:t>其他</w:t>
            </w:r>
          </w:p>
        </w:tc>
        <w:tc>
          <w:tcPr>
            <w:tcW w:w="1460" w:type="pct"/>
          </w:tcPr>
          <w:p w14:paraId="7AE2CE62">
            <w:pPr>
              <w:pStyle w:val="41"/>
              <w:rPr>
                <w:rFonts w:ascii="Times New Roman"/>
                <w:sz w:val="18"/>
              </w:rPr>
            </w:pPr>
          </w:p>
        </w:tc>
        <w:tc>
          <w:tcPr>
            <w:tcW w:w="1459" w:type="pct"/>
          </w:tcPr>
          <w:p w14:paraId="5836FFEF">
            <w:pPr>
              <w:pStyle w:val="41"/>
              <w:rPr>
                <w:rFonts w:ascii="Times New Roman"/>
                <w:sz w:val="18"/>
              </w:rPr>
            </w:pPr>
          </w:p>
        </w:tc>
        <w:tc>
          <w:tcPr>
            <w:tcW w:w="889" w:type="pct"/>
          </w:tcPr>
          <w:p w14:paraId="4E5EAED5">
            <w:pPr>
              <w:pStyle w:val="41"/>
              <w:rPr>
                <w:rFonts w:ascii="Times New Roman"/>
                <w:sz w:val="18"/>
              </w:rPr>
            </w:pPr>
          </w:p>
        </w:tc>
      </w:tr>
      <w:tr w14:paraId="6DC3F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190" w:type="pct"/>
          </w:tcPr>
          <w:p w14:paraId="34F36A1C">
            <w:pPr>
              <w:pStyle w:val="41"/>
              <w:jc w:val="center"/>
              <w:rPr>
                <w:rFonts w:ascii="Times New Roman"/>
                <w:sz w:val="18"/>
              </w:rPr>
            </w:pPr>
            <w:r>
              <w:rPr>
                <w:rFonts w:ascii="Times New Roman"/>
                <w:sz w:val="18"/>
              </w:rPr>
              <w:t>合计</w:t>
            </w:r>
          </w:p>
        </w:tc>
        <w:tc>
          <w:tcPr>
            <w:tcW w:w="1460" w:type="pct"/>
          </w:tcPr>
          <w:p w14:paraId="55D7C941">
            <w:pPr>
              <w:pStyle w:val="41"/>
              <w:rPr>
                <w:rFonts w:ascii="Times New Roman"/>
                <w:sz w:val="18"/>
              </w:rPr>
            </w:pPr>
          </w:p>
        </w:tc>
        <w:tc>
          <w:tcPr>
            <w:tcW w:w="1459" w:type="pct"/>
          </w:tcPr>
          <w:p w14:paraId="18663946">
            <w:pPr>
              <w:pStyle w:val="41"/>
              <w:rPr>
                <w:rFonts w:ascii="Times New Roman"/>
                <w:sz w:val="18"/>
              </w:rPr>
            </w:pPr>
          </w:p>
        </w:tc>
        <w:tc>
          <w:tcPr>
            <w:tcW w:w="889" w:type="pct"/>
          </w:tcPr>
          <w:p w14:paraId="2C8A5148">
            <w:pPr>
              <w:pStyle w:val="41"/>
              <w:rPr>
                <w:rFonts w:ascii="Times New Roman"/>
                <w:sz w:val="18"/>
              </w:rPr>
            </w:pPr>
          </w:p>
        </w:tc>
      </w:tr>
    </w:tbl>
    <w:p w14:paraId="2E673D55">
      <w:pPr>
        <w:pStyle w:val="40"/>
        <w:numPr>
          <w:ilvl w:val="2"/>
          <w:numId w:val="8"/>
        </w:numPr>
        <w:tabs>
          <w:tab w:val="left" w:pos="1179"/>
        </w:tabs>
        <w:spacing w:before="121" w:after="0" w:line="240" w:lineRule="auto"/>
        <w:ind w:left="1252" w:right="0" w:hanging="735"/>
        <w:jc w:val="left"/>
        <w:rPr>
          <w:sz w:val="21"/>
        </w:rPr>
      </w:pPr>
      <w:bookmarkStart w:id="92" w:name="C.2.2.7　既往职业病危害评价建议落实情况调查记录表，见表C.31。"/>
      <w:bookmarkEnd w:id="92"/>
      <w:bookmarkStart w:id="93" w:name="C.2.2.7　既往职业病危害评价建议落实情况调查记录表，见表C.31。"/>
      <w:bookmarkEnd w:id="93"/>
      <w:r>
        <w:rPr>
          <w:sz w:val="21"/>
        </w:rPr>
        <w:t>既往职业病危害评价建议落实情况调查记录表，见表</w:t>
      </w:r>
      <w:r>
        <w:rPr>
          <w:rFonts w:ascii="Times New Roman" w:eastAsia="Times New Roman"/>
          <w:sz w:val="21"/>
        </w:rPr>
        <w:t>C</w:t>
      </w:r>
      <w:r>
        <w:rPr>
          <w:sz w:val="21"/>
        </w:rPr>
        <w:t>.31。</w:t>
      </w:r>
    </w:p>
    <w:p w14:paraId="40D0817C">
      <w:pPr>
        <w:pStyle w:val="3"/>
        <w:spacing w:before="125"/>
        <w:ind w:left="416" w:right="921"/>
        <w:jc w:val="center"/>
        <w:rPr>
          <w:rFonts w:hint="eastAsia" w:ascii="黑体" w:eastAsia="黑体"/>
        </w:rPr>
      </w:pPr>
      <w:r>
        <w:rPr>
          <w:rFonts w:hint="eastAsia" w:ascii="黑体" w:eastAsia="黑体"/>
        </w:rPr>
        <w:t>表 C.31 上一次评价报告中提出的补充措施和建议落实情况调查记录表</w:t>
      </w:r>
    </w:p>
    <w:p w14:paraId="7F63FBFB">
      <w:pPr>
        <w:pStyle w:val="3"/>
        <w:spacing w:before="2"/>
        <w:rPr>
          <w:rFonts w:ascii="黑体"/>
          <w:sz w:val="13"/>
        </w:rPr>
      </w:pP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98"/>
        <w:gridCol w:w="6317"/>
        <w:gridCol w:w="2233"/>
      </w:tblGrid>
      <w:tr w14:paraId="2DC7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87" w:type="pct"/>
          </w:tcPr>
          <w:p w14:paraId="1449EF55">
            <w:pPr>
              <w:pStyle w:val="41"/>
              <w:jc w:val="center"/>
              <w:rPr>
                <w:rFonts w:ascii="Times New Roman"/>
                <w:sz w:val="18"/>
              </w:rPr>
            </w:pPr>
            <w:r>
              <w:rPr>
                <w:rFonts w:ascii="Times New Roman"/>
                <w:sz w:val="18"/>
              </w:rPr>
              <w:t>评价报告名称</w:t>
            </w:r>
          </w:p>
        </w:tc>
        <w:tc>
          <w:tcPr>
            <w:tcW w:w="3111" w:type="pct"/>
          </w:tcPr>
          <w:p w14:paraId="238ABA0F">
            <w:pPr>
              <w:pStyle w:val="41"/>
              <w:jc w:val="center"/>
              <w:rPr>
                <w:rFonts w:ascii="Times New Roman"/>
                <w:sz w:val="18"/>
              </w:rPr>
            </w:pPr>
            <w:r>
              <w:rPr>
                <w:rFonts w:ascii="Times New Roman"/>
                <w:sz w:val="18"/>
              </w:rPr>
              <w:t>补充措施和建议</w:t>
            </w:r>
          </w:p>
        </w:tc>
        <w:tc>
          <w:tcPr>
            <w:tcW w:w="1100" w:type="pct"/>
          </w:tcPr>
          <w:p w14:paraId="4DED1DD4">
            <w:pPr>
              <w:pStyle w:val="41"/>
              <w:jc w:val="center"/>
              <w:rPr>
                <w:rFonts w:ascii="Times New Roman"/>
                <w:sz w:val="18"/>
              </w:rPr>
            </w:pPr>
            <w:r>
              <w:rPr>
                <w:rFonts w:ascii="Times New Roman"/>
                <w:sz w:val="18"/>
              </w:rPr>
              <w:t>落实情况</w:t>
            </w:r>
          </w:p>
        </w:tc>
      </w:tr>
      <w:tr w14:paraId="608F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787" w:type="pct"/>
          </w:tcPr>
          <w:p w14:paraId="68D0DF49">
            <w:pPr>
              <w:pStyle w:val="41"/>
              <w:rPr>
                <w:rFonts w:ascii="Times New Roman"/>
                <w:sz w:val="18"/>
              </w:rPr>
            </w:pPr>
          </w:p>
        </w:tc>
        <w:tc>
          <w:tcPr>
            <w:tcW w:w="3111" w:type="pct"/>
          </w:tcPr>
          <w:p w14:paraId="7FD9FE69">
            <w:pPr>
              <w:pStyle w:val="41"/>
              <w:rPr>
                <w:rFonts w:ascii="Times New Roman"/>
                <w:sz w:val="18"/>
              </w:rPr>
            </w:pPr>
          </w:p>
        </w:tc>
        <w:tc>
          <w:tcPr>
            <w:tcW w:w="1100" w:type="pct"/>
          </w:tcPr>
          <w:p w14:paraId="21D47FA2">
            <w:pPr>
              <w:pStyle w:val="41"/>
              <w:rPr>
                <w:rFonts w:ascii="Times New Roman"/>
                <w:sz w:val="18"/>
              </w:rPr>
            </w:pPr>
          </w:p>
        </w:tc>
      </w:tr>
    </w:tbl>
    <w:p w14:paraId="47F08916">
      <w:pPr>
        <w:pStyle w:val="40"/>
        <w:numPr>
          <w:ilvl w:val="2"/>
          <w:numId w:val="8"/>
        </w:numPr>
        <w:tabs>
          <w:tab w:val="left" w:pos="1179"/>
        </w:tabs>
        <w:spacing w:before="121" w:after="0" w:line="240" w:lineRule="auto"/>
        <w:ind w:left="1252" w:right="0" w:hanging="735"/>
        <w:jc w:val="left"/>
        <w:rPr>
          <w:sz w:val="21"/>
        </w:rPr>
      </w:pPr>
      <w:bookmarkStart w:id="94" w:name="C.2.2.8　职业健康监护情况调查记录表，见表C.32。"/>
      <w:bookmarkEnd w:id="94"/>
      <w:bookmarkStart w:id="95" w:name="C.2.2.8　职业健康监护情况调查记录表，见表C.32。"/>
      <w:bookmarkEnd w:id="95"/>
      <w:r>
        <w:rPr>
          <w:sz w:val="21"/>
        </w:rPr>
        <w:t>职业健康监护情况调查记录表，见表</w:t>
      </w:r>
      <w:r>
        <w:rPr>
          <w:rFonts w:ascii="Times New Roman" w:eastAsia="Times New Roman"/>
          <w:sz w:val="21"/>
        </w:rPr>
        <w:t>C</w:t>
      </w:r>
      <w:r>
        <w:rPr>
          <w:sz w:val="21"/>
        </w:rPr>
        <w:t>.32。</w:t>
      </w:r>
    </w:p>
    <w:p w14:paraId="789BC538">
      <w:pPr>
        <w:pStyle w:val="3"/>
        <w:spacing w:before="124"/>
        <w:ind w:left="416" w:right="921"/>
        <w:jc w:val="center"/>
        <w:rPr>
          <w:rFonts w:hint="eastAsia" w:ascii="黑体" w:eastAsia="黑体"/>
        </w:rPr>
      </w:pPr>
      <w:r>
        <w:rPr>
          <w:rFonts w:hint="eastAsia" w:ascii="黑体" w:eastAsia="黑体"/>
        </w:rPr>
        <w:t>表 C.32 职业健康监护情况调查记录表</w:t>
      </w:r>
    </w:p>
    <w:p w14:paraId="3FB05511">
      <w:pPr>
        <w:pStyle w:val="3"/>
        <w:spacing w:before="4"/>
        <w:rPr>
          <w:rFonts w:ascii="黑体"/>
          <w:sz w:val="13"/>
        </w:rPr>
      </w:pP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17"/>
        <w:gridCol w:w="1717"/>
        <w:gridCol w:w="1542"/>
        <w:gridCol w:w="1540"/>
        <w:gridCol w:w="1412"/>
        <w:gridCol w:w="2218"/>
      </w:tblGrid>
      <w:tr w14:paraId="0972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atLeast"/>
        </w:trPr>
        <w:tc>
          <w:tcPr>
            <w:tcW w:w="846" w:type="pct"/>
            <w:vAlign w:val="center"/>
          </w:tcPr>
          <w:p w14:paraId="753BC293">
            <w:pPr>
              <w:pStyle w:val="41"/>
              <w:spacing w:line="240" w:lineRule="auto"/>
              <w:jc w:val="center"/>
              <w:rPr>
                <w:rFonts w:ascii="Times New Roman"/>
                <w:sz w:val="18"/>
              </w:rPr>
            </w:pPr>
            <w:r>
              <w:rPr>
                <w:rFonts w:ascii="Times New Roman"/>
                <w:sz w:val="18"/>
              </w:rPr>
              <w:t>体检类型 a</w:t>
            </w:r>
          </w:p>
        </w:tc>
        <w:tc>
          <w:tcPr>
            <w:tcW w:w="846" w:type="pct"/>
            <w:vAlign w:val="center"/>
          </w:tcPr>
          <w:p w14:paraId="7F8457AD">
            <w:pPr>
              <w:pStyle w:val="41"/>
              <w:spacing w:line="240" w:lineRule="auto"/>
              <w:jc w:val="center"/>
              <w:rPr>
                <w:rFonts w:ascii="Times New Roman"/>
                <w:sz w:val="18"/>
              </w:rPr>
            </w:pPr>
            <w:r>
              <w:rPr>
                <w:rFonts w:ascii="Times New Roman"/>
                <w:sz w:val="18"/>
              </w:rPr>
              <w:t>年度</w:t>
            </w:r>
          </w:p>
        </w:tc>
        <w:tc>
          <w:tcPr>
            <w:tcW w:w="760" w:type="pct"/>
            <w:vAlign w:val="center"/>
          </w:tcPr>
          <w:p w14:paraId="5B9E7416">
            <w:pPr>
              <w:pStyle w:val="41"/>
              <w:spacing w:line="240" w:lineRule="auto"/>
              <w:jc w:val="center"/>
              <w:rPr>
                <w:rFonts w:ascii="Times New Roman"/>
                <w:sz w:val="18"/>
              </w:rPr>
            </w:pPr>
            <w:r>
              <w:rPr>
                <w:rFonts w:ascii="Times New Roman"/>
                <w:sz w:val="18"/>
              </w:rPr>
              <w:t>体检机构</w:t>
            </w:r>
          </w:p>
        </w:tc>
        <w:tc>
          <w:tcPr>
            <w:tcW w:w="759" w:type="pct"/>
            <w:vAlign w:val="center"/>
          </w:tcPr>
          <w:p w14:paraId="53AD24D9">
            <w:pPr>
              <w:pStyle w:val="41"/>
              <w:spacing w:line="240" w:lineRule="auto"/>
              <w:jc w:val="center"/>
              <w:rPr>
                <w:rFonts w:ascii="Times New Roman"/>
                <w:sz w:val="18"/>
              </w:rPr>
            </w:pPr>
            <w:r>
              <w:rPr>
                <w:rFonts w:ascii="Times New Roman"/>
                <w:sz w:val="18"/>
              </w:rPr>
              <w:t>疑似职业病</w:t>
            </w:r>
          </w:p>
        </w:tc>
        <w:tc>
          <w:tcPr>
            <w:tcW w:w="696" w:type="pct"/>
            <w:vAlign w:val="center"/>
          </w:tcPr>
          <w:p w14:paraId="7516602C">
            <w:pPr>
              <w:pStyle w:val="41"/>
              <w:spacing w:line="240" w:lineRule="auto"/>
              <w:jc w:val="center"/>
              <w:rPr>
                <w:rFonts w:ascii="Times New Roman"/>
                <w:sz w:val="18"/>
              </w:rPr>
            </w:pPr>
            <w:r>
              <w:rPr>
                <w:rFonts w:ascii="Times New Roman"/>
                <w:sz w:val="18"/>
              </w:rPr>
              <w:t>职业禁忌证</w:t>
            </w:r>
          </w:p>
        </w:tc>
        <w:tc>
          <w:tcPr>
            <w:tcW w:w="1091" w:type="pct"/>
            <w:vAlign w:val="center"/>
          </w:tcPr>
          <w:p w14:paraId="0A14122D">
            <w:pPr>
              <w:pStyle w:val="41"/>
              <w:spacing w:line="240" w:lineRule="auto"/>
              <w:jc w:val="center"/>
              <w:rPr>
                <w:rFonts w:ascii="Times New Roman"/>
                <w:sz w:val="18"/>
              </w:rPr>
            </w:pPr>
            <w:r>
              <w:rPr>
                <w:rFonts w:ascii="Times New Roman"/>
                <w:sz w:val="18"/>
              </w:rPr>
              <w:t>疑似职业病、职业禁忌证处理情况</w:t>
            </w:r>
          </w:p>
        </w:tc>
      </w:tr>
      <w:tr w14:paraId="5575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846" w:type="pct"/>
          </w:tcPr>
          <w:p w14:paraId="717EE087">
            <w:pPr>
              <w:pStyle w:val="41"/>
              <w:rPr>
                <w:rFonts w:ascii="Times New Roman"/>
                <w:sz w:val="18"/>
              </w:rPr>
            </w:pPr>
          </w:p>
        </w:tc>
        <w:tc>
          <w:tcPr>
            <w:tcW w:w="846" w:type="pct"/>
          </w:tcPr>
          <w:p w14:paraId="3D89F38C">
            <w:pPr>
              <w:pStyle w:val="41"/>
              <w:rPr>
                <w:rFonts w:ascii="Times New Roman"/>
                <w:sz w:val="18"/>
              </w:rPr>
            </w:pPr>
          </w:p>
        </w:tc>
        <w:tc>
          <w:tcPr>
            <w:tcW w:w="760" w:type="pct"/>
          </w:tcPr>
          <w:p w14:paraId="3B57F46D">
            <w:pPr>
              <w:pStyle w:val="41"/>
              <w:rPr>
                <w:rFonts w:ascii="Times New Roman"/>
                <w:sz w:val="18"/>
              </w:rPr>
            </w:pPr>
          </w:p>
        </w:tc>
        <w:tc>
          <w:tcPr>
            <w:tcW w:w="759" w:type="pct"/>
          </w:tcPr>
          <w:p w14:paraId="2A1A61E9">
            <w:pPr>
              <w:pStyle w:val="41"/>
              <w:spacing w:before="53"/>
              <w:ind w:left="330"/>
              <w:rPr>
                <w:sz w:val="18"/>
              </w:rPr>
            </w:pPr>
            <w:r>
              <w:rPr>
                <w:sz w:val="18"/>
              </w:rPr>
              <w:t>□有 □无</w:t>
            </w:r>
          </w:p>
        </w:tc>
        <w:tc>
          <w:tcPr>
            <w:tcW w:w="696" w:type="pct"/>
          </w:tcPr>
          <w:p w14:paraId="3886E483">
            <w:pPr>
              <w:pStyle w:val="41"/>
              <w:spacing w:before="53"/>
              <w:ind w:right="241"/>
              <w:jc w:val="right"/>
              <w:rPr>
                <w:sz w:val="18"/>
              </w:rPr>
            </w:pPr>
            <w:r>
              <w:rPr>
                <w:sz w:val="18"/>
              </w:rPr>
              <w:t>□有 □无</w:t>
            </w:r>
          </w:p>
        </w:tc>
        <w:tc>
          <w:tcPr>
            <w:tcW w:w="1091" w:type="pct"/>
          </w:tcPr>
          <w:p w14:paraId="5FC5FBE0">
            <w:pPr>
              <w:pStyle w:val="41"/>
              <w:rPr>
                <w:rFonts w:ascii="Times New Roman"/>
                <w:sz w:val="18"/>
              </w:rPr>
            </w:pPr>
          </w:p>
        </w:tc>
      </w:tr>
      <w:tr w14:paraId="48EB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6"/>
          </w:tcPr>
          <w:p w14:paraId="61811361">
            <w:pPr>
              <w:pStyle w:val="41"/>
              <w:spacing w:before="53"/>
              <w:ind w:left="317"/>
              <w:rPr>
                <w:sz w:val="18"/>
              </w:rPr>
            </w:pPr>
            <w:r>
              <w:rPr>
                <w:rFonts w:ascii="Times New Roman" w:eastAsia="Times New Roman"/>
                <w:sz w:val="18"/>
                <w:vertAlign w:val="superscript"/>
              </w:rPr>
              <w:t>a</w:t>
            </w:r>
            <w:r>
              <w:rPr>
                <w:rFonts w:ascii="Times New Roman" w:eastAsia="Times New Roman"/>
                <w:sz w:val="18"/>
                <w:vertAlign w:val="baseline"/>
              </w:rPr>
              <w:t xml:space="preserve"> </w:t>
            </w:r>
            <w:r>
              <w:rPr>
                <w:sz w:val="18"/>
                <w:vertAlign w:val="baseline"/>
              </w:rPr>
              <w:t>体检类型指上岗前、在岗期间、离岗时职业健康检查。</w:t>
            </w:r>
          </w:p>
        </w:tc>
      </w:tr>
    </w:tbl>
    <w:p w14:paraId="3729C509">
      <w:pPr>
        <w:spacing w:after="260" w:line="340" w:lineRule="exact"/>
        <w:ind w:firstLine="260"/>
        <w:jc w:val="left"/>
        <w:rPr>
          <w:rFonts w:hint="default" w:ascii="Times New Roman" w:hAnsi="Times New Roman" w:eastAsia="宋体" w:cs="Times New Roman"/>
          <w:b/>
          <w:color w:val="000000"/>
          <w:sz w:val="20"/>
        </w:rPr>
      </w:pPr>
    </w:p>
    <w:p w14:paraId="5B9EFE4D">
      <w:pPr>
        <w:spacing w:after="260" w:line="340" w:lineRule="exact"/>
        <w:ind w:firstLine="260"/>
        <w:jc w:val="left"/>
        <w:rPr>
          <w:rFonts w:hint="default" w:ascii="Times New Roman" w:hAnsi="Times New Roman" w:cs="Times New Roman"/>
        </w:rPr>
      </w:pPr>
      <w:r>
        <w:rPr>
          <w:rFonts w:hint="default" w:ascii="Times New Roman" w:hAnsi="Times New Roman" w:eastAsia="宋体" w:cs="Times New Roman"/>
          <w:b/>
          <w:color w:val="000000"/>
          <w:sz w:val="20"/>
        </w:rPr>
        <w:t>C．</w:t>
      </w:r>
      <w:r>
        <w:rPr>
          <w:rFonts w:hint="eastAsia" w:ascii="Times New Roman" w:hAnsi="Times New Roman" w:eastAsia="宋体" w:cs="Times New Roman"/>
          <w:b/>
          <w:color w:val="000000"/>
          <w:sz w:val="20"/>
          <w:lang w:val="en-US" w:eastAsia="zh-CN"/>
        </w:rPr>
        <w:t>3</w:t>
      </w:r>
      <w:r>
        <w:rPr>
          <w:rFonts w:hint="default" w:ascii="Times New Roman" w:hAnsi="Times New Roman" w:eastAsia="宋体" w:cs="Times New Roman"/>
          <w:b/>
          <w:color w:val="000000"/>
          <w:sz w:val="20"/>
        </w:rPr>
        <w:t xml:space="preserve"> 职业病危害因素检测与评价有关表格</w:t>
      </w:r>
    </w:p>
    <w:p w14:paraId="6429E953">
      <w:pPr>
        <w:spacing w:after="100" w:line="340" w:lineRule="exact"/>
        <w:ind w:firstLine="480"/>
        <w:jc w:val="left"/>
        <w:rPr>
          <w:rFonts w:hint="default" w:ascii="Times New Roman" w:hAnsi="Times New Roman" w:cs="Times New Roman"/>
        </w:rPr>
      </w:pPr>
      <w:r>
        <w:rPr>
          <w:rFonts w:hint="default" w:ascii="Times New Roman" w:hAnsi="Times New Roman" w:eastAsia="宋体" w:cs="Times New Roman"/>
          <w:color w:val="000000"/>
          <w:sz w:val="20"/>
        </w:rPr>
        <w:t>参考表C．</w:t>
      </w:r>
      <w:r>
        <w:rPr>
          <w:rFonts w:hint="eastAsia" w:ascii="Times New Roman" w:hAnsi="Times New Roman" w:eastAsia="宋体" w:cs="Times New Roman"/>
          <w:color w:val="000000"/>
          <w:sz w:val="20"/>
          <w:lang w:val="en-US" w:eastAsia="zh-CN"/>
        </w:rPr>
        <w:t>33</w:t>
      </w:r>
      <w:r>
        <w:rPr>
          <w:rFonts w:hint="default" w:ascii="Times New Roman" w:hAnsi="Times New Roman" w:eastAsia="宋体" w:cs="Times New Roman"/>
          <w:color w:val="000000"/>
          <w:sz w:val="20"/>
        </w:rPr>
        <w:t>～表C．</w:t>
      </w:r>
      <w:r>
        <w:rPr>
          <w:rFonts w:hint="eastAsia" w:ascii="Times New Roman" w:hAnsi="Times New Roman" w:eastAsia="宋体" w:cs="Times New Roman"/>
          <w:color w:val="000000"/>
          <w:sz w:val="20"/>
          <w:lang w:val="en-US" w:eastAsia="zh-CN"/>
        </w:rPr>
        <w:t>43</w:t>
      </w:r>
      <w:r>
        <w:rPr>
          <w:rFonts w:hint="default" w:ascii="Times New Roman" w:hAnsi="Times New Roman" w:eastAsia="宋体" w:cs="Times New Roman"/>
          <w:color w:val="000000"/>
          <w:sz w:val="20"/>
        </w:rPr>
        <w:t>。</w:t>
      </w:r>
    </w:p>
    <w:p w14:paraId="0FB3E87E">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33</w:t>
      </w:r>
      <w:r>
        <w:rPr>
          <w:rFonts w:hint="default" w:ascii="黑体" w:eastAsia="黑体"/>
        </w:rPr>
        <w:t xml:space="preserve"> 用人单位确定检测的职业病危害因素接触限值一览表</w:t>
      </w: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30"/>
        <w:gridCol w:w="2636"/>
        <w:gridCol w:w="1455"/>
        <w:gridCol w:w="1622"/>
        <w:gridCol w:w="1449"/>
        <w:gridCol w:w="1866"/>
      </w:tblGrid>
      <w:tr w14:paraId="5076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56" w:type="pct"/>
            <w:vMerge w:val="restart"/>
            <w:vAlign w:val="center"/>
          </w:tcPr>
          <w:p w14:paraId="15CC504F">
            <w:pPr>
              <w:pStyle w:val="41"/>
              <w:jc w:val="center"/>
              <w:rPr>
                <w:rFonts w:hint="default" w:ascii="Times New Roman"/>
                <w:sz w:val="18"/>
              </w:rPr>
            </w:pPr>
            <w:r>
              <w:rPr>
                <w:rFonts w:hint="default" w:ascii="Times New Roman"/>
                <w:sz w:val="18"/>
              </w:rPr>
              <w:t>序号</w:t>
            </w:r>
          </w:p>
        </w:tc>
        <w:tc>
          <w:tcPr>
            <w:tcW w:w="1297" w:type="pct"/>
            <w:vMerge w:val="restart"/>
            <w:vAlign w:val="center"/>
          </w:tcPr>
          <w:p w14:paraId="635B5C90">
            <w:pPr>
              <w:pStyle w:val="41"/>
              <w:jc w:val="center"/>
              <w:rPr>
                <w:rFonts w:hint="default" w:ascii="Times New Roman"/>
                <w:sz w:val="18"/>
              </w:rPr>
            </w:pPr>
            <w:r>
              <w:rPr>
                <w:rFonts w:hint="default" w:ascii="Times New Roman"/>
                <w:sz w:val="18"/>
              </w:rPr>
              <w:t>职业病危害因素名称</w:t>
            </w:r>
          </w:p>
        </w:tc>
        <w:tc>
          <w:tcPr>
            <w:tcW w:w="3145" w:type="pct"/>
            <w:gridSpan w:val="4"/>
            <w:vAlign w:val="center"/>
          </w:tcPr>
          <w:p w14:paraId="72562E0D">
            <w:pPr>
              <w:pStyle w:val="41"/>
              <w:jc w:val="center"/>
              <w:rPr>
                <w:rFonts w:hint="default" w:ascii="Times New Roman"/>
                <w:sz w:val="18"/>
              </w:rPr>
            </w:pPr>
            <w:r>
              <w:rPr>
                <w:rFonts w:hint="default" w:ascii="Times New Roman"/>
                <w:sz w:val="18"/>
              </w:rPr>
              <w:t>职业接触限值</w:t>
            </w:r>
          </w:p>
        </w:tc>
      </w:tr>
      <w:tr w14:paraId="6ADC6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56" w:type="pct"/>
            <w:vMerge w:val="continue"/>
            <w:vAlign w:val="center"/>
          </w:tcPr>
          <w:p w14:paraId="665DD6CB">
            <w:pPr>
              <w:pStyle w:val="41"/>
              <w:jc w:val="center"/>
              <w:rPr>
                <w:rFonts w:hint="default" w:ascii="Times New Roman"/>
                <w:sz w:val="18"/>
              </w:rPr>
            </w:pPr>
          </w:p>
        </w:tc>
        <w:tc>
          <w:tcPr>
            <w:tcW w:w="1297" w:type="pct"/>
            <w:vMerge w:val="continue"/>
            <w:vAlign w:val="center"/>
          </w:tcPr>
          <w:p w14:paraId="3670F2D8">
            <w:pPr>
              <w:pStyle w:val="41"/>
              <w:jc w:val="center"/>
              <w:rPr>
                <w:rFonts w:hint="default" w:ascii="Times New Roman"/>
                <w:sz w:val="18"/>
              </w:rPr>
            </w:pPr>
          </w:p>
        </w:tc>
        <w:tc>
          <w:tcPr>
            <w:tcW w:w="716" w:type="pct"/>
            <w:vAlign w:val="center"/>
          </w:tcPr>
          <w:p w14:paraId="6479FCBA">
            <w:pPr>
              <w:pStyle w:val="41"/>
              <w:jc w:val="center"/>
              <w:rPr>
                <w:rFonts w:hint="default" w:ascii="Times New Roman"/>
                <w:sz w:val="18"/>
              </w:rPr>
            </w:pPr>
            <w:r>
              <w:rPr>
                <w:rFonts w:hint="default" w:ascii="Times New Roman"/>
                <w:sz w:val="18"/>
              </w:rPr>
              <w:t>PC-TWA</w:t>
            </w:r>
          </w:p>
        </w:tc>
        <w:tc>
          <w:tcPr>
            <w:tcW w:w="798" w:type="pct"/>
            <w:vAlign w:val="center"/>
          </w:tcPr>
          <w:p w14:paraId="5B75E432">
            <w:pPr>
              <w:pStyle w:val="41"/>
              <w:jc w:val="center"/>
              <w:rPr>
                <w:rFonts w:hint="default" w:ascii="Times New Roman"/>
                <w:sz w:val="18"/>
              </w:rPr>
            </w:pPr>
            <w:r>
              <w:rPr>
                <w:rFonts w:hint="default" w:ascii="Times New Roman"/>
                <w:sz w:val="18"/>
              </w:rPr>
              <w:t>PC-STEL</w:t>
            </w:r>
          </w:p>
        </w:tc>
        <w:tc>
          <w:tcPr>
            <w:tcW w:w="713" w:type="pct"/>
            <w:vAlign w:val="center"/>
          </w:tcPr>
          <w:p w14:paraId="213B6474">
            <w:pPr>
              <w:pStyle w:val="41"/>
              <w:jc w:val="center"/>
              <w:rPr>
                <w:rFonts w:hint="default" w:ascii="Times New Roman"/>
                <w:sz w:val="18"/>
              </w:rPr>
            </w:pPr>
            <w:r>
              <w:rPr>
                <w:rFonts w:hint="default" w:ascii="Times New Roman"/>
                <w:sz w:val="18"/>
              </w:rPr>
              <w:t>MAC</w:t>
            </w:r>
          </w:p>
        </w:tc>
        <w:tc>
          <w:tcPr>
            <w:tcW w:w="917" w:type="pct"/>
            <w:vAlign w:val="center"/>
          </w:tcPr>
          <w:p w14:paraId="4E42BFAD">
            <w:pPr>
              <w:pStyle w:val="41"/>
              <w:jc w:val="center"/>
              <w:rPr>
                <w:rFonts w:hint="default" w:ascii="Times New Roman"/>
                <w:sz w:val="18"/>
              </w:rPr>
            </w:pPr>
            <w:r>
              <w:rPr>
                <w:rFonts w:hint="default" w:ascii="Times New Roman"/>
                <w:sz w:val="18"/>
              </w:rPr>
              <w:t>峰接触浓度</w:t>
            </w:r>
          </w:p>
        </w:tc>
      </w:tr>
      <w:tr w14:paraId="5004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56" w:type="pct"/>
            <w:vAlign w:val="center"/>
          </w:tcPr>
          <w:p w14:paraId="6F555374">
            <w:pPr>
              <w:rPr>
                <w:rFonts w:hint="default" w:ascii="Times New Roman" w:hAnsi="Times New Roman" w:cs="Times New Roman"/>
              </w:rPr>
            </w:pPr>
          </w:p>
        </w:tc>
        <w:tc>
          <w:tcPr>
            <w:tcW w:w="1297" w:type="pct"/>
            <w:vAlign w:val="center"/>
          </w:tcPr>
          <w:p w14:paraId="038FD088">
            <w:pPr>
              <w:rPr>
                <w:rFonts w:hint="default" w:ascii="Times New Roman" w:hAnsi="Times New Roman" w:cs="Times New Roman"/>
              </w:rPr>
            </w:pPr>
          </w:p>
        </w:tc>
        <w:tc>
          <w:tcPr>
            <w:tcW w:w="716" w:type="pct"/>
            <w:vAlign w:val="center"/>
          </w:tcPr>
          <w:p w14:paraId="3564113E">
            <w:pPr>
              <w:rPr>
                <w:rFonts w:hint="default" w:ascii="Times New Roman" w:hAnsi="Times New Roman" w:cs="Times New Roman"/>
              </w:rPr>
            </w:pPr>
          </w:p>
        </w:tc>
        <w:tc>
          <w:tcPr>
            <w:tcW w:w="798" w:type="pct"/>
            <w:vAlign w:val="center"/>
          </w:tcPr>
          <w:p w14:paraId="19A02F9B">
            <w:pPr>
              <w:rPr>
                <w:rFonts w:hint="default" w:ascii="Times New Roman" w:hAnsi="Times New Roman" w:cs="Times New Roman"/>
              </w:rPr>
            </w:pPr>
          </w:p>
        </w:tc>
        <w:tc>
          <w:tcPr>
            <w:tcW w:w="713" w:type="pct"/>
            <w:vAlign w:val="center"/>
          </w:tcPr>
          <w:p w14:paraId="735454D7">
            <w:pPr>
              <w:rPr>
                <w:rFonts w:hint="default" w:ascii="Times New Roman" w:hAnsi="Times New Roman" w:cs="Times New Roman"/>
              </w:rPr>
            </w:pPr>
          </w:p>
        </w:tc>
        <w:tc>
          <w:tcPr>
            <w:tcW w:w="917" w:type="pct"/>
            <w:vAlign w:val="center"/>
          </w:tcPr>
          <w:p w14:paraId="7EBEF45C">
            <w:pPr>
              <w:rPr>
                <w:rFonts w:hint="default" w:ascii="Times New Roman" w:hAnsi="Times New Roman" w:cs="Times New Roman"/>
              </w:rPr>
            </w:pPr>
          </w:p>
        </w:tc>
      </w:tr>
      <w:tr w14:paraId="0779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556" w:type="pct"/>
            <w:vAlign w:val="center"/>
          </w:tcPr>
          <w:p w14:paraId="1DBA8FA9">
            <w:pPr>
              <w:rPr>
                <w:rFonts w:hint="default" w:ascii="Times New Roman" w:hAnsi="Times New Roman" w:cs="Times New Roman"/>
              </w:rPr>
            </w:pPr>
          </w:p>
        </w:tc>
        <w:tc>
          <w:tcPr>
            <w:tcW w:w="1297" w:type="pct"/>
            <w:vAlign w:val="center"/>
          </w:tcPr>
          <w:p w14:paraId="4E0C8A03">
            <w:pPr>
              <w:rPr>
                <w:rFonts w:hint="default" w:ascii="Times New Roman" w:hAnsi="Times New Roman" w:cs="Times New Roman"/>
              </w:rPr>
            </w:pPr>
          </w:p>
        </w:tc>
        <w:tc>
          <w:tcPr>
            <w:tcW w:w="716" w:type="pct"/>
            <w:vAlign w:val="center"/>
          </w:tcPr>
          <w:p w14:paraId="2C293EF2">
            <w:pPr>
              <w:rPr>
                <w:rFonts w:hint="default" w:ascii="Times New Roman" w:hAnsi="Times New Roman" w:cs="Times New Roman"/>
              </w:rPr>
            </w:pPr>
          </w:p>
        </w:tc>
        <w:tc>
          <w:tcPr>
            <w:tcW w:w="798" w:type="pct"/>
            <w:vAlign w:val="center"/>
          </w:tcPr>
          <w:p w14:paraId="3B29191A">
            <w:pPr>
              <w:rPr>
                <w:rFonts w:hint="default" w:ascii="Times New Roman" w:hAnsi="Times New Roman" w:cs="Times New Roman"/>
              </w:rPr>
            </w:pPr>
          </w:p>
        </w:tc>
        <w:tc>
          <w:tcPr>
            <w:tcW w:w="713" w:type="pct"/>
            <w:vAlign w:val="center"/>
          </w:tcPr>
          <w:p w14:paraId="3E793139">
            <w:pPr>
              <w:rPr>
                <w:rFonts w:hint="default" w:ascii="Times New Roman" w:hAnsi="Times New Roman" w:cs="Times New Roman"/>
              </w:rPr>
            </w:pPr>
          </w:p>
        </w:tc>
        <w:tc>
          <w:tcPr>
            <w:tcW w:w="917" w:type="pct"/>
            <w:vAlign w:val="center"/>
          </w:tcPr>
          <w:p w14:paraId="1DA7F320">
            <w:pPr>
              <w:rPr>
                <w:rFonts w:hint="default" w:ascii="Times New Roman" w:hAnsi="Times New Roman" w:cs="Times New Roman"/>
              </w:rPr>
            </w:pPr>
          </w:p>
        </w:tc>
      </w:tr>
    </w:tbl>
    <w:p w14:paraId="523D27E5">
      <w:pPr>
        <w:spacing w:before="40" w:after="180" w:line="240" w:lineRule="exact"/>
        <w:ind w:firstLine="300"/>
        <w:rPr>
          <w:rFonts w:hint="default" w:ascii="Times New Roman" w:hAnsi="Times New Roman" w:eastAsia="宋体" w:cs="Times New Roman"/>
          <w:color w:val="000000"/>
          <w:sz w:val="18"/>
        </w:rPr>
      </w:pPr>
      <w:r>
        <w:rPr>
          <w:rFonts w:hint="default" w:ascii="Times New Roman" w:hAnsi="Times New Roman" w:eastAsia="宋体" w:cs="Times New Roman"/>
          <w:color w:val="000000"/>
          <w:sz w:val="18"/>
        </w:rPr>
        <w:t>注：“职业接触限值”依据 GBZ 2.1、GBZ 2.2的具体要求确定或参照确定，不一定全部涉及。</w:t>
      </w:r>
    </w:p>
    <w:p w14:paraId="72B8EFCD">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34</w:t>
      </w:r>
      <w:r>
        <w:rPr>
          <w:rFonts w:hint="default" w:ascii="黑体" w:eastAsia="黑体"/>
        </w:rPr>
        <w:t xml:space="preserve"> 用人单位检测点（采样对象）设置情况一览表</w:t>
      </w:r>
    </w:p>
    <w:tbl>
      <w:tblPr>
        <w:tblStyle w:val="6"/>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30"/>
        <w:gridCol w:w="1130"/>
        <w:gridCol w:w="1388"/>
        <w:gridCol w:w="1664"/>
        <w:gridCol w:w="1365"/>
        <w:gridCol w:w="1408"/>
        <w:gridCol w:w="2051"/>
      </w:tblGrid>
      <w:tr w14:paraId="23523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73" w:hRule="atLeast"/>
        </w:trPr>
        <w:tc>
          <w:tcPr>
            <w:tcW w:w="557" w:type="pct"/>
            <w:vAlign w:val="center"/>
          </w:tcPr>
          <w:p w14:paraId="1F8C721C">
            <w:pPr>
              <w:pStyle w:val="41"/>
              <w:spacing w:line="240" w:lineRule="auto"/>
              <w:jc w:val="center"/>
              <w:rPr>
                <w:rFonts w:hint="default" w:ascii="Times New Roman"/>
                <w:sz w:val="18"/>
              </w:rPr>
            </w:pPr>
            <w:r>
              <w:rPr>
                <w:rFonts w:hint="default" w:ascii="Times New Roman"/>
                <w:sz w:val="18"/>
              </w:rPr>
              <w:t>单元名称</w:t>
            </w:r>
          </w:p>
        </w:tc>
        <w:tc>
          <w:tcPr>
            <w:tcW w:w="557" w:type="pct"/>
            <w:vAlign w:val="center"/>
          </w:tcPr>
          <w:p w14:paraId="14E9B983">
            <w:pPr>
              <w:pStyle w:val="41"/>
              <w:spacing w:line="240" w:lineRule="auto"/>
              <w:jc w:val="center"/>
              <w:rPr>
                <w:rFonts w:hint="default" w:ascii="Times New Roman"/>
                <w:sz w:val="18"/>
              </w:rPr>
            </w:pPr>
            <w:r>
              <w:rPr>
                <w:rFonts w:hint="default" w:ascii="Times New Roman"/>
                <w:sz w:val="18"/>
              </w:rPr>
              <w:t>评价工种</w:t>
            </w:r>
          </w:p>
        </w:tc>
        <w:tc>
          <w:tcPr>
            <w:tcW w:w="684" w:type="pct"/>
            <w:vAlign w:val="center"/>
          </w:tcPr>
          <w:p w14:paraId="34A421D3">
            <w:pPr>
              <w:pStyle w:val="41"/>
              <w:spacing w:line="240" w:lineRule="auto"/>
              <w:jc w:val="center"/>
              <w:rPr>
                <w:rFonts w:hint="default" w:ascii="Times New Roman"/>
                <w:sz w:val="18"/>
              </w:rPr>
            </w:pPr>
            <w:r>
              <w:rPr>
                <w:rFonts w:hint="default" w:ascii="Times New Roman"/>
                <w:sz w:val="18"/>
              </w:rPr>
              <w:t>检测地点</w:t>
            </w:r>
          </w:p>
          <w:p w14:paraId="7F91294C">
            <w:pPr>
              <w:pStyle w:val="41"/>
              <w:spacing w:line="240" w:lineRule="auto"/>
              <w:jc w:val="center"/>
              <w:rPr>
                <w:rFonts w:hint="default" w:ascii="Times New Roman"/>
                <w:sz w:val="18"/>
              </w:rPr>
            </w:pPr>
            <w:r>
              <w:rPr>
                <w:rFonts w:hint="default" w:ascii="Times New Roman"/>
                <w:sz w:val="18"/>
              </w:rPr>
              <w:t>（采样对象）</w:t>
            </w:r>
          </w:p>
        </w:tc>
        <w:tc>
          <w:tcPr>
            <w:tcW w:w="820" w:type="pct"/>
            <w:vAlign w:val="center"/>
          </w:tcPr>
          <w:p w14:paraId="4207763B">
            <w:pPr>
              <w:pStyle w:val="41"/>
              <w:spacing w:line="240" w:lineRule="auto"/>
              <w:jc w:val="center"/>
              <w:rPr>
                <w:rFonts w:hint="default" w:ascii="Times New Roman"/>
                <w:sz w:val="18"/>
              </w:rPr>
            </w:pPr>
            <w:r>
              <w:rPr>
                <w:rFonts w:hint="default" w:ascii="Times New Roman"/>
                <w:sz w:val="18"/>
              </w:rPr>
              <w:t>检测项目</w:t>
            </w:r>
          </w:p>
        </w:tc>
        <w:tc>
          <w:tcPr>
            <w:tcW w:w="673" w:type="pct"/>
            <w:vAlign w:val="center"/>
          </w:tcPr>
          <w:p w14:paraId="427F2032">
            <w:pPr>
              <w:pStyle w:val="41"/>
              <w:spacing w:line="240" w:lineRule="auto"/>
              <w:jc w:val="center"/>
              <w:rPr>
                <w:rFonts w:hint="default" w:ascii="Times New Roman"/>
                <w:sz w:val="18"/>
              </w:rPr>
            </w:pPr>
            <w:r>
              <w:rPr>
                <w:rFonts w:hint="default" w:ascii="Times New Roman"/>
                <w:sz w:val="18"/>
              </w:rPr>
              <w:t>检测点号</w:t>
            </w:r>
          </w:p>
          <w:p w14:paraId="05DF5F2B">
            <w:pPr>
              <w:pStyle w:val="41"/>
              <w:spacing w:line="240" w:lineRule="auto"/>
              <w:jc w:val="center"/>
              <w:rPr>
                <w:rFonts w:hint="default" w:ascii="Times New Roman"/>
                <w:sz w:val="18"/>
              </w:rPr>
            </w:pPr>
            <w:r>
              <w:rPr>
                <w:rFonts w:hint="default" w:ascii="Times New Roman"/>
                <w:sz w:val="18"/>
              </w:rPr>
              <w:t>（采样对象）</w:t>
            </w:r>
          </w:p>
        </w:tc>
        <w:tc>
          <w:tcPr>
            <w:tcW w:w="694" w:type="pct"/>
            <w:vAlign w:val="center"/>
          </w:tcPr>
          <w:p w14:paraId="4A0BD95A">
            <w:pPr>
              <w:pStyle w:val="41"/>
              <w:spacing w:line="240" w:lineRule="auto"/>
              <w:jc w:val="center"/>
              <w:rPr>
                <w:rFonts w:hint="default" w:ascii="Times New Roman"/>
                <w:sz w:val="18"/>
              </w:rPr>
            </w:pPr>
            <w:r>
              <w:rPr>
                <w:rFonts w:hint="default" w:ascii="Times New Roman"/>
                <w:sz w:val="18"/>
              </w:rPr>
              <w:t>检测点数（采</w:t>
            </w:r>
          </w:p>
          <w:p w14:paraId="1CAA9E04">
            <w:pPr>
              <w:pStyle w:val="41"/>
              <w:spacing w:line="240" w:lineRule="auto"/>
              <w:jc w:val="center"/>
              <w:rPr>
                <w:rFonts w:hint="default" w:ascii="Times New Roman"/>
                <w:sz w:val="18"/>
              </w:rPr>
            </w:pPr>
            <w:r>
              <w:rPr>
                <w:rFonts w:hint="default" w:ascii="Times New Roman"/>
                <w:sz w:val="18"/>
              </w:rPr>
              <w:t>样对象数量）</w:t>
            </w:r>
          </w:p>
        </w:tc>
        <w:tc>
          <w:tcPr>
            <w:tcW w:w="1011" w:type="pct"/>
            <w:vAlign w:val="center"/>
          </w:tcPr>
          <w:p w14:paraId="00A1842F">
            <w:pPr>
              <w:pStyle w:val="41"/>
              <w:spacing w:line="240" w:lineRule="auto"/>
              <w:jc w:val="center"/>
              <w:rPr>
                <w:rFonts w:hint="default" w:ascii="Times New Roman"/>
                <w:sz w:val="18"/>
              </w:rPr>
            </w:pPr>
            <w:r>
              <w:rPr>
                <w:rFonts w:hint="default" w:ascii="Times New Roman"/>
                <w:sz w:val="18"/>
              </w:rPr>
              <w:t>总检测次数</w:t>
            </w:r>
          </w:p>
          <w:p w14:paraId="6875D340">
            <w:pPr>
              <w:pStyle w:val="41"/>
              <w:spacing w:line="240" w:lineRule="auto"/>
              <w:jc w:val="center"/>
              <w:rPr>
                <w:rFonts w:hint="default" w:ascii="Times New Roman"/>
                <w:sz w:val="18"/>
              </w:rPr>
            </w:pPr>
            <w:r>
              <w:rPr>
                <w:rFonts w:hint="default" w:ascii="Times New Roman"/>
                <w:sz w:val="18"/>
              </w:rPr>
              <w:t>（采样对象总数量）</w:t>
            </w:r>
          </w:p>
        </w:tc>
      </w:tr>
      <w:tr w14:paraId="0C9A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2" w:hRule="atLeast"/>
        </w:trPr>
        <w:tc>
          <w:tcPr>
            <w:tcW w:w="557" w:type="pct"/>
            <w:vAlign w:val="center"/>
          </w:tcPr>
          <w:p w14:paraId="504F59C6">
            <w:pPr>
              <w:rPr>
                <w:rFonts w:hint="default" w:ascii="Times New Roman" w:hAnsi="Times New Roman" w:cs="Times New Roman"/>
              </w:rPr>
            </w:pPr>
          </w:p>
        </w:tc>
        <w:tc>
          <w:tcPr>
            <w:tcW w:w="557" w:type="pct"/>
            <w:vAlign w:val="center"/>
          </w:tcPr>
          <w:p w14:paraId="2DC08795">
            <w:pPr>
              <w:rPr>
                <w:rFonts w:hint="default" w:ascii="Times New Roman" w:hAnsi="Times New Roman" w:cs="Times New Roman"/>
              </w:rPr>
            </w:pPr>
          </w:p>
        </w:tc>
        <w:tc>
          <w:tcPr>
            <w:tcW w:w="684" w:type="pct"/>
            <w:vAlign w:val="center"/>
          </w:tcPr>
          <w:p w14:paraId="428A9DA0">
            <w:pPr>
              <w:rPr>
                <w:rFonts w:hint="default" w:ascii="Times New Roman" w:hAnsi="Times New Roman" w:cs="Times New Roman"/>
              </w:rPr>
            </w:pPr>
          </w:p>
        </w:tc>
        <w:tc>
          <w:tcPr>
            <w:tcW w:w="820" w:type="pct"/>
            <w:vAlign w:val="center"/>
          </w:tcPr>
          <w:p w14:paraId="5DB25E4A">
            <w:pPr>
              <w:rPr>
                <w:rFonts w:hint="default" w:ascii="Times New Roman" w:hAnsi="Times New Roman" w:cs="Times New Roman"/>
              </w:rPr>
            </w:pPr>
          </w:p>
        </w:tc>
        <w:tc>
          <w:tcPr>
            <w:tcW w:w="673" w:type="pct"/>
            <w:vAlign w:val="center"/>
          </w:tcPr>
          <w:p w14:paraId="4F687A7D">
            <w:pPr>
              <w:rPr>
                <w:rFonts w:hint="default" w:ascii="Times New Roman" w:hAnsi="Times New Roman" w:cs="Times New Roman"/>
              </w:rPr>
            </w:pPr>
          </w:p>
        </w:tc>
        <w:tc>
          <w:tcPr>
            <w:tcW w:w="694" w:type="pct"/>
            <w:vAlign w:val="center"/>
          </w:tcPr>
          <w:p w14:paraId="53383642">
            <w:pPr>
              <w:rPr>
                <w:rFonts w:hint="default" w:ascii="Times New Roman" w:hAnsi="Times New Roman" w:cs="Times New Roman"/>
              </w:rPr>
            </w:pPr>
          </w:p>
        </w:tc>
        <w:tc>
          <w:tcPr>
            <w:tcW w:w="1011" w:type="pct"/>
            <w:vAlign w:val="center"/>
          </w:tcPr>
          <w:p w14:paraId="4025912C">
            <w:pPr>
              <w:rPr>
                <w:rFonts w:hint="default" w:ascii="Times New Roman" w:hAnsi="Times New Roman" w:cs="Times New Roman"/>
              </w:rPr>
            </w:pPr>
          </w:p>
        </w:tc>
      </w:tr>
      <w:tr w14:paraId="5072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557" w:type="pct"/>
            <w:vAlign w:val="center"/>
          </w:tcPr>
          <w:p w14:paraId="46B6DEAC">
            <w:pPr>
              <w:rPr>
                <w:rFonts w:hint="default" w:ascii="Times New Roman" w:hAnsi="Times New Roman" w:cs="Times New Roman"/>
              </w:rPr>
            </w:pPr>
          </w:p>
        </w:tc>
        <w:tc>
          <w:tcPr>
            <w:tcW w:w="557" w:type="pct"/>
            <w:vAlign w:val="center"/>
          </w:tcPr>
          <w:p w14:paraId="2BDA2AD6">
            <w:pPr>
              <w:rPr>
                <w:rFonts w:hint="default" w:ascii="Times New Roman" w:hAnsi="Times New Roman" w:cs="Times New Roman"/>
              </w:rPr>
            </w:pPr>
          </w:p>
        </w:tc>
        <w:tc>
          <w:tcPr>
            <w:tcW w:w="684" w:type="pct"/>
            <w:vAlign w:val="center"/>
          </w:tcPr>
          <w:p w14:paraId="46D1335B">
            <w:pPr>
              <w:rPr>
                <w:rFonts w:hint="default" w:ascii="Times New Roman" w:hAnsi="Times New Roman" w:cs="Times New Roman"/>
              </w:rPr>
            </w:pPr>
          </w:p>
        </w:tc>
        <w:tc>
          <w:tcPr>
            <w:tcW w:w="820" w:type="pct"/>
            <w:vAlign w:val="center"/>
          </w:tcPr>
          <w:p w14:paraId="74D94030">
            <w:pPr>
              <w:rPr>
                <w:rFonts w:hint="default" w:ascii="Times New Roman" w:hAnsi="Times New Roman" w:cs="Times New Roman"/>
              </w:rPr>
            </w:pPr>
          </w:p>
        </w:tc>
        <w:tc>
          <w:tcPr>
            <w:tcW w:w="673" w:type="pct"/>
            <w:vAlign w:val="center"/>
          </w:tcPr>
          <w:p w14:paraId="20825C90">
            <w:pPr>
              <w:rPr>
                <w:rFonts w:hint="default" w:ascii="Times New Roman" w:hAnsi="Times New Roman" w:cs="Times New Roman"/>
              </w:rPr>
            </w:pPr>
          </w:p>
        </w:tc>
        <w:tc>
          <w:tcPr>
            <w:tcW w:w="694" w:type="pct"/>
            <w:vAlign w:val="center"/>
          </w:tcPr>
          <w:p w14:paraId="451B01BC">
            <w:pPr>
              <w:rPr>
                <w:rFonts w:hint="default" w:ascii="Times New Roman" w:hAnsi="Times New Roman" w:cs="Times New Roman"/>
              </w:rPr>
            </w:pPr>
          </w:p>
        </w:tc>
        <w:tc>
          <w:tcPr>
            <w:tcW w:w="1011" w:type="pct"/>
            <w:vAlign w:val="center"/>
          </w:tcPr>
          <w:p w14:paraId="52D42493">
            <w:pPr>
              <w:rPr>
                <w:rFonts w:hint="default" w:ascii="Times New Roman" w:hAnsi="Times New Roman" w:cs="Times New Roman"/>
              </w:rPr>
            </w:pPr>
          </w:p>
        </w:tc>
      </w:tr>
    </w:tbl>
    <w:p w14:paraId="3D7B58E1">
      <w:pPr>
        <w:spacing w:line="1" w:lineRule="exact"/>
        <w:rPr>
          <w:rFonts w:hint="default" w:ascii="Times New Roman" w:hAnsi="Times New Roman" w:cs="Times New Roman"/>
        </w:rPr>
      </w:pPr>
    </w:p>
    <w:p w14:paraId="468C4A47">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35</w:t>
      </w:r>
      <w:r>
        <w:rPr>
          <w:rFonts w:hint="default" w:ascii="黑体" w:eastAsia="黑体"/>
        </w:rPr>
        <w:t xml:space="preserve"> 检测项目与采样方法一览表</w:t>
      </w:r>
    </w:p>
    <w:tbl>
      <w:tblPr>
        <w:tblStyle w:val="6"/>
        <w:tblW w:w="50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07"/>
        <w:gridCol w:w="1247"/>
        <w:gridCol w:w="1764"/>
        <w:gridCol w:w="1545"/>
        <w:gridCol w:w="1553"/>
        <w:gridCol w:w="1418"/>
        <w:gridCol w:w="1981"/>
      </w:tblGrid>
      <w:tr w14:paraId="2B8A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69" w:hRule="atLeast"/>
        </w:trPr>
        <w:tc>
          <w:tcPr>
            <w:tcW w:w="346" w:type="pct"/>
            <w:vAlign w:val="center"/>
          </w:tcPr>
          <w:p w14:paraId="66E047F1">
            <w:pPr>
              <w:pStyle w:val="41"/>
              <w:spacing w:line="240" w:lineRule="auto"/>
              <w:jc w:val="center"/>
              <w:rPr>
                <w:rFonts w:hint="default" w:ascii="Times New Roman"/>
                <w:sz w:val="18"/>
              </w:rPr>
            </w:pPr>
            <w:r>
              <w:rPr>
                <w:rFonts w:hint="default" w:ascii="Times New Roman"/>
                <w:sz w:val="18"/>
              </w:rPr>
              <w:t>序号</w:t>
            </w:r>
          </w:p>
        </w:tc>
        <w:tc>
          <w:tcPr>
            <w:tcW w:w="610" w:type="pct"/>
            <w:vAlign w:val="center"/>
          </w:tcPr>
          <w:p w14:paraId="62F2A985">
            <w:pPr>
              <w:pStyle w:val="41"/>
              <w:spacing w:line="240" w:lineRule="auto"/>
              <w:jc w:val="center"/>
              <w:rPr>
                <w:rFonts w:hint="default" w:ascii="Times New Roman"/>
                <w:sz w:val="18"/>
              </w:rPr>
            </w:pPr>
            <w:r>
              <w:rPr>
                <w:rFonts w:hint="default" w:ascii="Times New Roman"/>
                <w:sz w:val="18"/>
              </w:rPr>
              <w:t>检测项目</w:t>
            </w:r>
          </w:p>
        </w:tc>
        <w:tc>
          <w:tcPr>
            <w:tcW w:w="863" w:type="pct"/>
            <w:vAlign w:val="center"/>
          </w:tcPr>
          <w:p w14:paraId="7B7E894D">
            <w:pPr>
              <w:pStyle w:val="41"/>
              <w:spacing w:line="240" w:lineRule="auto"/>
              <w:jc w:val="center"/>
              <w:rPr>
                <w:rFonts w:hint="default" w:ascii="Times New Roman"/>
                <w:sz w:val="18"/>
              </w:rPr>
            </w:pPr>
            <w:r>
              <w:rPr>
                <w:rFonts w:hint="default" w:ascii="Times New Roman"/>
                <w:sz w:val="18"/>
              </w:rPr>
              <w:t>检测方法</w:t>
            </w:r>
          </w:p>
        </w:tc>
        <w:tc>
          <w:tcPr>
            <w:tcW w:w="756" w:type="pct"/>
            <w:vAlign w:val="center"/>
          </w:tcPr>
          <w:p w14:paraId="61995585">
            <w:pPr>
              <w:pStyle w:val="41"/>
              <w:spacing w:line="240" w:lineRule="auto"/>
              <w:jc w:val="center"/>
              <w:rPr>
                <w:rFonts w:hint="default" w:ascii="Times New Roman"/>
                <w:sz w:val="18"/>
              </w:rPr>
            </w:pPr>
            <w:r>
              <w:rPr>
                <w:rFonts w:hint="default" w:ascii="Times New Roman"/>
                <w:sz w:val="18"/>
              </w:rPr>
              <w:t>采样设备</w:t>
            </w:r>
          </w:p>
        </w:tc>
        <w:tc>
          <w:tcPr>
            <w:tcW w:w="760" w:type="pct"/>
            <w:vAlign w:val="center"/>
          </w:tcPr>
          <w:p w14:paraId="4DB91B8D">
            <w:pPr>
              <w:pStyle w:val="41"/>
              <w:spacing w:line="240" w:lineRule="auto"/>
              <w:jc w:val="center"/>
              <w:rPr>
                <w:rFonts w:hint="default" w:ascii="Times New Roman"/>
                <w:sz w:val="18"/>
              </w:rPr>
            </w:pPr>
            <w:r>
              <w:rPr>
                <w:rFonts w:hint="default" w:ascii="Times New Roman"/>
                <w:sz w:val="18"/>
              </w:rPr>
              <w:t>采样参数</w:t>
            </w:r>
          </w:p>
          <w:p w14:paraId="73771721">
            <w:pPr>
              <w:pStyle w:val="41"/>
              <w:spacing w:line="240" w:lineRule="auto"/>
              <w:jc w:val="center"/>
              <w:rPr>
                <w:rFonts w:hint="default" w:ascii="Times New Roman"/>
                <w:sz w:val="18"/>
              </w:rPr>
            </w:pPr>
            <w:r>
              <w:rPr>
                <w:rFonts w:hint="default" w:ascii="Times New Roman"/>
                <w:sz w:val="18"/>
              </w:rPr>
              <w:t>（采样流量、</w:t>
            </w:r>
          </w:p>
          <w:p w14:paraId="215A79C2">
            <w:pPr>
              <w:pStyle w:val="41"/>
              <w:spacing w:line="240" w:lineRule="auto"/>
              <w:jc w:val="center"/>
              <w:rPr>
                <w:rFonts w:hint="default" w:ascii="Times New Roman"/>
                <w:sz w:val="18"/>
              </w:rPr>
            </w:pPr>
            <w:r>
              <w:rPr>
                <w:rFonts w:hint="default" w:ascii="Times New Roman"/>
                <w:sz w:val="18"/>
              </w:rPr>
              <w:t>采样时间）</w:t>
            </w:r>
          </w:p>
        </w:tc>
        <w:tc>
          <w:tcPr>
            <w:tcW w:w="694" w:type="pct"/>
            <w:vAlign w:val="center"/>
          </w:tcPr>
          <w:p w14:paraId="0CAF31C1">
            <w:pPr>
              <w:pStyle w:val="41"/>
              <w:spacing w:line="240" w:lineRule="auto"/>
              <w:jc w:val="center"/>
              <w:rPr>
                <w:rFonts w:hint="default" w:ascii="Times New Roman"/>
                <w:sz w:val="18"/>
              </w:rPr>
            </w:pPr>
            <w:r>
              <w:rPr>
                <w:rFonts w:hint="default" w:ascii="Times New Roman"/>
                <w:sz w:val="18"/>
              </w:rPr>
              <w:t>检测设备</w:t>
            </w:r>
          </w:p>
        </w:tc>
        <w:tc>
          <w:tcPr>
            <w:tcW w:w="969" w:type="pct"/>
            <w:vAlign w:val="center"/>
          </w:tcPr>
          <w:p w14:paraId="754AA536">
            <w:pPr>
              <w:pStyle w:val="41"/>
              <w:spacing w:line="240" w:lineRule="auto"/>
              <w:jc w:val="center"/>
              <w:rPr>
                <w:rFonts w:hint="default" w:ascii="Times New Roman"/>
                <w:sz w:val="18"/>
              </w:rPr>
            </w:pPr>
            <w:r>
              <w:rPr>
                <w:rFonts w:hint="default" w:ascii="Times New Roman"/>
                <w:sz w:val="18"/>
              </w:rPr>
              <w:t>采样方式</w:t>
            </w:r>
          </w:p>
        </w:tc>
      </w:tr>
      <w:tr w14:paraId="2D86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trPr>
        <w:tc>
          <w:tcPr>
            <w:tcW w:w="346" w:type="pct"/>
            <w:vAlign w:val="center"/>
          </w:tcPr>
          <w:p w14:paraId="61164885">
            <w:pPr>
              <w:rPr>
                <w:rFonts w:hint="default" w:ascii="Times New Roman" w:hAnsi="Times New Roman" w:cs="Times New Roman"/>
              </w:rPr>
            </w:pPr>
          </w:p>
        </w:tc>
        <w:tc>
          <w:tcPr>
            <w:tcW w:w="610" w:type="pct"/>
            <w:vAlign w:val="center"/>
          </w:tcPr>
          <w:p w14:paraId="466ED77D">
            <w:pPr>
              <w:rPr>
                <w:rFonts w:hint="default" w:ascii="Times New Roman" w:hAnsi="Times New Roman" w:cs="Times New Roman"/>
              </w:rPr>
            </w:pPr>
          </w:p>
        </w:tc>
        <w:tc>
          <w:tcPr>
            <w:tcW w:w="863" w:type="pct"/>
            <w:vAlign w:val="center"/>
          </w:tcPr>
          <w:p w14:paraId="4193E803">
            <w:pPr>
              <w:rPr>
                <w:rFonts w:hint="default" w:ascii="Times New Roman" w:hAnsi="Times New Roman" w:cs="Times New Roman"/>
              </w:rPr>
            </w:pPr>
          </w:p>
        </w:tc>
        <w:tc>
          <w:tcPr>
            <w:tcW w:w="756" w:type="pct"/>
            <w:vAlign w:val="center"/>
          </w:tcPr>
          <w:p w14:paraId="0B01DD23">
            <w:pPr>
              <w:rPr>
                <w:rFonts w:hint="default" w:ascii="Times New Roman" w:hAnsi="Times New Roman" w:cs="Times New Roman"/>
              </w:rPr>
            </w:pPr>
          </w:p>
        </w:tc>
        <w:tc>
          <w:tcPr>
            <w:tcW w:w="760" w:type="pct"/>
            <w:vAlign w:val="center"/>
          </w:tcPr>
          <w:p w14:paraId="07C423E5">
            <w:pPr>
              <w:rPr>
                <w:rFonts w:hint="default" w:ascii="Times New Roman" w:hAnsi="Times New Roman" w:cs="Times New Roman"/>
              </w:rPr>
            </w:pPr>
          </w:p>
        </w:tc>
        <w:tc>
          <w:tcPr>
            <w:tcW w:w="694" w:type="pct"/>
            <w:vAlign w:val="center"/>
          </w:tcPr>
          <w:p w14:paraId="3A3C6B19">
            <w:pPr>
              <w:rPr>
                <w:rFonts w:hint="default" w:ascii="Times New Roman" w:hAnsi="Times New Roman" w:cs="Times New Roman"/>
              </w:rPr>
            </w:pPr>
          </w:p>
        </w:tc>
        <w:tc>
          <w:tcPr>
            <w:tcW w:w="969" w:type="pct"/>
            <w:vAlign w:val="center"/>
          </w:tcPr>
          <w:p w14:paraId="58362D6A">
            <w:pPr>
              <w:rPr>
                <w:rFonts w:hint="default" w:ascii="Times New Roman" w:hAnsi="Times New Roman" w:cs="Times New Roman"/>
              </w:rPr>
            </w:pPr>
          </w:p>
        </w:tc>
      </w:tr>
      <w:tr w14:paraId="054B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5" w:hRule="atLeast"/>
        </w:trPr>
        <w:tc>
          <w:tcPr>
            <w:tcW w:w="346" w:type="pct"/>
            <w:vAlign w:val="center"/>
          </w:tcPr>
          <w:p w14:paraId="71912495">
            <w:pPr>
              <w:rPr>
                <w:rFonts w:hint="default" w:ascii="Times New Roman" w:hAnsi="Times New Roman" w:cs="Times New Roman"/>
              </w:rPr>
            </w:pPr>
          </w:p>
        </w:tc>
        <w:tc>
          <w:tcPr>
            <w:tcW w:w="610" w:type="pct"/>
            <w:vAlign w:val="center"/>
          </w:tcPr>
          <w:p w14:paraId="02396F36">
            <w:pPr>
              <w:rPr>
                <w:rFonts w:hint="default" w:ascii="Times New Roman" w:hAnsi="Times New Roman" w:cs="Times New Roman"/>
              </w:rPr>
            </w:pPr>
          </w:p>
        </w:tc>
        <w:tc>
          <w:tcPr>
            <w:tcW w:w="863" w:type="pct"/>
            <w:vAlign w:val="center"/>
          </w:tcPr>
          <w:p w14:paraId="1C43E97A">
            <w:pPr>
              <w:rPr>
                <w:rFonts w:hint="default" w:ascii="Times New Roman" w:hAnsi="Times New Roman" w:cs="Times New Roman"/>
              </w:rPr>
            </w:pPr>
          </w:p>
        </w:tc>
        <w:tc>
          <w:tcPr>
            <w:tcW w:w="756" w:type="pct"/>
            <w:vAlign w:val="center"/>
          </w:tcPr>
          <w:p w14:paraId="1834DCD6">
            <w:pPr>
              <w:rPr>
                <w:rFonts w:hint="default" w:ascii="Times New Roman" w:hAnsi="Times New Roman" w:cs="Times New Roman"/>
              </w:rPr>
            </w:pPr>
          </w:p>
        </w:tc>
        <w:tc>
          <w:tcPr>
            <w:tcW w:w="760" w:type="pct"/>
            <w:vAlign w:val="center"/>
          </w:tcPr>
          <w:p w14:paraId="0D55DD6A">
            <w:pPr>
              <w:rPr>
                <w:rFonts w:hint="default" w:ascii="Times New Roman" w:hAnsi="Times New Roman" w:cs="Times New Roman"/>
              </w:rPr>
            </w:pPr>
          </w:p>
        </w:tc>
        <w:tc>
          <w:tcPr>
            <w:tcW w:w="694" w:type="pct"/>
            <w:vAlign w:val="center"/>
          </w:tcPr>
          <w:p w14:paraId="28FF2C6C">
            <w:pPr>
              <w:rPr>
                <w:rFonts w:hint="default" w:ascii="Times New Roman" w:hAnsi="Times New Roman" w:cs="Times New Roman"/>
              </w:rPr>
            </w:pPr>
          </w:p>
        </w:tc>
        <w:tc>
          <w:tcPr>
            <w:tcW w:w="969" w:type="pct"/>
            <w:vAlign w:val="center"/>
          </w:tcPr>
          <w:p w14:paraId="38ED8E94">
            <w:pPr>
              <w:rPr>
                <w:rFonts w:hint="default" w:ascii="Times New Roman" w:hAnsi="Times New Roman" w:cs="Times New Roman"/>
              </w:rPr>
            </w:pPr>
          </w:p>
        </w:tc>
      </w:tr>
    </w:tbl>
    <w:p w14:paraId="23744890">
      <w:pPr>
        <w:spacing w:before="40" w:after="180" w:line="240" w:lineRule="exact"/>
        <w:ind w:firstLine="300"/>
        <w:rPr>
          <w:rFonts w:hint="default" w:ascii="Times New Roman" w:hAnsi="Times New Roman" w:cs="Times New Roman"/>
        </w:rPr>
      </w:pPr>
      <w:r>
        <w:rPr>
          <w:rFonts w:hint="default" w:ascii="Times New Roman" w:hAnsi="Times New Roman" w:eastAsia="宋体" w:cs="Times New Roman"/>
          <w:color w:val="000000"/>
          <w:sz w:val="18"/>
        </w:rPr>
        <w:t>注：“采样方式”注明定点短时、定点长时、个体采样、仪器直读等。</w:t>
      </w:r>
    </w:p>
    <w:p w14:paraId="581C895B">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36</w:t>
      </w:r>
      <w:r>
        <w:rPr>
          <w:rFonts w:hint="default" w:ascii="黑体" w:eastAsia="黑体"/>
        </w:rPr>
        <w:t xml:space="preserve"> 检测日期天气特征记录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57"/>
        <w:gridCol w:w="1793"/>
        <w:gridCol w:w="1457"/>
        <w:gridCol w:w="1689"/>
        <w:gridCol w:w="1457"/>
        <w:gridCol w:w="1457"/>
        <w:gridCol w:w="846"/>
      </w:tblGrid>
      <w:tr w14:paraId="49F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3" w:hRule="atLeast"/>
        </w:trPr>
        <w:tc>
          <w:tcPr>
            <w:tcW w:w="717" w:type="pct"/>
            <w:vAlign w:val="center"/>
          </w:tcPr>
          <w:p w14:paraId="116C48D0">
            <w:pPr>
              <w:pStyle w:val="41"/>
              <w:jc w:val="center"/>
              <w:rPr>
                <w:rFonts w:hint="default" w:ascii="Times New Roman"/>
                <w:sz w:val="18"/>
              </w:rPr>
            </w:pPr>
            <w:r>
              <w:rPr>
                <w:rFonts w:hint="default" w:ascii="Times New Roman"/>
                <w:sz w:val="18"/>
              </w:rPr>
              <w:t>检测日期</w:t>
            </w:r>
          </w:p>
        </w:tc>
        <w:tc>
          <w:tcPr>
            <w:tcW w:w="882" w:type="pct"/>
            <w:vAlign w:val="center"/>
          </w:tcPr>
          <w:p w14:paraId="2169154E">
            <w:pPr>
              <w:pStyle w:val="41"/>
              <w:jc w:val="center"/>
              <w:rPr>
                <w:rFonts w:hint="default" w:ascii="Times New Roman"/>
                <w:sz w:val="18"/>
              </w:rPr>
            </w:pPr>
            <w:r>
              <w:rPr>
                <w:rFonts w:hint="default" w:ascii="Times New Roman"/>
                <w:sz w:val="18"/>
              </w:rPr>
              <w:t>天气情况</w:t>
            </w:r>
          </w:p>
        </w:tc>
        <w:tc>
          <w:tcPr>
            <w:tcW w:w="717" w:type="pct"/>
            <w:vAlign w:val="center"/>
          </w:tcPr>
          <w:p w14:paraId="20D340F3">
            <w:pPr>
              <w:pStyle w:val="41"/>
              <w:jc w:val="center"/>
              <w:rPr>
                <w:rFonts w:hint="default" w:ascii="Times New Roman"/>
                <w:sz w:val="18"/>
              </w:rPr>
            </w:pPr>
            <w:r>
              <w:rPr>
                <w:rFonts w:hint="default" w:ascii="Times New Roman"/>
                <w:sz w:val="18"/>
              </w:rPr>
              <w:t>气压(KPa)</w:t>
            </w:r>
          </w:p>
        </w:tc>
        <w:tc>
          <w:tcPr>
            <w:tcW w:w="831" w:type="pct"/>
            <w:vAlign w:val="center"/>
          </w:tcPr>
          <w:p w14:paraId="0B703BD4">
            <w:pPr>
              <w:pStyle w:val="41"/>
              <w:jc w:val="center"/>
              <w:rPr>
                <w:rFonts w:hint="default" w:ascii="Times New Roman"/>
                <w:sz w:val="18"/>
              </w:rPr>
            </w:pPr>
            <w:r>
              <w:rPr>
                <w:rFonts w:hint="default" w:ascii="Times New Roman"/>
                <w:sz w:val="18"/>
              </w:rPr>
              <w:t>气温(℃)</w:t>
            </w:r>
          </w:p>
        </w:tc>
        <w:tc>
          <w:tcPr>
            <w:tcW w:w="717" w:type="pct"/>
            <w:vAlign w:val="center"/>
          </w:tcPr>
          <w:p w14:paraId="1A040D75">
            <w:pPr>
              <w:pStyle w:val="41"/>
              <w:jc w:val="center"/>
              <w:rPr>
                <w:rFonts w:hint="default" w:ascii="Times New Roman"/>
                <w:sz w:val="18"/>
              </w:rPr>
            </w:pPr>
            <w:r>
              <w:rPr>
                <w:rFonts w:hint="default" w:ascii="Times New Roman"/>
                <w:sz w:val="18"/>
              </w:rPr>
              <w:t>湿度(%)</w:t>
            </w:r>
          </w:p>
        </w:tc>
        <w:tc>
          <w:tcPr>
            <w:tcW w:w="717" w:type="pct"/>
            <w:vAlign w:val="center"/>
          </w:tcPr>
          <w:p w14:paraId="74942F10">
            <w:pPr>
              <w:pStyle w:val="41"/>
              <w:jc w:val="center"/>
              <w:rPr>
                <w:rFonts w:hint="default" w:ascii="Times New Roman"/>
                <w:sz w:val="18"/>
              </w:rPr>
            </w:pPr>
            <w:r>
              <w:rPr>
                <w:rFonts w:hint="default" w:ascii="Times New Roman"/>
                <w:sz w:val="18"/>
              </w:rPr>
              <w:t>风向</w:t>
            </w:r>
          </w:p>
        </w:tc>
        <w:tc>
          <w:tcPr>
            <w:tcW w:w="416" w:type="pct"/>
            <w:vAlign w:val="center"/>
          </w:tcPr>
          <w:p w14:paraId="287F9386">
            <w:pPr>
              <w:pStyle w:val="41"/>
              <w:jc w:val="center"/>
              <w:rPr>
                <w:rFonts w:hint="default" w:ascii="Times New Roman"/>
                <w:sz w:val="18"/>
              </w:rPr>
            </w:pPr>
            <w:r>
              <w:rPr>
                <w:rFonts w:hint="default" w:ascii="Times New Roman"/>
                <w:sz w:val="18"/>
              </w:rPr>
              <w:t>风速</w:t>
            </w:r>
          </w:p>
        </w:tc>
      </w:tr>
      <w:tr w14:paraId="0DFC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atLeast"/>
        </w:trPr>
        <w:tc>
          <w:tcPr>
            <w:tcW w:w="717" w:type="pct"/>
            <w:vAlign w:val="center"/>
          </w:tcPr>
          <w:p w14:paraId="50336E16">
            <w:pPr>
              <w:rPr>
                <w:rFonts w:hint="default" w:ascii="Times New Roman" w:hAnsi="Times New Roman" w:cs="Times New Roman"/>
              </w:rPr>
            </w:pPr>
          </w:p>
        </w:tc>
        <w:tc>
          <w:tcPr>
            <w:tcW w:w="882" w:type="pct"/>
            <w:vAlign w:val="center"/>
          </w:tcPr>
          <w:p w14:paraId="4DD04489">
            <w:pPr>
              <w:rPr>
                <w:rFonts w:hint="default" w:ascii="Times New Roman" w:hAnsi="Times New Roman" w:cs="Times New Roman"/>
              </w:rPr>
            </w:pPr>
          </w:p>
        </w:tc>
        <w:tc>
          <w:tcPr>
            <w:tcW w:w="717" w:type="pct"/>
            <w:vAlign w:val="center"/>
          </w:tcPr>
          <w:p w14:paraId="22055B5D">
            <w:pPr>
              <w:rPr>
                <w:rFonts w:hint="default" w:ascii="Times New Roman" w:hAnsi="Times New Roman" w:cs="Times New Roman"/>
              </w:rPr>
            </w:pPr>
          </w:p>
        </w:tc>
        <w:tc>
          <w:tcPr>
            <w:tcW w:w="831" w:type="pct"/>
            <w:vAlign w:val="center"/>
          </w:tcPr>
          <w:p w14:paraId="09209E35">
            <w:pPr>
              <w:rPr>
                <w:rFonts w:hint="default" w:ascii="Times New Roman" w:hAnsi="Times New Roman" w:cs="Times New Roman"/>
              </w:rPr>
            </w:pPr>
          </w:p>
        </w:tc>
        <w:tc>
          <w:tcPr>
            <w:tcW w:w="717" w:type="pct"/>
            <w:vAlign w:val="center"/>
          </w:tcPr>
          <w:p w14:paraId="36370608">
            <w:pPr>
              <w:rPr>
                <w:rFonts w:hint="default" w:ascii="Times New Roman" w:hAnsi="Times New Roman" w:cs="Times New Roman"/>
              </w:rPr>
            </w:pPr>
          </w:p>
        </w:tc>
        <w:tc>
          <w:tcPr>
            <w:tcW w:w="717" w:type="pct"/>
            <w:vAlign w:val="center"/>
          </w:tcPr>
          <w:p w14:paraId="071B5AC9">
            <w:pPr>
              <w:rPr>
                <w:rFonts w:hint="default" w:ascii="Times New Roman" w:hAnsi="Times New Roman" w:cs="Times New Roman"/>
              </w:rPr>
            </w:pPr>
          </w:p>
        </w:tc>
        <w:tc>
          <w:tcPr>
            <w:tcW w:w="416" w:type="pct"/>
            <w:vAlign w:val="center"/>
          </w:tcPr>
          <w:p w14:paraId="047B4448">
            <w:pPr>
              <w:rPr>
                <w:rFonts w:hint="default" w:ascii="Times New Roman" w:hAnsi="Times New Roman" w:cs="Times New Roman"/>
              </w:rPr>
            </w:pPr>
          </w:p>
        </w:tc>
      </w:tr>
    </w:tbl>
    <w:p w14:paraId="1A4320BB">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37</w:t>
      </w:r>
      <w:r>
        <w:rPr>
          <w:rFonts w:hint="default" w:ascii="黑体" w:eastAsia="黑体"/>
        </w:rPr>
        <w:t xml:space="preserve"> 检测时段生产工况记录</w:t>
      </w: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69"/>
        <w:gridCol w:w="2150"/>
        <w:gridCol w:w="2150"/>
        <w:gridCol w:w="4389"/>
      </w:tblGrid>
      <w:tr w14:paraId="482E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723" w:type="pct"/>
            <w:vAlign w:val="center"/>
          </w:tcPr>
          <w:p w14:paraId="3D929D26">
            <w:pPr>
              <w:pStyle w:val="41"/>
              <w:jc w:val="center"/>
              <w:rPr>
                <w:rFonts w:hint="default" w:ascii="Times New Roman"/>
                <w:sz w:val="18"/>
              </w:rPr>
            </w:pPr>
            <w:r>
              <w:rPr>
                <w:rFonts w:hint="default" w:ascii="Times New Roman"/>
                <w:sz w:val="18"/>
              </w:rPr>
              <w:t>检测日期</w:t>
            </w:r>
          </w:p>
        </w:tc>
        <w:tc>
          <w:tcPr>
            <w:tcW w:w="1058" w:type="pct"/>
            <w:vAlign w:val="center"/>
          </w:tcPr>
          <w:p w14:paraId="64BD23E4">
            <w:pPr>
              <w:pStyle w:val="41"/>
              <w:jc w:val="center"/>
              <w:rPr>
                <w:rFonts w:hint="default" w:ascii="Times New Roman"/>
                <w:sz w:val="18"/>
              </w:rPr>
            </w:pPr>
            <w:r>
              <w:rPr>
                <w:rFonts w:hint="default" w:ascii="Times New Roman"/>
                <w:sz w:val="18"/>
              </w:rPr>
              <w:t>生产情况</w:t>
            </w:r>
          </w:p>
        </w:tc>
        <w:tc>
          <w:tcPr>
            <w:tcW w:w="1058" w:type="pct"/>
            <w:vAlign w:val="center"/>
          </w:tcPr>
          <w:p w14:paraId="5FF52798">
            <w:pPr>
              <w:pStyle w:val="41"/>
              <w:jc w:val="center"/>
              <w:rPr>
                <w:rFonts w:hint="default" w:ascii="Times New Roman"/>
                <w:sz w:val="18"/>
              </w:rPr>
            </w:pPr>
            <w:r>
              <w:rPr>
                <w:rFonts w:hint="default" w:ascii="Times New Roman"/>
                <w:sz w:val="18"/>
              </w:rPr>
              <w:t>防护设施运行</w:t>
            </w:r>
          </w:p>
        </w:tc>
        <w:tc>
          <w:tcPr>
            <w:tcW w:w="2159" w:type="pct"/>
            <w:vAlign w:val="center"/>
          </w:tcPr>
          <w:p w14:paraId="434E5EBE">
            <w:pPr>
              <w:pStyle w:val="41"/>
              <w:jc w:val="center"/>
              <w:rPr>
                <w:rFonts w:hint="default" w:ascii="Times New Roman"/>
                <w:sz w:val="18"/>
              </w:rPr>
            </w:pPr>
            <w:r>
              <w:rPr>
                <w:rFonts w:hint="default" w:ascii="Times New Roman"/>
                <w:sz w:val="18"/>
              </w:rPr>
              <w:t>工人防护</w:t>
            </w:r>
          </w:p>
        </w:tc>
      </w:tr>
      <w:tr w14:paraId="6431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723" w:type="pct"/>
            <w:vAlign w:val="center"/>
          </w:tcPr>
          <w:p w14:paraId="3C330F0D">
            <w:pPr>
              <w:rPr>
                <w:rFonts w:hint="default" w:ascii="Times New Roman" w:hAnsi="Times New Roman" w:cs="Times New Roman"/>
              </w:rPr>
            </w:pPr>
          </w:p>
        </w:tc>
        <w:tc>
          <w:tcPr>
            <w:tcW w:w="1058" w:type="pct"/>
            <w:vAlign w:val="center"/>
          </w:tcPr>
          <w:p w14:paraId="510ECD68">
            <w:pPr>
              <w:rPr>
                <w:rFonts w:hint="default" w:ascii="Times New Roman" w:hAnsi="Times New Roman" w:cs="Times New Roman"/>
              </w:rPr>
            </w:pPr>
          </w:p>
        </w:tc>
        <w:tc>
          <w:tcPr>
            <w:tcW w:w="1058" w:type="pct"/>
            <w:vAlign w:val="center"/>
          </w:tcPr>
          <w:p w14:paraId="78F5D3AE">
            <w:pPr>
              <w:rPr>
                <w:rFonts w:hint="default" w:ascii="Times New Roman" w:hAnsi="Times New Roman" w:cs="Times New Roman"/>
              </w:rPr>
            </w:pPr>
          </w:p>
        </w:tc>
        <w:tc>
          <w:tcPr>
            <w:tcW w:w="2159" w:type="pct"/>
            <w:vAlign w:val="center"/>
          </w:tcPr>
          <w:p w14:paraId="2E4224C8">
            <w:pPr>
              <w:rPr>
                <w:rFonts w:hint="default" w:ascii="Times New Roman" w:hAnsi="Times New Roman" w:cs="Times New Roman"/>
              </w:rPr>
            </w:pPr>
          </w:p>
        </w:tc>
      </w:tr>
      <w:tr w14:paraId="7D9F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trPr>
        <w:tc>
          <w:tcPr>
            <w:tcW w:w="723" w:type="pct"/>
            <w:vAlign w:val="center"/>
          </w:tcPr>
          <w:p w14:paraId="140B9796">
            <w:pPr>
              <w:rPr>
                <w:rFonts w:hint="default" w:ascii="Times New Roman" w:hAnsi="Times New Roman" w:cs="Times New Roman"/>
              </w:rPr>
            </w:pPr>
          </w:p>
        </w:tc>
        <w:tc>
          <w:tcPr>
            <w:tcW w:w="1058" w:type="pct"/>
            <w:vAlign w:val="center"/>
          </w:tcPr>
          <w:p w14:paraId="7151DD7E">
            <w:pPr>
              <w:rPr>
                <w:rFonts w:hint="default" w:ascii="Times New Roman" w:hAnsi="Times New Roman" w:cs="Times New Roman"/>
              </w:rPr>
            </w:pPr>
          </w:p>
        </w:tc>
        <w:tc>
          <w:tcPr>
            <w:tcW w:w="1058" w:type="pct"/>
            <w:vAlign w:val="center"/>
          </w:tcPr>
          <w:p w14:paraId="5C30E1E5">
            <w:pPr>
              <w:rPr>
                <w:rFonts w:hint="default" w:ascii="Times New Roman" w:hAnsi="Times New Roman" w:cs="Times New Roman"/>
              </w:rPr>
            </w:pPr>
          </w:p>
        </w:tc>
        <w:tc>
          <w:tcPr>
            <w:tcW w:w="2159" w:type="pct"/>
            <w:vAlign w:val="center"/>
          </w:tcPr>
          <w:p w14:paraId="1E6E6092">
            <w:pPr>
              <w:rPr>
                <w:rFonts w:hint="default" w:ascii="Times New Roman" w:hAnsi="Times New Roman" w:cs="Times New Roman"/>
              </w:rPr>
            </w:pPr>
          </w:p>
        </w:tc>
      </w:tr>
    </w:tbl>
    <w:p w14:paraId="0BA0CAD4">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38</w:t>
      </w:r>
      <w:r>
        <w:rPr>
          <w:rFonts w:hint="default" w:ascii="黑体" w:eastAsia="黑体"/>
        </w:rPr>
        <w:t xml:space="preserve"> 职业病危害因素检测结果分析与评价表（1）</w:t>
      </w:r>
    </w:p>
    <w:p w14:paraId="11DBBFD2">
      <w:pPr>
        <w:pStyle w:val="3"/>
        <w:spacing w:before="124"/>
        <w:ind w:left="416" w:right="921"/>
        <w:jc w:val="center"/>
        <w:rPr>
          <w:rFonts w:hint="default" w:ascii="黑体" w:eastAsia="黑体"/>
        </w:rPr>
      </w:pPr>
      <w:r>
        <w:rPr>
          <w:rFonts w:hint="default" w:ascii="黑体" w:eastAsia="黑体"/>
        </w:rPr>
        <w:t>（职业病危害因素接触限值有TWA值和STEL 值）</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03"/>
        <w:gridCol w:w="703"/>
        <w:gridCol w:w="1122"/>
        <w:gridCol w:w="860"/>
        <w:gridCol w:w="703"/>
        <w:gridCol w:w="1189"/>
        <w:gridCol w:w="707"/>
        <w:gridCol w:w="1277"/>
        <w:gridCol w:w="1012"/>
        <w:gridCol w:w="1170"/>
        <w:gridCol w:w="710"/>
      </w:tblGrid>
      <w:tr w14:paraId="6E32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346" w:type="pct"/>
            <w:vMerge w:val="restart"/>
            <w:vAlign w:val="center"/>
          </w:tcPr>
          <w:p w14:paraId="79175DE1">
            <w:pPr>
              <w:pStyle w:val="41"/>
              <w:spacing w:line="240" w:lineRule="auto"/>
              <w:jc w:val="center"/>
              <w:rPr>
                <w:rFonts w:hint="default" w:ascii="Times New Roman"/>
                <w:sz w:val="18"/>
              </w:rPr>
            </w:pPr>
            <w:r>
              <w:rPr>
                <w:rFonts w:hint="default" w:ascii="Times New Roman"/>
                <w:sz w:val="18"/>
              </w:rPr>
              <w:t>评价工种</w:t>
            </w:r>
          </w:p>
        </w:tc>
        <w:tc>
          <w:tcPr>
            <w:tcW w:w="346" w:type="pct"/>
            <w:vMerge w:val="restart"/>
            <w:vAlign w:val="center"/>
          </w:tcPr>
          <w:p w14:paraId="7FCAFBA3">
            <w:pPr>
              <w:pStyle w:val="41"/>
              <w:spacing w:line="240" w:lineRule="auto"/>
              <w:jc w:val="center"/>
              <w:rPr>
                <w:rFonts w:hint="default" w:ascii="Times New Roman"/>
                <w:sz w:val="18"/>
              </w:rPr>
            </w:pPr>
            <w:r>
              <w:rPr>
                <w:rFonts w:hint="default" w:ascii="Times New Roman"/>
                <w:sz w:val="18"/>
              </w:rPr>
              <w:t>检测地点</w:t>
            </w:r>
          </w:p>
        </w:tc>
        <w:tc>
          <w:tcPr>
            <w:tcW w:w="552" w:type="pct"/>
            <w:vMerge w:val="restart"/>
            <w:vAlign w:val="center"/>
          </w:tcPr>
          <w:p w14:paraId="22B39DE5">
            <w:pPr>
              <w:pStyle w:val="41"/>
              <w:spacing w:line="240" w:lineRule="auto"/>
              <w:jc w:val="center"/>
              <w:rPr>
                <w:rFonts w:hint="default" w:ascii="Times New Roman"/>
                <w:sz w:val="18"/>
              </w:rPr>
            </w:pPr>
            <w:r>
              <w:rPr>
                <w:rFonts w:hint="default" w:ascii="Times New Roman"/>
                <w:sz w:val="18"/>
              </w:rPr>
              <w:t>接触时间</w:t>
            </w:r>
          </w:p>
        </w:tc>
        <w:tc>
          <w:tcPr>
            <w:tcW w:w="1702" w:type="pct"/>
            <w:gridSpan w:val="4"/>
            <w:vAlign w:val="center"/>
          </w:tcPr>
          <w:p w14:paraId="2DEB654A">
            <w:pPr>
              <w:pStyle w:val="41"/>
              <w:spacing w:line="240" w:lineRule="auto"/>
              <w:jc w:val="center"/>
              <w:rPr>
                <w:rFonts w:hint="default" w:ascii="Times New Roman"/>
                <w:sz w:val="18"/>
              </w:rPr>
            </w:pPr>
            <w:r>
              <w:rPr>
                <w:rFonts w:hint="default" w:ascii="Times New Roman"/>
                <w:sz w:val="18"/>
              </w:rPr>
              <w:t>时间加权平均浓度（TWA）接触情况</w:t>
            </w:r>
          </w:p>
          <w:p w14:paraId="367FC2D5">
            <w:pPr>
              <w:pStyle w:val="41"/>
              <w:spacing w:line="240" w:lineRule="auto"/>
              <w:jc w:val="center"/>
              <w:rPr>
                <w:rFonts w:hint="default" w:ascii="Times New Roman"/>
                <w:sz w:val="18"/>
              </w:rPr>
            </w:pPr>
            <w:r>
              <w:rPr>
                <w:rFonts w:hint="default" w:ascii="Times New Roman"/>
                <w:sz w:val="18"/>
              </w:rPr>
              <w:t>(mg/m</w:t>
            </w:r>
            <w:r>
              <w:rPr>
                <w:rFonts w:hint="default" w:ascii="Times New Roman"/>
                <w:sz w:val="18"/>
                <w:vertAlign w:val="superscript"/>
              </w:rPr>
              <w:t>3</w:t>
            </w:r>
            <w:r>
              <w:rPr>
                <w:rFonts w:hint="default" w:ascii="Times New Roman"/>
                <w:sz w:val="18"/>
              </w:rPr>
              <w:t>)</w:t>
            </w:r>
          </w:p>
        </w:tc>
        <w:tc>
          <w:tcPr>
            <w:tcW w:w="2050" w:type="pct"/>
            <w:gridSpan w:val="4"/>
            <w:vAlign w:val="center"/>
          </w:tcPr>
          <w:p w14:paraId="03AD8882">
            <w:pPr>
              <w:pStyle w:val="41"/>
              <w:spacing w:line="240" w:lineRule="auto"/>
              <w:jc w:val="center"/>
              <w:rPr>
                <w:rFonts w:hint="default" w:ascii="Times New Roman"/>
                <w:sz w:val="18"/>
              </w:rPr>
            </w:pPr>
            <w:r>
              <w:rPr>
                <w:rFonts w:hint="default" w:ascii="Times New Roman"/>
                <w:sz w:val="18"/>
              </w:rPr>
              <w:t>短时间接触情况</w:t>
            </w:r>
          </w:p>
          <w:p w14:paraId="750913B3">
            <w:pPr>
              <w:pStyle w:val="41"/>
              <w:spacing w:line="240" w:lineRule="auto"/>
              <w:jc w:val="center"/>
              <w:rPr>
                <w:rFonts w:hint="default" w:ascii="Times New Roman"/>
                <w:sz w:val="18"/>
              </w:rPr>
            </w:pPr>
            <w:r>
              <w:rPr>
                <w:rFonts w:hint="default" w:ascii="Times New Roman"/>
                <w:sz w:val="18"/>
              </w:rPr>
              <w:t>(mg/m</w:t>
            </w:r>
            <w:r>
              <w:rPr>
                <w:rFonts w:hint="eastAsia" w:ascii="Times New Roman"/>
                <w:sz w:val="18"/>
                <w:vertAlign w:val="superscript"/>
                <w:lang w:val="en-US" w:eastAsia="zh-CN"/>
              </w:rPr>
              <w:t>3</w:t>
            </w:r>
            <w:r>
              <w:rPr>
                <w:rFonts w:hint="default" w:ascii="Times New Roman"/>
                <w:sz w:val="18"/>
              </w:rPr>
              <w:t>)</w:t>
            </w:r>
          </w:p>
        </w:tc>
      </w:tr>
      <w:tr w14:paraId="419AE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346" w:type="pct"/>
            <w:vMerge w:val="continue"/>
          </w:tcPr>
          <w:p w14:paraId="056A3BC0">
            <w:pPr>
              <w:pStyle w:val="41"/>
              <w:spacing w:line="240" w:lineRule="auto"/>
              <w:jc w:val="center"/>
              <w:rPr>
                <w:rFonts w:hint="default" w:ascii="Times New Roman"/>
                <w:sz w:val="18"/>
              </w:rPr>
            </w:pPr>
          </w:p>
        </w:tc>
        <w:tc>
          <w:tcPr>
            <w:tcW w:w="346" w:type="pct"/>
            <w:vMerge w:val="continue"/>
          </w:tcPr>
          <w:p w14:paraId="7EFC16CF">
            <w:pPr>
              <w:pStyle w:val="41"/>
              <w:spacing w:line="240" w:lineRule="auto"/>
              <w:jc w:val="center"/>
              <w:rPr>
                <w:rFonts w:hint="default" w:ascii="Times New Roman"/>
                <w:sz w:val="18"/>
              </w:rPr>
            </w:pPr>
          </w:p>
        </w:tc>
        <w:tc>
          <w:tcPr>
            <w:tcW w:w="552" w:type="pct"/>
            <w:vMerge w:val="continue"/>
          </w:tcPr>
          <w:p w14:paraId="5EFB219C">
            <w:pPr>
              <w:pStyle w:val="41"/>
              <w:spacing w:line="240" w:lineRule="auto"/>
              <w:jc w:val="center"/>
              <w:rPr>
                <w:rFonts w:hint="default" w:ascii="Times New Roman"/>
                <w:sz w:val="18"/>
              </w:rPr>
            </w:pPr>
          </w:p>
        </w:tc>
        <w:tc>
          <w:tcPr>
            <w:tcW w:w="423" w:type="pct"/>
            <w:vAlign w:val="center"/>
          </w:tcPr>
          <w:p w14:paraId="286D519F">
            <w:pPr>
              <w:pStyle w:val="41"/>
              <w:spacing w:line="240" w:lineRule="auto"/>
              <w:jc w:val="center"/>
              <w:rPr>
                <w:rFonts w:hint="default" w:ascii="Times New Roman"/>
                <w:sz w:val="18"/>
                <w:lang w:val="en-US" w:eastAsia="zh-CN"/>
              </w:rPr>
            </w:pPr>
            <w:r>
              <w:rPr>
                <w:rFonts w:hint="eastAsia" w:ascii="Times New Roman"/>
                <w:sz w:val="18"/>
                <w:lang w:val="en-US" w:eastAsia="zh-CN"/>
              </w:rPr>
              <w:t>检测浓度范围</w:t>
            </w:r>
          </w:p>
        </w:tc>
        <w:tc>
          <w:tcPr>
            <w:tcW w:w="346" w:type="pct"/>
            <w:vAlign w:val="center"/>
          </w:tcPr>
          <w:p w14:paraId="66CB2CD1">
            <w:pPr>
              <w:pStyle w:val="41"/>
              <w:spacing w:line="240" w:lineRule="auto"/>
              <w:jc w:val="center"/>
              <w:rPr>
                <w:rFonts w:hint="default" w:ascii="Times New Roman"/>
                <w:sz w:val="18"/>
                <w:lang w:val="en-US" w:eastAsia="zh-CN"/>
              </w:rPr>
            </w:pPr>
            <w:r>
              <w:rPr>
                <w:rFonts w:hint="default" w:ascii="Times New Roman"/>
                <w:sz w:val="18"/>
                <w:lang w:val="en-US" w:eastAsia="zh-CN"/>
              </w:rPr>
              <w:t>C</w:t>
            </w:r>
            <w:r>
              <w:rPr>
                <w:rFonts w:hint="eastAsia" w:ascii="Times New Roman"/>
                <w:sz w:val="18"/>
                <w:lang w:val="en-US" w:eastAsia="zh-CN"/>
              </w:rPr>
              <w:t>-</w:t>
            </w:r>
            <w:r>
              <w:rPr>
                <w:rFonts w:hint="default" w:ascii="Times New Roman"/>
                <w:sz w:val="18"/>
                <w:lang w:val="en-US" w:eastAsia="zh-CN"/>
              </w:rPr>
              <w:t>TWA</w:t>
            </w:r>
          </w:p>
        </w:tc>
        <w:tc>
          <w:tcPr>
            <w:tcW w:w="585" w:type="pct"/>
          </w:tcPr>
          <w:p w14:paraId="07E38937">
            <w:pPr>
              <w:pStyle w:val="41"/>
              <w:spacing w:line="240" w:lineRule="auto"/>
              <w:jc w:val="center"/>
              <w:rPr>
                <w:rFonts w:hint="default" w:ascii="Times New Roman"/>
                <w:sz w:val="18"/>
                <w:lang w:val="en-US" w:eastAsia="zh-CN"/>
              </w:rPr>
            </w:pPr>
            <w:r>
              <w:rPr>
                <w:rFonts w:hint="default" w:ascii="Times New Roman"/>
                <w:sz w:val="18"/>
                <w:lang w:val="en-US" w:eastAsia="zh-CN"/>
              </w:rPr>
              <w:t>接触限值</w:t>
            </w:r>
          </w:p>
          <w:p w14:paraId="524CB97A">
            <w:pPr>
              <w:pStyle w:val="41"/>
              <w:spacing w:line="240" w:lineRule="auto"/>
              <w:jc w:val="center"/>
              <w:rPr>
                <w:rFonts w:hint="default" w:ascii="Times New Roman"/>
                <w:sz w:val="18"/>
                <w:lang w:val="en-US" w:eastAsia="zh-CN"/>
              </w:rPr>
            </w:pPr>
            <w:r>
              <w:rPr>
                <w:rFonts w:hint="default" w:ascii="Times New Roman"/>
                <w:sz w:val="18"/>
                <w:lang w:val="en-US" w:eastAsia="zh-CN"/>
              </w:rPr>
              <w:t>PC-TWA</w:t>
            </w:r>
          </w:p>
        </w:tc>
        <w:tc>
          <w:tcPr>
            <w:tcW w:w="347" w:type="pct"/>
            <w:vAlign w:val="center"/>
          </w:tcPr>
          <w:p w14:paraId="7CA0FAA1">
            <w:pPr>
              <w:pStyle w:val="41"/>
              <w:spacing w:line="240" w:lineRule="auto"/>
              <w:jc w:val="center"/>
              <w:rPr>
                <w:rFonts w:hint="default" w:ascii="Times New Roman"/>
                <w:sz w:val="18"/>
                <w:lang w:val="en-US" w:eastAsia="zh-CN"/>
              </w:rPr>
            </w:pPr>
            <w:r>
              <w:rPr>
                <w:rFonts w:hint="default" w:ascii="Times New Roman"/>
                <w:sz w:val="18"/>
                <w:lang w:val="en-US" w:eastAsia="zh-CN"/>
              </w:rPr>
              <w:t>判定</w:t>
            </w:r>
          </w:p>
        </w:tc>
        <w:tc>
          <w:tcPr>
            <w:tcW w:w="628" w:type="pct"/>
            <w:vAlign w:val="center"/>
          </w:tcPr>
          <w:p w14:paraId="5A6D5841">
            <w:pPr>
              <w:pStyle w:val="41"/>
              <w:spacing w:line="240" w:lineRule="auto"/>
              <w:jc w:val="center"/>
              <w:rPr>
                <w:rFonts w:hint="default" w:ascii="Times New Roman"/>
                <w:sz w:val="18"/>
                <w:lang w:val="en-US" w:eastAsia="zh-CN"/>
              </w:rPr>
            </w:pPr>
            <w:r>
              <w:rPr>
                <w:rFonts w:hint="default" w:ascii="Times New Roman"/>
                <w:sz w:val="18"/>
                <w:lang w:val="en-US" w:eastAsia="zh-CN"/>
              </w:rPr>
              <w:t>C 波动范围</w:t>
            </w:r>
          </w:p>
        </w:tc>
        <w:tc>
          <w:tcPr>
            <w:tcW w:w="498" w:type="pct"/>
            <w:vAlign w:val="center"/>
          </w:tcPr>
          <w:p w14:paraId="55289B06">
            <w:pPr>
              <w:pStyle w:val="41"/>
              <w:spacing w:line="240" w:lineRule="auto"/>
              <w:jc w:val="center"/>
              <w:rPr>
                <w:rFonts w:hint="default" w:ascii="Times New Roman"/>
                <w:sz w:val="18"/>
                <w:lang w:val="en-US" w:eastAsia="zh-CN"/>
              </w:rPr>
            </w:pPr>
            <w:r>
              <w:rPr>
                <w:rFonts w:hint="default" w:ascii="Times New Roman"/>
                <w:sz w:val="18"/>
                <w:lang w:val="en-US" w:eastAsia="zh-CN"/>
              </w:rPr>
              <w:t>C</w:t>
            </w:r>
            <w:r>
              <w:rPr>
                <w:rFonts w:hint="eastAsia" w:ascii="Times New Roman"/>
                <w:sz w:val="18"/>
                <w:lang w:val="en-US" w:eastAsia="zh-CN"/>
              </w:rPr>
              <w:t>-</w:t>
            </w:r>
            <w:r>
              <w:rPr>
                <w:rFonts w:hint="default" w:ascii="Times New Roman"/>
                <w:sz w:val="18"/>
                <w:lang w:val="en-US" w:eastAsia="zh-CN"/>
              </w:rPr>
              <w:t>STEL</w:t>
            </w:r>
          </w:p>
        </w:tc>
        <w:tc>
          <w:tcPr>
            <w:tcW w:w="575" w:type="pct"/>
          </w:tcPr>
          <w:p w14:paraId="74F21A55">
            <w:pPr>
              <w:pStyle w:val="41"/>
              <w:spacing w:line="240" w:lineRule="auto"/>
              <w:jc w:val="center"/>
              <w:rPr>
                <w:rFonts w:hint="default" w:ascii="Times New Roman"/>
                <w:sz w:val="18"/>
                <w:lang w:val="en-US" w:eastAsia="zh-CN"/>
              </w:rPr>
            </w:pPr>
            <w:r>
              <w:rPr>
                <w:rFonts w:hint="default" w:ascii="Times New Roman"/>
                <w:sz w:val="18"/>
                <w:lang w:val="en-US" w:eastAsia="zh-CN"/>
              </w:rPr>
              <w:t>接触限值</w:t>
            </w:r>
          </w:p>
          <w:p w14:paraId="7F09A5B6">
            <w:pPr>
              <w:pStyle w:val="41"/>
              <w:spacing w:line="240" w:lineRule="auto"/>
              <w:jc w:val="center"/>
              <w:rPr>
                <w:rFonts w:hint="default" w:ascii="Times New Roman"/>
                <w:sz w:val="18"/>
                <w:lang w:val="en-US" w:eastAsia="zh-CN"/>
              </w:rPr>
            </w:pPr>
            <w:r>
              <w:rPr>
                <w:rFonts w:hint="default" w:ascii="Times New Roman"/>
                <w:sz w:val="18"/>
                <w:lang w:val="en-US" w:eastAsia="zh-CN"/>
              </w:rPr>
              <w:t>PC-STEL</w:t>
            </w:r>
          </w:p>
        </w:tc>
        <w:tc>
          <w:tcPr>
            <w:tcW w:w="348" w:type="pct"/>
            <w:vAlign w:val="center"/>
          </w:tcPr>
          <w:p w14:paraId="733C2FDF">
            <w:pPr>
              <w:pStyle w:val="41"/>
              <w:spacing w:line="240" w:lineRule="auto"/>
              <w:jc w:val="center"/>
              <w:rPr>
                <w:rFonts w:hint="default" w:ascii="Times New Roman"/>
                <w:sz w:val="18"/>
                <w:lang w:val="en-US" w:eastAsia="zh-CN"/>
              </w:rPr>
            </w:pPr>
            <w:r>
              <w:rPr>
                <w:rFonts w:hint="default" w:ascii="Times New Roman"/>
                <w:sz w:val="18"/>
                <w:lang w:val="en-US" w:eastAsia="zh-CN"/>
              </w:rPr>
              <w:t>判定</w:t>
            </w:r>
          </w:p>
        </w:tc>
      </w:tr>
      <w:tr w14:paraId="5130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0" w:hRule="atLeast"/>
        </w:trPr>
        <w:tc>
          <w:tcPr>
            <w:tcW w:w="346" w:type="pct"/>
            <w:vMerge w:val="restart"/>
            <w:vAlign w:val="center"/>
          </w:tcPr>
          <w:p w14:paraId="2A0DD91B">
            <w:pPr>
              <w:rPr>
                <w:rFonts w:hint="default" w:ascii="Times New Roman" w:hAnsi="Times New Roman" w:cs="Times New Roman"/>
              </w:rPr>
            </w:pPr>
          </w:p>
        </w:tc>
        <w:tc>
          <w:tcPr>
            <w:tcW w:w="346" w:type="pct"/>
            <w:vAlign w:val="center"/>
          </w:tcPr>
          <w:p w14:paraId="608FBFE2">
            <w:pPr>
              <w:rPr>
                <w:rFonts w:hint="default" w:ascii="Times New Roman" w:hAnsi="Times New Roman" w:cs="Times New Roman"/>
              </w:rPr>
            </w:pPr>
          </w:p>
        </w:tc>
        <w:tc>
          <w:tcPr>
            <w:tcW w:w="552" w:type="pct"/>
            <w:vAlign w:val="center"/>
          </w:tcPr>
          <w:p w14:paraId="2A7F7E42">
            <w:pPr>
              <w:rPr>
                <w:rFonts w:hint="default" w:ascii="Times New Roman" w:hAnsi="Times New Roman" w:cs="Times New Roman"/>
              </w:rPr>
            </w:pPr>
          </w:p>
        </w:tc>
        <w:tc>
          <w:tcPr>
            <w:tcW w:w="423" w:type="pct"/>
            <w:vAlign w:val="center"/>
          </w:tcPr>
          <w:p w14:paraId="292C0BE2">
            <w:pPr>
              <w:rPr>
                <w:rFonts w:hint="default" w:ascii="Times New Roman" w:hAnsi="Times New Roman" w:cs="Times New Roman"/>
              </w:rPr>
            </w:pPr>
          </w:p>
        </w:tc>
        <w:tc>
          <w:tcPr>
            <w:tcW w:w="346" w:type="pct"/>
            <w:vMerge w:val="restart"/>
            <w:vAlign w:val="center"/>
          </w:tcPr>
          <w:p w14:paraId="0709FF71">
            <w:pPr>
              <w:rPr>
                <w:rFonts w:hint="default" w:ascii="Times New Roman" w:hAnsi="Times New Roman" w:cs="Times New Roman"/>
              </w:rPr>
            </w:pPr>
          </w:p>
        </w:tc>
        <w:tc>
          <w:tcPr>
            <w:tcW w:w="585" w:type="pct"/>
            <w:vMerge w:val="restart"/>
            <w:vAlign w:val="center"/>
          </w:tcPr>
          <w:p w14:paraId="2FABE8FF">
            <w:pPr>
              <w:rPr>
                <w:rFonts w:hint="default" w:ascii="Times New Roman" w:hAnsi="Times New Roman" w:cs="Times New Roman"/>
              </w:rPr>
            </w:pPr>
          </w:p>
        </w:tc>
        <w:tc>
          <w:tcPr>
            <w:tcW w:w="347" w:type="pct"/>
            <w:vMerge w:val="restart"/>
            <w:vAlign w:val="center"/>
          </w:tcPr>
          <w:p w14:paraId="56A54DB4">
            <w:pPr>
              <w:rPr>
                <w:rFonts w:hint="default" w:ascii="Times New Roman" w:hAnsi="Times New Roman" w:cs="Times New Roman"/>
              </w:rPr>
            </w:pPr>
          </w:p>
        </w:tc>
        <w:tc>
          <w:tcPr>
            <w:tcW w:w="628" w:type="pct"/>
            <w:vAlign w:val="center"/>
          </w:tcPr>
          <w:p w14:paraId="095A8CF1">
            <w:pPr>
              <w:rPr>
                <w:rFonts w:hint="default" w:ascii="Times New Roman" w:hAnsi="Times New Roman" w:cs="Times New Roman"/>
              </w:rPr>
            </w:pPr>
          </w:p>
        </w:tc>
        <w:tc>
          <w:tcPr>
            <w:tcW w:w="498" w:type="pct"/>
            <w:vAlign w:val="center"/>
          </w:tcPr>
          <w:p w14:paraId="483E1AAA">
            <w:pPr>
              <w:rPr>
                <w:rFonts w:hint="default" w:ascii="Times New Roman" w:hAnsi="Times New Roman" w:cs="Times New Roman"/>
              </w:rPr>
            </w:pPr>
          </w:p>
        </w:tc>
        <w:tc>
          <w:tcPr>
            <w:tcW w:w="575" w:type="pct"/>
            <w:vAlign w:val="center"/>
          </w:tcPr>
          <w:p w14:paraId="310651FE">
            <w:pPr>
              <w:rPr>
                <w:rFonts w:hint="default" w:ascii="Times New Roman" w:hAnsi="Times New Roman" w:cs="Times New Roman"/>
              </w:rPr>
            </w:pPr>
          </w:p>
        </w:tc>
        <w:tc>
          <w:tcPr>
            <w:tcW w:w="348" w:type="pct"/>
            <w:vAlign w:val="center"/>
          </w:tcPr>
          <w:p w14:paraId="455D1759">
            <w:pPr>
              <w:rPr>
                <w:rFonts w:hint="default" w:ascii="Times New Roman" w:hAnsi="Times New Roman" w:cs="Times New Roman"/>
              </w:rPr>
            </w:pPr>
          </w:p>
        </w:tc>
      </w:tr>
      <w:tr w14:paraId="49A2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0" w:hRule="atLeast"/>
        </w:trPr>
        <w:tc>
          <w:tcPr>
            <w:tcW w:w="346" w:type="pct"/>
            <w:vMerge w:val="continue"/>
          </w:tcPr>
          <w:p w14:paraId="287D0B62">
            <w:pPr>
              <w:rPr>
                <w:rFonts w:hint="default" w:ascii="Times New Roman" w:hAnsi="Times New Roman" w:cs="Times New Roman"/>
              </w:rPr>
            </w:pPr>
          </w:p>
        </w:tc>
        <w:tc>
          <w:tcPr>
            <w:tcW w:w="346" w:type="pct"/>
            <w:vAlign w:val="center"/>
          </w:tcPr>
          <w:p w14:paraId="30B395B5">
            <w:pPr>
              <w:rPr>
                <w:rFonts w:hint="default" w:ascii="Times New Roman" w:hAnsi="Times New Roman" w:cs="Times New Roman"/>
              </w:rPr>
            </w:pPr>
          </w:p>
        </w:tc>
        <w:tc>
          <w:tcPr>
            <w:tcW w:w="552" w:type="pct"/>
            <w:vAlign w:val="center"/>
          </w:tcPr>
          <w:p w14:paraId="12DAE5EA">
            <w:pPr>
              <w:rPr>
                <w:rFonts w:hint="default" w:ascii="Times New Roman" w:hAnsi="Times New Roman" w:cs="Times New Roman"/>
              </w:rPr>
            </w:pPr>
          </w:p>
        </w:tc>
        <w:tc>
          <w:tcPr>
            <w:tcW w:w="423" w:type="pct"/>
            <w:vAlign w:val="center"/>
          </w:tcPr>
          <w:p w14:paraId="401DCEF4">
            <w:pPr>
              <w:rPr>
                <w:rFonts w:hint="default" w:ascii="Times New Roman" w:hAnsi="Times New Roman" w:cs="Times New Roman"/>
              </w:rPr>
            </w:pPr>
          </w:p>
        </w:tc>
        <w:tc>
          <w:tcPr>
            <w:tcW w:w="346" w:type="pct"/>
            <w:vMerge w:val="continue"/>
          </w:tcPr>
          <w:p w14:paraId="4EF862A5">
            <w:pPr>
              <w:rPr>
                <w:rFonts w:hint="default" w:ascii="Times New Roman" w:hAnsi="Times New Roman" w:cs="Times New Roman"/>
              </w:rPr>
            </w:pPr>
          </w:p>
        </w:tc>
        <w:tc>
          <w:tcPr>
            <w:tcW w:w="585" w:type="pct"/>
            <w:vMerge w:val="continue"/>
          </w:tcPr>
          <w:p w14:paraId="5EDF51B3">
            <w:pPr>
              <w:rPr>
                <w:rFonts w:hint="default" w:ascii="Times New Roman" w:hAnsi="Times New Roman" w:cs="Times New Roman"/>
              </w:rPr>
            </w:pPr>
          </w:p>
        </w:tc>
        <w:tc>
          <w:tcPr>
            <w:tcW w:w="347" w:type="pct"/>
            <w:vMerge w:val="continue"/>
          </w:tcPr>
          <w:p w14:paraId="4BA04C40">
            <w:pPr>
              <w:rPr>
                <w:rFonts w:hint="default" w:ascii="Times New Roman" w:hAnsi="Times New Roman" w:cs="Times New Roman"/>
              </w:rPr>
            </w:pPr>
          </w:p>
        </w:tc>
        <w:tc>
          <w:tcPr>
            <w:tcW w:w="628" w:type="pct"/>
            <w:vAlign w:val="center"/>
          </w:tcPr>
          <w:p w14:paraId="00137E5E">
            <w:pPr>
              <w:rPr>
                <w:rFonts w:hint="default" w:ascii="Times New Roman" w:hAnsi="Times New Roman" w:cs="Times New Roman"/>
              </w:rPr>
            </w:pPr>
          </w:p>
        </w:tc>
        <w:tc>
          <w:tcPr>
            <w:tcW w:w="498" w:type="pct"/>
            <w:vAlign w:val="center"/>
          </w:tcPr>
          <w:p w14:paraId="0FF151A9">
            <w:pPr>
              <w:rPr>
                <w:rFonts w:hint="default" w:ascii="Times New Roman" w:hAnsi="Times New Roman" w:cs="Times New Roman"/>
              </w:rPr>
            </w:pPr>
          </w:p>
        </w:tc>
        <w:tc>
          <w:tcPr>
            <w:tcW w:w="575" w:type="pct"/>
            <w:vAlign w:val="center"/>
          </w:tcPr>
          <w:p w14:paraId="57E5214F">
            <w:pPr>
              <w:rPr>
                <w:rFonts w:hint="default" w:ascii="Times New Roman" w:hAnsi="Times New Roman" w:cs="Times New Roman"/>
              </w:rPr>
            </w:pPr>
          </w:p>
        </w:tc>
        <w:tc>
          <w:tcPr>
            <w:tcW w:w="348" w:type="pct"/>
            <w:vAlign w:val="center"/>
          </w:tcPr>
          <w:p w14:paraId="6BE17833">
            <w:pPr>
              <w:rPr>
                <w:rFonts w:hint="default" w:ascii="Times New Roman" w:hAnsi="Times New Roman" w:cs="Times New Roman"/>
              </w:rPr>
            </w:pPr>
          </w:p>
        </w:tc>
      </w:tr>
      <w:tr w14:paraId="0FCB8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0" w:hRule="atLeast"/>
        </w:trPr>
        <w:tc>
          <w:tcPr>
            <w:tcW w:w="346" w:type="pct"/>
            <w:vMerge w:val="continue"/>
          </w:tcPr>
          <w:p w14:paraId="436CBF09">
            <w:pPr>
              <w:rPr>
                <w:rFonts w:hint="default" w:ascii="Times New Roman" w:hAnsi="Times New Roman" w:cs="Times New Roman"/>
              </w:rPr>
            </w:pPr>
          </w:p>
        </w:tc>
        <w:tc>
          <w:tcPr>
            <w:tcW w:w="346" w:type="pct"/>
            <w:vAlign w:val="center"/>
          </w:tcPr>
          <w:p w14:paraId="72B22C5D">
            <w:pPr>
              <w:rPr>
                <w:rFonts w:hint="default" w:ascii="Times New Roman" w:hAnsi="Times New Roman" w:cs="Times New Roman"/>
              </w:rPr>
            </w:pPr>
          </w:p>
        </w:tc>
        <w:tc>
          <w:tcPr>
            <w:tcW w:w="552" w:type="pct"/>
            <w:vAlign w:val="center"/>
          </w:tcPr>
          <w:p w14:paraId="4912F319">
            <w:pPr>
              <w:rPr>
                <w:rFonts w:hint="default" w:ascii="Times New Roman" w:hAnsi="Times New Roman" w:cs="Times New Roman"/>
              </w:rPr>
            </w:pPr>
          </w:p>
        </w:tc>
        <w:tc>
          <w:tcPr>
            <w:tcW w:w="423" w:type="pct"/>
            <w:vAlign w:val="center"/>
          </w:tcPr>
          <w:p w14:paraId="2BA3815E">
            <w:pPr>
              <w:rPr>
                <w:rFonts w:hint="default" w:ascii="Times New Roman" w:hAnsi="Times New Roman" w:cs="Times New Roman"/>
              </w:rPr>
            </w:pPr>
          </w:p>
        </w:tc>
        <w:tc>
          <w:tcPr>
            <w:tcW w:w="346" w:type="pct"/>
            <w:vMerge w:val="continue"/>
          </w:tcPr>
          <w:p w14:paraId="2BFC7402">
            <w:pPr>
              <w:rPr>
                <w:rFonts w:hint="default" w:ascii="Times New Roman" w:hAnsi="Times New Roman" w:cs="Times New Roman"/>
              </w:rPr>
            </w:pPr>
          </w:p>
        </w:tc>
        <w:tc>
          <w:tcPr>
            <w:tcW w:w="585" w:type="pct"/>
            <w:vMerge w:val="continue"/>
          </w:tcPr>
          <w:p w14:paraId="6FA3B60F">
            <w:pPr>
              <w:rPr>
                <w:rFonts w:hint="default" w:ascii="Times New Roman" w:hAnsi="Times New Roman" w:cs="Times New Roman"/>
              </w:rPr>
            </w:pPr>
          </w:p>
        </w:tc>
        <w:tc>
          <w:tcPr>
            <w:tcW w:w="347" w:type="pct"/>
            <w:vMerge w:val="continue"/>
          </w:tcPr>
          <w:p w14:paraId="54674582">
            <w:pPr>
              <w:rPr>
                <w:rFonts w:hint="default" w:ascii="Times New Roman" w:hAnsi="Times New Roman" w:cs="Times New Roman"/>
              </w:rPr>
            </w:pPr>
          </w:p>
        </w:tc>
        <w:tc>
          <w:tcPr>
            <w:tcW w:w="628" w:type="pct"/>
            <w:vAlign w:val="center"/>
          </w:tcPr>
          <w:p w14:paraId="52834DED">
            <w:pPr>
              <w:rPr>
                <w:rFonts w:hint="default" w:ascii="Times New Roman" w:hAnsi="Times New Roman" w:cs="Times New Roman"/>
              </w:rPr>
            </w:pPr>
          </w:p>
        </w:tc>
        <w:tc>
          <w:tcPr>
            <w:tcW w:w="498" w:type="pct"/>
            <w:vAlign w:val="center"/>
          </w:tcPr>
          <w:p w14:paraId="50FA69C2">
            <w:pPr>
              <w:rPr>
                <w:rFonts w:hint="default" w:ascii="Times New Roman" w:hAnsi="Times New Roman" w:cs="Times New Roman"/>
              </w:rPr>
            </w:pPr>
          </w:p>
        </w:tc>
        <w:tc>
          <w:tcPr>
            <w:tcW w:w="575" w:type="pct"/>
            <w:vAlign w:val="center"/>
          </w:tcPr>
          <w:p w14:paraId="24988D1F">
            <w:pPr>
              <w:rPr>
                <w:rFonts w:hint="default" w:ascii="Times New Roman" w:hAnsi="Times New Roman" w:cs="Times New Roman"/>
              </w:rPr>
            </w:pPr>
          </w:p>
        </w:tc>
        <w:tc>
          <w:tcPr>
            <w:tcW w:w="348" w:type="pct"/>
            <w:vAlign w:val="center"/>
          </w:tcPr>
          <w:p w14:paraId="4123F27F">
            <w:pPr>
              <w:rPr>
                <w:rFonts w:hint="default" w:ascii="Times New Roman" w:hAnsi="Times New Roman" w:cs="Times New Roman"/>
              </w:rPr>
            </w:pPr>
          </w:p>
        </w:tc>
      </w:tr>
    </w:tbl>
    <w:p w14:paraId="753F701D">
      <w:pPr>
        <w:spacing w:before="40" w:after="180" w:line="240" w:lineRule="exact"/>
        <w:ind w:firstLine="300"/>
        <w:rPr>
          <w:rFonts w:hint="eastAsia" w:ascii="Times New Roman" w:hAnsi="Times New Roman" w:eastAsia="宋体" w:cs="Times New Roman"/>
          <w:color w:val="000000"/>
          <w:sz w:val="18"/>
          <w:lang w:eastAsia="zh-CN"/>
        </w:rPr>
      </w:pPr>
      <w:r>
        <w:rPr>
          <w:rFonts w:hint="default" w:ascii="Times New Roman" w:hAnsi="Times New Roman" w:eastAsia="宋体" w:cs="Times New Roman"/>
          <w:color w:val="000000"/>
          <w:sz w:val="18"/>
        </w:rPr>
        <w:t>注：工种检测结果判断方法：根据该岗位所接触的数个作业点的检测浓度值、每个作业点对应作业时间，综合换算出该工种接触的TWA浓度值，再与接触限值比较作出合格性判断</w:t>
      </w:r>
      <w:r>
        <w:rPr>
          <w:rFonts w:hint="eastAsia" w:ascii="Times New Roman" w:hAnsi="Times New Roman" w:eastAsia="宋体" w:cs="Times New Roman"/>
          <w:color w:val="000000"/>
          <w:sz w:val="18"/>
          <w:lang w:eastAsia="zh-CN"/>
        </w:rPr>
        <w:t>。</w:t>
      </w:r>
    </w:p>
    <w:p w14:paraId="01D04417">
      <w:pPr>
        <w:pStyle w:val="3"/>
        <w:spacing w:before="124"/>
        <w:ind w:left="416" w:right="921"/>
        <w:jc w:val="center"/>
        <w:rPr>
          <w:rFonts w:hint="default" w:ascii="黑体" w:eastAsia="黑体"/>
          <w:lang w:val="en-US" w:eastAsia="zh-CN"/>
        </w:rPr>
      </w:pPr>
      <w:r>
        <w:rPr>
          <w:rFonts w:hint="default" w:ascii="黑体" w:eastAsia="黑体"/>
        </w:rPr>
        <w:t>表C．</w:t>
      </w:r>
      <w:r>
        <w:rPr>
          <w:rFonts w:hint="eastAsia" w:ascii="黑体" w:eastAsia="黑体"/>
          <w:lang w:val="en-US" w:eastAsia="zh-CN"/>
        </w:rPr>
        <w:t>39</w:t>
      </w:r>
      <w:r>
        <w:rPr>
          <w:rFonts w:hint="default" w:ascii="黑体" w:eastAsia="黑体"/>
        </w:rPr>
        <w:t>职业病危害因素检测结果</w:t>
      </w:r>
      <w:r>
        <w:rPr>
          <w:rFonts w:hint="eastAsia" w:ascii="黑体" w:eastAsia="黑体"/>
          <w:lang w:eastAsia="zh-CN"/>
        </w:rPr>
        <w:t>分析</w:t>
      </w:r>
      <w:r>
        <w:rPr>
          <w:rFonts w:hint="default" w:ascii="黑体" w:eastAsia="黑体"/>
        </w:rPr>
        <w:t>与评</w:t>
      </w:r>
      <w:r>
        <w:rPr>
          <w:rFonts w:hint="eastAsia" w:ascii="黑体" w:eastAsia="黑体"/>
          <w:lang w:eastAsia="zh-CN"/>
        </w:rPr>
        <w:t>价表</w:t>
      </w:r>
      <w:r>
        <w:rPr>
          <w:rFonts w:hint="default" w:ascii="黑体" w:eastAsia="黑体"/>
        </w:rPr>
        <w:t>（</w:t>
      </w:r>
      <w:r>
        <w:rPr>
          <w:rFonts w:hint="eastAsia" w:ascii="黑体" w:eastAsia="黑体"/>
          <w:lang w:val="en-US" w:eastAsia="zh-CN"/>
        </w:rPr>
        <w:t>2</w:t>
      </w:r>
      <w:r>
        <w:rPr>
          <w:rFonts w:hint="default" w:ascii="黑体" w:eastAsia="黑体"/>
        </w:rPr>
        <w:t>）</w:t>
      </w:r>
    </w:p>
    <w:p w14:paraId="23414A95">
      <w:pPr>
        <w:pStyle w:val="3"/>
        <w:spacing w:before="124"/>
        <w:ind w:left="416" w:right="921"/>
        <w:jc w:val="center"/>
        <w:rPr>
          <w:rFonts w:hint="default" w:ascii="黑体" w:eastAsia="黑体"/>
        </w:rPr>
      </w:pPr>
      <w:r>
        <w:rPr>
          <w:rFonts w:hint="default" w:ascii="黑体" w:eastAsia="黑体"/>
        </w:rPr>
        <w:t>（职业病危害因素接触限值有TWA值和</w:t>
      </w:r>
      <w:r>
        <w:rPr>
          <w:rFonts w:hint="eastAsia" w:ascii="黑体" w:eastAsia="黑体"/>
          <w:lang w:eastAsia="zh-CN"/>
        </w:rPr>
        <w:t>峰接触浓度限值</w:t>
      </w:r>
      <w:r>
        <w:rPr>
          <w:rFonts w:hint="default" w:ascii="黑体" w:eastAsia="黑体"/>
        </w:rPr>
        <w:t>）</w:t>
      </w:r>
    </w:p>
    <w:tbl>
      <w:tblPr>
        <w:tblStyle w:val="6"/>
        <w:tblW w:w="50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52"/>
        <w:gridCol w:w="753"/>
        <w:gridCol w:w="1035"/>
        <w:gridCol w:w="753"/>
        <w:gridCol w:w="753"/>
        <w:gridCol w:w="1139"/>
        <w:gridCol w:w="763"/>
        <w:gridCol w:w="1155"/>
        <w:gridCol w:w="971"/>
        <w:gridCol w:w="1494"/>
        <w:gridCol w:w="631"/>
      </w:tblGrid>
      <w:tr w14:paraId="6C5D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6" w:hRule="atLeast"/>
        </w:trPr>
        <w:tc>
          <w:tcPr>
            <w:tcW w:w="369" w:type="pct"/>
            <w:vMerge w:val="restart"/>
            <w:vAlign w:val="center"/>
          </w:tcPr>
          <w:p w14:paraId="60E2C7A2">
            <w:pPr>
              <w:pStyle w:val="41"/>
              <w:spacing w:line="240" w:lineRule="auto"/>
              <w:jc w:val="center"/>
              <w:rPr>
                <w:rFonts w:hint="default" w:ascii="Times New Roman"/>
                <w:sz w:val="18"/>
              </w:rPr>
            </w:pPr>
            <w:r>
              <w:rPr>
                <w:rFonts w:hint="default" w:ascii="Times New Roman"/>
                <w:sz w:val="18"/>
              </w:rPr>
              <w:t>评价工种</w:t>
            </w:r>
          </w:p>
        </w:tc>
        <w:tc>
          <w:tcPr>
            <w:tcW w:w="369" w:type="pct"/>
            <w:vMerge w:val="restart"/>
            <w:vAlign w:val="center"/>
          </w:tcPr>
          <w:p w14:paraId="57E59BC5">
            <w:pPr>
              <w:pStyle w:val="41"/>
              <w:spacing w:line="240" w:lineRule="auto"/>
              <w:jc w:val="center"/>
              <w:rPr>
                <w:rFonts w:hint="default" w:ascii="Times New Roman"/>
                <w:sz w:val="18"/>
              </w:rPr>
            </w:pPr>
            <w:r>
              <w:rPr>
                <w:rFonts w:hint="default" w:ascii="Times New Roman"/>
                <w:sz w:val="18"/>
              </w:rPr>
              <w:t>检测地点</w:t>
            </w:r>
          </w:p>
        </w:tc>
        <w:tc>
          <w:tcPr>
            <w:tcW w:w="507" w:type="pct"/>
            <w:vMerge w:val="restart"/>
            <w:vAlign w:val="center"/>
          </w:tcPr>
          <w:p w14:paraId="14491CA7">
            <w:pPr>
              <w:pStyle w:val="41"/>
              <w:spacing w:line="240" w:lineRule="auto"/>
              <w:jc w:val="center"/>
              <w:rPr>
                <w:rFonts w:hint="default" w:ascii="Times New Roman"/>
                <w:sz w:val="18"/>
              </w:rPr>
            </w:pPr>
            <w:r>
              <w:rPr>
                <w:rFonts w:hint="default" w:ascii="Times New Roman"/>
                <w:sz w:val="18"/>
              </w:rPr>
              <w:t>接触时间</w:t>
            </w:r>
          </w:p>
        </w:tc>
        <w:tc>
          <w:tcPr>
            <w:tcW w:w="1670" w:type="pct"/>
            <w:gridSpan w:val="4"/>
            <w:vAlign w:val="center"/>
          </w:tcPr>
          <w:p w14:paraId="02C2E65E">
            <w:pPr>
              <w:pStyle w:val="41"/>
              <w:spacing w:line="240" w:lineRule="auto"/>
              <w:jc w:val="center"/>
              <w:rPr>
                <w:rFonts w:hint="default" w:ascii="Times New Roman"/>
                <w:sz w:val="18"/>
              </w:rPr>
            </w:pPr>
            <w:r>
              <w:rPr>
                <w:rFonts w:hint="default" w:ascii="Times New Roman"/>
                <w:sz w:val="18"/>
              </w:rPr>
              <w:t>时间加权平均浓度（TWA）接触情况</w:t>
            </w:r>
          </w:p>
          <w:p w14:paraId="27682DEB">
            <w:pPr>
              <w:pStyle w:val="41"/>
              <w:spacing w:line="240" w:lineRule="auto"/>
              <w:jc w:val="center"/>
              <w:rPr>
                <w:rFonts w:hint="default" w:ascii="Times New Roman"/>
                <w:sz w:val="18"/>
              </w:rPr>
            </w:pPr>
            <w:r>
              <w:rPr>
                <w:rFonts w:hint="default" w:ascii="Times New Roman"/>
                <w:sz w:val="18"/>
              </w:rPr>
              <w:t>(mg/m</w:t>
            </w:r>
            <w:r>
              <w:rPr>
                <w:rFonts w:hint="eastAsia" w:ascii="Times New Roman"/>
                <w:sz w:val="18"/>
                <w:vertAlign w:val="superscript"/>
                <w:lang w:val="en-US" w:eastAsia="zh-CN"/>
              </w:rPr>
              <w:t>3</w:t>
            </w:r>
            <w:r>
              <w:rPr>
                <w:rFonts w:hint="default" w:ascii="Times New Roman"/>
                <w:sz w:val="18"/>
              </w:rPr>
              <w:t>)</w:t>
            </w:r>
          </w:p>
        </w:tc>
        <w:tc>
          <w:tcPr>
            <w:tcW w:w="2083" w:type="pct"/>
            <w:gridSpan w:val="4"/>
            <w:vAlign w:val="center"/>
          </w:tcPr>
          <w:p w14:paraId="398311FC">
            <w:pPr>
              <w:pStyle w:val="41"/>
              <w:spacing w:line="240" w:lineRule="auto"/>
              <w:jc w:val="center"/>
              <w:rPr>
                <w:rFonts w:hint="default" w:ascii="Times New Roman"/>
                <w:sz w:val="18"/>
              </w:rPr>
            </w:pPr>
            <w:r>
              <w:rPr>
                <w:rFonts w:hint="default" w:ascii="Times New Roman"/>
                <w:sz w:val="18"/>
              </w:rPr>
              <w:t>短时间接触情况</w:t>
            </w:r>
          </w:p>
          <w:p w14:paraId="5C8D6868">
            <w:pPr>
              <w:pStyle w:val="41"/>
              <w:spacing w:line="240" w:lineRule="auto"/>
              <w:jc w:val="center"/>
              <w:rPr>
                <w:rFonts w:hint="default" w:ascii="Times New Roman"/>
                <w:sz w:val="18"/>
              </w:rPr>
            </w:pPr>
            <w:r>
              <w:rPr>
                <w:rFonts w:hint="eastAsia" w:ascii="Times New Roman"/>
                <w:sz w:val="18"/>
                <w:lang w:val="en-US" w:eastAsia="zh-CN"/>
              </w:rPr>
              <w:t>(</w:t>
            </w:r>
            <w:r>
              <w:rPr>
                <w:rFonts w:hint="default" w:ascii="Times New Roman"/>
                <w:sz w:val="18"/>
              </w:rPr>
              <w:t>mg/m</w:t>
            </w:r>
            <w:r>
              <w:rPr>
                <w:rFonts w:hint="eastAsia" w:ascii="Times New Roman"/>
                <w:sz w:val="18"/>
                <w:vertAlign w:val="superscript"/>
                <w:lang w:val="en-US" w:eastAsia="zh-CN"/>
              </w:rPr>
              <w:t>3</w:t>
            </w:r>
            <w:r>
              <w:rPr>
                <w:rFonts w:hint="default" w:ascii="Times New Roman"/>
                <w:sz w:val="18"/>
              </w:rPr>
              <w:t>)</w:t>
            </w:r>
          </w:p>
        </w:tc>
      </w:tr>
      <w:tr w14:paraId="0A81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6" w:hRule="atLeast"/>
        </w:trPr>
        <w:tc>
          <w:tcPr>
            <w:tcW w:w="369" w:type="pct"/>
            <w:vMerge w:val="continue"/>
            <w:vAlign w:val="center"/>
          </w:tcPr>
          <w:p w14:paraId="5D315B70">
            <w:pPr>
              <w:pStyle w:val="41"/>
              <w:spacing w:line="240" w:lineRule="auto"/>
              <w:jc w:val="center"/>
              <w:rPr>
                <w:rFonts w:hint="default" w:ascii="Times New Roman"/>
                <w:sz w:val="18"/>
              </w:rPr>
            </w:pPr>
          </w:p>
        </w:tc>
        <w:tc>
          <w:tcPr>
            <w:tcW w:w="369" w:type="pct"/>
            <w:vMerge w:val="continue"/>
            <w:vAlign w:val="center"/>
          </w:tcPr>
          <w:p w14:paraId="437D7563">
            <w:pPr>
              <w:pStyle w:val="41"/>
              <w:spacing w:line="240" w:lineRule="auto"/>
              <w:jc w:val="center"/>
              <w:rPr>
                <w:rFonts w:hint="default" w:ascii="Times New Roman"/>
                <w:sz w:val="18"/>
              </w:rPr>
            </w:pPr>
          </w:p>
        </w:tc>
        <w:tc>
          <w:tcPr>
            <w:tcW w:w="507" w:type="pct"/>
            <w:vMerge w:val="continue"/>
            <w:vAlign w:val="center"/>
          </w:tcPr>
          <w:p w14:paraId="1B681EF7">
            <w:pPr>
              <w:pStyle w:val="41"/>
              <w:spacing w:line="240" w:lineRule="auto"/>
              <w:jc w:val="center"/>
              <w:rPr>
                <w:rFonts w:hint="default" w:ascii="Times New Roman"/>
                <w:sz w:val="18"/>
              </w:rPr>
            </w:pPr>
          </w:p>
        </w:tc>
        <w:tc>
          <w:tcPr>
            <w:tcW w:w="369" w:type="pct"/>
            <w:vAlign w:val="center"/>
          </w:tcPr>
          <w:p w14:paraId="4D171A3D">
            <w:pPr>
              <w:pStyle w:val="41"/>
              <w:spacing w:line="240" w:lineRule="auto"/>
              <w:jc w:val="center"/>
              <w:rPr>
                <w:rFonts w:hint="default" w:ascii="Times New Roman"/>
                <w:sz w:val="18"/>
              </w:rPr>
            </w:pPr>
            <w:r>
              <w:rPr>
                <w:rFonts w:hint="eastAsia" w:ascii="Times New Roman"/>
                <w:sz w:val="18"/>
                <w:lang w:val="en-US" w:eastAsia="zh-CN"/>
              </w:rPr>
              <w:t>检测浓度范围</w:t>
            </w:r>
          </w:p>
        </w:tc>
        <w:tc>
          <w:tcPr>
            <w:tcW w:w="369" w:type="pct"/>
            <w:vAlign w:val="center"/>
          </w:tcPr>
          <w:p w14:paraId="5E0F7DB1">
            <w:pPr>
              <w:pStyle w:val="41"/>
              <w:spacing w:line="240" w:lineRule="auto"/>
              <w:jc w:val="center"/>
              <w:rPr>
                <w:rFonts w:hint="default" w:ascii="Times New Roman"/>
                <w:sz w:val="18"/>
              </w:rPr>
            </w:pPr>
            <w:r>
              <w:rPr>
                <w:rFonts w:hint="default" w:ascii="Times New Roman"/>
                <w:sz w:val="18"/>
              </w:rPr>
              <w:t>C</w:t>
            </w:r>
            <w:r>
              <w:rPr>
                <w:rFonts w:hint="eastAsia" w:ascii="Times New Roman"/>
                <w:sz w:val="18"/>
                <w:lang w:val="en-US" w:eastAsia="zh-CN"/>
              </w:rPr>
              <w:t>-</w:t>
            </w:r>
            <w:r>
              <w:rPr>
                <w:rFonts w:hint="default" w:ascii="Times New Roman"/>
                <w:sz w:val="18"/>
              </w:rPr>
              <w:t>T</w:t>
            </w:r>
            <w:r>
              <w:rPr>
                <w:rFonts w:hint="eastAsia" w:ascii="Times New Roman"/>
                <w:sz w:val="18"/>
                <w:lang w:val="en-US" w:eastAsia="zh-CN"/>
              </w:rPr>
              <w:t>W</w:t>
            </w:r>
            <w:r>
              <w:rPr>
                <w:rFonts w:hint="default" w:ascii="Times New Roman"/>
                <w:sz w:val="18"/>
              </w:rPr>
              <w:t>A</w:t>
            </w:r>
          </w:p>
        </w:tc>
        <w:tc>
          <w:tcPr>
            <w:tcW w:w="558" w:type="pct"/>
            <w:vAlign w:val="center"/>
          </w:tcPr>
          <w:p w14:paraId="2B63A095">
            <w:pPr>
              <w:pStyle w:val="41"/>
              <w:spacing w:line="240" w:lineRule="auto"/>
              <w:jc w:val="center"/>
              <w:rPr>
                <w:rFonts w:hint="default" w:ascii="Times New Roman"/>
                <w:sz w:val="18"/>
              </w:rPr>
            </w:pPr>
            <w:r>
              <w:rPr>
                <w:rFonts w:hint="default" w:ascii="Times New Roman"/>
                <w:sz w:val="18"/>
              </w:rPr>
              <w:t>接触限值</w:t>
            </w:r>
          </w:p>
          <w:p w14:paraId="20C6813B">
            <w:pPr>
              <w:pStyle w:val="41"/>
              <w:spacing w:line="240" w:lineRule="auto"/>
              <w:jc w:val="center"/>
              <w:rPr>
                <w:rFonts w:hint="default" w:ascii="Times New Roman"/>
                <w:sz w:val="18"/>
              </w:rPr>
            </w:pPr>
            <w:r>
              <w:rPr>
                <w:rFonts w:hint="default" w:ascii="Times New Roman"/>
                <w:sz w:val="18"/>
              </w:rPr>
              <w:t>PC-TWA</w:t>
            </w:r>
          </w:p>
        </w:tc>
        <w:tc>
          <w:tcPr>
            <w:tcW w:w="373" w:type="pct"/>
            <w:vAlign w:val="center"/>
          </w:tcPr>
          <w:p w14:paraId="79C0BB49">
            <w:pPr>
              <w:pStyle w:val="41"/>
              <w:spacing w:line="240" w:lineRule="auto"/>
              <w:jc w:val="center"/>
              <w:rPr>
                <w:rFonts w:hint="default" w:ascii="Times New Roman"/>
                <w:sz w:val="18"/>
              </w:rPr>
            </w:pPr>
            <w:r>
              <w:rPr>
                <w:rFonts w:hint="default" w:ascii="Times New Roman"/>
                <w:sz w:val="18"/>
              </w:rPr>
              <w:t>判定</w:t>
            </w:r>
          </w:p>
        </w:tc>
        <w:tc>
          <w:tcPr>
            <w:tcW w:w="566" w:type="pct"/>
            <w:vAlign w:val="center"/>
          </w:tcPr>
          <w:p w14:paraId="2BA992E5">
            <w:pPr>
              <w:pStyle w:val="41"/>
              <w:spacing w:line="240" w:lineRule="auto"/>
              <w:jc w:val="center"/>
              <w:rPr>
                <w:rFonts w:hint="default" w:ascii="Times New Roman" w:eastAsia="宋体"/>
                <w:sz w:val="18"/>
                <w:lang w:val="en-US" w:eastAsia="zh-CN"/>
              </w:rPr>
            </w:pPr>
            <w:r>
              <w:rPr>
                <w:rFonts w:hint="default" w:ascii="Times New Roman"/>
                <w:sz w:val="18"/>
              </w:rPr>
              <w:t xml:space="preserve">C </w:t>
            </w:r>
            <w:r>
              <w:rPr>
                <w:rFonts w:hint="eastAsia" w:ascii="Times New Roman"/>
                <w:sz w:val="18"/>
                <w:vertAlign w:val="subscript"/>
                <w:lang w:val="en-US" w:eastAsia="zh-CN"/>
              </w:rPr>
              <w:t>PE</w:t>
            </w:r>
          </w:p>
        </w:tc>
        <w:tc>
          <w:tcPr>
            <w:tcW w:w="476" w:type="pct"/>
            <w:vAlign w:val="center"/>
          </w:tcPr>
          <w:p w14:paraId="5E9C2ADC">
            <w:pPr>
              <w:pStyle w:val="41"/>
              <w:spacing w:line="240" w:lineRule="auto"/>
              <w:jc w:val="center"/>
              <w:rPr>
                <w:rFonts w:hint="default" w:ascii="Times New Roman"/>
                <w:sz w:val="18"/>
              </w:rPr>
            </w:pPr>
            <w:r>
              <w:rPr>
                <w:rFonts w:hint="default" w:ascii="Times New Roman"/>
                <w:sz w:val="18"/>
              </w:rPr>
              <w:t>C短</w:t>
            </w:r>
          </w:p>
        </w:tc>
        <w:tc>
          <w:tcPr>
            <w:tcW w:w="732" w:type="pct"/>
            <w:vAlign w:val="center"/>
          </w:tcPr>
          <w:p w14:paraId="3B7DB246">
            <w:pPr>
              <w:pStyle w:val="41"/>
              <w:spacing w:line="240" w:lineRule="auto"/>
              <w:jc w:val="center"/>
              <w:rPr>
                <w:rFonts w:hint="default" w:ascii="Times New Roman"/>
                <w:sz w:val="18"/>
              </w:rPr>
            </w:pPr>
            <w:r>
              <w:rPr>
                <w:rFonts w:hint="default" w:ascii="Times New Roman" w:hAnsi="Times New Roman" w:eastAsia="宋体" w:cs="Times New Roman"/>
                <w:color w:val="000000"/>
                <w:sz w:val="18"/>
              </w:rPr>
              <w:t>C</w:t>
            </w:r>
            <w:r>
              <w:rPr>
                <w:rFonts w:hint="eastAsia" w:ascii="Times New Roman" w:hAnsi="Times New Roman" w:cs="Times New Roman"/>
                <w:color w:val="000000"/>
                <w:sz w:val="18"/>
                <w:vertAlign w:val="subscript"/>
                <w:lang w:val="en-US" w:eastAsia="zh-CN"/>
              </w:rPr>
              <w:t>PE</w:t>
            </w:r>
            <w:r>
              <w:rPr>
                <w:rFonts w:hint="eastAsia" w:ascii="Times New Roman" w:hAnsi="Times New Roman" w:eastAsiaTheme="minorEastAsia"/>
                <w:szCs w:val="21"/>
                <w:lang w:val="en-US" w:eastAsia="zh-CN"/>
              </w:rPr>
              <w:t>/PC-TWA</w:t>
            </w:r>
          </w:p>
        </w:tc>
        <w:tc>
          <w:tcPr>
            <w:tcW w:w="308" w:type="pct"/>
            <w:vAlign w:val="center"/>
          </w:tcPr>
          <w:p w14:paraId="1E5656D9">
            <w:pPr>
              <w:pStyle w:val="41"/>
              <w:spacing w:line="240" w:lineRule="auto"/>
              <w:jc w:val="center"/>
              <w:rPr>
                <w:rFonts w:hint="default" w:ascii="Times New Roman"/>
                <w:sz w:val="18"/>
              </w:rPr>
            </w:pPr>
            <w:r>
              <w:rPr>
                <w:rFonts w:hint="default" w:ascii="Times New Roman"/>
                <w:sz w:val="18"/>
              </w:rPr>
              <w:t>判定</w:t>
            </w:r>
          </w:p>
        </w:tc>
      </w:tr>
      <w:tr w14:paraId="179D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8" w:hRule="atLeast"/>
        </w:trPr>
        <w:tc>
          <w:tcPr>
            <w:tcW w:w="369" w:type="pct"/>
            <w:vMerge w:val="restart"/>
            <w:vAlign w:val="center"/>
          </w:tcPr>
          <w:p w14:paraId="64E546A6">
            <w:pPr>
              <w:rPr>
                <w:rFonts w:hint="default" w:ascii="Times New Roman" w:hAnsi="Times New Roman" w:cs="Times New Roman"/>
              </w:rPr>
            </w:pPr>
          </w:p>
        </w:tc>
        <w:tc>
          <w:tcPr>
            <w:tcW w:w="369" w:type="pct"/>
            <w:vAlign w:val="center"/>
          </w:tcPr>
          <w:p w14:paraId="776A645E">
            <w:pPr>
              <w:rPr>
                <w:rFonts w:hint="default" w:ascii="Times New Roman" w:hAnsi="Times New Roman" w:cs="Times New Roman"/>
              </w:rPr>
            </w:pPr>
          </w:p>
        </w:tc>
        <w:tc>
          <w:tcPr>
            <w:tcW w:w="507" w:type="pct"/>
            <w:vAlign w:val="center"/>
          </w:tcPr>
          <w:p w14:paraId="1AD5C16F">
            <w:pPr>
              <w:rPr>
                <w:rFonts w:hint="default" w:ascii="Times New Roman" w:hAnsi="Times New Roman" w:cs="Times New Roman"/>
              </w:rPr>
            </w:pPr>
          </w:p>
        </w:tc>
        <w:tc>
          <w:tcPr>
            <w:tcW w:w="369" w:type="pct"/>
            <w:vAlign w:val="center"/>
          </w:tcPr>
          <w:p w14:paraId="39782AA6">
            <w:pPr>
              <w:rPr>
                <w:rFonts w:hint="default" w:ascii="Times New Roman" w:hAnsi="Times New Roman" w:cs="Times New Roman"/>
              </w:rPr>
            </w:pPr>
          </w:p>
        </w:tc>
        <w:tc>
          <w:tcPr>
            <w:tcW w:w="369" w:type="pct"/>
            <w:vMerge w:val="restart"/>
            <w:vAlign w:val="center"/>
          </w:tcPr>
          <w:p w14:paraId="238FB004">
            <w:pPr>
              <w:rPr>
                <w:rFonts w:hint="default" w:ascii="Times New Roman" w:hAnsi="Times New Roman" w:cs="Times New Roman"/>
              </w:rPr>
            </w:pPr>
          </w:p>
        </w:tc>
        <w:tc>
          <w:tcPr>
            <w:tcW w:w="558" w:type="pct"/>
            <w:vMerge w:val="restart"/>
            <w:vAlign w:val="center"/>
          </w:tcPr>
          <w:p w14:paraId="2D4281EE">
            <w:pPr>
              <w:rPr>
                <w:rFonts w:hint="default" w:ascii="Times New Roman" w:hAnsi="Times New Roman" w:cs="Times New Roman"/>
              </w:rPr>
            </w:pPr>
          </w:p>
        </w:tc>
        <w:tc>
          <w:tcPr>
            <w:tcW w:w="373" w:type="pct"/>
            <w:vMerge w:val="restart"/>
            <w:vAlign w:val="center"/>
          </w:tcPr>
          <w:p w14:paraId="06B0685F">
            <w:pPr>
              <w:rPr>
                <w:rFonts w:hint="default" w:ascii="Times New Roman" w:hAnsi="Times New Roman" w:cs="Times New Roman"/>
              </w:rPr>
            </w:pPr>
          </w:p>
        </w:tc>
        <w:tc>
          <w:tcPr>
            <w:tcW w:w="566" w:type="pct"/>
            <w:vAlign w:val="center"/>
          </w:tcPr>
          <w:p w14:paraId="6AA94F6C">
            <w:pPr>
              <w:rPr>
                <w:rFonts w:hint="default" w:ascii="Times New Roman" w:hAnsi="Times New Roman" w:cs="Times New Roman"/>
              </w:rPr>
            </w:pPr>
          </w:p>
        </w:tc>
        <w:tc>
          <w:tcPr>
            <w:tcW w:w="476" w:type="pct"/>
            <w:vAlign w:val="center"/>
          </w:tcPr>
          <w:p w14:paraId="10CA2FCF">
            <w:pPr>
              <w:rPr>
                <w:rFonts w:hint="default" w:ascii="Times New Roman" w:hAnsi="Times New Roman" w:cs="Times New Roman"/>
              </w:rPr>
            </w:pPr>
          </w:p>
        </w:tc>
        <w:tc>
          <w:tcPr>
            <w:tcW w:w="732" w:type="pct"/>
            <w:vAlign w:val="center"/>
          </w:tcPr>
          <w:p w14:paraId="4E9BE8E4">
            <w:pPr>
              <w:rPr>
                <w:rFonts w:hint="default" w:ascii="Times New Roman" w:hAnsi="Times New Roman" w:cs="Times New Roman"/>
              </w:rPr>
            </w:pPr>
          </w:p>
        </w:tc>
        <w:tc>
          <w:tcPr>
            <w:tcW w:w="308" w:type="pct"/>
            <w:vAlign w:val="center"/>
          </w:tcPr>
          <w:p w14:paraId="35D95BB6">
            <w:pPr>
              <w:rPr>
                <w:rFonts w:hint="default" w:ascii="Times New Roman" w:hAnsi="Times New Roman" w:cs="Times New Roman"/>
              </w:rPr>
            </w:pPr>
          </w:p>
        </w:tc>
      </w:tr>
      <w:tr w14:paraId="1C51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369" w:type="pct"/>
            <w:vMerge w:val="continue"/>
          </w:tcPr>
          <w:p w14:paraId="1434076D">
            <w:pPr>
              <w:rPr>
                <w:rFonts w:hint="default" w:ascii="Times New Roman" w:hAnsi="Times New Roman" w:cs="Times New Roman"/>
              </w:rPr>
            </w:pPr>
          </w:p>
        </w:tc>
        <w:tc>
          <w:tcPr>
            <w:tcW w:w="369" w:type="pct"/>
            <w:vAlign w:val="center"/>
          </w:tcPr>
          <w:p w14:paraId="0665F1AE">
            <w:pPr>
              <w:rPr>
                <w:rFonts w:hint="default" w:ascii="Times New Roman" w:hAnsi="Times New Roman" w:cs="Times New Roman"/>
              </w:rPr>
            </w:pPr>
          </w:p>
        </w:tc>
        <w:tc>
          <w:tcPr>
            <w:tcW w:w="507" w:type="pct"/>
            <w:vAlign w:val="center"/>
          </w:tcPr>
          <w:p w14:paraId="72316476">
            <w:pPr>
              <w:rPr>
                <w:rFonts w:hint="default" w:ascii="Times New Roman" w:hAnsi="Times New Roman" w:cs="Times New Roman"/>
              </w:rPr>
            </w:pPr>
          </w:p>
        </w:tc>
        <w:tc>
          <w:tcPr>
            <w:tcW w:w="369" w:type="pct"/>
            <w:vAlign w:val="center"/>
          </w:tcPr>
          <w:p w14:paraId="293D6174">
            <w:pPr>
              <w:rPr>
                <w:rFonts w:hint="default" w:ascii="Times New Roman" w:hAnsi="Times New Roman" w:cs="Times New Roman"/>
              </w:rPr>
            </w:pPr>
          </w:p>
        </w:tc>
        <w:tc>
          <w:tcPr>
            <w:tcW w:w="369" w:type="pct"/>
            <w:vMerge w:val="continue"/>
          </w:tcPr>
          <w:p w14:paraId="3A21F514">
            <w:pPr>
              <w:rPr>
                <w:rFonts w:hint="default" w:ascii="Times New Roman" w:hAnsi="Times New Roman" w:cs="Times New Roman"/>
              </w:rPr>
            </w:pPr>
          </w:p>
        </w:tc>
        <w:tc>
          <w:tcPr>
            <w:tcW w:w="558" w:type="pct"/>
            <w:vMerge w:val="continue"/>
          </w:tcPr>
          <w:p w14:paraId="27E7C898">
            <w:pPr>
              <w:rPr>
                <w:rFonts w:hint="default" w:ascii="Times New Roman" w:hAnsi="Times New Roman" w:cs="Times New Roman"/>
              </w:rPr>
            </w:pPr>
          </w:p>
        </w:tc>
        <w:tc>
          <w:tcPr>
            <w:tcW w:w="373" w:type="pct"/>
            <w:vMerge w:val="continue"/>
          </w:tcPr>
          <w:p w14:paraId="045D1809">
            <w:pPr>
              <w:rPr>
                <w:rFonts w:hint="default" w:ascii="Times New Roman" w:hAnsi="Times New Roman" w:cs="Times New Roman"/>
              </w:rPr>
            </w:pPr>
          </w:p>
        </w:tc>
        <w:tc>
          <w:tcPr>
            <w:tcW w:w="566" w:type="pct"/>
            <w:vAlign w:val="center"/>
          </w:tcPr>
          <w:p w14:paraId="6232A49B">
            <w:pPr>
              <w:rPr>
                <w:rFonts w:hint="default" w:ascii="Times New Roman" w:hAnsi="Times New Roman" w:cs="Times New Roman"/>
              </w:rPr>
            </w:pPr>
          </w:p>
        </w:tc>
        <w:tc>
          <w:tcPr>
            <w:tcW w:w="476" w:type="pct"/>
            <w:vAlign w:val="center"/>
          </w:tcPr>
          <w:p w14:paraId="2773F5C1">
            <w:pPr>
              <w:rPr>
                <w:rFonts w:hint="default" w:ascii="Times New Roman" w:hAnsi="Times New Roman" w:cs="Times New Roman"/>
              </w:rPr>
            </w:pPr>
          </w:p>
        </w:tc>
        <w:tc>
          <w:tcPr>
            <w:tcW w:w="732" w:type="pct"/>
            <w:vAlign w:val="center"/>
          </w:tcPr>
          <w:p w14:paraId="4ECDA662">
            <w:pPr>
              <w:rPr>
                <w:rFonts w:hint="default" w:ascii="Times New Roman" w:hAnsi="Times New Roman" w:cs="Times New Roman"/>
              </w:rPr>
            </w:pPr>
          </w:p>
        </w:tc>
        <w:tc>
          <w:tcPr>
            <w:tcW w:w="308" w:type="pct"/>
            <w:vAlign w:val="center"/>
          </w:tcPr>
          <w:p w14:paraId="4AAF17B7">
            <w:pPr>
              <w:rPr>
                <w:rFonts w:hint="default" w:ascii="Times New Roman" w:hAnsi="Times New Roman" w:cs="Times New Roman"/>
              </w:rPr>
            </w:pPr>
          </w:p>
        </w:tc>
      </w:tr>
    </w:tbl>
    <w:p w14:paraId="02BEC012">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40</w:t>
      </w:r>
      <w:r>
        <w:rPr>
          <w:rFonts w:hint="default" w:ascii="黑体" w:eastAsia="黑体"/>
        </w:rPr>
        <w:t xml:space="preserve"> 职业病危害因素检测结果分析与评价表（3）</w:t>
      </w:r>
    </w:p>
    <w:p w14:paraId="7A9C0F4A">
      <w:pPr>
        <w:pStyle w:val="3"/>
        <w:spacing w:before="124"/>
        <w:ind w:left="416" w:right="921"/>
        <w:jc w:val="center"/>
        <w:rPr>
          <w:rFonts w:hint="default" w:ascii="黑体" w:eastAsia="黑体"/>
        </w:rPr>
      </w:pPr>
      <w:r>
        <w:rPr>
          <w:rFonts w:hint="default" w:ascii="黑体" w:eastAsia="黑体"/>
        </w:rPr>
        <w:t>（职业病危害因素接触限值为MAC值）</w:t>
      </w:r>
    </w:p>
    <w:tbl>
      <w:tblPr>
        <w:tblStyle w:val="6"/>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32"/>
        <w:gridCol w:w="1140"/>
        <w:gridCol w:w="3158"/>
        <w:gridCol w:w="1140"/>
        <w:gridCol w:w="2329"/>
        <w:gridCol w:w="1037"/>
      </w:tblGrid>
      <w:tr w14:paraId="760D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9" w:hRule="atLeast"/>
        </w:trPr>
        <w:tc>
          <w:tcPr>
            <w:tcW w:w="657" w:type="pct"/>
            <w:vAlign w:val="center"/>
          </w:tcPr>
          <w:p w14:paraId="4E649A78">
            <w:pPr>
              <w:pStyle w:val="41"/>
              <w:spacing w:line="240" w:lineRule="auto"/>
              <w:jc w:val="center"/>
              <w:rPr>
                <w:rFonts w:hint="default" w:ascii="Times New Roman"/>
                <w:sz w:val="18"/>
              </w:rPr>
            </w:pPr>
            <w:r>
              <w:rPr>
                <w:rFonts w:hint="default" w:ascii="Times New Roman"/>
                <w:sz w:val="18"/>
              </w:rPr>
              <w:t>评价工种</w:t>
            </w:r>
          </w:p>
        </w:tc>
        <w:tc>
          <w:tcPr>
            <w:tcW w:w="562" w:type="pct"/>
            <w:vAlign w:val="center"/>
          </w:tcPr>
          <w:p w14:paraId="56D1291A">
            <w:pPr>
              <w:pStyle w:val="41"/>
              <w:spacing w:line="240" w:lineRule="auto"/>
              <w:jc w:val="center"/>
              <w:rPr>
                <w:rFonts w:hint="default" w:ascii="Times New Roman"/>
                <w:sz w:val="18"/>
              </w:rPr>
            </w:pPr>
            <w:r>
              <w:rPr>
                <w:rFonts w:hint="default" w:ascii="Times New Roman"/>
                <w:sz w:val="18"/>
              </w:rPr>
              <w:t>检测地点</w:t>
            </w:r>
          </w:p>
        </w:tc>
        <w:tc>
          <w:tcPr>
            <w:tcW w:w="1557" w:type="pct"/>
            <w:vAlign w:val="center"/>
          </w:tcPr>
          <w:p w14:paraId="65A4395D">
            <w:pPr>
              <w:pStyle w:val="41"/>
              <w:spacing w:line="240" w:lineRule="auto"/>
              <w:jc w:val="center"/>
              <w:rPr>
                <w:rFonts w:hint="default" w:ascii="Times New Roman"/>
                <w:sz w:val="18"/>
              </w:rPr>
            </w:pPr>
            <w:r>
              <w:rPr>
                <w:rFonts w:hint="default" w:ascii="Times New Roman"/>
                <w:sz w:val="18"/>
              </w:rPr>
              <w:t>检测值C波动范围</w:t>
            </w:r>
          </w:p>
          <w:p w14:paraId="2ACC88B0">
            <w:pPr>
              <w:pStyle w:val="41"/>
              <w:spacing w:line="240" w:lineRule="auto"/>
              <w:jc w:val="center"/>
              <w:rPr>
                <w:rFonts w:hint="default" w:ascii="Times New Roman"/>
                <w:sz w:val="18"/>
              </w:rPr>
            </w:pPr>
            <w:r>
              <w:rPr>
                <w:rFonts w:hint="default" w:ascii="Times New Roman"/>
                <w:sz w:val="18"/>
              </w:rPr>
              <w:t>(mg/m</w:t>
            </w:r>
            <w:r>
              <w:rPr>
                <w:rFonts w:hint="default" w:ascii="Times New Roman"/>
                <w:sz w:val="18"/>
                <w:vertAlign w:val="superscript"/>
                <w:lang w:val="en-US" w:eastAsia="zh-CN"/>
              </w:rPr>
              <w:t>3</w:t>
            </w:r>
            <w:r>
              <w:rPr>
                <w:rFonts w:hint="default" w:ascii="Times New Roman"/>
                <w:sz w:val="18"/>
              </w:rPr>
              <w:t>)</w:t>
            </w:r>
          </w:p>
        </w:tc>
        <w:tc>
          <w:tcPr>
            <w:tcW w:w="562" w:type="pct"/>
            <w:vAlign w:val="center"/>
          </w:tcPr>
          <w:p w14:paraId="3F79C2B8">
            <w:pPr>
              <w:pStyle w:val="41"/>
              <w:spacing w:line="240" w:lineRule="auto"/>
              <w:jc w:val="center"/>
              <w:rPr>
                <w:rFonts w:hint="default" w:ascii="Times New Roman"/>
                <w:sz w:val="18"/>
              </w:rPr>
            </w:pPr>
            <w:r>
              <w:rPr>
                <w:rFonts w:hint="default" w:ascii="Times New Roman"/>
                <w:sz w:val="18"/>
              </w:rPr>
              <w:t>CMAC</w:t>
            </w:r>
          </w:p>
          <w:p w14:paraId="5FF5CDC6">
            <w:pPr>
              <w:pStyle w:val="41"/>
              <w:spacing w:line="240" w:lineRule="auto"/>
              <w:jc w:val="center"/>
              <w:rPr>
                <w:rFonts w:hint="default" w:ascii="Times New Roman"/>
                <w:sz w:val="18"/>
              </w:rPr>
            </w:pPr>
            <w:r>
              <w:rPr>
                <w:rFonts w:hint="default" w:ascii="Times New Roman"/>
                <w:sz w:val="18"/>
              </w:rPr>
              <w:t>(mg/m</w:t>
            </w:r>
            <w:r>
              <w:rPr>
                <w:rFonts w:hint="default" w:ascii="Times New Roman"/>
                <w:sz w:val="18"/>
                <w:vertAlign w:val="superscript"/>
                <w:lang w:val="en-US" w:eastAsia="zh-CN"/>
              </w:rPr>
              <w:t>3</w:t>
            </w:r>
            <w:r>
              <w:rPr>
                <w:rFonts w:hint="default" w:ascii="Times New Roman"/>
                <w:sz w:val="18"/>
              </w:rPr>
              <w:t>)</w:t>
            </w:r>
          </w:p>
        </w:tc>
        <w:tc>
          <w:tcPr>
            <w:tcW w:w="1148" w:type="pct"/>
            <w:vAlign w:val="center"/>
          </w:tcPr>
          <w:p w14:paraId="3E6FA816">
            <w:pPr>
              <w:pStyle w:val="41"/>
              <w:spacing w:line="240" w:lineRule="auto"/>
              <w:jc w:val="center"/>
              <w:rPr>
                <w:rFonts w:hint="default" w:ascii="Times New Roman"/>
                <w:sz w:val="18"/>
              </w:rPr>
            </w:pPr>
            <w:r>
              <w:rPr>
                <w:rFonts w:hint="default" w:ascii="Times New Roman"/>
                <w:sz w:val="18"/>
              </w:rPr>
              <w:t>最高限值 MAC</w:t>
            </w:r>
          </w:p>
          <w:p w14:paraId="6C72ECA1">
            <w:pPr>
              <w:pStyle w:val="41"/>
              <w:spacing w:line="240" w:lineRule="auto"/>
              <w:jc w:val="center"/>
              <w:rPr>
                <w:rFonts w:hint="default" w:ascii="Times New Roman"/>
                <w:sz w:val="18"/>
              </w:rPr>
            </w:pPr>
            <w:r>
              <w:rPr>
                <w:rFonts w:hint="default" w:ascii="Times New Roman"/>
                <w:sz w:val="18"/>
              </w:rPr>
              <w:t>(mg/m</w:t>
            </w:r>
            <w:r>
              <w:rPr>
                <w:rFonts w:hint="default" w:ascii="Times New Roman"/>
                <w:sz w:val="18"/>
                <w:vertAlign w:val="superscript"/>
                <w:lang w:val="en-US" w:eastAsia="zh-CN"/>
              </w:rPr>
              <w:t>3</w:t>
            </w:r>
            <w:r>
              <w:rPr>
                <w:rFonts w:hint="default" w:ascii="Times New Roman"/>
                <w:sz w:val="18"/>
              </w:rPr>
              <w:t>)</w:t>
            </w:r>
          </w:p>
        </w:tc>
        <w:tc>
          <w:tcPr>
            <w:tcW w:w="511" w:type="pct"/>
            <w:vAlign w:val="center"/>
          </w:tcPr>
          <w:p w14:paraId="1D6AD4C0">
            <w:pPr>
              <w:pStyle w:val="41"/>
              <w:spacing w:line="240" w:lineRule="auto"/>
              <w:jc w:val="center"/>
              <w:rPr>
                <w:rFonts w:hint="default" w:ascii="Times New Roman"/>
                <w:sz w:val="18"/>
              </w:rPr>
            </w:pPr>
            <w:r>
              <w:rPr>
                <w:rFonts w:hint="default" w:ascii="Times New Roman"/>
                <w:sz w:val="18"/>
              </w:rPr>
              <w:t>判定</w:t>
            </w:r>
          </w:p>
        </w:tc>
      </w:tr>
      <w:tr w14:paraId="5E79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31" w:hRule="atLeast"/>
        </w:trPr>
        <w:tc>
          <w:tcPr>
            <w:tcW w:w="657" w:type="pct"/>
            <w:vMerge w:val="restart"/>
            <w:vAlign w:val="center"/>
          </w:tcPr>
          <w:p w14:paraId="203E9196">
            <w:pPr>
              <w:rPr>
                <w:rFonts w:hint="default" w:ascii="Times New Roman" w:hAnsi="Times New Roman" w:cs="Times New Roman"/>
              </w:rPr>
            </w:pPr>
          </w:p>
        </w:tc>
        <w:tc>
          <w:tcPr>
            <w:tcW w:w="562" w:type="pct"/>
            <w:vAlign w:val="center"/>
          </w:tcPr>
          <w:p w14:paraId="0B07CC2B">
            <w:pPr>
              <w:rPr>
                <w:rFonts w:hint="default" w:ascii="Times New Roman" w:hAnsi="Times New Roman" w:cs="Times New Roman"/>
              </w:rPr>
            </w:pPr>
          </w:p>
        </w:tc>
        <w:tc>
          <w:tcPr>
            <w:tcW w:w="1557" w:type="pct"/>
            <w:vAlign w:val="center"/>
          </w:tcPr>
          <w:p w14:paraId="1CA9342A">
            <w:pPr>
              <w:rPr>
                <w:rFonts w:hint="default" w:ascii="Times New Roman" w:hAnsi="Times New Roman" w:cs="Times New Roman"/>
              </w:rPr>
            </w:pPr>
          </w:p>
        </w:tc>
        <w:tc>
          <w:tcPr>
            <w:tcW w:w="562" w:type="pct"/>
            <w:vMerge w:val="restart"/>
            <w:vAlign w:val="center"/>
          </w:tcPr>
          <w:p w14:paraId="41D662B9">
            <w:pPr>
              <w:rPr>
                <w:rFonts w:hint="default" w:ascii="Times New Roman" w:hAnsi="Times New Roman" w:cs="Times New Roman"/>
              </w:rPr>
            </w:pPr>
          </w:p>
        </w:tc>
        <w:tc>
          <w:tcPr>
            <w:tcW w:w="1148" w:type="pct"/>
            <w:vMerge w:val="restart"/>
            <w:vAlign w:val="center"/>
          </w:tcPr>
          <w:p w14:paraId="421D715C">
            <w:pPr>
              <w:rPr>
                <w:rFonts w:hint="default" w:ascii="Times New Roman" w:hAnsi="Times New Roman" w:cs="Times New Roman"/>
              </w:rPr>
            </w:pPr>
          </w:p>
        </w:tc>
        <w:tc>
          <w:tcPr>
            <w:tcW w:w="511" w:type="pct"/>
            <w:vMerge w:val="restart"/>
            <w:vAlign w:val="center"/>
          </w:tcPr>
          <w:p w14:paraId="47B82992">
            <w:pPr>
              <w:rPr>
                <w:rFonts w:hint="default" w:ascii="Times New Roman" w:hAnsi="Times New Roman" w:cs="Times New Roman"/>
              </w:rPr>
            </w:pPr>
          </w:p>
        </w:tc>
      </w:tr>
      <w:tr w14:paraId="10DA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54" w:hRule="atLeast"/>
        </w:trPr>
        <w:tc>
          <w:tcPr>
            <w:tcW w:w="657" w:type="pct"/>
            <w:vMerge w:val="continue"/>
          </w:tcPr>
          <w:p w14:paraId="4DAA0EDA">
            <w:pPr>
              <w:rPr>
                <w:rFonts w:hint="default" w:ascii="Times New Roman" w:hAnsi="Times New Roman" w:cs="Times New Roman"/>
              </w:rPr>
            </w:pPr>
          </w:p>
        </w:tc>
        <w:tc>
          <w:tcPr>
            <w:tcW w:w="562" w:type="pct"/>
            <w:vAlign w:val="center"/>
          </w:tcPr>
          <w:p w14:paraId="33D1295F">
            <w:pPr>
              <w:rPr>
                <w:rFonts w:hint="default" w:ascii="Times New Roman" w:hAnsi="Times New Roman" w:cs="Times New Roman"/>
              </w:rPr>
            </w:pPr>
          </w:p>
        </w:tc>
        <w:tc>
          <w:tcPr>
            <w:tcW w:w="1557" w:type="pct"/>
            <w:vAlign w:val="center"/>
          </w:tcPr>
          <w:p w14:paraId="634BA083">
            <w:pPr>
              <w:rPr>
                <w:rFonts w:hint="default" w:ascii="Times New Roman" w:hAnsi="Times New Roman" w:cs="Times New Roman"/>
              </w:rPr>
            </w:pPr>
          </w:p>
        </w:tc>
        <w:tc>
          <w:tcPr>
            <w:tcW w:w="562" w:type="pct"/>
            <w:vMerge w:val="continue"/>
          </w:tcPr>
          <w:p w14:paraId="2A60AC37">
            <w:pPr>
              <w:rPr>
                <w:rFonts w:hint="default" w:ascii="Times New Roman" w:hAnsi="Times New Roman" w:cs="Times New Roman"/>
              </w:rPr>
            </w:pPr>
          </w:p>
        </w:tc>
        <w:tc>
          <w:tcPr>
            <w:tcW w:w="1148" w:type="pct"/>
            <w:vMerge w:val="continue"/>
          </w:tcPr>
          <w:p w14:paraId="0810233D">
            <w:pPr>
              <w:rPr>
                <w:rFonts w:hint="default" w:ascii="Times New Roman" w:hAnsi="Times New Roman" w:cs="Times New Roman"/>
              </w:rPr>
            </w:pPr>
          </w:p>
        </w:tc>
        <w:tc>
          <w:tcPr>
            <w:tcW w:w="511" w:type="pct"/>
            <w:vMerge w:val="continue"/>
          </w:tcPr>
          <w:p w14:paraId="55B342D7">
            <w:pPr>
              <w:rPr>
                <w:rFonts w:hint="default" w:ascii="Times New Roman" w:hAnsi="Times New Roman" w:cs="Times New Roman"/>
              </w:rPr>
            </w:pPr>
          </w:p>
        </w:tc>
      </w:tr>
    </w:tbl>
    <w:p w14:paraId="15468891">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41</w:t>
      </w:r>
      <w:r>
        <w:rPr>
          <w:rFonts w:hint="default" w:ascii="黑体" w:eastAsia="黑体"/>
        </w:rPr>
        <w:t xml:space="preserve"> 职业病危害因素（噪声）检测结果分析与评价表</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57"/>
        <w:gridCol w:w="1543"/>
        <w:gridCol w:w="1307"/>
        <w:gridCol w:w="1307"/>
        <w:gridCol w:w="2464"/>
        <w:gridCol w:w="1308"/>
        <w:gridCol w:w="1072"/>
      </w:tblGrid>
      <w:tr w14:paraId="57CA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4" w:hRule="atLeast"/>
          <w:jc w:val="center"/>
        </w:trPr>
        <w:tc>
          <w:tcPr>
            <w:tcW w:w="569" w:type="pct"/>
            <w:vAlign w:val="center"/>
          </w:tcPr>
          <w:p w14:paraId="51B65AB1">
            <w:pPr>
              <w:pStyle w:val="41"/>
              <w:spacing w:line="240" w:lineRule="auto"/>
              <w:jc w:val="center"/>
              <w:rPr>
                <w:rFonts w:hint="default" w:ascii="Times New Roman"/>
                <w:sz w:val="18"/>
              </w:rPr>
            </w:pPr>
            <w:r>
              <w:rPr>
                <w:rFonts w:hint="default" w:ascii="Times New Roman"/>
                <w:sz w:val="18"/>
              </w:rPr>
              <w:t>评价工种</w:t>
            </w:r>
          </w:p>
        </w:tc>
        <w:tc>
          <w:tcPr>
            <w:tcW w:w="759" w:type="pct"/>
            <w:vAlign w:val="center"/>
          </w:tcPr>
          <w:p w14:paraId="507934F1">
            <w:pPr>
              <w:pStyle w:val="41"/>
              <w:spacing w:line="240" w:lineRule="auto"/>
              <w:jc w:val="center"/>
              <w:rPr>
                <w:rFonts w:hint="default" w:ascii="Times New Roman"/>
                <w:sz w:val="18"/>
              </w:rPr>
            </w:pPr>
            <w:r>
              <w:rPr>
                <w:rFonts w:hint="default" w:ascii="Times New Roman"/>
                <w:sz w:val="18"/>
              </w:rPr>
              <w:t>检测地点</w:t>
            </w:r>
          </w:p>
        </w:tc>
        <w:tc>
          <w:tcPr>
            <w:tcW w:w="643" w:type="pct"/>
            <w:vAlign w:val="center"/>
          </w:tcPr>
          <w:p w14:paraId="6C2D673B">
            <w:pPr>
              <w:pStyle w:val="41"/>
              <w:spacing w:line="240" w:lineRule="auto"/>
              <w:jc w:val="center"/>
              <w:rPr>
                <w:rFonts w:hint="default" w:ascii="Times New Roman"/>
                <w:sz w:val="18"/>
              </w:rPr>
            </w:pPr>
            <w:r>
              <w:rPr>
                <w:rFonts w:hint="default" w:ascii="Times New Roman"/>
                <w:sz w:val="18"/>
              </w:rPr>
              <w:t>接触时间</w:t>
            </w:r>
          </w:p>
          <w:p w14:paraId="540652E5">
            <w:pPr>
              <w:pStyle w:val="41"/>
              <w:spacing w:line="240" w:lineRule="auto"/>
              <w:jc w:val="center"/>
              <w:rPr>
                <w:rFonts w:hint="default" w:ascii="Times New Roman"/>
                <w:sz w:val="18"/>
              </w:rPr>
            </w:pPr>
            <w:r>
              <w:rPr>
                <w:rFonts w:hint="default" w:ascii="Times New Roman"/>
                <w:sz w:val="18"/>
              </w:rPr>
              <w:t>(h)</w:t>
            </w:r>
          </w:p>
        </w:tc>
        <w:tc>
          <w:tcPr>
            <w:tcW w:w="643" w:type="pct"/>
            <w:vAlign w:val="center"/>
          </w:tcPr>
          <w:p w14:paraId="43D06DEB">
            <w:pPr>
              <w:pStyle w:val="41"/>
              <w:spacing w:line="240" w:lineRule="auto"/>
              <w:jc w:val="center"/>
              <w:rPr>
                <w:rFonts w:hint="default" w:ascii="Times New Roman"/>
                <w:sz w:val="18"/>
              </w:rPr>
            </w:pPr>
            <w:r>
              <w:rPr>
                <w:rFonts w:hint="default" w:ascii="Times New Roman"/>
                <w:sz w:val="18"/>
              </w:rPr>
              <w:t>检测平均值</w:t>
            </w:r>
          </w:p>
          <w:p w14:paraId="48A9A172">
            <w:pPr>
              <w:pStyle w:val="41"/>
              <w:spacing w:line="240" w:lineRule="auto"/>
              <w:jc w:val="center"/>
              <w:rPr>
                <w:rFonts w:hint="default" w:ascii="Times New Roman"/>
                <w:sz w:val="18"/>
              </w:rPr>
            </w:pPr>
            <w:r>
              <w:rPr>
                <w:rFonts w:hint="default" w:ascii="Times New Roman"/>
                <w:sz w:val="18"/>
              </w:rPr>
              <w:t>dB(A)</w:t>
            </w:r>
          </w:p>
        </w:tc>
        <w:tc>
          <w:tcPr>
            <w:tcW w:w="1212" w:type="pct"/>
            <w:vAlign w:val="center"/>
          </w:tcPr>
          <w:p w14:paraId="1B26B300">
            <w:pPr>
              <w:pStyle w:val="41"/>
              <w:spacing w:line="240" w:lineRule="auto"/>
              <w:jc w:val="center"/>
              <w:rPr>
                <w:rFonts w:hint="default" w:ascii="Times New Roman"/>
                <w:sz w:val="18"/>
              </w:rPr>
            </w:pPr>
            <w:r>
              <w:rPr>
                <w:rFonts w:hint="default" w:ascii="Times New Roman"/>
                <w:sz w:val="18"/>
              </w:rPr>
              <w:t>8h或40h等效声级 dB</w:t>
            </w:r>
          </w:p>
          <w:p w14:paraId="5F5D59DA">
            <w:pPr>
              <w:pStyle w:val="41"/>
              <w:spacing w:line="240" w:lineRule="auto"/>
              <w:jc w:val="center"/>
              <w:rPr>
                <w:rFonts w:hint="default" w:ascii="Times New Roman"/>
                <w:sz w:val="18"/>
              </w:rPr>
            </w:pPr>
            <w:r>
              <w:rPr>
                <w:rFonts w:hint="default" w:ascii="Times New Roman"/>
                <w:sz w:val="18"/>
              </w:rPr>
              <w:t>(A)</w:t>
            </w:r>
          </w:p>
        </w:tc>
        <w:tc>
          <w:tcPr>
            <w:tcW w:w="643" w:type="pct"/>
            <w:vAlign w:val="center"/>
          </w:tcPr>
          <w:p w14:paraId="49520399">
            <w:pPr>
              <w:pStyle w:val="41"/>
              <w:spacing w:line="240" w:lineRule="auto"/>
              <w:jc w:val="center"/>
              <w:rPr>
                <w:rFonts w:hint="default" w:ascii="Times New Roman"/>
                <w:sz w:val="18"/>
              </w:rPr>
            </w:pPr>
            <w:r>
              <w:rPr>
                <w:rFonts w:hint="default" w:ascii="Times New Roman"/>
                <w:sz w:val="18"/>
              </w:rPr>
              <w:t>标准限值</w:t>
            </w:r>
          </w:p>
          <w:p w14:paraId="35673133">
            <w:pPr>
              <w:pStyle w:val="41"/>
              <w:spacing w:line="240" w:lineRule="auto"/>
              <w:jc w:val="center"/>
              <w:rPr>
                <w:rFonts w:hint="default" w:ascii="Times New Roman"/>
                <w:sz w:val="18"/>
              </w:rPr>
            </w:pPr>
            <w:r>
              <w:rPr>
                <w:rFonts w:hint="default" w:ascii="Times New Roman"/>
                <w:sz w:val="18"/>
              </w:rPr>
              <w:t>dB(A)</w:t>
            </w:r>
          </w:p>
        </w:tc>
        <w:tc>
          <w:tcPr>
            <w:tcW w:w="527" w:type="pct"/>
            <w:vAlign w:val="center"/>
          </w:tcPr>
          <w:p w14:paraId="18A606B6">
            <w:pPr>
              <w:pStyle w:val="41"/>
              <w:spacing w:line="240" w:lineRule="auto"/>
              <w:jc w:val="center"/>
              <w:rPr>
                <w:rFonts w:hint="default" w:ascii="Times New Roman"/>
                <w:sz w:val="18"/>
              </w:rPr>
            </w:pPr>
            <w:r>
              <w:rPr>
                <w:rFonts w:hint="default" w:ascii="Times New Roman"/>
                <w:sz w:val="18"/>
              </w:rPr>
              <w:t>判定</w:t>
            </w:r>
          </w:p>
        </w:tc>
      </w:tr>
      <w:tr w14:paraId="269D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atLeast"/>
          <w:jc w:val="center"/>
        </w:trPr>
        <w:tc>
          <w:tcPr>
            <w:tcW w:w="569" w:type="pct"/>
            <w:vMerge w:val="restart"/>
            <w:vAlign w:val="center"/>
          </w:tcPr>
          <w:p w14:paraId="31B80964">
            <w:pPr>
              <w:rPr>
                <w:rFonts w:hint="default" w:ascii="Times New Roman" w:hAnsi="Times New Roman" w:cs="Times New Roman"/>
              </w:rPr>
            </w:pPr>
          </w:p>
        </w:tc>
        <w:tc>
          <w:tcPr>
            <w:tcW w:w="759" w:type="pct"/>
            <w:vAlign w:val="center"/>
          </w:tcPr>
          <w:p w14:paraId="11C4F0F4">
            <w:pPr>
              <w:rPr>
                <w:rFonts w:hint="default" w:ascii="Times New Roman" w:hAnsi="Times New Roman" w:cs="Times New Roman"/>
              </w:rPr>
            </w:pPr>
          </w:p>
        </w:tc>
        <w:tc>
          <w:tcPr>
            <w:tcW w:w="643" w:type="pct"/>
            <w:vAlign w:val="center"/>
          </w:tcPr>
          <w:p w14:paraId="613118C6">
            <w:pPr>
              <w:rPr>
                <w:rFonts w:hint="default" w:ascii="Times New Roman" w:hAnsi="Times New Roman" w:cs="Times New Roman"/>
              </w:rPr>
            </w:pPr>
          </w:p>
        </w:tc>
        <w:tc>
          <w:tcPr>
            <w:tcW w:w="643" w:type="pct"/>
            <w:vAlign w:val="center"/>
          </w:tcPr>
          <w:p w14:paraId="2E0788A8">
            <w:pPr>
              <w:rPr>
                <w:rFonts w:hint="default" w:ascii="Times New Roman" w:hAnsi="Times New Roman" w:cs="Times New Roman"/>
              </w:rPr>
            </w:pPr>
          </w:p>
        </w:tc>
        <w:tc>
          <w:tcPr>
            <w:tcW w:w="1212" w:type="pct"/>
            <w:vMerge w:val="restart"/>
            <w:vAlign w:val="center"/>
          </w:tcPr>
          <w:p w14:paraId="1935F468">
            <w:pPr>
              <w:rPr>
                <w:rFonts w:hint="default" w:ascii="Times New Roman" w:hAnsi="Times New Roman" w:cs="Times New Roman"/>
              </w:rPr>
            </w:pPr>
          </w:p>
        </w:tc>
        <w:tc>
          <w:tcPr>
            <w:tcW w:w="643" w:type="pct"/>
            <w:vMerge w:val="restart"/>
            <w:vAlign w:val="center"/>
          </w:tcPr>
          <w:p w14:paraId="55E24235">
            <w:pPr>
              <w:spacing w:line="210" w:lineRule="exact"/>
              <w:jc w:val="center"/>
              <w:rPr>
                <w:rFonts w:hint="default" w:ascii="Times New Roman" w:hAnsi="Times New Roman" w:cs="Times New Roman" w:eastAsiaTheme="minorEastAsia"/>
                <w:lang w:val="en-US" w:eastAsia="zh-CN"/>
              </w:rPr>
            </w:pPr>
          </w:p>
        </w:tc>
        <w:tc>
          <w:tcPr>
            <w:tcW w:w="527" w:type="pct"/>
            <w:vMerge w:val="restart"/>
            <w:vAlign w:val="center"/>
          </w:tcPr>
          <w:p w14:paraId="7D638308">
            <w:pPr>
              <w:rPr>
                <w:rFonts w:hint="default" w:ascii="Times New Roman" w:hAnsi="Times New Roman" w:cs="Times New Roman"/>
              </w:rPr>
            </w:pPr>
          </w:p>
        </w:tc>
      </w:tr>
      <w:tr w14:paraId="6E69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9" w:hRule="atLeast"/>
          <w:jc w:val="center"/>
        </w:trPr>
        <w:tc>
          <w:tcPr>
            <w:tcW w:w="569" w:type="pct"/>
            <w:vMerge w:val="continue"/>
          </w:tcPr>
          <w:p w14:paraId="78C33283">
            <w:pPr>
              <w:rPr>
                <w:rFonts w:hint="default" w:ascii="Times New Roman" w:hAnsi="Times New Roman" w:cs="Times New Roman"/>
              </w:rPr>
            </w:pPr>
          </w:p>
        </w:tc>
        <w:tc>
          <w:tcPr>
            <w:tcW w:w="759" w:type="pct"/>
            <w:vAlign w:val="center"/>
          </w:tcPr>
          <w:p w14:paraId="215C9C62">
            <w:pPr>
              <w:rPr>
                <w:rFonts w:hint="default" w:ascii="Times New Roman" w:hAnsi="Times New Roman" w:cs="Times New Roman"/>
              </w:rPr>
            </w:pPr>
          </w:p>
        </w:tc>
        <w:tc>
          <w:tcPr>
            <w:tcW w:w="643" w:type="pct"/>
            <w:vAlign w:val="center"/>
          </w:tcPr>
          <w:p w14:paraId="6D65592E">
            <w:pPr>
              <w:rPr>
                <w:rFonts w:hint="default" w:ascii="Times New Roman" w:hAnsi="Times New Roman" w:cs="Times New Roman"/>
              </w:rPr>
            </w:pPr>
          </w:p>
        </w:tc>
        <w:tc>
          <w:tcPr>
            <w:tcW w:w="643" w:type="pct"/>
            <w:vAlign w:val="center"/>
          </w:tcPr>
          <w:p w14:paraId="717552BA">
            <w:pPr>
              <w:rPr>
                <w:rFonts w:hint="default" w:ascii="Times New Roman" w:hAnsi="Times New Roman" w:cs="Times New Roman"/>
              </w:rPr>
            </w:pPr>
          </w:p>
        </w:tc>
        <w:tc>
          <w:tcPr>
            <w:tcW w:w="1212" w:type="pct"/>
            <w:vMerge w:val="continue"/>
          </w:tcPr>
          <w:p w14:paraId="53CBDD04">
            <w:pPr>
              <w:rPr>
                <w:rFonts w:hint="default" w:ascii="Times New Roman" w:hAnsi="Times New Roman" w:cs="Times New Roman"/>
              </w:rPr>
            </w:pPr>
          </w:p>
        </w:tc>
        <w:tc>
          <w:tcPr>
            <w:tcW w:w="643" w:type="pct"/>
            <w:vMerge w:val="continue"/>
          </w:tcPr>
          <w:p w14:paraId="6E61596A">
            <w:pPr>
              <w:rPr>
                <w:rFonts w:hint="default" w:ascii="Times New Roman" w:hAnsi="Times New Roman" w:cs="Times New Roman"/>
              </w:rPr>
            </w:pPr>
          </w:p>
        </w:tc>
        <w:tc>
          <w:tcPr>
            <w:tcW w:w="527" w:type="pct"/>
            <w:vMerge w:val="continue"/>
          </w:tcPr>
          <w:p w14:paraId="5314C423">
            <w:pPr>
              <w:rPr>
                <w:rFonts w:hint="default" w:ascii="Times New Roman" w:hAnsi="Times New Roman" w:cs="Times New Roman"/>
              </w:rPr>
            </w:pPr>
          </w:p>
        </w:tc>
      </w:tr>
    </w:tbl>
    <w:p w14:paraId="0C316B6F">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42</w:t>
      </w:r>
      <w:r>
        <w:rPr>
          <w:rFonts w:hint="default" w:ascii="黑体" w:eastAsia="黑体"/>
        </w:rPr>
        <w:t xml:space="preserve"> 工作场所噪声检测结果分析与评价表</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095"/>
        <w:gridCol w:w="2567"/>
        <w:gridCol w:w="2567"/>
        <w:gridCol w:w="1882"/>
        <w:gridCol w:w="1047"/>
      </w:tblGrid>
      <w:tr w14:paraId="2E15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031" w:type="pct"/>
            <w:vAlign w:val="center"/>
          </w:tcPr>
          <w:p w14:paraId="2C6F18C5">
            <w:pPr>
              <w:pStyle w:val="41"/>
              <w:spacing w:line="240" w:lineRule="auto"/>
              <w:jc w:val="center"/>
              <w:rPr>
                <w:rFonts w:hint="default" w:ascii="Times New Roman"/>
                <w:sz w:val="18"/>
              </w:rPr>
            </w:pPr>
            <w:r>
              <w:rPr>
                <w:rFonts w:hint="default" w:ascii="Times New Roman"/>
                <w:sz w:val="18"/>
              </w:rPr>
              <w:t>工种场所</w:t>
            </w:r>
          </w:p>
          <w:p w14:paraId="477EFB54">
            <w:pPr>
              <w:pStyle w:val="41"/>
              <w:spacing w:line="240" w:lineRule="auto"/>
              <w:jc w:val="center"/>
              <w:rPr>
                <w:rFonts w:hint="default" w:ascii="Times New Roman"/>
                <w:sz w:val="18"/>
              </w:rPr>
            </w:pPr>
            <w:r>
              <w:rPr>
                <w:rFonts w:hint="default" w:ascii="Times New Roman"/>
                <w:sz w:val="18"/>
              </w:rPr>
              <w:t>（评价单元）</w:t>
            </w:r>
          </w:p>
        </w:tc>
        <w:tc>
          <w:tcPr>
            <w:tcW w:w="1263" w:type="pct"/>
            <w:vAlign w:val="center"/>
          </w:tcPr>
          <w:p w14:paraId="21E22A87">
            <w:pPr>
              <w:pStyle w:val="41"/>
              <w:spacing w:line="240" w:lineRule="auto"/>
              <w:jc w:val="center"/>
              <w:rPr>
                <w:rFonts w:hint="default" w:ascii="Times New Roman"/>
                <w:sz w:val="18"/>
              </w:rPr>
            </w:pPr>
            <w:r>
              <w:rPr>
                <w:rFonts w:hint="default" w:ascii="Times New Roman"/>
                <w:sz w:val="18"/>
              </w:rPr>
              <w:t>检测地点</w:t>
            </w:r>
          </w:p>
        </w:tc>
        <w:tc>
          <w:tcPr>
            <w:tcW w:w="1263" w:type="pct"/>
            <w:vAlign w:val="center"/>
          </w:tcPr>
          <w:p w14:paraId="679C51F5">
            <w:pPr>
              <w:pStyle w:val="41"/>
              <w:spacing w:line="240" w:lineRule="auto"/>
              <w:jc w:val="center"/>
              <w:rPr>
                <w:rFonts w:hint="default" w:ascii="Times New Roman"/>
                <w:sz w:val="18"/>
              </w:rPr>
            </w:pPr>
            <w:r>
              <w:rPr>
                <w:rFonts w:hint="default" w:ascii="Times New Roman"/>
                <w:sz w:val="18"/>
              </w:rPr>
              <w:t>检测平均值 dB(A)</w:t>
            </w:r>
          </w:p>
        </w:tc>
        <w:tc>
          <w:tcPr>
            <w:tcW w:w="926" w:type="pct"/>
            <w:vAlign w:val="center"/>
          </w:tcPr>
          <w:p w14:paraId="0B12DFB4">
            <w:pPr>
              <w:pStyle w:val="41"/>
              <w:spacing w:line="240" w:lineRule="auto"/>
              <w:jc w:val="center"/>
              <w:rPr>
                <w:rFonts w:hint="default" w:ascii="Times New Roman"/>
                <w:sz w:val="18"/>
              </w:rPr>
            </w:pPr>
            <w:r>
              <w:rPr>
                <w:rFonts w:hint="default" w:ascii="Times New Roman"/>
                <w:sz w:val="18"/>
              </w:rPr>
              <w:t>标准限值 dB(A)</w:t>
            </w:r>
          </w:p>
        </w:tc>
        <w:tc>
          <w:tcPr>
            <w:tcW w:w="515" w:type="pct"/>
            <w:vAlign w:val="center"/>
          </w:tcPr>
          <w:p w14:paraId="573E7868">
            <w:pPr>
              <w:pStyle w:val="41"/>
              <w:spacing w:line="240" w:lineRule="auto"/>
              <w:jc w:val="center"/>
              <w:rPr>
                <w:rFonts w:hint="default" w:ascii="Times New Roman"/>
                <w:sz w:val="18"/>
              </w:rPr>
            </w:pPr>
            <w:r>
              <w:rPr>
                <w:rFonts w:hint="default" w:ascii="Times New Roman"/>
                <w:sz w:val="18"/>
              </w:rPr>
              <w:t>判定</w:t>
            </w:r>
          </w:p>
        </w:tc>
      </w:tr>
      <w:tr w14:paraId="0EBD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jc w:val="center"/>
        </w:trPr>
        <w:tc>
          <w:tcPr>
            <w:tcW w:w="1031" w:type="pct"/>
            <w:vAlign w:val="center"/>
          </w:tcPr>
          <w:p w14:paraId="5C60772C">
            <w:pPr>
              <w:rPr>
                <w:rFonts w:hint="default" w:ascii="Times New Roman" w:hAnsi="Times New Roman" w:cs="Times New Roman"/>
              </w:rPr>
            </w:pPr>
          </w:p>
        </w:tc>
        <w:tc>
          <w:tcPr>
            <w:tcW w:w="1263" w:type="pct"/>
            <w:vAlign w:val="center"/>
          </w:tcPr>
          <w:p w14:paraId="60F9FFC3">
            <w:pPr>
              <w:rPr>
                <w:rFonts w:hint="default" w:ascii="Times New Roman" w:hAnsi="Times New Roman" w:cs="Times New Roman"/>
              </w:rPr>
            </w:pPr>
          </w:p>
        </w:tc>
        <w:tc>
          <w:tcPr>
            <w:tcW w:w="1263" w:type="pct"/>
            <w:vAlign w:val="center"/>
          </w:tcPr>
          <w:p w14:paraId="210E95E8">
            <w:pPr>
              <w:rPr>
                <w:rFonts w:hint="default" w:ascii="Times New Roman" w:hAnsi="Times New Roman" w:cs="Times New Roman"/>
              </w:rPr>
            </w:pPr>
          </w:p>
        </w:tc>
        <w:tc>
          <w:tcPr>
            <w:tcW w:w="926" w:type="pct"/>
            <w:vAlign w:val="center"/>
          </w:tcPr>
          <w:p w14:paraId="0D9E0550">
            <w:pPr>
              <w:rPr>
                <w:rFonts w:hint="default" w:ascii="Times New Roman" w:hAnsi="Times New Roman" w:cs="Times New Roman"/>
              </w:rPr>
            </w:pPr>
          </w:p>
        </w:tc>
        <w:tc>
          <w:tcPr>
            <w:tcW w:w="515" w:type="pct"/>
            <w:vAlign w:val="center"/>
          </w:tcPr>
          <w:p w14:paraId="46A64FFC">
            <w:pPr>
              <w:rPr>
                <w:rFonts w:hint="default" w:ascii="Times New Roman" w:hAnsi="Times New Roman" w:cs="Times New Roman"/>
              </w:rPr>
            </w:pPr>
          </w:p>
        </w:tc>
      </w:tr>
      <w:tr w14:paraId="67003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jc w:val="center"/>
        </w:trPr>
        <w:tc>
          <w:tcPr>
            <w:tcW w:w="1031" w:type="pct"/>
            <w:vAlign w:val="center"/>
          </w:tcPr>
          <w:p w14:paraId="079B0C2B">
            <w:pPr>
              <w:rPr>
                <w:rFonts w:hint="default" w:ascii="Times New Roman" w:hAnsi="Times New Roman" w:cs="Times New Roman"/>
              </w:rPr>
            </w:pPr>
          </w:p>
        </w:tc>
        <w:tc>
          <w:tcPr>
            <w:tcW w:w="1263" w:type="pct"/>
            <w:vAlign w:val="center"/>
          </w:tcPr>
          <w:p w14:paraId="625BF372">
            <w:pPr>
              <w:rPr>
                <w:rFonts w:hint="default" w:ascii="Times New Roman" w:hAnsi="Times New Roman" w:cs="Times New Roman"/>
              </w:rPr>
            </w:pPr>
          </w:p>
        </w:tc>
        <w:tc>
          <w:tcPr>
            <w:tcW w:w="1263" w:type="pct"/>
            <w:vAlign w:val="center"/>
          </w:tcPr>
          <w:p w14:paraId="67F5F9F2">
            <w:pPr>
              <w:rPr>
                <w:rFonts w:hint="default" w:ascii="Times New Roman" w:hAnsi="Times New Roman" w:cs="Times New Roman"/>
              </w:rPr>
            </w:pPr>
          </w:p>
        </w:tc>
        <w:tc>
          <w:tcPr>
            <w:tcW w:w="926" w:type="pct"/>
            <w:vAlign w:val="center"/>
          </w:tcPr>
          <w:p w14:paraId="74B5E5F1">
            <w:pPr>
              <w:rPr>
                <w:rFonts w:hint="default" w:ascii="Times New Roman" w:hAnsi="Times New Roman" w:cs="Times New Roman"/>
              </w:rPr>
            </w:pPr>
          </w:p>
        </w:tc>
        <w:tc>
          <w:tcPr>
            <w:tcW w:w="515" w:type="pct"/>
            <w:vAlign w:val="center"/>
          </w:tcPr>
          <w:p w14:paraId="7F0FC87F">
            <w:pPr>
              <w:rPr>
                <w:rFonts w:hint="default" w:ascii="Times New Roman" w:hAnsi="Times New Roman" w:cs="Times New Roman"/>
              </w:rPr>
            </w:pPr>
          </w:p>
        </w:tc>
      </w:tr>
    </w:tbl>
    <w:p w14:paraId="11A62E2A">
      <w:pPr>
        <w:spacing w:before="20" w:after="100" w:line="320" w:lineRule="exact"/>
        <w:ind w:firstLine="540"/>
        <w:jc w:val="left"/>
        <w:rPr>
          <w:rFonts w:hint="default" w:ascii="Times New Roman" w:hAnsi="Times New Roman" w:cs="Times New Roman"/>
        </w:rPr>
      </w:pPr>
      <w:r>
        <w:rPr>
          <w:rFonts w:hint="default" w:ascii="Times New Roman" w:hAnsi="Times New Roman" w:eastAsia="宋体" w:cs="Times New Roman"/>
          <w:color w:val="000000"/>
          <w:sz w:val="20"/>
        </w:rPr>
        <w:t>注：工作场所噪声标准限值依据GBZ 1的要求确定。</w:t>
      </w:r>
    </w:p>
    <w:p w14:paraId="5E9DB2AA">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43</w:t>
      </w:r>
      <w:r>
        <w:rPr>
          <w:rFonts w:hint="default" w:ascii="黑体" w:eastAsia="黑体"/>
        </w:rPr>
        <w:t xml:space="preserve"> 用人单位检测结果达标情况分析汇总表</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43"/>
        <w:gridCol w:w="1303"/>
        <w:gridCol w:w="1069"/>
        <w:gridCol w:w="1155"/>
        <w:gridCol w:w="1413"/>
        <w:gridCol w:w="1413"/>
        <w:gridCol w:w="1413"/>
        <w:gridCol w:w="1647"/>
      </w:tblGrid>
      <w:tr w14:paraId="1AD6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366" w:type="pct"/>
            <w:vAlign w:val="center"/>
          </w:tcPr>
          <w:p w14:paraId="7B9A04F2">
            <w:pPr>
              <w:pStyle w:val="41"/>
              <w:spacing w:line="240" w:lineRule="auto"/>
              <w:jc w:val="center"/>
              <w:rPr>
                <w:rFonts w:hint="default" w:ascii="Times New Roman"/>
                <w:sz w:val="18"/>
              </w:rPr>
            </w:pPr>
            <w:r>
              <w:rPr>
                <w:rFonts w:hint="default" w:ascii="Times New Roman"/>
                <w:sz w:val="18"/>
              </w:rPr>
              <w:t>序号</w:t>
            </w:r>
          </w:p>
        </w:tc>
        <w:tc>
          <w:tcPr>
            <w:tcW w:w="641" w:type="pct"/>
            <w:vAlign w:val="center"/>
          </w:tcPr>
          <w:p w14:paraId="666B2F0F">
            <w:pPr>
              <w:pStyle w:val="41"/>
              <w:spacing w:line="240" w:lineRule="auto"/>
              <w:jc w:val="center"/>
              <w:rPr>
                <w:rFonts w:hint="default" w:ascii="Times New Roman"/>
                <w:sz w:val="18"/>
              </w:rPr>
            </w:pPr>
            <w:r>
              <w:rPr>
                <w:rFonts w:hint="default" w:ascii="Times New Roman"/>
                <w:sz w:val="18"/>
              </w:rPr>
              <w:t>检测项目</w:t>
            </w:r>
          </w:p>
        </w:tc>
        <w:tc>
          <w:tcPr>
            <w:tcW w:w="526" w:type="pct"/>
            <w:vAlign w:val="center"/>
          </w:tcPr>
          <w:p w14:paraId="016DEACA">
            <w:pPr>
              <w:pStyle w:val="41"/>
              <w:spacing w:line="240" w:lineRule="auto"/>
              <w:jc w:val="center"/>
              <w:rPr>
                <w:rFonts w:hint="default" w:ascii="Times New Roman"/>
                <w:sz w:val="18"/>
              </w:rPr>
            </w:pPr>
            <w:r>
              <w:rPr>
                <w:rFonts w:hint="default" w:ascii="Times New Roman"/>
                <w:sz w:val="18"/>
              </w:rPr>
              <w:t>检测点数</w:t>
            </w:r>
          </w:p>
        </w:tc>
        <w:tc>
          <w:tcPr>
            <w:tcW w:w="568" w:type="pct"/>
            <w:vAlign w:val="center"/>
          </w:tcPr>
          <w:p w14:paraId="060D0BA1">
            <w:pPr>
              <w:pStyle w:val="41"/>
              <w:spacing w:line="240" w:lineRule="auto"/>
              <w:jc w:val="center"/>
              <w:rPr>
                <w:rFonts w:hint="default" w:ascii="Times New Roman"/>
                <w:sz w:val="18"/>
              </w:rPr>
            </w:pPr>
            <w:r>
              <w:rPr>
                <w:rFonts w:hint="default" w:ascii="Times New Roman"/>
                <w:sz w:val="18"/>
              </w:rPr>
              <w:t>合格点数</w:t>
            </w:r>
          </w:p>
        </w:tc>
        <w:tc>
          <w:tcPr>
            <w:tcW w:w="695" w:type="pct"/>
            <w:vAlign w:val="center"/>
          </w:tcPr>
          <w:p w14:paraId="5ED42AEB">
            <w:pPr>
              <w:pStyle w:val="41"/>
              <w:spacing w:line="240" w:lineRule="auto"/>
              <w:jc w:val="center"/>
              <w:rPr>
                <w:rFonts w:hint="default" w:ascii="Times New Roman"/>
                <w:sz w:val="18"/>
              </w:rPr>
            </w:pPr>
            <w:r>
              <w:rPr>
                <w:rFonts w:hint="default" w:ascii="Times New Roman"/>
                <w:sz w:val="18"/>
              </w:rPr>
              <w:t>检测点合格率</w:t>
            </w:r>
          </w:p>
        </w:tc>
        <w:tc>
          <w:tcPr>
            <w:tcW w:w="695" w:type="pct"/>
            <w:vAlign w:val="center"/>
          </w:tcPr>
          <w:p w14:paraId="266B855C">
            <w:pPr>
              <w:pStyle w:val="41"/>
              <w:spacing w:line="240" w:lineRule="auto"/>
              <w:jc w:val="center"/>
              <w:rPr>
                <w:rFonts w:hint="default" w:ascii="Times New Roman"/>
                <w:sz w:val="18"/>
              </w:rPr>
            </w:pPr>
            <w:r>
              <w:rPr>
                <w:rFonts w:hint="default" w:ascii="Times New Roman"/>
                <w:sz w:val="18"/>
              </w:rPr>
              <w:t>评价岗位数</w:t>
            </w:r>
          </w:p>
        </w:tc>
        <w:tc>
          <w:tcPr>
            <w:tcW w:w="695" w:type="pct"/>
            <w:vAlign w:val="center"/>
          </w:tcPr>
          <w:p w14:paraId="3B4E3BA9">
            <w:pPr>
              <w:pStyle w:val="41"/>
              <w:spacing w:line="240" w:lineRule="auto"/>
              <w:jc w:val="center"/>
              <w:rPr>
                <w:rFonts w:hint="default" w:ascii="Times New Roman"/>
                <w:sz w:val="18"/>
              </w:rPr>
            </w:pPr>
            <w:r>
              <w:rPr>
                <w:rFonts w:hint="default" w:ascii="Times New Roman"/>
                <w:sz w:val="18"/>
              </w:rPr>
              <w:t>合格岗位数</w:t>
            </w:r>
          </w:p>
        </w:tc>
        <w:tc>
          <w:tcPr>
            <w:tcW w:w="810" w:type="pct"/>
            <w:vAlign w:val="center"/>
          </w:tcPr>
          <w:p w14:paraId="621440F9">
            <w:pPr>
              <w:pStyle w:val="41"/>
              <w:spacing w:line="240" w:lineRule="auto"/>
              <w:jc w:val="center"/>
              <w:rPr>
                <w:rFonts w:hint="default" w:ascii="Times New Roman"/>
                <w:sz w:val="18"/>
              </w:rPr>
            </w:pPr>
            <w:r>
              <w:rPr>
                <w:rFonts w:hint="default" w:ascii="Times New Roman"/>
                <w:sz w:val="18"/>
              </w:rPr>
              <w:t>岗位合格率</w:t>
            </w:r>
          </w:p>
        </w:tc>
      </w:tr>
      <w:tr w14:paraId="577B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jc w:val="center"/>
        </w:trPr>
        <w:tc>
          <w:tcPr>
            <w:tcW w:w="366" w:type="pct"/>
            <w:vAlign w:val="center"/>
          </w:tcPr>
          <w:p w14:paraId="01549F31">
            <w:pPr>
              <w:rPr>
                <w:rFonts w:hint="default" w:ascii="Times New Roman" w:hAnsi="Times New Roman" w:cs="Times New Roman"/>
              </w:rPr>
            </w:pPr>
          </w:p>
        </w:tc>
        <w:tc>
          <w:tcPr>
            <w:tcW w:w="641" w:type="pct"/>
            <w:vAlign w:val="center"/>
          </w:tcPr>
          <w:p w14:paraId="7B51DA0B">
            <w:pPr>
              <w:rPr>
                <w:rFonts w:hint="default" w:ascii="Times New Roman" w:hAnsi="Times New Roman" w:cs="Times New Roman"/>
              </w:rPr>
            </w:pPr>
          </w:p>
        </w:tc>
        <w:tc>
          <w:tcPr>
            <w:tcW w:w="526" w:type="pct"/>
            <w:vAlign w:val="center"/>
          </w:tcPr>
          <w:p w14:paraId="3938D2CB">
            <w:pPr>
              <w:rPr>
                <w:rFonts w:hint="default" w:ascii="Times New Roman" w:hAnsi="Times New Roman" w:cs="Times New Roman"/>
              </w:rPr>
            </w:pPr>
          </w:p>
        </w:tc>
        <w:tc>
          <w:tcPr>
            <w:tcW w:w="568" w:type="pct"/>
            <w:vAlign w:val="center"/>
          </w:tcPr>
          <w:p w14:paraId="3A27FA73">
            <w:pPr>
              <w:rPr>
                <w:rFonts w:hint="default" w:ascii="Times New Roman" w:hAnsi="Times New Roman" w:cs="Times New Roman"/>
              </w:rPr>
            </w:pPr>
          </w:p>
        </w:tc>
        <w:tc>
          <w:tcPr>
            <w:tcW w:w="695" w:type="pct"/>
            <w:vAlign w:val="center"/>
          </w:tcPr>
          <w:p w14:paraId="43758341">
            <w:pPr>
              <w:rPr>
                <w:rFonts w:hint="default" w:ascii="Times New Roman" w:hAnsi="Times New Roman" w:cs="Times New Roman"/>
              </w:rPr>
            </w:pPr>
          </w:p>
        </w:tc>
        <w:tc>
          <w:tcPr>
            <w:tcW w:w="695" w:type="pct"/>
            <w:vAlign w:val="center"/>
          </w:tcPr>
          <w:p w14:paraId="515A7D73">
            <w:pPr>
              <w:rPr>
                <w:rFonts w:hint="default" w:ascii="Times New Roman" w:hAnsi="Times New Roman" w:cs="Times New Roman"/>
              </w:rPr>
            </w:pPr>
          </w:p>
        </w:tc>
        <w:tc>
          <w:tcPr>
            <w:tcW w:w="695" w:type="pct"/>
            <w:vAlign w:val="center"/>
          </w:tcPr>
          <w:p w14:paraId="0D7CAA83">
            <w:pPr>
              <w:rPr>
                <w:rFonts w:hint="default" w:ascii="Times New Roman" w:hAnsi="Times New Roman" w:cs="Times New Roman"/>
              </w:rPr>
            </w:pPr>
          </w:p>
        </w:tc>
        <w:tc>
          <w:tcPr>
            <w:tcW w:w="810" w:type="pct"/>
            <w:vAlign w:val="center"/>
          </w:tcPr>
          <w:p w14:paraId="16536B2F">
            <w:pPr>
              <w:rPr>
                <w:rFonts w:hint="default" w:ascii="Times New Roman" w:hAnsi="Times New Roman" w:cs="Times New Roman"/>
              </w:rPr>
            </w:pPr>
          </w:p>
        </w:tc>
      </w:tr>
      <w:tr w14:paraId="2FBF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jc w:val="center"/>
        </w:trPr>
        <w:tc>
          <w:tcPr>
            <w:tcW w:w="366" w:type="pct"/>
            <w:vAlign w:val="center"/>
          </w:tcPr>
          <w:p w14:paraId="20421E78">
            <w:pPr>
              <w:rPr>
                <w:rFonts w:hint="default" w:ascii="Times New Roman" w:hAnsi="Times New Roman" w:cs="Times New Roman"/>
              </w:rPr>
            </w:pPr>
          </w:p>
        </w:tc>
        <w:tc>
          <w:tcPr>
            <w:tcW w:w="641" w:type="pct"/>
            <w:vAlign w:val="center"/>
          </w:tcPr>
          <w:p w14:paraId="6C69F455">
            <w:pPr>
              <w:rPr>
                <w:rFonts w:hint="default" w:ascii="Times New Roman" w:hAnsi="Times New Roman" w:cs="Times New Roman"/>
              </w:rPr>
            </w:pPr>
          </w:p>
        </w:tc>
        <w:tc>
          <w:tcPr>
            <w:tcW w:w="526" w:type="pct"/>
            <w:vAlign w:val="center"/>
          </w:tcPr>
          <w:p w14:paraId="4A9D5152">
            <w:pPr>
              <w:rPr>
                <w:rFonts w:hint="default" w:ascii="Times New Roman" w:hAnsi="Times New Roman" w:cs="Times New Roman"/>
              </w:rPr>
            </w:pPr>
          </w:p>
        </w:tc>
        <w:tc>
          <w:tcPr>
            <w:tcW w:w="568" w:type="pct"/>
            <w:vAlign w:val="center"/>
          </w:tcPr>
          <w:p w14:paraId="354AA199">
            <w:pPr>
              <w:rPr>
                <w:rFonts w:hint="default" w:ascii="Times New Roman" w:hAnsi="Times New Roman" w:cs="Times New Roman"/>
              </w:rPr>
            </w:pPr>
          </w:p>
        </w:tc>
        <w:tc>
          <w:tcPr>
            <w:tcW w:w="695" w:type="pct"/>
            <w:vAlign w:val="center"/>
          </w:tcPr>
          <w:p w14:paraId="3C40CF7D">
            <w:pPr>
              <w:rPr>
                <w:rFonts w:hint="default" w:ascii="Times New Roman" w:hAnsi="Times New Roman" w:cs="Times New Roman"/>
              </w:rPr>
            </w:pPr>
          </w:p>
        </w:tc>
        <w:tc>
          <w:tcPr>
            <w:tcW w:w="695" w:type="pct"/>
            <w:vAlign w:val="center"/>
          </w:tcPr>
          <w:p w14:paraId="3D056033">
            <w:pPr>
              <w:rPr>
                <w:rFonts w:hint="default" w:ascii="Times New Roman" w:hAnsi="Times New Roman" w:cs="Times New Roman"/>
              </w:rPr>
            </w:pPr>
          </w:p>
        </w:tc>
        <w:tc>
          <w:tcPr>
            <w:tcW w:w="695" w:type="pct"/>
            <w:vAlign w:val="center"/>
          </w:tcPr>
          <w:p w14:paraId="3CBC8AD2">
            <w:pPr>
              <w:rPr>
                <w:rFonts w:hint="default" w:ascii="Times New Roman" w:hAnsi="Times New Roman" w:cs="Times New Roman"/>
              </w:rPr>
            </w:pPr>
          </w:p>
        </w:tc>
        <w:tc>
          <w:tcPr>
            <w:tcW w:w="810" w:type="pct"/>
            <w:vAlign w:val="center"/>
          </w:tcPr>
          <w:p w14:paraId="2B8F9646">
            <w:pPr>
              <w:rPr>
                <w:rFonts w:hint="default" w:ascii="Times New Roman" w:hAnsi="Times New Roman" w:cs="Times New Roman"/>
              </w:rPr>
            </w:pPr>
          </w:p>
        </w:tc>
      </w:tr>
      <w:tr w14:paraId="476AF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3" w:hRule="atLeast"/>
          <w:jc w:val="center"/>
        </w:trPr>
        <w:tc>
          <w:tcPr>
            <w:tcW w:w="366" w:type="pct"/>
            <w:vAlign w:val="center"/>
          </w:tcPr>
          <w:p w14:paraId="4861CBB6">
            <w:pPr>
              <w:rPr>
                <w:rFonts w:hint="default" w:ascii="Times New Roman" w:hAnsi="Times New Roman" w:cs="Times New Roman"/>
              </w:rPr>
            </w:pPr>
          </w:p>
        </w:tc>
        <w:tc>
          <w:tcPr>
            <w:tcW w:w="641" w:type="pct"/>
            <w:vAlign w:val="center"/>
          </w:tcPr>
          <w:p w14:paraId="23A0B904">
            <w:pPr>
              <w:rPr>
                <w:rFonts w:hint="default" w:ascii="Times New Roman" w:hAnsi="Times New Roman" w:cs="Times New Roman"/>
              </w:rPr>
            </w:pPr>
          </w:p>
        </w:tc>
        <w:tc>
          <w:tcPr>
            <w:tcW w:w="526" w:type="pct"/>
            <w:vAlign w:val="center"/>
          </w:tcPr>
          <w:p w14:paraId="0DD5CDFD">
            <w:pPr>
              <w:rPr>
                <w:rFonts w:hint="default" w:ascii="Times New Roman" w:hAnsi="Times New Roman" w:cs="Times New Roman"/>
              </w:rPr>
            </w:pPr>
          </w:p>
        </w:tc>
        <w:tc>
          <w:tcPr>
            <w:tcW w:w="568" w:type="pct"/>
            <w:vAlign w:val="center"/>
          </w:tcPr>
          <w:p w14:paraId="4589528A">
            <w:pPr>
              <w:rPr>
                <w:rFonts w:hint="default" w:ascii="Times New Roman" w:hAnsi="Times New Roman" w:cs="Times New Roman"/>
              </w:rPr>
            </w:pPr>
          </w:p>
        </w:tc>
        <w:tc>
          <w:tcPr>
            <w:tcW w:w="695" w:type="pct"/>
            <w:vAlign w:val="center"/>
          </w:tcPr>
          <w:p w14:paraId="2CEDD68D">
            <w:pPr>
              <w:rPr>
                <w:rFonts w:hint="default" w:ascii="Times New Roman" w:hAnsi="Times New Roman" w:cs="Times New Roman"/>
              </w:rPr>
            </w:pPr>
          </w:p>
        </w:tc>
        <w:tc>
          <w:tcPr>
            <w:tcW w:w="695" w:type="pct"/>
            <w:vAlign w:val="center"/>
          </w:tcPr>
          <w:p w14:paraId="06287FC3">
            <w:pPr>
              <w:rPr>
                <w:rFonts w:hint="default" w:ascii="Times New Roman" w:hAnsi="Times New Roman" w:cs="Times New Roman"/>
              </w:rPr>
            </w:pPr>
          </w:p>
        </w:tc>
        <w:tc>
          <w:tcPr>
            <w:tcW w:w="695" w:type="pct"/>
            <w:vAlign w:val="center"/>
          </w:tcPr>
          <w:p w14:paraId="484A29C8">
            <w:pPr>
              <w:rPr>
                <w:rFonts w:hint="default" w:ascii="Times New Roman" w:hAnsi="Times New Roman" w:cs="Times New Roman"/>
              </w:rPr>
            </w:pPr>
          </w:p>
        </w:tc>
        <w:tc>
          <w:tcPr>
            <w:tcW w:w="810" w:type="pct"/>
            <w:vAlign w:val="center"/>
          </w:tcPr>
          <w:p w14:paraId="7CFCAAD3">
            <w:pPr>
              <w:rPr>
                <w:rFonts w:hint="default" w:ascii="Times New Roman" w:hAnsi="Times New Roman" w:cs="Times New Roman"/>
              </w:rPr>
            </w:pPr>
          </w:p>
        </w:tc>
      </w:tr>
      <w:tr w14:paraId="5F8C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jc w:val="center"/>
        </w:trPr>
        <w:tc>
          <w:tcPr>
            <w:tcW w:w="366" w:type="pct"/>
            <w:vAlign w:val="center"/>
          </w:tcPr>
          <w:p w14:paraId="29A4E635">
            <w:pPr>
              <w:rPr>
                <w:rFonts w:hint="default" w:ascii="Times New Roman" w:hAnsi="Times New Roman" w:cs="Times New Roman"/>
              </w:rPr>
            </w:pPr>
          </w:p>
        </w:tc>
        <w:tc>
          <w:tcPr>
            <w:tcW w:w="641" w:type="pct"/>
            <w:vAlign w:val="center"/>
          </w:tcPr>
          <w:p w14:paraId="349DD905">
            <w:pPr>
              <w:rPr>
                <w:rFonts w:hint="default" w:ascii="Times New Roman" w:hAnsi="Times New Roman" w:cs="Times New Roman"/>
              </w:rPr>
            </w:pPr>
          </w:p>
        </w:tc>
        <w:tc>
          <w:tcPr>
            <w:tcW w:w="526" w:type="pct"/>
            <w:vAlign w:val="center"/>
          </w:tcPr>
          <w:p w14:paraId="1449F1F2">
            <w:pPr>
              <w:rPr>
                <w:rFonts w:hint="default" w:ascii="Times New Roman" w:hAnsi="Times New Roman" w:cs="Times New Roman"/>
              </w:rPr>
            </w:pPr>
          </w:p>
        </w:tc>
        <w:tc>
          <w:tcPr>
            <w:tcW w:w="568" w:type="pct"/>
            <w:vAlign w:val="center"/>
          </w:tcPr>
          <w:p w14:paraId="3B3301F2">
            <w:pPr>
              <w:rPr>
                <w:rFonts w:hint="default" w:ascii="Times New Roman" w:hAnsi="Times New Roman" w:cs="Times New Roman"/>
              </w:rPr>
            </w:pPr>
          </w:p>
        </w:tc>
        <w:tc>
          <w:tcPr>
            <w:tcW w:w="695" w:type="pct"/>
            <w:vAlign w:val="center"/>
          </w:tcPr>
          <w:p w14:paraId="74733AE0">
            <w:pPr>
              <w:rPr>
                <w:rFonts w:hint="default" w:ascii="Times New Roman" w:hAnsi="Times New Roman" w:cs="Times New Roman"/>
              </w:rPr>
            </w:pPr>
          </w:p>
        </w:tc>
        <w:tc>
          <w:tcPr>
            <w:tcW w:w="695" w:type="pct"/>
            <w:vAlign w:val="center"/>
          </w:tcPr>
          <w:p w14:paraId="45019E51">
            <w:pPr>
              <w:rPr>
                <w:rFonts w:hint="default" w:ascii="Times New Roman" w:hAnsi="Times New Roman" w:cs="Times New Roman"/>
              </w:rPr>
            </w:pPr>
          </w:p>
        </w:tc>
        <w:tc>
          <w:tcPr>
            <w:tcW w:w="695" w:type="pct"/>
            <w:vAlign w:val="center"/>
          </w:tcPr>
          <w:p w14:paraId="209FC631">
            <w:pPr>
              <w:rPr>
                <w:rFonts w:hint="default" w:ascii="Times New Roman" w:hAnsi="Times New Roman" w:cs="Times New Roman"/>
              </w:rPr>
            </w:pPr>
          </w:p>
        </w:tc>
        <w:tc>
          <w:tcPr>
            <w:tcW w:w="810" w:type="pct"/>
            <w:vAlign w:val="center"/>
          </w:tcPr>
          <w:p w14:paraId="49A4D7BA">
            <w:pPr>
              <w:rPr>
                <w:rFonts w:hint="default" w:ascii="Times New Roman" w:hAnsi="Times New Roman" w:cs="Times New Roman"/>
              </w:rPr>
            </w:pPr>
          </w:p>
        </w:tc>
      </w:tr>
      <w:tr w14:paraId="32DA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0" w:hRule="atLeast"/>
          <w:jc w:val="center"/>
        </w:trPr>
        <w:tc>
          <w:tcPr>
            <w:tcW w:w="366" w:type="pct"/>
            <w:vAlign w:val="center"/>
          </w:tcPr>
          <w:p w14:paraId="531DA063">
            <w:pPr>
              <w:rPr>
                <w:rFonts w:hint="default" w:ascii="Times New Roman" w:hAnsi="Times New Roman" w:cs="Times New Roman"/>
              </w:rPr>
            </w:pPr>
          </w:p>
        </w:tc>
        <w:tc>
          <w:tcPr>
            <w:tcW w:w="641" w:type="pct"/>
            <w:vAlign w:val="center"/>
          </w:tcPr>
          <w:p w14:paraId="0F7C8B2E">
            <w:pPr>
              <w:rPr>
                <w:rFonts w:hint="default" w:ascii="Times New Roman" w:hAnsi="Times New Roman" w:cs="Times New Roman"/>
              </w:rPr>
            </w:pPr>
          </w:p>
        </w:tc>
        <w:tc>
          <w:tcPr>
            <w:tcW w:w="526" w:type="pct"/>
            <w:vAlign w:val="center"/>
          </w:tcPr>
          <w:p w14:paraId="7EA7C7D7">
            <w:pPr>
              <w:rPr>
                <w:rFonts w:hint="default" w:ascii="Times New Roman" w:hAnsi="Times New Roman" w:cs="Times New Roman"/>
              </w:rPr>
            </w:pPr>
          </w:p>
        </w:tc>
        <w:tc>
          <w:tcPr>
            <w:tcW w:w="568" w:type="pct"/>
            <w:vAlign w:val="center"/>
          </w:tcPr>
          <w:p w14:paraId="6F1CFE79">
            <w:pPr>
              <w:rPr>
                <w:rFonts w:hint="default" w:ascii="Times New Roman" w:hAnsi="Times New Roman" w:cs="Times New Roman"/>
              </w:rPr>
            </w:pPr>
          </w:p>
        </w:tc>
        <w:tc>
          <w:tcPr>
            <w:tcW w:w="695" w:type="pct"/>
            <w:vAlign w:val="center"/>
          </w:tcPr>
          <w:p w14:paraId="29071B4A">
            <w:pPr>
              <w:rPr>
                <w:rFonts w:hint="default" w:ascii="Times New Roman" w:hAnsi="Times New Roman" w:cs="Times New Roman"/>
              </w:rPr>
            </w:pPr>
          </w:p>
        </w:tc>
        <w:tc>
          <w:tcPr>
            <w:tcW w:w="695" w:type="pct"/>
            <w:vAlign w:val="center"/>
          </w:tcPr>
          <w:p w14:paraId="2108EB65">
            <w:pPr>
              <w:rPr>
                <w:rFonts w:hint="default" w:ascii="Times New Roman" w:hAnsi="Times New Roman" w:cs="Times New Roman"/>
              </w:rPr>
            </w:pPr>
          </w:p>
        </w:tc>
        <w:tc>
          <w:tcPr>
            <w:tcW w:w="695" w:type="pct"/>
            <w:vAlign w:val="center"/>
          </w:tcPr>
          <w:p w14:paraId="3A0372E3">
            <w:pPr>
              <w:rPr>
                <w:rFonts w:hint="default" w:ascii="Times New Roman" w:hAnsi="Times New Roman" w:cs="Times New Roman"/>
              </w:rPr>
            </w:pPr>
          </w:p>
        </w:tc>
        <w:tc>
          <w:tcPr>
            <w:tcW w:w="810" w:type="pct"/>
            <w:vAlign w:val="center"/>
          </w:tcPr>
          <w:p w14:paraId="02C19B19">
            <w:pPr>
              <w:rPr>
                <w:rFonts w:hint="default" w:ascii="Times New Roman" w:hAnsi="Times New Roman" w:cs="Times New Roman"/>
              </w:rPr>
            </w:pPr>
          </w:p>
        </w:tc>
      </w:tr>
    </w:tbl>
    <w:p w14:paraId="3AD5B09A">
      <w:pPr>
        <w:spacing w:before="280" w:after="240" w:line="340" w:lineRule="exact"/>
        <w:ind w:firstLine="140"/>
        <w:jc w:val="left"/>
        <w:rPr>
          <w:rFonts w:hint="default" w:ascii="Times New Roman" w:hAnsi="Times New Roman" w:eastAsia="宋体" w:cs="Times New Roman"/>
          <w:b/>
          <w:color w:val="000000"/>
          <w:sz w:val="18"/>
        </w:rPr>
      </w:pPr>
      <w:r>
        <w:rPr>
          <w:rFonts w:hint="default" w:ascii="Times New Roman" w:hAnsi="Times New Roman" w:eastAsia="宋体" w:cs="Times New Roman"/>
          <w:b/>
          <w:color w:val="000000"/>
          <w:sz w:val="18"/>
        </w:rPr>
        <w:t>C．</w:t>
      </w:r>
      <w:r>
        <w:rPr>
          <w:rFonts w:hint="eastAsia" w:ascii="Times New Roman" w:hAnsi="Times New Roman" w:eastAsia="宋体" w:cs="Times New Roman"/>
          <w:b/>
          <w:color w:val="000000"/>
          <w:sz w:val="18"/>
          <w:lang w:val="en-US" w:eastAsia="zh-CN"/>
        </w:rPr>
        <w:t>4</w:t>
      </w:r>
      <w:r>
        <w:rPr>
          <w:rFonts w:hint="default" w:ascii="Times New Roman" w:hAnsi="Times New Roman" w:eastAsia="宋体" w:cs="Times New Roman"/>
          <w:b/>
          <w:color w:val="000000"/>
          <w:sz w:val="18"/>
        </w:rPr>
        <w:t xml:space="preserve"> 用人单位历年检测数据汇总</w:t>
      </w:r>
    </w:p>
    <w:p w14:paraId="7A6F68FE">
      <w:pPr>
        <w:spacing w:after="180" w:line="280" w:lineRule="exact"/>
        <w:ind w:firstLine="540"/>
        <w:rPr>
          <w:rFonts w:hint="default" w:ascii="Times New Roman" w:hAnsi="Times New Roman" w:cs="Times New Roman"/>
        </w:rPr>
      </w:pPr>
      <w:r>
        <w:rPr>
          <w:rFonts w:hint="default" w:ascii="Times New Roman" w:hAnsi="Times New Roman" w:eastAsia="宋体" w:cs="Times New Roman"/>
          <w:color w:val="000000"/>
          <w:sz w:val="22"/>
        </w:rPr>
        <w:t>见表C．</w:t>
      </w:r>
      <w:r>
        <w:rPr>
          <w:rFonts w:hint="eastAsia" w:ascii="Times New Roman" w:hAnsi="Times New Roman" w:eastAsia="宋体" w:cs="Times New Roman"/>
          <w:color w:val="000000"/>
          <w:sz w:val="22"/>
          <w:lang w:val="en-US" w:eastAsia="zh-CN"/>
        </w:rPr>
        <w:t>44</w:t>
      </w:r>
      <w:r>
        <w:rPr>
          <w:rFonts w:hint="default" w:ascii="Times New Roman" w:hAnsi="Times New Roman" w:eastAsia="宋体" w:cs="Times New Roman"/>
          <w:color w:val="000000"/>
          <w:sz w:val="22"/>
        </w:rPr>
        <w:t>。</w:t>
      </w:r>
    </w:p>
    <w:p w14:paraId="3A6D2C87">
      <w:pPr>
        <w:pStyle w:val="3"/>
        <w:spacing w:before="124"/>
        <w:ind w:left="416" w:right="921"/>
        <w:jc w:val="center"/>
        <w:rPr>
          <w:rFonts w:hint="default" w:ascii="黑体" w:eastAsia="黑体"/>
        </w:rPr>
      </w:pPr>
      <w:r>
        <w:rPr>
          <w:rFonts w:hint="default" w:ascii="黑体" w:eastAsia="黑体"/>
        </w:rPr>
        <w:t>表C．</w:t>
      </w:r>
      <w:r>
        <w:rPr>
          <w:rFonts w:hint="eastAsia" w:ascii="黑体" w:eastAsia="黑体"/>
          <w:lang w:val="en-US" w:eastAsia="zh-CN"/>
        </w:rPr>
        <w:t>44</w:t>
      </w:r>
      <w:r>
        <w:rPr>
          <w:rFonts w:hint="default" w:ascii="黑体" w:eastAsia="黑体"/>
        </w:rPr>
        <w:t xml:space="preserve"> 用人单位历年检测数据汇总</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63"/>
        <w:gridCol w:w="1101"/>
        <w:gridCol w:w="1207"/>
        <w:gridCol w:w="1569"/>
        <w:gridCol w:w="1674"/>
        <w:gridCol w:w="1569"/>
        <w:gridCol w:w="1573"/>
      </w:tblGrid>
      <w:tr w14:paraId="2D92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9" w:hRule="atLeast"/>
        </w:trPr>
        <w:tc>
          <w:tcPr>
            <w:tcW w:w="720" w:type="pct"/>
            <w:vMerge w:val="restart"/>
            <w:vAlign w:val="center"/>
          </w:tcPr>
          <w:p w14:paraId="2BC71324">
            <w:pPr>
              <w:pStyle w:val="41"/>
              <w:spacing w:line="240" w:lineRule="auto"/>
              <w:jc w:val="center"/>
              <w:rPr>
                <w:rFonts w:hint="default" w:ascii="Times New Roman"/>
                <w:sz w:val="18"/>
              </w:rPr>
            </w:pPr>
            <w:r>
              <w:rPr>
                <w:rFonts w:hint="default" w:ascii="Times New Roman"/>
                <w:sz w:val="18"/>
              </w:rPr>
              <w:t>单元名称</w:t>
            </w:r>
          </w:p>
        </w:tc>
        <w:tc>
          <w:tcPr>
            <w:tcW w:w="542" w:type="pct"/>
            <w:vMerge w:val="restart"/>
            <w:vAlign w:val="center"/>
          </w:tcPr>
          <w:p w14:paraId="6AA1DFA4">
            <w:pPr>
              <w:pStyle w:val="41"/>
              <w:spacing w:line="240" w:lineRule="auto"/>
              <w:jc w:val="center"/>
              <w:rPr>
                <w:rFonts w:hint="default" w:ascii="Times New Roman"/>
                <w:sz w:val="18"/>
              </w:rPr>
            </w:pPr>
            <w:r>
              <w:rPr>
                <w:rFonts w:hint="default" w:ascii="Times New Roman"/>
                <w:sz w:val="18"/>
              </w:rPr>
              <w:t>作业点</w:t>
            </w:r>
          </w:p>
        </w:tc>
        <w:tc>
          <w:tcPr>
            <w:tcW w:w="594" w:type="pct"/>
            <w:vMerge w:val="restart"/>
            <w:vAlign w:val="center"/>
          </w:tcPr>
          <w:p w14:paraId="035A5FDB">
            <w:pPr>
              <w:pStyle w:val="41"/>
              <w:spacing w:line="240" w:lineRule="auto"/>
              <w:jc w:val="center"/>
              <w:rPr>
                <w:rFonts w:hint="eastAsia" w:ascii="Times New Roman"/>
                <w:sz w:val="18"/>
                <w:lang w:eastAsia="zh-CN"/>
              </w:rPr>
            </w:pPr>
            <w:r>
              <w:rPr>
                <w:rFonts w:hint="default" w:ascii="Times New Roman"/>
                <w:sz w:val="18"/>
              </w:rPr>
              <w:t>职业病</w:t>
            </w:r>
            <w:r>
              <w:rPr>
                <w:rFonts w:hint="eastAsia" w:ascii="Times New Roman"/>
                <w:sz w:val="18"/>
                <w:lang w:eastAsia="zh-CN"/>
              </w:rPr>
              <w:t>危害因素</w:t>
            </w:r>
          </w:p>
        </w:tc>
        <w:tc>
          <w:tcPr>
            <w:tcW w:w="3142" w:type="pct"/>
            <w:gridSpan w:val="4"/>
            <w:vAlign w:val="center"/>
          </w:tcPr>
          <w:p w14:paraId="192A392C">
            <w:pPr>
              <w:pStyle w:val="41"/>
              <w:spacing w:line="240" w:lineRule="auto"/>
              <w:jc w:val="center"/>
              <w:rPr>
                <w:rFonts w:hint="default" w:ascii="Times New Roman"/>
                <w:sz w:val="18"/>
              </w:rPr>
            </w:pPr>
            <w:r>
              <w:rPr>
                <w:rFonts w:hint="default" w:ascii="Times New Roman"/>
                <w:sz w:val="18"/>
              </w:rPr>
              <w:t>历年检测数据(mg/m</w:t>
            </w:r>
            <w:r>
              <w:rPr>
                <w:rFonts w:hint="default" w:ascii="Times New Roman"/>
                <w:sz w:val="18"/>
                <w:vertAlign w:val="superscript"/>
              </w:rPr>
              <w:t>3</w:t>
            </w:r>
            <w:r>
              <w:rPr>
                <w:rFonts w:hint="default" w:ascii="Times New Roman"/>
                <w:sz w:val="18"/>
              </w:rPr>
              <w:t>)</w:t>
            </w:r>
          </w:p>
        </w:tc>
      </w:tr>
      <w:tr w14:paraId="38999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8" w:hRule="atLeast"/>
        </w:trPr>
        <w:tc>
          <w:tcPr>
            <w:tcW w:w="720" w:type="pct"/>
            <w:vMerge w:val="continue"/>
          </w:tcPr>
          <w:p w14:paraId="4C8EBADA">
            <w:pPr>
              <w:pStyle w:val="41"/>
              <w:spacing w:line="240" w:lineRule="auto"/>
              <w:jc w:val="center"/>
              <w:rPr>
                <w:rFonts w:hint="default" w:ascii="Times New Roman"/>
                <w:sz w:val="18"/>
              </w:rPr>
            </w:pPr>
          </w:p>
        </w:tc>
        <w:tc>
          <w:tcPr>
            <w:tcW w:w="542" w:type="pct"/>
            <w:vMerge w:val="continue"/>
          </w:tcPr>
          <w:p w14:paraId="5739B2F5">
            <w:pPr>
              <w:pStyle w:val="41"/>
              <w:spacing w:line="240" w:lineRule="auto"/>
              <w:jc w:val="center"/>
              <w:rPr>
                <w:rFonts w:hint="default" w:ascii="Times New Roman"/>
                <w:sz w:val="18"/>
              </w:rPr>
            </w:pPr>
          </w:p>
        </w:tc>
        <w:tc>
          <w:tcPr>
            <w:tcW w:w="594" w:type="pct"/>
            <w:vMerge w:val="continue"/>
          </w:tcPr>
          <w:p w14:paraId="2552FD02">
            <w:pPr>
              <w:pStyle w:val="41"/>
              <w:spacing w:line="240" w:lineRule="auto"/>
              <w:jc w:val="center"/>
              <w:rPr>
                <w:rFonts w:hint="default" w:ascii="Times New Roman"/>
                <w:sz w:val="18"/>
              </w:rPr>
            </w:pPr>
          </w:p>
        </w:tc>
        <w:tc>
          <w:tcPr>
            <w:tcW w:w="772" w:type="pct"/>
            <w:vAlign w:val="center"/>
          </w:tcPr>
          <w:p w14:paraId="4DB99510">
            <w:pPr>
              <w:pStyle w:val="41"/>
              <w:spacing w:line="240" w:lineRule="auto"/>
              <w:jc w:val="center"/>
              <w:rPr>
                <w:rFonts w:hint="default" w:ascii="Times New Roman"/>
                <w:sz w:val="18"/>
              </w:rPr>
            </w:pPr>
            <w:r>
              <w:rPr>
                <w:rFonts w:hint="default" w:ascii="Times New Roman"/>
                <w:sz w:val="18"/>
              </w:rPr>
              <w:t xml:space="preserve">年 </w:t>
            </w:r>
            <w:r>
              <w:rPr>
                <w:rFonts w:hint="eastAsia" w:ascii="Times New Roman"/>
                <w:sz w:val="18"/>
                <w:lang w:val="en-US" w:eastAsia="zh-CN"/>
              </w:rPr>
              <w:t xml:space="preserve"> </w:t>
            </w:r>
            <w:r>
              <w:rPr>
                <w:rFonts w:hint="default" w:ascii="Times New Roman"/>
                <w:sz w:val="18"/>
              </w:rPr>
              <w:t>月</w:t>
            </w:r>
          </w:p>
        </w:tc>
        <w:tc>
          <w:tcPr>
            <w:tcW w:w="824" w:type="pct"/>
            <w:vAlign w:val="center"/>
          </w:tcPr>
          <w:p w14:paraId="3ACA41FA">
            <w:pPr>
              <w:pStyle w:val="41"/>
              <w:spacing w:line="240" w:lineRule="auto"/>
              <w:jc w:val="center"/>
              <w:rPr>
                <w:rFonts w:hint="default" w:ascii="Times New Roman"/>
                <w:sz w:val="18"/>
              </w:rPr>
            </w:pPr>
            <w:r>
              <w:rPr>
                <w:rFonts w:hint="default" w:ascii="Times New Roman"/>
                <w:sz w:val="18"/>
              </w:rPr>
              <w:t xml:space="preserve">年 </w:t>
            </w:r>
            <w:r>
              <w:rPr>
                <w:rFonts w:hint="eastAsia" w:ascii="Times New Roman"/>
                <w:sz w:val="18"/>
                <w:lang w:val="en-US" w:eastAsia="zh-CN"/>
              </w:rPr>
              <w:t xml:space="preserve"> </w:t>
            </w:r>
            <w:r>
              <w:rPr>
                <w:rFonts w:hint="default" w:ascii="Times New Roman"/>
                <w:sz w:val="18"/>
              </w:rPr>
              <w:t>月</w:t>
            </w:r>
          </w:p>
        </w:tc>
        <w:tc>
          <w:tcPr>
            <w:tcW w:w="772" w:type="pct"/>
            <w:vAlign w:val="center"/>
          </w:tcPr>
          <w:p w14:paraId="15EB70E4">
            <w:pPr>
              <w:pStyle w:val="41"/>
              <w:spacing w:line="240" w:lineRule="auto"/>
              <w:jc w:val="center"/>
              <w:rPr>
                <w:rFonts w:hint="default" w:ascii="Times New Roman"/>
                <w:sz w:val="18"/>
              </w:rPr>
            </w:pPr>
            <w:r>
              <w:rPr>
                <w:rFonts w:hint="default" w:ascii="Times New Roman"/>
                <w:sz w:val="18"/>
              </w:rPr>
              <w:t>年</w:t>
            </w:r>
            <w:r>
              <w:rPr>
                <w:rFonts w:hint="eastAsia" w:ascii="Times New Roman"/>
                <w:sz w:val="18"/>
                <w:lang w:val="en-US" w:eastAsia="zh-CN"/>
              </w:rPr>
              <w:t xml:space="preserve"> </w:t>
            </w:r>
            <w:r>
              <w:rPr>
                <w:rFonts w:hint="default" w:ascii="Times New Roman"/>
                <w:sz w:val="18"/>
              </w:rPr>
              <w:t xml:space="preserve"> 月</w:t>
            </w:r>
          </w:p>
        </w:tc>
        <w:tc>
          <w:tcPr>
            <w:tcW w:w="773" w:type="pct"/>
            <w:vAlign w:val="center"/>
          </w:tcPr>
          <w:p w14:paraId="5F3621CA">
            <w:pPr>
              <w:pStyle w:val="41"/>
              <w:spacing w:line="240" w:lineRule="auto"/>
              <w:jc w:val="center"/>
              <w:rPr>
                <w:rFonts w:hint="default" w:ascii="Times New Roman"/>
                <w:sz w:val="18"/>
              </w:rPr>
            </w:pPr>
            <w:r>
              <w:rPr>
                <w:rFonts w:hint="default" w:ascii="Times New Roman"/>
                <w:sz w:val="18"/>
              </w:rPr>
              <w:t>年</w:t>
            </w:r>
            <w:r>
              <w:rPr>
                <w:rFonts w:hint="eastAsia" w:ascii="Times New Roman"/>
                <w:sz w:val="18"/>
                <w:lang w:val="en-US" w:eastAsia="zh-CN"/>
              </w:rPr>
              <w:t xml:space="preserve">  </w:t>
            </w:r>
            <w:r>
              <w:rPr>
                <w:rFonts w:hint="default" w:ascii="Times New Roman"/>
                <w:sz w:val="18"/>
              </w:rPr>
              <w:t>月</w:t>
            </w:r>
          </w:p>
        </w:tc>
      </w:tr>
      <w:tr w14:paraId="5F09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0" w:hRule="atLeast"/>
        </w:trPr>
        <w:tc>
          <w:tcPr>
            <w:tcW w:w="720" w:type="pct"/>
            <w:vAlign w:val="center"/>
          </w:tcPr>
          <w:p w14:paraId="2810B906">
            <w:pPr>
              <w:rPr>
                <w:rFonts w:hint="default" w:ascii="Times New Roman" w:hAnsi="Times New Roman" w:cs="Times New Roman"/>
              </w:rPr>
            </w:pPr>
          </w:p>
        </w:tc>
        <w:tc>
          <w:tcPr>
            <w:tcW w:w="542" w:type="pct"/>
            <w:vAlign w:val="center"/>
          </w:tcPr>
          <w:p w14:paraId="04D44426">
            <w:pPr>
              <w:rPr>
                <w:rFonts w:hint="default" w:ascii="Times New Roman" w:hAnsi="Times New Roman" w:cs="Times New Roman"/>
              </w:rPr>
            </w:pPr>
          </w:p>
        </w:tc>
        <w:tc>
          <w:tcPr>
            <w:tcW w:w="594" w:type="pct"/>
            <w:vAlign w:val="center"/>
          </w:tcPr>
          <w:p w14:paraId="4F92B7DD">
            <w:pPr>
              <w:rPr>
                <w:rFonts w:hint="default" w:ascii="Times New Roman" w:hAnsi="Times New Roman" w:cs="Times New Roman"/>
              </w:rPr>
            </w:pPr>
          </w:p>
        </w:tc>
        <w:tc>
          <w:tcPr>
            <w:tcW w:w="772" w:type="pct"/>
            <w:vAlign w:val="center"/>
          </w:tcPr>
          <w:p w14:paraId="7C09CF2E">
            <w:pPr>
              <w:rPr>
                <w:rFonts w:hint="default" w:ascii="Times New Roman" w:hAnsi="Times New Roman" w:cs="Times New Roman"/>
              </w:rPr>
            </w:pPr>
          </w:p>
        </w:tc>
        <w:tc>
          <w:tcPr>
            <w:tcW w:w="824" w:type="pct"/>
            <w:vAlign w:val="center"/>
          </w:tcPr>
          <w:p w14:paraId="6E33E5B6">
            <w:pPr>
              <w:rPr>
                <w:rFonts w:hint="default" w:ascii="Times New Roman" w:hAnsi="Times New Roman" w:cs="Times New Roman"/>
              </w:rPr>
            </w:pPr>
          </w:p>
        </w:tc>
        <w:tc>
          <w:tcPr>
            <w:tcW w:w="772" w:type="pct"/>
            <w:vAlign w:val="center"/>
          </w:tcPr>
          <w:p w14:paraId="59C1022C">
            <w:pPr>
              <w:rPr>
                <w:rFonts w:hint="default" w:ascii="Times New Roman" w:hAnsi="Times New Roman" w:cs="Times New Roman"/>
              </w:rPr>
            </w:pPr>
          </w:p>
        </w:tc>
        <w:tc>
          <w:tcPr>
            <w:tcW w:w="773" w:type="pct"/>
            <w:vAlign w:val="center"/>
          </w:tcPr>
          <w:p w14:paraId="1720E55B">
            <w:pPr>
              <w:rPr>
                <w:rFonts w:hint="default" w:ascii="Times New Roman" w:hAnsi="Times New Roman" w:cs="Times New Roman"/>
              </w:rPr>
            </w:pPr>
          </w:p>
        </w:tc>
      </w:tr>
      <w:tr w14:paraId="20CF8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0" w:hRule="atLeast"/>
        </w:trPr>
        <w:tc>
          <w:tcPr>
            <w:tcW w:w="720" w:type="pct"/>
            <w:vAlign w:val="center"/>
          </w:tcPr>
          <w:p w14:paraId="598C4E21">
            <w:pPr>
              <w:rPr>
                <w:rFonts w:hint="default" w:ascii="Times New Roman" w:hAnsi="Times New Roman" w:cs="Times New Roman"/>
              </w:rPr>
            </w:pPr>
          </w:p>
        </w:tc>
        <w:tc>
          <w:tcPr>
            <w:tcW w:w="542" w:type="pct"/>
            <w:vAlign w:val="center"/>
          </w:tcPr>
          <w:p w14:paraId="767E38BF">
            <w:pPr>
              <w:rPr>
                <w:rFonts w:hint="default" w:ascii="Times New Roman" w:hAnsi="Times New Roman" w:cs="Times New Roman"/>
              </w:rPr>
            </w:pPr>
          </w:p>
        </w:tc>
        <w:tc>
          <w:tcPr>
            <w:tcW w:w="594" w:type="pct"/>
            <w:vAlign w:val="center"/>
          </w:tcPr>
          <w:p w14:paraId="5694188B">
            <w:pPr>
              <w:rPr>
                <w:rFonts w:hint="default" w:ascii="Times New Roman" w:hAnsi="Times New Roman" w:cs="Times New Roman"/>
              </w:rPr>
            </w:pPr>
          </w:p>
        </w:tc>
        <w:tc>
          <w:tcPr>
            <w:tcW w:w="772" w:type="pct"/>
            <w:vAlign w:val="center"/>
          </w:tcPr>
          <w:p w14:paraId="75193CC6">
            <w:pPr>
              <w:rPr>
                <w:rFonts w:hint="default" w:ascii="Times New Roman" w:hAnsi="Times New Roman" w:cs="Times New Roman"/>
              </w:rPr>
            </w:pPr>
          </w:p>
        </w:tc>
        <w:tc>
          <w:tcPr>
            <w:tcW w:w="824" w:type="pct"/>
            <w:vAlign w:val="center"/>
          </w:tcPr>
          <w:p w14:paraId="6BFF9103">
            <w:pPr>
              <w:rPr>
                <w:rFonts w:hint="default" w:ascii="Times New Roman" w:hAnsi="Times New Roman" w:cs="Times New Roman"/>
              </w:rPr>
            </w:pPr>
          </w:p>
        </w:tc>
        <w:tc>
          <w:tcPr>
            <w:tcW w:w="772" w:type="pct"/>
            <w:vAlign w:val="center"/>
          </w:tcPr>
          <w:p w14:paraId="0F22387E">
            <w:pPr>
              <w:rPr>
                <w:rFonts w:hint="default" w:ascii="Times New Roman" w:hAnsi="Times New Roman" w:cs="Times New Roman"/>
              </w:rPr>
            </w:pPr>
          </w:p>
        </w:tc>
        <w:tc>
          <w:tcPr>
            <w:tcW w:w="773" w:type="pct"/>
            <w:vAlign w:val="center"/>
          </w:tcPr>
          <w:p w14:paraId="0DEBD2D3">
            <w:pPr>
              <w:rPr>
                <w:rFonts w:hint="default" w:ascii="Times New Roman" w:hAnsi="Times New Roman" w:cs="Times New Roman"/>
              </w:rPr>
            </w:pPr>
          </w:p>
        </w:tc>
      </w:tr>
      <w:tr w14:paraId="1E74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0" w:hRule="atLeast"/>
        </w:trPr>
        <w:tc>
          <w:tcPr>
            <w:tcW w:w="720" w:type="pct"/>
            <w:vAlign w:val="center"/>
          </w:tcPr>
          <w:p w14:paraId="567C49B2">
            <w:pPr>
              <w:rPr>
                <w:rFonts w:hint="default" w:ascii="Times New Roman" w:hAnsi="Times New Roman" w:cs="Times New Roman"/>
              </w:rPr>
            </w:pPr>
          </w:p>
        </w:tc>
        <w:tc>
          <w:tcPr>
            <w:tcW w:w="542" w:type="pct"/>
            <w:vAlign w:val="center"/>
          </w:tcPr>
          <w:p w14:paraId="43D18BE8">
            <w:pPr>
              <w:rPr>
                <w:rFonts w:hint="default" w:ascii="Times New Roman" w:hAnsi="Times New Roman" w:cs="Times New Roman"/>
              </w:rPr>
            </w:pPr>
          </w:p>
        </w:tc>
        <w:tc>
          <w:tcPr>
            <w:tcW w:w="594" w:type="pct"/>
            <w:vAlign w:val="center"/>
          </w:tcPr>
          <w:p w14:paraId="48DCFE37">
            <w:pPr>
              <w:rPr>
                <w:rFonts w:hint="default" w:ascii="Times New Roman" w:hAnsi="Times New Roman" w:cs="Times New Roman"/>
              </w:rPr>
            </w:pPr>
          </w:p>
        </w:tc>
        <w:tc>
          <w:tcPr>
            <w:tcW w:w="772" w:type="pct"/>
            <w:vAlign w:val="center"/>
          </w:tcPr>
          <w:p w14:paraId="6A8D7F13">
            <w:pPr>
              <w:rPr>
                <w:rFonts w:hint="default" w:ascii="Times New Roman" w:hAnsi="Times New Roman" w:cs="Times New Roman"/>
              </w:rPr>
            </w:pPr>
          </w:p>
        </w:tc>
        <w:tc>
          <w:tcPr>
            <w:tcW w:w="824" w:type="pct"/>
            <w:vAlign w:val="center"/>
          </w:tcPr>
          <w:p w14:paraId="4A9CD2EC">
            <w:pPr>
              <w:rPr>
                <w:rFonts w:hint="default" w:ascii="Times New Roman" w:hAnsi="Times New Roman" w:cs="Times New Roman"/>
              </w:rPr>
            </w:pPr>
          </w:p>
        </w:tc>
        <w:tc>
          <w:tcPr>
            <w:tcW w:w="772" w:type="pct"/>
            <w:vAlign w:val="center"/>
          </w:tcPr>
          <w:p w14:paraId="77A45BAD">
            <w:pPr>
              <w:rPr>
                <w:rFonts w:hint="default" w:ascii="Times New Roman" w:hAnsi="Times New Roman" w:cs="Times New Roman"/>
              </w:rPr>
            </w:pPr>
          </w:p>
        </w:tc>
        <w:tc>
          <w:tcPr>
            <w:tcW w:w="773" w:type="pct"/>
            <w:vAlign w:val="center"/>
          </w:tcPr>
          <w:p w14:paraId="63158AC0">
            <w:pPr>
              <w:rPr>
                <w:rFonts w:hint="default" w:ascii="Times New Roman" w:hAnsi="Times New Roman" w:cs="Times New Roman"/>
              </w:rPr>
            </w:pPr>
          </w:p>
        </w:tc>
      </w:tr>
    </w:tbl>
    <w:p w14:paraId="05ABCFC1">
      <w:pPr>
        <w:spacing w:line="360" w:lineRule="exact"/>
        <w:jc w:val="center"/>
        <w:rPr>
          <w:rFonts w:hint="default" w:ascii="Times New Roman" w:hAnsi="Times New Roman" w:cs="Times New Roman"/>
        </w:rPr>
        <w:sectPr>
          <w:headerReference r:id="rId16" w:type="default"/>
          <w:footerReference r:id="rId17" w:type="default"/>
          <w:type w:val="continuous"/>
          <w:pgSz w:w="12120" w:h="16820"/>
          <w:pgMar w:top="1420" w:right="720" w:bottom="1440" w:left="1260" w:header="0" w:footer="1160" w:gutter="0"/>
          <w:cols w:space="720" w:num="1"/>
        </w:sectPr>
      </w:pPr>
      <w:r>
        <w:rPr>
          <w:rFonts w:hint="default" w:ascii="Times New Roman" w:hAnsi="Times New Roman" w:cs="Times New Roman"/>
        </w:rPr>
        <w:br w:type="page"/>
      </w:r>
    </w:p>
    <w:p w14:paraId="1128804D">
      <w:pPr>
        <w:pStyle w:val="36"/>
        <w:shd w:val="clear" w:color="FFFFFF" w:fill="FFFFFF"/>
        <w:spacing w:after="156"/>
        <w:rPr>
          <w:rFonts w:hint="default" w:hAnsi="Times New Roman" w:cs="Times New Roman"/>
        </w:rPr>
      </w:pPr>
    </w:p>
    <w:p w14:paraId="19980CCD">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（资料性附录）</w:t>
      </w:r>
    </w:p>
    <w:p w14:paraId="4B141B30">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用人单位职业病危害作业关键控制点和关键防护工种确定的原则性方法</w:t>
      </w:r>
    </w:p>
    <w:p w14:paraId="17E20AF6">
      <w:pPr>
        <w:keepNext w:val="0"/>
        <w:keepLines w:val="0"/>
        <w:pageBreakBefore w:val="0"/>
        <w:widowControl w:val="0"/>
        <w:kinsoku/>
        <w:wordWrap/>
        <w:overflowPunct/>
        <w:topLinePunct w:val="0"/>
        <w:autoSpaceDE/>
        <w:autoSpaceDN/>
        <w:bidi w:val="0"/>
        <w:adjustRightInd w:val="0"/>
        <w:snapToGrid/>
        <w:spacing w:before="0" w:beforeLines="50" w:line="360" w:lineRule="auto"/>
        <w:ind w:firstLine="42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通过职业病危害因素的识别和检测，对各工种接触职业病危害水平及有关作业场所的评价，涉及以下情况之一的可以定性为职业病危害作业关键控制点和关键防护工种：</w:t>
      </w:r>
    </w:p>
    <w:p w14:paraId="4D96C0FA">
      <w:pPr>
        <w:spacing w:line="360" w:lineRule="auto"/>
        <w:ind w:left="84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1）接触职业病危害因素超标的工种即为关键防护工种，引起其接触水平超标的作业点即为关键控制点；</w:t>
      </w:r>
    </w:p>
    <w:p w14:paraId="049E54B4">
      <w:pPr>
        <w:spacing w:line="360" w:lineRule="auto"/>
        <w:ind w:left="84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2)涉及接触高危粉尘、高毒物品或放射性物质的工种即为关键防护工种，涉及这些危害可能泄漏的作业点即为关键控制点；</w:t>
      </w:r>
    </w:p>
    <w:p w14:paraId="7ECCD618">
      <w:pPr>
        <w:spacing w:line="360" w:lineRule="auto"/>
        <w:ind w:left="84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3）对GBZ 2.1中备注的致癌物质、经皮吸收物质、致敏物质，只要识别出作业场所存在，涉及接触这些危害的工种即为关键防护工种，涉及这些危害可能泄漏的作业点即为关键控制点；</w:t>
      </w:r>
    </w:p>
    <w:p w14:paraId="6FFAF9CD">
      <w:pPr>
        <w:spacing w:line="360" w:lineRule="auto"/>
        <w:ind w:left="84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4）其他粉尘或化学物质检测结果达到其短时间接触限值二分之一以上的作业点即为关键控制点，对应的接触工种即为关键防护工种；</w:t>
      </w:r>
    </w:p>
    <w:p w14:paraId="42FF6B5F">
      <w:pPr>
        <w:spacing w:line="360" w:lineRule="auto"/>
        <w:ind w:left="84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5）工作场所环境噪声超过85dB的作业点即为关键控制点，进入这些作业点的工种即为关键防护工种。</w:t>
      </w:r>
    </w:p>
    <w:p w14:paraId="6315D481">
      <w:pPr>
        <w:jc w:val="center"/>
        <w:rPr>
          <w:rFonts w:hint="default" w:ascii="Times New Roman" w:hAnsi="Times New Roman" w:cs="Times New Roman"/>
        </w:rPr>
      </w:pPr>
    </w:p>
    <w:p w14:paraId="41865F5A">
      <w:pPr>
        <w:spacing w:line="400" w:lineRule="exact"/>
        <w:ind w:firstLine="2040"/>
        <w:rPr>
          <w:rFonts w:hint="default" w:ascii="Times New Roman" w:hAnsi="Times New Roman" w:cs="Times New Roman"/>
        </w:rPr>
        <w:sectPr>
          <w:footerReference r:id="rId18" w:type="default"/>
          <w:type w:val="continuous"/>
          <w:pgSz w:w="11900" w:h="16820"/>
          <w:pgMar w:top="1420" w:right="1340" w:bottom="1440" w:left="1080" w:header="0" w:footer="1160" w:gutter="0"/>
          <w:cols w:space="720" w:num="1"/>
        </w:sectPr>
      </w:pPr>
      <w:r>
        <w:rPr>
          <w:rFonts w:hint="default" w:ascii="Times New Roman" w:hAnsi="Times New Roman" w:cs="Times New Roman"/>
        </w:rPr>
        <w:br w:type="page"/>
      </w:r>
    </w:p>
    <w:p w14:paraId="143DC525">
      <w:pPr>
        <w:pStyle w:val="36"/>
        <w:shd w:val="clear" w:color="FFFFFF" w:fill="FFFFFF"/>
        <w:spacing w:after="156"/>
        <w:rPr>
          <w:rFonts w:hint="eastAsia" w:hAnsi="Times New Roman" w:cs="Times New Roman"/>
          <w:lang w:eastAsia="zh-CN"/>
        </w:rPr>
      </w:pPr>
    </w:p>
    <w:p w14:paraId="2A1C04E3">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（资料性附录）</w:t>
      </w:r>
    </w:p>
    <w:p w14:paraId="6C5C7EB1">
      <w:pPr>
        <w:spacing w:line="300" w:lineRule="exact"/>
        <w:jc w:val="center"/>
        <w:rPr>
          <w:rFonts w:hint="default" w:ascii="黑体" w:hAnsi="Times New Roman" w:eastAsia="黑体" w:cs="Times New Roman"/>
          <w:kern w:val="0"/>
          <w:sz w:val="21"/>
          <w:szCs w:val="20"/>
          <w:lang w:val="en-US" w:eastAsia="zh-CN" w:bidi="ar-SA"/>
        </w:rPr>
      </w:pPr>
      <w:r>
        <w:rPr>
          <w:rFonts w:hint="default" w:ascii="黑体" w:hAnsi="Times New Roman" w:eastAsia="黑体" w:cs="Times New Roman"/>
          <w:kern w:val="0"/>
          <w:sz w:val="21"/>
          <w:szCs w:val="20"/>
          <w:lang w:val="en-US" w:eastAsia="zh-CN" w:bidi="ar-SA"/>
        </w:rPr>
        <w:t>用人单位职业病危害现状评价报告格式</w:t>
      </w:r>
    </w:p>
    <w:p w14:paraId="79146196">
      <w:pPr>
        <w:spacing w:after="340" w:line="260" w:lineRule="exact"/>
        <w:jc w:val="left"/>
        <w:rPr>
          <w:rFonts w:hint="default" w:ascii="Times New Roman" w:hAnsi="Times New Roman" w:cs="Times New Roman"/>
        </w:rPr>
      </w:pP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．1 封页</w:t>
      </w:r>
    </w:p>
    <w:p w14:paraId="748066D2">
      <w:pPr>
        <w:spacing w:line="300" w:lineRule="exact"/>
        <w:ind w:firstLine="400" w:firstLineChars="200"/>
        <w:rPr>
          <w:rFonts w:hint="default" w:ascii="Times New Roman" w:hAnsi="Times New Roman" w:cs="Times New Roman"/>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报告编号：共16位，从左向右依次为：出具报告的年份的后2位数字、2位汉语拼音字母代表的报告类别标志（现状评价报告为XP）、9位数字（或大写拉丁字母）组成的全国统一的本单位组织机构代码（对于“三证合一”用人单位，取其统一社会信用代码编号中第9至第17位数字组成的9位数字）、3位数字组成的本单位当年出具的同一类别报告流水号（从001 开始连续编号），字体为国标宋体，标准小4号，加粗，右对齐。</w:t>
      </w:r>
    </w:p>
    <w:p w14:paraId="26F63277">
      <w:pPr>
        <w:spacing w:line="260" w:lineRule="exact"/>
        <w:ind w:firstLine="400" w:firstLineChars="200"/>
        <w:rPr>
          <w:rFonts w:hint="default" w:ascii="Times New Roman" w:hAnsi="Times New Roman" w:cs="Times New Roman"/>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标题：xxxxxx用人单位职业病危害现状评价报告，字体为国标宋体，标准小1号，加粗，居中。</w:t>
      </w:r>
    </w:p>
    <w:p w14:paraId="29EC65D0">
      <w:pPr>
        <w:spacing w:after="340" w:line="260" w:lineRule="exact"/>
        <w:ind w:firstLine="440"/>
        <w:rPr>
          <w:rFonts w:hint="default" w:ascii="Times New Roman" w:hAnsi="Times New Roman" w:cs="Times New Roman"/>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落款：技术服务机构名称（加盖公章），字体为国标宋体，标准小3号，加粗，居中。</w:t>
      </w:r>
    </w:p>
    <w:p w14:paraId="3C21FAE5">
      <w:pPr>
        <w:spacing w:after="340" w:line="280" w:lineRule="exact"/>
        <w:jc w:val="left"/>
        <w:rPr>
          <w:rFonts w:hint="default" w:ascii="Times New Roman" w:hAnsi="Times New Roman" w:cs="Times New Roman"/>
        </w:rPr>
      </w:pP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．2 封二</w:t>
      </w:r>
    </w:p>
    <w:p w14:paraId="2937690C">
      <w:pPr>
        <w:spacing w:after="340" w:line="260" w:lineRule="exact"/>
        <w:ind w:firstLine="440"/>
        <w:rPr>
          <w:rFonts w:hint="default" w:ascii="Times New Roman" w:hAnsi="Times New Roman" w:cs="Times New Roman"/>
        </w:rPr>
      </w:pPr>
      <w:r>
        <w:rPr>
          <w:rFonts w:hint="default" w:ascii="Times New Roman" w:hAnsi="Times New Roman" w:eastAsia="宋体" w:cs="Times New Roman"/>
          <w:color w:val="000000"/>
          <w:sz w:val="20"/>
        </w:rPr>
        <w:t>现状评价报告客观性声明（加盖公章），字体为国标宋体，标准3号，加粗，居中。声明内容字体为国标宋体，标准小4号。</w:t>
      </w:r>
    </w:p>
    <w:p w14:paraId="1BA52FD3">
      <w:pPr>
        <w:spacing w:after="340" w:line="280" w:lineRule="exact"/>
        <w:jc w:val="left"/>
        <w:rPr>
          <w:rFonts w:hint="default" w:ascii="Times New Roman" w:hAnsi="Times New Roman" w:cs="Times New Roman"/>
        </w:rPr>
      </w:pP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．3 封三</w:t>
      </w:r>
    </w:p>
    <w:p w14:paraId="46BF11AA">
      <w:pPr>
        <w:spacing w:after="340" w:line="260" w:lineRule="exact"/>
        <w:ind w:firstLine="440"/>
        <w:jc w:val="left"/>
        <w:rPr>
          <w:rFonts w:hint="default" w:ascii="Times New Roman" w:hAnsi="Times New Roman" w:cs="Times New Roman"/>
        </w:rPr>
      </w:pPr>
      <w:r>
        <w:rPr>
          <w:rFonts w:hint="default" w:ascii="Times New Roman" w:hAnsi="Times New Roman" w:eastAsia="宋体" w:cs="Times New Roman"/>
          <w:color w:val="000000"/>
          <w:sz w:val="20"/>
        </w:rPr>
        <w:t>技术服务机构资质证书影印件</w:t>
      </w:r>
    </w:p>
    <w:p w14:paraId="2F2649CE">
      <w:pPr>
        <w:spacing w:after="340" w:line="260" w:lineRule="exact"/>
        <w:jc w:val="left"/>
        <w:rPr>
          <w:rFonts w:hint="default" w:ascii="Times New Roman" w:hAnsi="Times New Roman" w:eastAsia="宋体" w:cs="Times New Roman"/>
          <w:color w:val="000000"/>
          <w:sz w:val="20"/>
        </w:rPr>
      </w:pP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．4 封四</w:t>
      </w:r>
    </w:p>
    <w:p w14:paraId="4B9420E8">
      <w:pPr>
        <w:spacing w:after="340" w:line="240" w:lineRule="auto"/>
        <w:ind w:firstLine="440"/>
        <w:jc w:val="left"/>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项目组成员名单（列表）。</w:t>
      </w:r>
    </w:p>
    <w:p w14:paraId="0AF00181">
      <w:pPr>
        <w:spacing w:after="340" w:line="240" w:lineRule="auto"/>
        <w:ind w:firstLine="440"/>
        <w:jc w:val="left"/>
        <w:rPr>
          <w:rFonts w:hint="default" w:ascii="Times New Roman" w:hAnsi="Times New Roman" w:eastAsia="宋体" w:cs="Times New Roman"/>
          <w:color w:val="000000"/>
          <w:sz w:val="20"/>
        </w:rPr>
      </w:pPr>
      <w:r>
        <w:rPr>
          <w:rFonts w:hint="eastAsia" w:ascii="Times New Roman" w:hAnsi="Times New Roman" w:cs="Times New Roman"/>
          <w:color w:val="000000"/>
          <w:sz w:val="20"/>
          <w:lang w:eastAsia="zh-CN"/>
        </w:rPr>
        <w:t>－</w:t>
      </w:r>
      <w:r>
        <w:rPr>
          <w:rFonts w:hint="default" w:ascii="Times New Roman" w:hAnsi="Times New Roman" w:eastAsia="宋体" w:cs="Times New Roman"/>
          <w:color w:val="000000"/>
          <w:sz w:val="20"/>
        </w:rPr>
        <w:t>项目负责人：姓名、职称（专业）、资质证书号、签字，字体为国标宋体，标准4号</w:t>
      </w:r>
    </w:p>
    <w:p w14:paraId="2F7BB199">
      <w:pPr>
        <w:spacing w:after="340" w:line="240" w:lineRule="auto"/>
        <w:ind w:firstLine="440"/>
        <w:jc w:val="left"/>
        <w:rPr>
          <w:rFonts w:hint="default" w:ascii="Times New Roman" w:hAnsi="Times New Roman" w:eastAsia="宋体" w:cs="Times New Roman"/>
          <w:color w:val="000000"/>
          <w:sz w:val="20"/>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主编人：姓名、职称（专业）、资质证书号、签字，字体为国标宋体，标准4号</w:t>
      </w:r>
    </w:p>
    <w:p w14:paraId="2C7A3ED8">
      <w:pPr>
        <w:spacing w:after="340" w:line="240" w:lineRule="auto"/>
        <w:ind w:firstLine="440"/>
        <w:jc w:val="left"/>
        <w:rPr>
          <w:rFonts w:hint="default" w:ascii="Times New Roman" w:hAnsi="Times New Roman" w:cs="Times New Roman"/>
          <w:color w:val="000000"/>
          <w:sz w:val="20"/>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参与人：姓名、职称（专业）、资质证书号、签字，字体为国标宋体，标准4号</w:t>
      </w:r>
    </w:p>
    <w:p w14:paraId="661AD0D3">
      <w:pPr>
        <w:spacing w:after="340" w:line="240" w:lineRule="auto"/>
        <w:ind w:firstLine="440"/>
        <w:jc w:val="left"/>
        <w:rPr>
          <w:rFonts w:hint="default" w:ascii="Times New Roman" w:hAnsi="Times New Roman" w:eastAsia="宋体" w:cs="Times New Roman"/>
          <w:color w:val="000000"/>
          <w:sz w:val="20"/>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审核人：姓名、职称（专业）、资质证书号、签字，字体为国标宋体，标准4号</w:t>
      </w:r>
    </w:p>
    <w:p w14:paraId="11B2DF4C">
      <w:pPr>
        <w:spacing w:after="340" w:line="240" w:lineRule="auto"/>
        <w:ind w:firstLine="440"/>
        <w:jc w:val="left"/>
        <w:rPr>
          <w:rFonts w:hint="default" w:ascii="Times New Roman" w:hAnsi="Times New Roman" w:eastAsia="宋体" w:cs="Times New Roman"/>
          <w:color w:val="000000"/>
          <w:sz w:val="20"/>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签发人：姓名、职称（专业）、资质证书号、签字，字体为国标宋体，标准4号</w:t>
      </w:r>
    </w:p>
    <w:p w14:paraId="3E806EE3">
      <w:pPr>
        <w:spacing w:after="340" w:line="260" w:lineRule="exact"/>
        <w:jc w:val="left"/>
        <w:rPr>
          <w:rFonts w:hint="default" w:ascii="Times New Roman" w:hAnsi="Times New Roman" w:cs="Times New Roman"/>
        </w:rPr>
      </w:pP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．5 正文</w:t>
      </w:r>
    </w:p>
    <w:p w14:paraId="194BE2F5">
      <w:pPr>
        <w:spacing w:line="260" w:lineRule="exact"/>
        <w:ind w:firstLine="440"/>
        <w:jc w:val="left"/>
        <w:rPr>
          <w:rFonts w:hint="default" w:ascii="Times New Roman" w:hAnsi="Times New Roman" w:cs="Times New Roman"/>
        </w:rPr>
      </w:pPr>
      <w:r>
        <w:rPr>
          <w:rFonts w:hint="default" w:ascii="Times New Roman" w:hAnsi="Times New Roman" w:eastAsia="宋体" w:cs="Times New Roman"/>
          <w:color w:val="000000"/>
          <w:sz w:val="20"/>
        </w:rPr>
        <w:t>按照目录内容编写，纸型规格A4纸，字体为国标仿宋体，标准4号，28行</w:t>
      </w: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页，30字</w:t>
      </w: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行。</w:t>
      </w:r>
    </w:p>
    <w:p w14:paraId="17F70401">
      <w:pPr>
        <w:spacing w:after="340" w:line="260" w:lineRule="exact"/>
        <w:ind w:left="440"/>
        <w:rPr>
          <w:rFonts w:hint="default" w:ascii="Times New Roman" w:hAnsi="Times New Roman" w:cs="Times New Roman"/>
        </w:rPr>
      </w:pP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页眉：XXXX用人单位职业病危害现状评价报告、报告编号，字体为国标宋体，标准小5号。</w:t>
      </w:r>
      <w:r>
        <w:rPr>
          <w:rFonts w:hint="eastAsia" w:ascii="Times New Roman" w:hAnsi="Times New Roman" w:eastAsia="宋体" w:cs="Times New Roman"/>
          <w:color w:val="000000"/>
          <w:sz w:val="20"/>
          <w:lang w:eastAsia="zh-CN"/>
        </w:rPr>
        <w:t>－</w:t>
      </w:r>
      <w:r>
        <w:rPr>
          <w:rFonts w:hint="default" w:ascii="Times New Roman" w:hAnsi="Times New Roman" w:eastAsia="宋体" w:cs="Times New Roman"/>
          <w:color w:val="000000"/>
          <w:sz w:val="20"/>
        </w:rPr>
        <w:t>页脚：评价机构名称，页码（第X页共 XX页），字体为国标宋体，标准小5号。</w:t>
      </w:r>
    </w:p>
    <w:p w14:paraId="4088EFE5">
      <w:pPr>
        <w:spacing w:line="280" w:lineRule="exact"/>
        <w:jc w:val="left"/>
        <w:rPr>
          <w:rFonts w:hint="default" w:ascii="Times New Roman" w:hAnsi="Times New Roman" w:cs="Times New Roman"/>
        </w:rPr>
        <w:sectPr>
          <w:footerReference r:id="rId19" w:type="default"/>
          <w:type w:val="continuous"/>
          <w:pgSz w:w="11900" w:h="16820"/>
          <w:pgMar w:top="1420" w:right="1060" w:bottom="1440" w:left="1080" w:header="0" w:footer="1160" w:gutter="0"/>
          <w:cols w:space="720" w:num="1"/>
        </w:sectPr>
      </w:pP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．6 附件</w:t>
      </w:r>
      <w:r>
        <w:rPr>
          <w:rFonts w:hint="default" w:ascii="Times New Roman" w:hAnsi="Times New Roman" w:cs="Times New Roman"/>
        </w:rPr>
        <w:br w:type="page"/>
      </w:r>
    </w:p>
    <w:p w14:paraId="5D690AF6">
      <w:pPr>
        <w:spacing w:line="260" w:lineRule="exact"/>
        <w:ind w:firstLine="440"/>
        <w:jc w:val="left"/>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现状评价委托书、地理（区域）位置图、总平面布置图、其他应该列入的有关资料。</w:t>
      </w:r>
    </w:p>
    <w:p w14:paraId="0F07693F">
      <w:pPr>
        <w:spacing w:line="260" w:lineRule="exact"/>
        <w:ind w:firstLine="440"/>
        <w:jc w:val="left"/>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图F．1至图F．3 给出了不同页面的格式。</w:t>
      </w:r>
    </w:p>
    <w:p w14:paraId="0B17863E">
      <w:pPr>
        <w:spacing w:line="260" w:lineRule="exact"/>
        <w:ind w:firstLine="440"/>
        <w:jc w:val="left"/>
        <w:rPr>
          <w:rFonts w:hint="default" w:ascii="Times New Roman" w:hAnsi="Times New Roman" w:eastAsia="宋体" w:cs="Times New Roman"/>
          <w:color w:val="000000"/>
          <w:sz w:val="20"/>
        </w:rPr>
      </w:pPr>
    </w:p>
    <w:p w14:paraId="2563F907">
      <w:pPr>
        <w:spacing w:line="260" w:lineRule="exact"/>
        <w:ind w:firstLine="440"/>
        <w:jc w:val="left"/>
        <w:rPr>
          <w:rFonts w:hint="default" w:ascii="Times New Roman" w:hAnsi="Times New Roman" w:eastAsia="宋体" w:cs="Times New Roman"/>
          <w:color w:val="000000"/>
          <w:sz w:val="20"/>
        </w:rPr>
      </w:pPr>
      <w:r>
        <w:rPr>
          <w:sz w:val="20"/>
        </w:rPr>
        <mc:AlternateContent>
          <mc:Choice Requires="wps">
            <w:drawing>
              <wp:anchor distT="0" distB="0" distL="114300" distR="114300" simplePos="0" relativeHeight="251664384" behindDoc="0" locked="0" layoutInCell="1" allowOverlap="1">
                <wp:simplePos x="0" y="0"/>
                <wp:positionH relativeFrom="column">
                  <wp:posOffset>283845</wp:posOffset>
                </wp:positionH>
                <wp:positionV relativeFrom="paragraph">
                  <wp:posOffset>122555</wp:posOffset>
                </wp:positionV>
                <wp:extent cx="5464175" cy="7150100"/>
                <wp:effectExtent l="4445" t="4445" r="17780" b="8255"/>
                <wp:wrapNone/>
                <wp:docPr id="9" name="文本框 9"/>
                <wp:cNvGraphicFramePr/>
                <a:graphic xmlns:a="http://schemas.openxmlformats.org/drawingml/2006/main">
                  <a:graphicData uri="http://schemas.microsoft.com/office/word/2010/wordprocessingShape">
                    <wps:wsp>
                      <wps:cNvSpPr txBox="1"/>
                      <wps:spPr>
                        <a:xfrm>
                          <a:off x="0" y="0"/>
                          <a:ext cx="5464175" cy="71501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375106">
                            <w:pPr>
                              <w:jc w:val="right"/>
                              <w:rPr>
                                <w:rFonts w:hint="eastAsia"/>
                                <w:lang w:val="en-US" w:eastAsia="zh-CN"/>
                              </w:rPr>
                            </w:pPr>
                          </w:p>
                          <w:p w14:paraId="1B83E77F">
                            <w:pPr>
                              <w:jc w:val="right"/>
                              <w:rPr>
                                <w:rFonts w:hint="eastAsia"/>
                                <w:sz w:val="28"/>
                                <w:szCs w:val="32"/>
                                <w:lang w:val="en-US" w:eastAsia="zh-CN"/>
                              </w:rPr>
                            </w:pPr>
                            <w:r>
                              <w:rPr>
                                <w:rFonts w:hint="eastAsia"/>
                                <w:sz w:val="28"/>
                                <w:szCs w:val="32"/>
                                <w:lang w:val="en-US" w:eastAsia="zh-CN"/>
                              </w:rPr>
                              <w:t>报告编号：××XP×××××××××</w:t>
                            </w:r>
                          </w:p>
                          <w:p w14:paraId="75724BE4">
                            <w:pPr>
                              <w:jc w:val="right"/>
                              <w:rPr>
                                <w:rFonts w:hint="eastAsia"/>
                                <w:lang w:val="en-US" w:eastAsia="zh-CN"/>
                              </w:rPr>
                            </w:pPr>
                          </w:p>
                          <w:p w14:paraId="6CCE2CFF">
                            <w:pPr>
                              <w:jc w:val="right"/>
                              <w:rPr>
                                <w:rFonts w:hint="eastAsia"/>
                                <w:lang w:val="en-US" w:eastAsia="zh-CN"/>
                              </w:rPr>
                            </w:pPr>
                          </w:p>
                          <w:p w14:paraId="11F4F2B3">
                            <w:pPr>
                              <w:jc w:val="right"/>
                              <w:rPr>
                                <w:rFonts w:hint="eastAsia"/>
                                <w:lang w:val="en-US" w:eastAsia="zh-CN"/>
                              </w:rPr>
                            </w:pPr>
                          </w:p>
                          <w:p w14:paraId="2151A73D">
                            <w:pPr>
                              <w:jc w:val="right"/>
                              <w:rPr>
                                <w:rFonts w:hint="eastAsia"/>
                                <w:sz w:val="44"/>
                                <w:szCs w:val="48"/>
                                <w:lang w:val="en-US" w:eastAsia="zh-CN"/>
                              </w:rPr>
                            </w:pPr>
                          </w:p>
                          <w:p w14:paraId="59F9745A">
                            <w:pPr>
                              <w:jc w:val="right"/>
                              <w:rPr>
                                <w:rFonts w:hint="eastAsia"/>
                                <w:sz w:val="44"/>
                                <w:szCs w:val="48"/>
                                <w:lang w:val="en-US" w:eastAsia="zh-CN"/>
                              </w:rPr>
                            </w:pPr>
                          </w:p>
                          <w:p w14:paraId="729AAAF7">
                            <w:pPr>
                              <w:spacing w:line="240" w:lineRule="auto"/>
                              <w:jc w:val="center"/>
                              <w:rPr>
                                <w:rFonts w:hint="eastAsia"/>
                                <w:sz w:val="48"/>
                                <w:szCs w:val="52"/>
                                <w:lang w:val="en-US" w:eastAsia="zh-CN"/>
                              </w:rPr>
                            </w:pPr>
                            <w:r>
                              <w:rPr>
                                <w:rFonts w:hint="eastAsia"/>
                                <w:sz w:val="48"/>
                                <w:szCs w:val="52"/>
                                <w:lang w:val="en-US" w:eastAsia="zh-CN"/>
                              </w:rPr>
                              <w:t>用人单位名称</w:t>
                            </w:r>
                          </w:p>
                          <w:p w14:paraId="7D7BD744">
                            <w:pPr>
                              <w:spacing w:line="240" w:lineRule="auto"/>
                              <w:jc w:val="center"/>
                              <w:rPr>
                                <w:rFonts w:hint="eastAsia"/>
                                <w:sz w:val="44"/>
                                <w:szCs w:val="48"/>
                                <w:lang w:val="en-US" w:eastAsia="zh-CN"/>
                              </w:rPr>
                            </w:pPr>
                            <w:r>
                              <w:rPr>
                                <w:rFonts w:hint="eastAsia"/>
                                <w:sz w:val="48"/>
                                <w:szCs w:val="52"/>
                                <w:lang w:val="en-US" w:eastAsia="zh-CN"/>
                              </w:rPr>
                              <w:t>职业病危害现状评价报告</w:t>
                            </w:r>
                          </w:p>
                          <w:p w14:paraId="78122B10">
                            <w:pPr>
                              <w:jc w:val="center"/>
                              <w:rPr>
                                <w:rFonts w:hint="eastAsia"/>
                                <w:sz w:val="44"/>
                                <w:szCs w:val="48"/>
                                <w:lang w:val="en-US" w:eastAsia="zh-CN"/>
                              </w:rPr>
                            </w:pPr>
                          </w:p>
                          <w:p w14:paraId="2C287674">
                            <w:pPr>
                              <w:jc w:val="center"/>
                              <w:rPr>
                                <w:rFonts w:hint="eastAsia"/>
                                <w:lang w:val="en-US" w:eastAsia="zh-CN"/>
                              </w:rPr>
                            </w:pPr>
                          </w:p>
                          <w:p w14:paraId="6574225C">
                            <w:pPr>
                              <w:jc w:val="center"/>
                              <w:rPr>
                                <w:rFonts w:hint="eastAsia"/>
                                <w:lang w:val="en-US" w:eastAsia="zh-CN"/>
                              </w:rPr>
                            </w:pPr>
                          </w:p>
                          <w:p w14:paraId="37A9D4CD">
                            <w:pPr>
                              <w:jc w:val="center"/>
                              <w:rPr>
                                <w:rFonts w:hint="eastAsia"/>
                                <w:lang w:val="en-US" w:eastAsia="zh-CN"/>
                              </w:rPr>
                            </w:pPr>
                          </w:p>
                          <w:p w14:paraId="0D62C308">
                            <w:pPr>
                              <w:jc w:val="center"/>
                              <w:rPr>
                                <w:rFonts w:hint="eastAsia"/>
                                <w:lang w:val="en-US" w:eastAsia="zh-CN"/>
                              </w:rPr>
                            </w:pPr>
                          </w:p>
                          <w:p w14:paraId="262055B9">
                            <w:pPr>
                              <w:jc w:val="center"/>
                              <w:rPr>
                                <w:rFonts w:hint="eastAsia"/>
                                <w:lang w:val="en-US" w:eastAsia="zh-CN"/>
                              </w:rPr>
                            </w:pPr>
                          </w:p>
                          <w:p w14:paraId="103D7E49">
                            <w:pPr>
                              <w:jc w:val="center"/>
                              <w:rPr>
                                <w:rFonts w:hint="eastAsia"/>
                                <w:lang w:val="en-US" w:eastAsia="zh-CN"/>
                              </w:rPr>
                            </w:pPr>
                          </w:p>
                          <w:p w14:paraId="1407D10A">
                            <w:pPr>
                              <w:jc w:val="center"/>
                              <w:rPr>
                                <w:rFonts w:hint="eastAsia"/>
                                <w:lang w:val="en-US" w:eastAsia="zh-CN"/>
                              </w:rPr>
                            </w:pPr>
                          </w:p>
                          <w:p w14:paraId="517E8450">
                            <w:pPr>
                              <w:jc w:val="center"/>
                              <w:rPr>
                                <w:rFonts w:hint="eastAsia"/>
                                <w:lang w:val="en-US" w:eastAsia="zh-CN"/>
                              </w:rPr>
                            </w:pPr>
                          </w:p>
                          <w:p w14:paraId="745B8C34">
                            <w:pPr>
                              <w:jc w:val="center"/>
                              <w:rPr>
                                <w:rFonts w:hint="eastAsia"/>
                                <w:lang w:val="en-US" w:eastAsia="zh-CN"/>
                              </w:rPr>
                            </w:pPr>
                          </w:p>
                          <w:p w14:paraId="5333674B">
                            <w:pPr>
                              <w:jc w:val="center"/>
                              <w:rPr>
                                <w:rFonts w:hint="eastAsia"/>
                                <w:lang w:val="en-US" w:eastAsia="zh-CN"/>
                              </w:rPr>
                            </w:pPr>
                          </w:p>
                          <w:p w14:paraId="0446CBB1">
                            <w:pPr>
                              <w:jc w:val="center"/>
                              <w:rPr>
                                <w:rFonts w:hint="eastAsia"/>
                                <w:lang w:val="en-US" w:eastAsia="zh-CN"/>
                              </w:rPr>
                            </w:pPr>
                          </w:p>
                          <w:p w14:paraId="12286A0B">
                            <w:pPr>
                              <w:jc w:val="center"/>
                              <w:rPr>
                                <w:rFonts w:hint="eastAsia"/>
                                <w:lang w:val="en-US" w:eastAsia="zh-CN"/>
                              </w:rPr>
                            </w:pPr>
                          </w:p>
                          <w:p w14:paraId="27CAD727">
                            <w:pPr>
                              <w:jc w:val="center"/>
                              <w:rPr>
                                <w:rFonts w:hint="eastAsia"/>
                                <w:sz w:val="28"/>
                                <w:szCs w:val="28"/>
                                <w:lang w:val="en-US" w:eastAsia="zh-CN"/>
                              </w:rPr>
                            </w:pPr>
                            <w:r>
                              <w:rPr>
                                <w:rFonts w:hint="eastAsia"/>
                                <w:sz w:val="28"/>
                                <w:szCs w:val="28"/>
                                <w:lang w:val="en-US" w:eastAsia="zh-CN"/>
                              </w:rPr>
                              <w:t>技术服务机构名称</w:t>
                            </w:r>
                          </w:p>
                          <w:p w14:paraId="55685073">
                            <w:pPr>
                              <w:jc w:val="center"/>
                              <w:rPr>
                                <w:rFonts w:hint="eastAsia"/>
                                <w:sz w:val="28"/>
                                <w:szCs w:val="28"/>
                                <w:lang w:val="en-US" w:eastAsia="zh-CN"/>
                              </w:rPr>
                            </w:pPr>
                          </w:p>
                          <w:p w14:paraId="20056718">
                            <w:pPr>
                              <w:jc w:val="center"/>
                              <w:rPr>
                                <w:rFonts w:hint="default"/>
                                <w:sz w:val="28"/>
                                <w:szCs w:val="28"/>
                                <w:lang w:val="en-US" w:eastAsia="zh-CN"/>
                              </w:rPr>
                            </w:pPr>
                            <w:r>
                              <w:rPr>
                                <w:rFonts w:hint="eastAsia"/>
                                <w:sz w:val="28"/>
                                <w:szCs w:val="28"/>
                                <w:lang w:val="en-US" w:eastAsia="zh-CN"/>
                              </w:rPr>
                              <w:t>年 月 日</w:t>
                            </w:r>
                          </w:p>
                        </w:txbxContent>
                      </wps:txbx>
                      <wps:bodyPr upright="1"/>
                    </wps:wsp>
                  </a:graphicData>
                </a:graphic>
              </wp:anchor>
            </w:drawing>
          </mc:Choice>
          <mc:Fallback>
            <w:pict>
              <v:shape id="_x0000_s1026" o:spid="_x0000_s1026" o:spt="202" type="#_x0000_t202" style="position:absolute;left:0pt;margin-left:22.35pt;margin-top:9.65pt;height:563pt;width:430.25pt;z-index:251664384;mso-width-relative:page;mso-height-relative:page;" fillcolor="#FFFFFF" filled="t" stroked="t" coordsize="21600,21600" o:gfxdata="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S7lrZAAAACgEAAA8AAAAAAAAAAQAg&#10;AAAAIgAAAGRycy9kb3ducmV2LnhtbFBLAQIUABQAAAAIAIdO4kBGX7fTDQIAADcEAAAOAAAAAAAA&#10;AAEAIAAAACgBAABkcnMvZTJvRG9jLnhtbFBLBQYAAAAABgAGAFkBAACnBQAAAAA=&#10;">
                <v:fill on="t" focussize="0,0"/>
                <v:stroke color="#000000" joinstyle="miter"/>
                <v:imagedata o:title=""/>
                <o:lock v:ext="edit" aspectratio="f"/>
                <v:textbox>
                  <w:txbxContent>
                    <w:p w14:paraId="78375106">
                      <w:pPr>
                        <w:jc w:val="right"/>
                        <w:rPr>
                          <w:rFonts w:hint="eastAsia"/>
                          <w:lang w:val="en-US" w:eastAsia="zh-CN"/>
                        </w:rPr>
                      </w:pPr>
                    </w:p>
                    <w:p w14:paraId="1B83E77F">
                      <w:pPr>
                        <w:jc w:val="right"/>
                        <w:rPr>
                          <w:rFonts w:hint="eastAsia"/>
                          <w:sz w:val="28"/>
                          <w:szCs w:val="32"/>
                          <w:lang w:val="en-US" w:eastAsia="zh-CN"/>
                        </w:rPr>
                      </w:pPr>
                      <w:r>
                        <w:rPr>
                          <w:rFonts w:hint="eastAsia"/>
                          <w:sz w:val="28"/>
                          <w:szCs w:val="32"/>
                          <w:lang w:val="en-US" w:eastAsia="zh-CN"/>
                        </w:rPr>
                        <w:t>报告编号：××XP×××××××××</w:t>
                      </w:r>
                    </w:p>
                    <w:p w14:paraId="75724BE4">
                      <w:pPr>
                        <w:jc w:val="right"/>
                        <w:rPr>
                          <w:rFonts w:hint="eastAsia"/>
                          <w:lang w:val="en-US" w:eastAsia="zh-CN"/>
                        </w:rPr>
                      </w:pPr>
                    </w:p>
                    <w:p w14:paraId="6CCE2CFF">
                      <w:pPr>
                        <w:jc w:val="right"/>
                        <w:rPr>
                          <w:rFonts w:hint="eastAsia"/>
                          <w:lang w:val="en-US" w:eastAsia="zh-CN"/>
                        </w:rPr>
                      </w:pPr>
                    </w:p>
                    <w:p w14:paraId="11F4F2B3">
                      <w:pPr>
                        <w:jc w:val="right"/>
                        <w:rPr>
                          <w:rFonts w:hint="eastAsia"/>
                          <w:lang w:val="en-US" w:eastAsia="zh-CN"/>
                        </w:rPr>
                      </w:pPr>
                    </w:p>
                    <w:p w14:paraId="2151A73D">
                      <w:pPr>
                        <w:jc w:val="right"/>
                        <w:rPr>
                          <w:rFonts w:hint="eastAsia"/>
                          <w:sz w:val="44"/>
                          <w:szCs w:val="48"/>
                          <w:lang w:val="en-US" w:eastAsia="zh-CN"/>
                        </w:rPr>
                      </w:pPr>
                    </w:p>
                    <w:p w14:paraId="59F9745A">
                      <w:pPr>
                        <w:jc w:val="right"/>
                        <w:rPr>
                          <w:rFonts w:hint="eastAsia"/>
                          <w:sz w:val="44"/>
                          <w:szCs w:val="48"/>
                          <w:lang w:val="en-US" w:eastAsia="zh-CN"/>
                        </w:rPr>
                      </w:pPr>
                    </w:p>
                    <w:p w14:paraId="729AAAF7">
                      <w:pPr>
                        <w:spacing w:line="240" w:lineRule="auto"/>
                        <w:jc w:val="center"/>
                        <w:rPr>
                          <w:rFonts w:hint="eastAsia"/>
                          <w:sz w:val="48"/>
                          <w:szCs w:val="52"/>
                          <w:lang w:val="en-US" w:eastAsia="zh-CN"/>
                        </w:rPr>
                      </w:pPr>
                      <w:r>
                        <w:rPr>
                          <w:rFonts w:hint="eastAsia"/>
                          <w:sz w:val="48"/>
                          <w:szCs w:val="52"/>
                          <w:lang w:val="en-US" w:eastAsia="zh-CN"/>
                        </w:rPr>
                        <w:t>用人单位名称</w:t>
                      </w:r>
                    </w:p>
                    <w:p w14:paraId="7D7BD744">
                      <w:pPr>
                        <w:spacing w:line="240" w:lineRule="auto"/>
                        <w:jc w:val="center"/>
                        <w:rPr>
                          <w:rFonts w:hint="eastAsia"/>
                          <w:sz w:val="44"/>
                          <w:szCs w:val="48"/>
                          <w:lang w:val="en-US" w:eastAsia="zh-CN"/>
                        </w:rPr>
                      </w:pPr>
                      <w:r>
                        <w:rPr>
                          <w:rFonts w:hint="eastAsia"/>
                          <w:sz w:val="48"/>
                          <w:szCs w:val="52"/>
                          <w:lang w:val="en-US" w:eastAsia="zh-CN"/>
                        </w:rPr>
                        <w:t>职业病危害现状评价报告</w:t>
                      </w:r>
                    </w:p>
                    <w:p w14:paraId="78122B10">
                      <w:pPr>
                        <w:jc w:val="center"/>
                        <w:rPr>
                          <w:rFonts w:hint="eastAsia"/>
                          <w:sz w:val="44"/>
                          <w:szCs w:val="48"/>
                          <w:lang w:val="en-US" w:eastAsia="zh-CN"/>
                        </w:rPr>
                      </w:pPr>
                    </w:p>
                    <w:p w14:paraId="2C287674">
                      <w:pPr>
                        <w:jc w:val="center"/>
                        <w:rPr>
                          <w:rFonts w:hint="eastAsia"/>
                          <w:lang w:val="en-US" w:eastAsia="zh-CN"/>
                        </w:rPr>
                      </w:pPr>
                    </w:p>
                    <w:p w14:paraId="6574225C">
                      <w:pPr>
                        <w:jc w:val="center"/>
                        <w:rPr>
                          <w:rFonts w:hint="eastAsia"/>
                          <w:lang w:val="en-US" w:eastAsia="zh-CN"/>
                        </w:rPr>
                      </w:pPr>
                    </w:p>
                    <w:p w14:paraId="37A9D4CD">
                      <w:pPr>
                        <w:jc w:val="center"/>
                        <w:rPr>
                          <w:rFonts w:hint="eastAsia"/>
                          <w:lang w:val="en-US" w:eastAsia="zh-CN"/>
                        </w:rPr>
                      </w:pPr>
                    </w:p>
                    <w:p w14:paraId="0D62C308">
                      <w:pPr>
                        <w:jc w:val="center"/>
                        <w:rPr>
                          <w:rFonts w:hint="eastAsia"/>
                          <w:lang w:val="en-US" w:eastAsia="zh-CN"/>
                        </w:rPr>
                      </w:pPr>
                    </w:p>
                    <w:p w14:paraId="262055B9">
                      <w:pPr>
                        <w:jc w:val="center"/>
                        <w:rPr>
                          <w:rFonts w:hint="eastAsia"/>
                          <w:lang w:val="en-US" w:eastAsia="zh-CN"/>
                        </w:rPr>
                      </w:pPr>
                    </w:p>
                    <w:p w14:paraId="103D7E49">
                      <w:pPr>
                        <w:jc w:val="center"/>
                        <w:rPr>
                          <w:rFonts w:hint="eastAsia"/>
                          <w:lang w:val="en-US" w:eastAsia="zh-CN"/>
                        </w:rPr>
                      </w:pPr>
                    </w:p>
                    <w:p w14:paraId="1407D10A">
                      <w:pPr>
                        <w:jc w:val="center"/>
                        <w:rPr>
                          <w:rFonts w:hint="eastAsia"/>
                          <w:lang w:val="en-US" w:eastAsia="zh-CN"/>
                        </w:rPr>
                      </w:pPr>
                    </w:p>
                    <w:p w14:paraId="517E8450">
                      <w:pPr>
                        <w:jc w:val="center"/>
                        <w:rPr>
                          <w:rFonts w:hint="eastAsia"/>
                          <w:lang w:val="en-US" w:eastAsia="zh-CN"/>
                        </w:rPr>
                      </w:pPr>
                    </w:p>
                    <w:p w14:paraId="745B8C34">
                      <w:pPr>
                        <w:jc w:val="center"/>
                        <w:rPr>
                          <w:rFonts w:hint="eastAsia"/>
                          <w:lang w:val="en-US" w:eastAsia="zh-CN"/>
                        </w:rPr>
                      </w:pPr>
                    </w:p>
                    <w:p w14:paraId="5333674B">
                      <w:pPr>
                        <w:jc w:val="center"/>
                        <w:rPr>
                          <w:rFonts w:hint="eastAsia"/>
                          <w:lang w:val="en-US" w:eastAsia="zh-CN"/>
                        </w:rPr>
                      </w:pPr>
                    </w:p>
                    <w:p w14:paraId="0446CBB1">
                      <w:pPr>
                        <w:jc w:val="center"/>
                        <w:rPr>
                          <w:rFonts w:hint="eastAsia"/>
                          <w:lang w:val="en-US" w:eastAsia="zh-CN"/>
                        </w:rPr>
                      </w:pPr>
                    </w:p>
                    <w:p w14:paraId="12286A0B">
                      <w:pPr>
                        <w:jc w:val="center"/>
                        <w:rPr>
                          <w:rFonts w:hint="eastAsia"/>
                          <w:lang w:val="en-US" w:eastAsia="zh-CN"/>
                        </w:rPr>
                      </w:pPr>
                    </w:p>
                    <w:p w14:paraId="27CAD727">
                      <w:pPr>
                        <w:jc w:val="center"/>
                        <w:rPr>
                          <w:rFonts w:hint="eastAsia"/>
                          <w:sz w:val="28"/>
                          <w:szCs w:val="28"/>
                          <w:lang w:val="en-US" w:eastAsia="zh-CN"/>
                        </w:rPr>
                      </w:pPr>
                      <w:r>
                        <w:rPr>
                          <w:rFonts w:hint="eastAsia"/>
                          <w:sz w:val="28"/>
                          <w:szCs w:val="28"/>
                          <w:lang w:val="en-US" w:eastAsia="zh-CN"/>
                        </w:rPr>
                        <w:t>技术服务机构名称</w:t>
                      </w:r>
                    </w:p>
                    <w:p w14:paraId="55685073">
                      <w:pPr>
                        <w:jc w:val="center"/>
                        <w:rPr>
                          <w:rFonts w:hint="eastAsia"/>
                          <w:sz w:val="28"/>
                          <w:szCs w:val="28"/>
                          <w:lang w:val="en-US" w:eastAsia="zh-CN"/>
                        </w:rPr>
                      </w:pPr>
                    </w:p>
                    <w:p w14:paraId="20056718">
                      <w:pPr>
                        <w:jc w:val="center"/>
                        <w:rPr>
                          <w:rFonts w:hint="default"/>
                          <w:sz w:val="28"/>
                          <w:szCs w:val="28"/>
                          <w:lang w:val="en-US" w:eastAsia="zh-CN"/>
                        </w:rPr>
                      </w:pPr>
                      <w:r>
                        <w:rPr>
                          <w:rFonts w:hint="eastAsia"/>
                          <w:sz w:val="28"/>
                          <w:szCs w:val="28"/>
                          <w:lang w:val="en-US" w:eastAsia="zh-CN"/>
                        </w:rPr>
                        <w:t>年 月 日</w:t>
                      </w:r>
                    </w:p>
                  </w:txbxContent>
                </v:textbox>
              </v:shape>
            </w:pict>
          </mc:Fallback>
        </mc:AlternateContent>
      </w:r>
    </w:p>
    <w:p w14:paraId="5488F430">
      <w:pPr>
        <w:jc w:val="center"/>
        <w:rPr>
          <w:rFonts w:hint="default" w:ascii="Times New Roman" w:hAnsi="Times New Roman" w:cs="Times New Roman"/>
        </w:rPr>
      </w:pPr>
    </w:p>
    <w:p w14:paraId="61336D38">
      <w:pPr>
        <w:spacing w:before="600" w:line="240" w:lineRule="exact"/>
        <w:jc w:val="center"/>
        <w:rPr>
          <w:rFonts w:hint="default" w:ascii="Times New Roman" w:hAnsi="Times New Roman" w:eastAsia="宋体" w:cs="Times New Roman"/>
          <w:color w:val="000000"/>
          <w:sz w:val="18"/>
        </w:rPr>
      </w:pPr>
    </w:p>
    <w:p w14:paraId="70453B9D">
      <w:pPr>
        <w:spacing w:before="600" w:line="240" w:lineRule="exact"/>
        <w:jc w:val="center"/>
        <w:rPr>
          <w:rFonts w:hint="default" w:ascii="Times New Roman" w:hAnsi="Times New Roman" w:eastAsia="宋体" w:cs="Times New Roman"/>
          <w:color w:val="000000"/>
          <w:sz w:val="18"/>
        </w:rPr>
      </w:pPr>
    </w:p>
    <w:p w14:paraId="281EEC0D">
      <w:pPr>
        <w:spacing w:before="600" w:line="240" w:lineRule="exact"/>
        <w:jc w:val="center"/>
        <w:rPr>
          <w:rFonts w:hint="default" w:ascii="Times New Roman" w:hAnsi="Times New Roman" w:eastAsia="宋体" w:cs="Times New Roman"/>
          <w:color w:val="000000"/>
          <w:sz w:val="18"/>
        </w:rPr>
      </w:pPr>
    </w:p>
    <w:p w14:paraId="0C45314A">
      <w:pPr>
        <w:spacing w:before="600" w:line="240" w:lineRule="exact"/>
        <w:jc w:val="center"/>
        <w:rPr>
          <w:rFonts w:hint="default" w:ascii="Times New Roman" w:hAnsi="Times New Roman" w:eastAsia="宋体" w:cs="Times New Roman"/>
          <w:color w:val="000000"/>
          <w:sz w:val="18"/>
        </w:rPr>
      </w:pPr>
    </w:p>
    <w:p w14:paraId="76526BE3">
      <w:pPr>
        <w:spacing w:before="600" w:line="240" w:lineRule="exact"/>
        <w:jc w:val="center"/>
        <w:rPr>
          <w:rFonts w:hint="default" w:ascii="Times New Roman" w:hAnsi="Times New Roman" w:eastAsia="宋体" w:cs="Times New Roman"/>
          <w:color w:val="000000"/>
          <w:sz w:val="18"/>
        </w:rPr>
      </w:pPr>
    </w:p>
    <w:p w14:paraId="641E313F">
      <w:pPr>
        <w:spacing w:before="600" w:line="240" w:lineRule="exact"/>
        <w:jc w:val="center"/>
        <w:rPr>
          <w:rFonts w:hint="default" w:ascii="Times New Roman" w:hAnsi="Times New Roman" w:eastAsia="宋体" w:cs="Times New Roman"/>
          <w:color w:val="000000"/>
          <w:sz w:val="18"/>
        </w:rPr>
      </w:pPr>
    </w:p>
    <w:p w14:paraId="559680D5">
      <w:pPr>
        <w:spacing w:before="600" w:line="240" w:lineRule="exact"/>
        <w:jc w:val="center"/>
        <w:rPr>
          <w:rFonts w:hint="default" w:ascii="Times New Roman" w:hAnsi="Times New Roman" w:eastAsia="宋体" w:cs="Times New Roman"/>
          <w:color w:val="000000"/>
          <w:sz w:val="18"/>
        </w:rPr>
      </w:pPr>
    </w:p>
    <w:p w14:paraId="78E965CA">
      <w:pPr>
        <w:spacing w:before="600" w:line="240" w:lineRule="exact"/>
        <w:jc w:val="center"/>
        <w:rPr>
          <w:rFonts w:hint="default" w:ascii="Times New Roman" w:hAnsi="Times New Roman" w:eastAsia="宋体" w:cs="Times New Roman"/>
          <w:color w:val="000000"/>
          <w:sz w:val="18"/>
        </w:rPr>
      </w:pPr>
    </w:p>
    <w:p w14:paraId="21DF8455">
      <w:pPr>
        <w:spacing w:before="600" w:line="240" w:lineRule="exact"/>
        <w:jc w:val="center"/>
        <w:rPr>
          <w:rFonts w:hint="default" w:ascii="Times New Roman" w:hAnsi="Times New Roman" w:eastAsia="宋体" w:cs="Times New Roman"/>
          <w:color w:val="000000"/>
          <w:sz w:val="18"/>
        </w:rPr>
      </w:pPr>
    </w:p>
    <w:p w14:paraId="05371248">
      <w:pPr>
        <w:spacing w:before="600" w:line="240" w:lineRule="exact"/>
        <w:jc w:val="center"/>
        <w:rPr>
          <w:rFonts w:hint="default" w:ascii="Times New Roman" w:hAnsi="Times New Roman" w:eastAsia="宋体" w:cs="Times New Roman"/>
          <w:color w:val="000000"/>
          <w:sz w:val="18"/>
        </w:rPr>
      </w:pPr>
    </w:p>
    <w:p w14:paraId="4E4507B1">
      <w:pPr>
        <w:spacing w:before="600" w:line="240" w:lineRule="exact"/>
        <w:jc w:val="center"/>
        <w:rPr>
          <w:rFonts w:hint="default" w:ascii="Times New Roman" w:hAnsi="Times New Roman" w:eastAsia="宋体" w:cs="Times New Roman"/>
          <w:color w:val="000000"/>
          <w:sz w:val="18"/>
        </w:rPr>
      </w:pPr>
    </w:p>
    <w:p w14:paraId="392439A7">
      <w:pPr>
        <w:spacing w:before="600" w:line="240" w:lineRule="exact"/>
        <w:jc w:val="center"/>
        <w:rPr>
          <w:rFonts w:hint="default" w:ascii="Times New Roman" w:hAnsi="Times New Roman" w:eastAsia="宋体" w:cs="Times New Roman"/>
          <w:color w:val="000000"/>
          <w:sz w:val="18"/>
        </w:rPr>
      </w:pPr>
    </w:p>
    <w:p w14:paraId="71DC8620">
      <w:pPr>
        <w:spacing w:before="600" w:line="240" w:lineRule="exact"/>
        <w:jc w:val="center"/>
        <w:rPr>
          <w:rFonts w:hint="default" w:ascii="Times New Roman" w:hAnsi="Times New Roman" w:eastAsia="宋体" w:cs="Times New Roman"/>
          <w:color w:val="000000"/>
          <w:sz w:val="18"/>
        </w:rPr>
      </w:pPr>
    </w:p>
    <w:p w14:paraId="287A3242">
      <w:pPr>
        <w:spacing w:before="600" w:line="240" w:lineRule="exact"/>
        <w:jc w:val="center"/>
        <w:rPr>
          <w:rFonts w:hint="default" w:ascii="Times New Roman" w:hAnsi="Times New Roman" w:cs="Times New Roman"/>
        </w:rPr>
        <w:sectPr>
          <w:footerReference r:id="rId20" w:type="default"/>
          <w:type w:val="continuous"/>
          <w:pgSz w:w="12100" w:h="16820"/>
          <w:pgMar w:top="1400" w:right="720" w:bottom="1440" w:left="1560" w:header="0" w:footer="1160" w:gutter="0"/>
          <w:cols w:space="720" w:num="1"/>
        </w:sectPr>
      </w:pPr>
      <w:r>
        <w:rPr>
          <w:rFonts w:hint="default" w:ascii="Times New Roman" w:hAnsi="Times New Roman" w:eastAsia="宋体" w:cs="Times New Roman"/>
          <w:color w:val="000000"/>
          <w:sz w:val="18"/>
        </w:rPr>
        <w:t>图</w:t>
      </w:r>
      <w:r>
        <w:rPr>
          <w:rFonts w:hint="eastAsia" w:ascii="Times New Roman" w:hAnsi="Times New Roman" w:cs="Times New Roman"/>
          <w:color w:val="000000"/>
          <w:sz w:val="18"/>
          <w:lang w:val="en-US" w:eastAsia="zh-CN"/>
        </w:rPr>
        <w:t>E</w:t>
      </w:r>
      <w:r>
        <w:rPr>
          <w:rFonts w:hint="default" w:ascii="Times New Roman" w:hAnsi="Times New Roman" w:eastAsia="宋体" w:cs="Times New Roman"/>
          <w:color w:val="000000"/>
          <w:sz w:val="18"/>
        </w:rPr>
        <w:t>．1 报告封面格式</w:t>
      </w:r>
      <w:r>
        <w:rPr>
          <w:rFonts w:hint="default" w:ascii="Times New Roman" w:hAnsi="Times New Roman" w:cs="Times New Roman"/>
        </w:rPr>
        <w:br w:type="page"/>
      </w:r>
    </w:p>
    <w:p w14:paraId="18B86706">
      <w:pPr>
        <w:spacing w:after="1820" w:line="300" w:lineRule="exact"/>
        <w:jc w:val="left"/>
        <w:rPr>
          <w:rFonts w:hint="default" w:ascii="Times New Roman" w:hAnsi="Times New Roman" w:eastAsia="宋体" w:cs="Times New Roman"/>
          <w:lang w:val="en-US" w:eastAsia="zh-CN"/>
        </w:rPr>
      </w:pPr>
      <w:r>
        <w:rPr>
          <w:rFonts w:hint="default" w:ascii="Times New Roman" w:hAnsi="Times New Roman" w:eastAsia="宋体" w:cs="Times New Roman"/>
          <w:color w:val="000000"/>
          <w:sz w:val="22"/>
        </w:rPr>
        <mc:AlternateContent>
          <mc:Choice Requires="wps">
            <w:drawing>
              <wp:anchor distT="0" distB="0" distL="114300" distR="114300" simplePos="0" relativeHeight="251662336" behindDoc="0" locked="0" layoutInCell="1" allowOverlap="1">
                <wp:simplePos x="0" y="0"/>
                <wp:positionH relativeFrom="column">
                  <wp:posOffset>-168275</wp:posOffset>
                </wp:positionH>
                <wp:positionV relativeFrom="paragraph">
                  <wp:posOffset>208915</wp:posOffset>
                </wp:positionV>
                <wp:extent cx="6181725" cy="6188710"/>
                <wp:effectExtent l="4445" t="4445" r="5080" b="17145"/>
                <wp:wrapNone/>
                <wp:docPr id="1" name="矩形 1"/>
                <wp:cNvGraphicFramePr/>
                <a:graphic xmlns:a="http://schemas.openxmlformats.org/drawingml/2006/main">
                  <a:graphicData uri="http://schemas.microsoft.com/office/word/2010/wordprocessingShape">
                    <wps:wsp>
                      <wps:cNvSpPr/>
                      <wps:spPr>
                        <a:xfrm>
                          <a:off x="0" y="0"/>
                          <a:ext cx="6181725" cy="6188710"/>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3.25pt;margin-top:16.45pt;height:487.3pt;width:486.75pt;z-index:251662336;mso-width-relative:page;mso-height-relative:page;" filled="f" stroked="t" coordsize="21600,21600" o:gfxdata="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71grPZAAAACwEAAA8AAAAAAAAAAQAgAAAAIgAAAGRycy9kb3ducmV2LnhtbFBL&#10;AQIUABQAAAAIAIdO4kB64jqk9QEAAPYDAAAOAAAAAAAAAAEAIAAAACgBAABkcnMvZTJvRG9jLnht&#10;bFBLBQYAAAAABgAGAFkBAACPBQAAAAA=&#10;">
                <v:fill on="f" focussize="0,0"/>
                <v:stroke color="#000000" joinstyle="miter"/>
                <v:imagedata o:title=""/>
                <o:lock v:ext="edit" aspectratio="f"/>
              </v:rect>
            </w:pict>
          </mc:Fallback>
        </mc:AlternateContent>
      </w:r>
    </w:p>
    <w:p w14:paraId="4FCC70B1">
      <w:pPr>
        <w:spacing w:after="340" w:line="420" w:lineRule="exact"/>
        <w:jc w:val="center"/>
        <w:rPr>
          <w:rFonts w:hint="default" w:ascii="Times New Roman" w:hAnsi="Times New Roman" w:cs="Times New Roman"/>
          <w:b/>
          <w:bCs/>
        </w:rPr>
      </w:pPr>
      <w:r>
        <w:rPr>
          <w:rFonts w:hint="default" w:ascii="Times New Roman" w:hAnsi="Times New Roman" w:eastAsia="宋体" w:cs="Times New Roman"/>
          <w:b/>
          <w:bCs/>
          <w:color w:val="000000"/>
          <w:sz w:val="30"/>
        </w:rPr>
        <w:t>现状评价报告客观性声明</w:t>
      </w:r>
    </w:p>
    <w:p w14:paraId="696283BC">
      <w:pPr>
        <w:keepNext w:val="0"/>
        <w:keepLines w:val="0"/>
        <w:pageBreakBefore w:val="0"/>
        <w:widowControl/>
        <w:kinsoku/>
        <w:wordWrap/>
        <w:overflowPunct/>
        <w:topLinePunct w:val="0"/>
        <w:autoSpaceDE/>
        <w:autoSpaceDN/>
        <w:bidi w:val="0"/>
        <w:adjustRightInd/>
        <w:snapToGrid/>
        <w:spacing w:after="0" w:line="240" w:lineRule="auto"/>
        <w:ind w:firstLine="480" w:firstLineChars="200"/>
        <w:jc w:val="left"/>
        <w:textAlignment w:val="auto"/>
        <w:rPr>
          <w:rFonts w:hint="eastAsia" w:ascii="Calibri" w:hAnsi="Calibri" w:cs="Times New Roman"/>
          <w:color w:val="auto"/>
          <w:sz w:val="24"/>
          <w:szCs w:val="24"/>
        </w:rPr>
      </w:pPr>
      <w:r>
        <w:rPr>
          <w:rFonts w:hint="eastAsia" w:ascii="Calibri" w:hAnsi="Calibri" w:eastAsia="宋体" w:cs="Times New Roman"/>
          <w:color w:val="auto"/>
          <w:sz w:val="24"/>
          <w:szCs w:val="24"/>
        </w:rPr>
        <w:t>郑重声明：本机构出具的《xxxxxx职业病危害现状评价报告》，是在综合分析xxxxxx（用人单位）成立以来的职业病危害防治工作相关数据和资料，依据国家有关职业病防治的法律、法规、规章，相关行业职业病防治的标准、规范和有关政府主管部门的文件精神进行研究、分析所取得的成果。该用人单位属于xxxx行业，该行业在本机构批准的资质范围内，本机构对本评价报告评价过程的客观性负责，对现状评价结论的科学性负责。</w:t>
      </w:r>
    </w:p>
    <w:p w14:paraId="07A77927">
      <w:pPr>
        <w:wordWrap w:val="0"/>
        <w:spacing w:after="0" w:line="380" w:lineRule="exact"/>
        <w:ind w:right="0" w:firstLine="442"/>
        <w:jc w:val="center"/>
        <w:rPr>
          <w:rFonts w:hint="eastAsia" w:ascii="Times New Roman" w:hAnsi="Times New Roman" w:eastAsia="宋体" w:cs="Times New Roman"/>
          <w:color w:val="000000"/>
          <w:sz w:val="26"/>
          <w:lang w:val="en-US" w:eastAsia="zh-CN"/>
        </w:rPr>
      </w:pPr>
      <w:r>
        <w:rPr>
          <w:rFonts w:hint="eastAsia" w:ascii="Times New Roman" w:hAnsi="Times New Roman" w:eastAsia="宋体" w:cs="Times New Roman"/>
          <w:color w:val="000000"/>
          <w:sz w:val="26"/>
          <w:lang w:val="en-US" w:eastAsia="zh-CN"/>
        </w:rPr>
        <w:t xml:space="preserve">                </w:t>
      </w:r>
    </w:p>
    <w:p w14:paraId="565284A5">
      <w:pPr>
        <w:wordWrap w:val="0"/>
        <w:spacing w:after="0" w:line="380" w:lineRule="exact"/>
        <w:ind w:right="0" w:firstLine="442"/>
        <w:jc w:val="center"/>
        <w:rPr>
          <w:rFonts w:hint="eastAsia" w:ascii="Times New Roman" w:hAnsi="Times New Roman" w:eastAsia="宋体" w:cs="Times New Roman"/>
          <w:color w:val="000000"/>
          <w:sz w:val="26"/>
          <w:lang w:val="en-US" w:eastAsia="zh-CN"/>
        </w:rPr>
      </w:pPr>
    </w:p>
    <w:p w14:paraId="48AB81E2">
      <w:pPr>
        <w:wordWrap w:val="0"/>
        <w:spacing w:after="0" w:line="380" w:lineRule="exact"/>
        <w:ind w:right="0" w:firstLine="442"/>
        <w:jc w:val="center"/>
        <w:rPr>
          <w:rFonts w:hint="eastAsia" w:ascii="Times New Roman" w:hAnsi="Times New Roman" w:eastAsia="宋体" w:cs="Times New Roman"/>
          <w:color w:val="000000"/>
          <w:sz w:val="26"/>
          <w:lang w:val="en-US" w:eastAsia="zh-CN"/>
        </w:rPr>
      </w:pPr>
      <w:r>
        <w:rPr>
          <w:rFonts w:hint="eastAsia" w:ascii="Times New Roman" w:hAnsi="Times New Roman" w:eastAsia="宋体" w:cs="Times New Roman"/>
          <w:color w:val="000000"/>
          <w:sz w:val="26"/>
          <w:lang w:val="en-US" w:eastAsia="zh-CN"/>
        </w:rPr>
        <w:t xml:space="preserve">             </w:t>
      </w:r>
    </w:p>
    <w:p w14:paraId="72A9C90D">
      <w:pPr>
        <w:wordWrap w:val="0"/>
        <w:spacing w:after="0" w:line="240" w:lineRule="auto"/>
        <w:ind w:right="0" w:firstLine="442"/>
        <w:jc w:val="center"/>
        <w:rPr>
          <w:rFonts w:hint="eastAsia" w:ascii="Times New Roman" w:hAnsi="Times New Roman" w:cs="Times New Roman"/>
          <w:color w:val="000000"/>
          <w:sz w:val="26"/>
          <w:lang w:val="en-US" w:eastAsia="zh-CN"/>
        </w:rPr>
      </w:pPr>
      <w:r>
        <w:rPr>
          <w:rFonts w:hint="eastAsia" w:ascii="Times New Roman" w:hAnsi="Times New Roman" w:eastAsia="宋体" w:cs="Times New Roman"/>
          <w:color w:val="000000"/>
          <w:sz w:val="26"/>
          <w:lang w:val="en-US" w:eastAsia="zh-CN"/>
        </w:rPr>
        <w:t xml:space="preserve">   </w:t>
      </w:r>
      <w:r>
        <w:rPr>
          <w:rFonts w:hint="eastAsia" w:ascii="Times New Roman" w:hAnsi="Times New Roman" w:cs="Times New Roman"/>
          <w:color w:val="000000"/>
          <w:sz w:val="26"/>
          <w:lang w:val="en-US" w:eastAsia="zh-CN"/>
        </w:rPr>
        <w:t>机构盖章：</w:t>
      </w:r>
    </w:p>
    <w:p w14:paraId="50C52F59">
      <w:pPr>
        <w:wordWrap w:val="0"/>
        <w:spacing w:after="0" w:line="240" w:lineRule="auto"/>
        <w:ind w:right="0" w:firstLine="442"/>
        <w:jc w:val="center"/>
        <w:rPr>
          <w:rFonts w:hint="eastAsia" w:ascii="Times New Roman" w:hAnsi="Times New Roman" w:cs="Times New Roman"/>
          <w:color w:val="000000"/>
          <w:sz w:val="26"/>
          <w:lang w:val="en-US" w:eastAsia="zh-CN"/>
        </w:rPr>
      </w:pPr>
    </w:p>
    <w:p w14:paraId="5B696754">
      <w:pPr>
        <w:wordWrap w:val="0"/>
        <w:spacing w:after="0" w:line="240" w:lineRule="auto"/>
        <w:ind w:right="0" w:firstLine="442"/>
        <w:jc w:val="center"/>
        <w:rPr>
          <w:rFonts w:hint="default" w:ascii="Times New Roman" w:hAnsi="Times New Roman" w:eastAsia="宋体" w:cs="Times New Roman"/>
          <w:color w:val="000000"/>
          <w:sz w:val="26"/>
        </w:rPr>
      </w:pPr>
      <w:r>
        <w:rPr>
          <w:rFonts w:hint="eastAsia" w:ascii="Times New Roman" w:hAnsi="Times New Roman" w:eastAsia="宋体" w:cs="Times New Roman"/>
          <w:color w:val="000000"/>
          <w:sz w:val="26"/>
          <w:lang w:val="en-US" w:eastAsia="zh-CN"/>
        </w:rPr>
        <w:t xml:space="preserve"> </w:t>
      </w:r>
    </w:p>
    <w:p w14:paraId="1EC66A7F">
      <w:pPr>
        <w:wordWrap w:val="0"/>
        <w:spacing w:after="3280" w:line="240" w:lineRule="auto"/>
        <w:ind w:right="260" w:firstLine="440"/>
        <w:jc w:val="center"/>
        <w:rPr>
          <w:rFonts w:hint="default" w:ascii="Times New Roman" w:hAnsi="Times New Roman" w:cs="Times New Roman"/>
          <w:color w:val="000000"/>
          <w:sz w:val="26"/>
        </w:rPr>
      </w:pPr>
      <w:r>
        <w:rPr>
          <w:rFonts w:hint="eastAsia" w:ascii="Times New Roman" w:hAnsi="Times New Roman" w:cs="Times New Roman"/>
          <w:color w:val="000000"/>
          <w:sz w:val="26"/>
          <w:lang w:val="en-US" w:eastAsia="zh-CN"/>
        </w:rPr>
        <w:t xml:space="preserve">                                                </w:t>
      </w:r>
      <w:r>
        <w:rPr>
          <w:rFonts w:hint="eastAsia" w:ascii="Times New Roman" w:hAnsi="Times New Roman" w:cs="Times New Roman"/>
          <w:color w:val="000000"/>
          <w:sz w:val="26"/>
          <w:lang w:eastAsia="zh-CN"/>
        </w:rPr>
        <w:t>日期：</w:t>
      </w:r>
      <w:r>
        <w:rPr>
          <w:rFonts w:hint="eastAsia" w:ascii="Times New Roman" w:hAnsi="Times New Roman" w:eastAsia="宋体" w:cs="Times New Roman"/>
          <w:color w:val="000000"/>
          <w:sz w:val="26"/>
          <w:lang w:val="en-US" w:eastAsia="zh-CN"/>
        </w:rPr>
        <w:t xml:space="preserve"> </w:t>
      </w:r>
      <w:r>
        <w:rPr>
          <w:rFonts w:hint="default" w:ascii="Times New Roman" w:hAnsi="Times New Roman" w:eastAsia="宋体" w:cs="Times New Roman"/>
          <w:color w:val="000000"/>
          <w:sz w:val="26"/>
        </w:rPr>
        <w:t>月</w:t>
      </w:r>
      <w:r>
        <w:rPr>
          <w:rFonts w:hint="default" w:ascii="Times New Roman" w:hAnsi="Times New Roman" w:cs="Times New Roman"/>
          <w:color w:val="000000"/>
          <w:sz w:val="26"/>
        </w:rPr>
        <w:t xml:space="preserve"> </w:t>
      </w:r>
      <w:r>
        <w:rPr>
          <w:rFonts w:hint="eastAsia" w:ascii="Times New Roman" w:hAnsi="Times New Roman" w:cs="Times New Roman"/>
          <w:color w:val="000000"/>
          <w:sz w:val="26"/>
          <w:lang w:val="en-US" w:eastAsia="zh-CN"/>
        </w:rPr>
        <w:t xml:space="preserve"> </w:t>
      </w:r>
      <w:r>
        <w:rPr>
          <w:rFonts w:hint="default" w:ascii="Times New Roman" w:hAnsi="Times New Roman" w:cs="Times New Roman"/>
          <w:color w:val="000000"/>
          <w:sz w:val="26"/>
        </w:rPr>
        <w:t>日</w:t>
      </w:r>
    </w:p>
    <w:p w14:paraId="585579FF">
      <w:pPr>
        <w:spacing w:after="0" w:line="380" w:lineRule="exact"/>
        <w:ind w:right="0" w:firstLine="442"/>
        <w:jc w:val="center"/>
        <w:rPr>
          <w:rFonts w:hint="default" w:ascii="Times New Roman" w:hAnsi="Times New Roman" w:eastAsia="宋体" w:cs="Times New Roman"/>
          <w:color w:val="000000"/>
          <w:sz w:val="26"/>
        </w:rPr>
        <w:sectPr>
          <w:footerReference r:id="rId21" w:type="default"/>
          <w:type w:val="continuous"/>
          <w:pgSz w:w="11900" w:h="16820"/>
          <w:pgMar w:top="1420" w:right="1260" w:bottom="1440" w:left="1180" w:header="0" w:footer="1160" w:gutter="0"/>
          <w:cols w:space="720" w:num="1"/>
        </w:sectPr>
      </w:pPr>
      <w:r>
        <w:rPr>
          <w:rFonts w:hint="default" w:ascii="Times New Roman" w:hAnsi="Times New Roman" w:eastAsia="宋体" w:cs="Times New Roman"/>
          <w:color w:val="000000"/>
          <w:sz w:val="20"/>
        </w:rPr>
        <w:t>图</w:t>
      </w: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．2 报告封二格式</w:t>
      </w: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page">
                  <wp:posOffset>762000</wp:posOffset>
                </wp:positionH>
                <wp:positionV relativeFrom="page">
                  <wp:posOffset>9131300</wp:posOffset>
                </wp:positionV>
                <wp:extent cx="5956300" cy="38100"/>
                <wp:effectExtent l="0" t="0" r="6350" b="0"/>
                <wp:wrapNone/>
                <wp:docPr id="2" name="文本框 2"/>
                <wp:cNvGraphicFramePr/>
                <a:graphic xmlns:a="http://schemas.openxmlformats.org/drawingml/2006/main">
                  <a:graphicData uri="http://schemas.microsoft.com/office/word/2010/wordprocessingShape">
                    <wps:wsp>
                      <wps:cNvSpPr txBox="1"/>
                      <wps:spPr>
                        <a:xfrm>
                          <a:off x="0" y="0"/>
                          <a:ext cx="5956300" cy="38100"/>
                        </a:xfrm>
                        <a:prstGeom prst="rect">
                          <a:avLst/>
                        </a:prstGeom>
                        <a:solidFill>
                          <a:srgbClr val="FFFFFF"/>
                        </a:solidFill>
                        <a:ln w="6350">
                          <a:noFill/>
                        </a:ln>
                      </wps:spPr>
                      <wps:txbx>
                        <w:txbxContent>
                          <w:p w14:paraId="6A3201B1">
                            <w:r>
                              <w:pict>
                                <v:rect id="_x0000_i1025" o:spt="1" style="height:1.5pt;width:467pt;" fillcolor="#000000" filled="t" stroked="f" coordsize="21600,21600" o:hr="t" o:hrstd="t" o:hrnoshade="t" o:hrpct="0" o:hralign="center">
                                  <v:path/>
                                  <v:fill on="t" focussize="0,0"/>
                                  <v:stroke on="f"/>
                                  <v:imagedata o:title=""/>
                                  <o:lock v:ext="edit"/>
                                  <w10:wrap type="none"/>
                                  <w10:anchorlock/>
                                </v:rect>
                              </w:pict>
                            </w:r>
                          </w:p>
                        </w:txbxContent>
                      </wps:txbx>
                      <wps:bodyPr lIns="2" tIns="0" rIns="2" bIns="0" upright="1"/>
                    </wps:wsp>
                  </a:graphicData>
                </a:graphic>
              </wp:anchor>
            </w:drawing>
          </mc:Choice>
          <mc:Fallback>
            <w:pict>
              <v:shape id="_x0000_s1026" o:spid="_x0000_s1026" o:spt="202" type="#_x0000_t202" style="position:absolute;left:0pt;margin-left:60pt;margin-top:719pt;height:3pt;width:469pt;mso-position-horizontal-relative:page;mso-position-vertical-relative:page;z-index:251661312;mso-width-relative:page;mso-height-relative:page;" fillcolor="#FFFFFF" filled="t" stroked="f" coordsize="21600,21600" o:gfxdata="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reZGB1gAAAA4BAAAPAAAAAAAAAAEAIAAA&#10;ACIAAABkcnMvZG93bnJldi54bWxQSwECFAAUAAAACACHTuJAqhu4D9UBAACjAwAADgAAAAAAAAAB&#10;ACAAAAAlAQAAZHJzL2Uyb0RvYy54bWxQSwUGAAAAAAYABgBZAQAAbAUAAAAA&#10;">
                <v:fill on="t" focussize="0,0"/>
                <v:stroke on="f" weight="0.5pt"/>
                <v:imagedata o:title=""/>
                <o:lock v:ext="edit" aspectratio="f"/>
                <v:textbox inset="0.00015748031496063pt,0mm,0.00015748031496063pt,0mm">
                  <w:txbxContent>
                    <w:p w14:paraId="6A3201B1">
                      <w:r>
                        <w:pict>
                          <v:rect id="_x0000_i1025" o:spt="1" style="height:1.5pt;width:467pt;" fillcolor="#000000" filled="t" stroked="f" coordsize="21600,21600" o:hr="t" o:hrstd="t" o:hrnoshade="t" o:hrpct="0" o:hralign="center">
                            <v:path/>
                            <v:fill on="t" focussize="0,0"/>
                            <v:stroke on="f"/>
                            <v:imagedata o:title=""/>
                            <o:lock v:ext="edit"/>
                            <w10:wrap type="none"/>
                            <w10:anchorlock/>
                          </v:rect>
                        </w:pict>
                      </w:r>
                    </w:p>
                  </w:txbxContent>
                </v:textbox>
              </v:shape>
            </w:pict>
          </mc:Fallback>
        </mc:AlternateContent>
      </w:r>
    </w:p>
    <w:p w14:paraId="7601EFAB">
      <w:pPr>
        <w:spacing w:after="760" w:line="240" w:lineRule="exact"/>
        <w:jc w:val="left"/>
        <w:rPr>
          <w:rFonts w:hint="default" w:ascii="Times New Roman" w:hAnsi="Times New Roman" w:eastAsia="宋体" w:cs="Times New Roman"/>
          <w:lang w:val="en-US" w:eastAsia="zh-CN"/>
        </w:rPr>
      </w:pPr>
    </w:p>
    <w:p w14:paraId="57DD18F7">
      <w:pPr>
        <w:spacing w:after="160" w:line="400" w:lineRule="exact"/>
        <w:jc w:val="center"/>
        <w:rPr>
          <w:rFonts w:hint="default" w:ascii="Times New Roman" w:hAnsi="Times New Roman" w:cs="Times New Roman"/>
        </w:rPr>
      </w:pPr>
      <w:r>
        <w:rPr>
          <w:rFonts w:hint="default" w:ascii="Times New Roman" w:hAnsi="Times New Roman" w:eastAsia="宋体" w:cs="Times New Roman"/>
          <w:color w:val="000000"/>
          <w:sz w:val="30"/>
        </w:rPr>
        <w:t>《xxxxxx职业病危害现状评价报告》</w:t>
      </w:r>
    </w:p>
    <w:p w14:paraId="6F0E9A23">
      <w:pPr>
        <w:spacing w:after="560" w:line="440" w:lineRule="exact"/>
        <w:jc w:val="center"/>
        <w:rPr>
          <w:rFonts w:hint="default" w:ascii="Times New Roman" w:hAnsi="Times New Roman" w:cs="Times New Roman"/>
        </w:rPr>
      </w:pPr>
      <w:r>
        <w:rPr>
          <w:rFonts w:hint="default" w:ascii="Times New Roman" w:hAnsi="Times New Roman" w:eastAsia="宋体" w:cs="Times New Roman"/>
          <w:color w:val="000000"/>
          <w:sz w:val="32"/>
        </w:rPr>
        <w:t>项目组成员名单</w:t>
      </w:r>
    </w:p>
    <w:tbl>
      <w:tblPr>
        <w:tblStyle w:val="6"/>
        <w:tblW w:w="47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149"/>
        <w:gridCol w:w="1748"/>
        <w:gridCol w:w="2150"/>
        <w:gridCol w:w="2150"/>
        <w:gridCol w:w="1300"/>
      </w:tblGrid>
      <w:tr w14:paraId="3D91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131" w:type="pct"/>
            <w:vAlign w:val="center"/>
          </w:tcPr>
          <w:p w14:paraId="41D593CA">
            <w:pPr>
              <w:spacing w:line="390" w:lineRule="exact"/>
              <w:jc w:val="center"/>
              <w:rPr>
                <w:rFonts w:hint="default" w:ascii="Times New Roman" w:hAnsi="Times New Roman" w:cs="Times New Roman"/>
              </w:rPr>
            </w:pPr>
            <w:r>
              <w:rPr>
                <w:rFonts w:hint="default" w:ascii="Times New Roman" w:hAnsi="Times New Roman" w:eastAsia="宋体" w:cs="Times New Roman"/>
                <w:color w:val="000000"/>
                <w:sz w:val="26"/>
              </w:rPr>
              <w:t>项目职务</w:t>
            </w:r>
          </w:p>
        </w:tc>
        <w:tc>
          <w:tcPr>
            <w:tcW w:w="920" w:type="pct"/>
            <w:vAlign w:val="center"/>
          </w:tcPr>
          <w:p w14:paraId="638A5915">
            <w:pPr>
              <w:spacing w:line="390" w:lineRule="exact"/>
              <w:jc w:val="center"/>
              <w:rPr>
                <w:rFonts w:hint="default" w:ascii="Times New Roman" w:hAnsi="Times New Roman" w:cs="Times New Roman"/>
              </w:rPr>
            </w:pPr>
            <w:r>
              <w:rPr>
                <w:rFonts w:hint="default" w:ascii="Times New Roman" w:hAnsi="Times New Roman" w:eastAsia="宋体" w:cs="Times New Roman"/>
                <w:color w:val="000000"/>
                <w:sz w:val="26"/>
              </w:rPr>
              <w:t>姓名</w:t>
            </w:r>
          </w:p>
        </w:tc>
        <w:tc>
          <w:tcPr>
            <w:tcW w:w="1131" w:type="pct"/>
            <w:vAlign w:val="center"/>
          </w:tcPr>
          <w:p w14:paraId="00B6B863">
            <w:pPr>
              <w:spacing w:line="384" w:lineRule="exact"/>
              <w:jc w:val="center"/>
              <w:rPr>
                <w:rFonts w:hint="default" w:ascii="Times New Roman" w:hAnsi="Times New Roman" w:cs="Times New Roman"/>
              </w:rPr>
            </w:pPr>
            <w:r>
              <w:rPr>
                <w:rFonts w:hint="default" w:ascii="Times New Roman" w:hAnsi="Times New Roman" w:eastAsia="宋体" w:cs="Times New Roman"/>
                <w:color w:val="000000"/>
                <w:sz w:val="26"/>
              </w:rPr>
              <w:t>职称（专业）</w:t>
            </w:r>
          </w:p>
        </w:tc>
        <w:tc>
          <w:tcPr>
            <w:tcW w:w="1131" w:type="pct"/>
            <w:vAlign w:val="center"/>
          </w:tcPr>
          <w:p w14:paraId="6DF48C0F">
            <w:pPr>
              <w:spacing w:line="390" w:lineRule="exact"/>
              <w:jc w:val="center"/>
              <w:rPr>
                <w:rFonts w:hint="default" w:ascii="Times New Roman" w:hAnsi="Times New Roman" w:cs="Times New Roman"/>
              </w:rPr>
            </w:pPr>
            <w:r>
              <w:rPr>
                <w:rFonts w:hint="default" w:ascii="Times New Roman" w:hAnsi="Times New Roman" w:eastAsia="宋体" w:cs="Times New Roman"/>
                <w:color w:val="000000"/>
                <w:sz w:val="26"/>
              </w:rPr>
              <w:t>资质证书号</w:t>
            </w:r>
          </w:p>
        </w:tc>
        <w:tc>
          <w:tcPr>
            <w:tcW w:w="684" w:type="pct"/>
            <w:vAlign w:val="center"/>
          </w:tcPr>
          <w:p w14:paraId="0E97263A">
            <w:pPr>
              <w:spacing w:line="390" w:lineRule="exact"/>
              <w:jc w:val="center"/>
              <w:rPr>
                <w:rFonts w:hint="default" w:ascii="Times New Roman" w:hAnsi="Times New Roman" w:cs="Times New Roman"/>
              </w:rPr>
            </w:pPr>
            <w:r>
              <w:rPr>
                <w:rFonts w:hint="default" w:ascii="Times New Roman" w:hAnsi="Times New Roman" w:eastAsia="宋体" w:cs="Times New Roman"/>
                <w:color w:val="000000"/>
                <w:sz w:val="26"/>
              </w:rPr>
              <w:t>签字</w:t>
            </w:r>
          </w:p>
        </w:tc>
      </w:tr>
      <w:tr w14:paraId="68E5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131" w:type="pct"/>
            <w:vAlign w:val="center"/>
          </w:tcPr>
          <w:p w14:paraId="376734E8">
            <w:pPr>
              <w:spacing w:line="390" w:lineRule="exact"/>
              <w:jc w:val="center"/>
              <w:rPr>
                <w:rFonts w:hint="default" w:ascii="Times New Roman" w:hAnsi="Times New Roman" w:eastAsia="宋体" w:cs="Times New Roman"/>
                <w:color w:val="000000"/>
                <w:sz w:val="26"/>
              </w:rPr>
            </w:pPr>
            <w:r>
              <w:rPr>
                <w:rFonts w:hint="default" w:ascii="Times New Roman" w:hAnsi="Times New Roman" w:eastAsia="宋体" w:cs="Times New Roman"/>
                <w:color w:val="000000"/>
                <w:sz w:val="26"/>
              </w:rPr>
              <w:t>项目负责人</w:t>
            </w:r>
          </w:p>
        </w:tc>
        <w:tc>
          <w:tcPr>
            <w:tcW w:w="920" w:type="pct"/>
            <w:vAlign w:val="center"/>
          </w:tcPr>
          <w:p w14:paraId="78EFEDAD">
            <w:pPr>
              <w:rPr>
                <w:rFonts w:hint="default" w:ascii="Times New Roman" w:hAnsi="Times New Roman" w:cs="Times New Roman"/>
              </w:rPr>
            </w:pPr>
          </w:p>
        </w:tc>
        <w:tc>
          <w:tcPr>
            <w:tcW w:w="1131" w:type="pct"/>
            <w:vAlign w:val="center"/>
          </w:tcPr>
          <w:p w14:paraId="66A603FC">
            <w:pPr>
              <w:rPr>
                <w:rFonts w:hint="default" w:ascii="Times New Roman" w:hAnsi="Times New Roman" w:cs="Times New Roman"/>
              </w:rPr>
            </w:pPr>
          </w:p>
        </w:tc>
        <w:tc>
          <w:tcPr>
            <w:tcW w:w="1131" w:type="pct"/>
            <w:vAlign w:val="center"/>
          </w:tcPr>
          <w:p w14:paraId="1B118951">
            <w:pPr>
              <w:rPr>
                <w:rFonts w:hint="default" w:ascii="Times New Roman" w:hAnsi="Times New Roman" w:cs="Times New Roman"/>
              </w:rPr>
            </w:pPr>
          </w:p>
        </w:tc>
        <w:tc>
          <w:tcPr>
            <w:tcW w:w="684" w:type="pct"/>
            <w:vAlign w:val="center"/>
          </w:tcPr>
          <w:p w14:paraId="2F611D80">
            <w:pPr>
              <w:rPr>
                <w:rFonts w:hint="default" w:ascii="Times New Roman" w:hAnsi="Times New Roman" w:cs="Times New Roman"/>
              </w:rPr>
            </w:pPr>
          </w:p>
        </w:tc>
      </w:tr>
      <w:tr w14:paraId="31FA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131" w:type="pct"/>
            <w:vAlign w:val="center"/>
          </w:tcPr>
          <w:p w14:paraId="757D84AA">
            <w:pPr>
              <w:spacing w:line="390" w:lineRule="exact"/>
              <w:jc w:val="center"/>
              <w:rPr>
                <w:rFonts w:hint="default" w:ascii="Times New Roman" w:hAnsi="Times New Roman" w:eastAsia="宋体" w:cs="Times New Roman"/>
                <w:color w:val="000000"/>
                <w:sz w:val="26"/>
              </w:rPr>
            </w:pPr>
            <w:r>
              <w:rPr>
                <w:rFonts w:hint="default" w:ascii="Times New Roman" w:hAnsi="Times New Roman" w:eastAsia="宋体" w:cs="Times New Roman"/>
                <w:color w:val="000000"/>
                <w:sz w:val="26"/>
              </w:rPr>
              <w:t>主编人</w:t>
            </w:r>
          </w:p>
        </w:tc>
        <w:tc>
          <w:tcPr>
            <w:tcW w:w="920" w:type="pct"/>
            <w:vAlign w:val="center"/>
          </w:tcPr>
          <w:p w14:paraId="3678D273">
            <w:pPr>
              <w:rPr>
                <w:rFonts w:hint="default" w:ascii="Times New Roman" w:hAnsi="Times New Roman" w:cs="Times New Roman"/>
              </w:rPr>
            </w:pPr>
          </w:p>
        </w:tc>
        <w:tc>
          <w:tcPr>
            <w:tcW w:w="1131" w:type="pct"/>
            <w:vAlign w:val="center"/>
          </w:tcPr>
          <w:p w14:paraId="3967A965">
            <w:pPr>
              <w:rPr>
                <w:rFonts w:hint="default" w:ascii="Times New Roman" w:hAnsi="Times New Roman" w:cs="Times New Roman"/>
              </w:rPr>
            </w:pPr>
          </w:p>
        </w:tc>
        <w:tc>
          <w:tcPr>
            <w:tcW w:w="1131" w:type="pct"/>
            <w:vAlign w:val="center"/>
          </w:tcPr>
          <w:p w14:paraId="610AD8EA">
            <w:pPr>
              <w:rPr>
                <w:rFonts w:hint="default" w:ascii="Times New Roman" w:hAnsi="Times New Roman" w:cs="Times New Roman"/>
              </w:rPr>
            </w:pPr>
          </w:p>
        </w:tc>
        <w:tc>
          <w:tcPr>
            <w:tcW w:w="684" w:type="pct"/>
            <w:vAlign w:val="center"/>
          </w:tcPr>
          <w:p w14:paraId="5D917A8D">
            <w:pPr>
              <w:rPr>
                <w:rFonts w:hint="default" w:ascii="Times New Roman" w:hAnsi="Times New Roman" w:cs="Times New Roman"/>
              </w:rPr>
            </w:pPr>
          </w:p>
        </w:tc>
      </w:tr>
      <w:tr w14:paraId="40F6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131" w:type="pct"/>
            <w:vAlign w:val="center"/>
          </w:tcPr>
          <w:p w14:paraId="394D8011">
            <w:pPr>
              <w:spacing w:line="390" w:lineRule="exact"/>
              <w:jc w:val="center"/>
              <w:rPr>
                <w:rFonts w:hint="default" w:ascii="Times New Roman" w:hAnsi="Times New Roman" w:eastAsia="宋体" w:cs="Times New Roman"/>
                <w:color w:val="000000"/>
                <w:sz w:val="26"/>
              </w:rPr>
            </w:pPr>
            <w:r>
              <w:rPr>
                <w:rFonts w:hint="default" w:ascii="Times New Roman" w:hAnsi="Times New Roman" w:eastAsia="宋体" w:cs="Times New Roman"/>
                <w:color w:val="000000"/>
                <w:sz w:val="26"/>
              </w:rPr>
              <w:t>参与人</w:t>
            </w:r>
          </w:p>
        </w:tc>
        <w:tc>
          <w:tcPr>
            <w:tcW w:w="920" w:type="pct"/>
            <w:vAlign w:val="center"/>
          </w:tcPr>
          <w:p w14:paraId="00EF8732">
            <w:pPr>
              <w:rPr>
                <w:rFonts w:hint="default" w:ascii="Times New Roman" w:hAnsi="Times New Roman" w:cs="Times New Roman"/>
              </w:rPr>
            </w:pPr>
          </w:p>
        </w:tc>
        <w:tc>
          <w:tcPr>
            <w:tcW w:w="1131" w:type="pct"/>
            <w:vAlign w:val="center"/>
          </w:tcPr>
          <w:p w14:paraId="238AF8D5">
            <w:pPr>
              <w:rPr>
                <w:rFonts w:hint="default" w:ascii="Times New Roman" w:hAnsi="Times New Roman" w:cs="Times New Roman"/>
              </w:rPr>
            </w:pPr>
          </w:p>
        </w:tc>
        <w:tc>
          <w:tcPr>
            <w:tcW w:w="1131" w:type="pct"/>
            <w:vAlign w:val="center"/>
          </w:tcPr>
          <w:p w14:paraId="4D42A9A6">
            <w:pPr>
              <w:rPr>
                <w:rFonts w:hint="default" w:ascii="Times New Roman" w:hAnsi="Times New Roman" w:cs="Times New Roman"/>
              </w:rPr>
            </w:pPr>
          </w:p>
        </w:tc>
        <w:tc>
          <w:tcPr>
            <w:tcW w:w="684" w:type="pct"/>
            <w:vAlign w:val="center"/>
          </w:tcPr>
          <w:p w14:paraId="206E6759">
            <w:pPr>
              <w:rPr>
                <w:rFonts w:hint="default" w:ascii="Times New Roman" w:hAnsi="Times New Roman" w:cs="Times New Roman"/>
              </w:rPr>
            </w:pPr>
          </w:p>
        </w:tc>
      </w:tr>
      <w:tr w14:paraId="7E46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131" w:type="pct"/>
            <w:vAlign w:val="center"/>
          </w:tcPr>
          <w:p w14:paraId="63CE7697">
            <w:pPr>
              <w:spacing w:line="390" w:lineRule="exact"/>
              <w:jc w:val="center"/>
              <w:rPr>
                <w:rFonts w:hint="default" w:ascii="Times New Roman" w:hAnsi="Times New Roman" w:eastAsia="宋体" w:cs="Times New Roman"/>
                <w:color w:val="000000"/>
                <w:sz w:val="26"/>
              </w:rPr>
            </w:pPr>
            <w:r>
              <w:rPr>
                <w:rFonts w:hint="default" w:ascii="Times New Roman" w:hAnsi="Times New Roman" w:eastAsia="宋体" w:cs="Times New Roman"/>
                <w:color w:val="000000"/>
                <w:sz w:val="26"/>
              </w:rPr>
              <w:t>参与人</w:t>
            </w:r>
          </w:p>
        </w:tc>
        <w:tc>
          <w:tcPr>
            <w:tcW w:w="920" w:type="pct"/>
            <w:vAlign w:val="center"/>
          </w:tcPr>
          <w:p w14:paraId="1F4DD66F">
            <w:pPr>
              <w:rPr>
                <w:rFonts w:hint="default" w:ascii="Times New Roman" w:hAnsi="Times New Roman" w:cs="Times New Roman"/>
              </w:rPr>
            </w:pPr>
          </w:p>
        </w:tc>
        <w:tc>
          <w:tcPr>
            <w:tcW w:w="1131" w:type="pct"/>
            <w:vAlign w:val="center"/>
          </w:tcPr>
          <w:p w14:paraId="242CE8F2">
            <w:pPr>
              <w:rPr>
                <w:rFonts w:hint="default" w:ascii="Times New Roman" w:hAnsi="Times New Roman" w:cs="Times New Roman"/>
              </w:rPr>
            </w:pPr>
          </w:p>
        </w:tc>
        <w:tc>
          <w:tcPr>
            <w:tcW w:w="1131" w:type="pct"/>
            <w:vAlign w:val="center"/>
          </w:tcPr>
          <w:p w14:paraId="1945D744">
            <w:pPr>
              <w:rPr>
                <w:rFonts w:hint="default" w:ascii="Times New Roman" w:hAnsi="Times New Roman" w:cs="Times New Roman"/>
              </w:rPr>
            </w:pPr>
          </w:p>
        </w:tc>
        <w:tc>
          <w:tcPr>
            <w:tcW w:w="684" w:type="pct"/>
            <w:vAlign w:val="center"/>
          </w:tcPr>
          <w:p w14:paraId="10C199FA">
            <w:pPr>
              <w:rPr>
                <w:rFonts w:hint="default" w:ascii="Times New Roman" w:hAnsi="Times New Roman" w:cs="Times New Roman"/>
              </w:rPr>
            </w:pPr>
          </w:p>
        </w:tc>
      </w:tr>
      <w:tr w14:paraId="1229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131" w:type="pct"/>
            <w:vAlign w:val="center"/>
          </w:tcPr>
          <w:p w14:paraId="7E845EFD">
            <w:pPr>
              <w:spacing w:line="390" w:lineRule="exact"/>
              <w:jc w:val="center"/>
              <w:rPr>
                <w:rFonts w:hint="default" w:ascii="Times New Roman" w:hAnsi="Times New Roman" w:eastAsia="宋体" w:cs="Times New Roman"/>
                <w:color w:val="000000"/>
                <w:sz w:val="26"/>
              </w:rPr>
            </w:pPr>
            <w:r>
              <w:rPr>
                <w:rFonts w:hint="default" w:ascii="Times New Roman" w:hAnsi="Times New Roman" w:eastAsia="宋体" w:cs="Times New Roman"/>
                <w:color w:val="000000"/>
                <w:sz w:val="26"/>
              </w:rPr>
              <w:t>参与人</w:t>
            </w:r>
          </w:p>
        </w:tc>
        <w:tc>
          <w:tcPr>
            <w:tcW w:w="920" w:type="pct"/>
            <w:vAlign w:val="center"/>
          </w:tcPr>
          <w:p w14:paraId="38C05FCB">
            <w:pPr>
              <w:rPr>
                <w:rFonts w:hint="default" w:ascii="Times New Roman" w:hAnsi="Times New Roman" w:cs="Times New Roman"/>
              </w:rPr>
            </w:pPr>
          </w:p>
        </w:tc>
        <w:tc>
          <w:tcPr>
            <w:tcW w:w="1131" w:type="pct"/>
            <w:vAlign w:val="center"/>
          </w:tcPr>
          <w:p w14:paraId="73A7BFFE">
            <w:pPr>
              <w:rPr>
                <w:rFonts w:hint="default" w:ascii="Times New Roman" w:hAnsi="Times New Roman" w:cs="Times New Roman"/>
              </w:rPr>
            </w:pPr>
          </w:p>
        </w:tc>
        <w:tc>
          <w:tcPr>
            <w:tcW w:w="1131" w:type="pct"/>
            <w:vAlign w:val="center"/>
          </w:tcPr>
          <w:p w14:paraId="2139D63E">
            <w:pPr>
              <w:rPr>
                <w:rFonts w:hint="default" w:ascii="Times New Roman" w:hAnsi="Times New Roman" w:cs="Times New Roman"/>
              </w:rPr>
            </w:pPr>
          </w:p>
        </w:tc>
        <w:tc>
          <w:tcPr>
            <w:tcW w:w="684" w:type="pct"/>
            <w:vAlign w:val="center"/>
          </w:tcPr>
          <w:p w14:paraId="6CBE2282">
            <w:pPr>
              <w:rPr>
                <w:rFonts w:hint="default" w:ascii="Times New Roman" w:hAnsi="Times New Roman" w:cs="Times New Roman"/>
              </w:rPr>
            </w:pPr>
          </w:p>
        </w:tc>
      </w:tr>
      <w:tr w14:paraId="13D1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jc w:val="center"/>
        </w:trPr>
        <w:tc>
          <w:tcPr>
            <w:tcW w:w="1131" w:type="pct"/>
            <w:vAlign w:val="center"/>
          </w:tcPr>
          <w:p w14:paraId="09FEE928">
            <w:pPr>
              <w:spacing w:line="390" w:lineRule="exact"/>
              <w:jc w:val="center"/>
              <w:rPr>
                <w:rFonts w:hint="default" w:ascii="Times New Roman" w:hAnsi="Times New Roman" w:eastAsia="宋体" w:cs="Times New Roman"/>
                <w:color w:val="000000"/>
                <w:sz w:val="26"/>
              </w:rPr>
            </w:pPr>
            <w:r>
              <w:rPr>
                <w:rFonts w:hint="default" w:ascii="Times New Roman" w:hAnsi="Times New Roman" w:eastAsia="宋体" w:cs="Times New Roman"/>
                <w:color w:val="000000"/>
                <w:sz w:val="26"/>
              </w:rPr>
              <w:t>审核人</w:t>
            </w:r>
          </w:p>
        </w:tc>
        <w:tc>
          <w:tcPr>
            <w:tcW w:w="920" w:type="pct"/>
            <w:vAlign w:val="center"/>
          </w:tcPr>
          <w:p w14:paraId="6BFB6557">
            <w:pPr>
              <w:rPr>
                <w:rFonts w:hint="default" w:ascii="Times New Roman" w:hAnsi="Times New Roman" w:cs="Times New Roman"/>
              </w:rPr>
            </w:pPr>
          </w:p>
        </w:tc>
        <w:tc>
          <w:tcPr>
            <w:tcW w:w="1131" w:type="pct"/>
            <w:vAlign w:val="center"/>
          </w:tcPr>
          <w:p w14:paraId="503C4796">
            <w:pPr>
              <w:rPr>
                <w:rFonts w:hint="default" w:ascii="Times New Roman" w:hAnsi="Times New Roman" w:cs="Times New Roman"/>
              </w:rPr>
            </w:pPr>
          </w:p>
        </w:tc>
        <w:tc>
          <w:tcPr>
            <w:tcW w:w="1131" w:type="pct"/>
            <w:vAlign w:val="bottom"/>
          </w:tcPr>
          <w:p w14:paraId="09B0441A">
            <w:pPr>
              <w:spacing w:line="390" w:lineRule="exact"/>
              <w:jc w:val="left"/>
              <w:rPr>
                <w:rFonts w:hint="default" w:ascii="Times New Roman" w:hAnsi="Times New Roman" w:cs="Times New Roman"/>
              </w:rPr>
            </w:pPr>
          </w:p>
        </w:tc>
        <w:tc>
          <w:tcPr>
            <w:tcW w:w="684" w:type="pct"/>
            <w:vAlign w:val="center"/>
          </w:tcPr>
          <w:p w14:paraId="0101B727">
            <w:pPr>
              <w:rPr>
                <w:rFonts w:hint="default" w:ascii="Times New Roman" w:hAnsi="Times New Roman" w:cs="Times New Roman"/>
              </w:rPr>
            </w:pPr>
          </w:p>
        </w:tc>
      </w:tr>
      <w:tr w14:paraId="568E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1131" w:type="pct"/>
            <w:vAlign w:val="center"/>
          </w:tcPr>
          <w:p w14:paraId="61C0BD24">
            <w:pPr>
              <w:spacing w:line="390" w:lineRule="exact"/>
              <w:jc w:val="center"/>
              <w:rPr>
                <w:rFonts w:hint="default" w:ascii="Times New Roman" w:hAnsi="Times New Roman" w:eastAsia="宋体" w:cs="Times New Roman"/>
                <w:color w:val="000000"/>
                <w:sz w:val="26"/>
              </w:rPr>
            </w:pPr>
            <w:r>
              <w:rPr>
                <w:rFonts w:hint="default" w:ascii="Times New Roman" w:hAnsi="Times New Roman" w:eastAsia="宋体" w:cs="Times New Roman"/>
                <w:color w:val="000000"/>
                <w:sz w:val="26"/>
              </w:rPr>
              <w:t>签发人</w:t>
            </w:r>
          </w:p>
        </w:tc>
        <w:tc>
          <w:tcPr>
            <w:tcW w:w="920" w:type="pct"/>
            <w:vAlign w:val="center"/>
          </w:tcPr>
          <w:p w14:paraId="6F0D4E16">
            <w:pPr>
              <w:rPr>
                <w:rFonts w:hint="default" w:ascii="Times New Roman" w:hAnsi="Times New Roman" w:cs="Times New Roman"/>
              </w:rPr>
            </w:pPr>
          </w:p>
        </w:tc>
        <w:tc>
          <w:tcPr>
            <w:tcW w:w="1131" w:type="pct"/>
            <w:vAlign w:val="center"/>
          </w:tcPr>
          <w:p w14:paraId="5C48BB6D">
            <w:pPr>
              <w:rPr>
                <w:rFonts w:hint="default" w:ascii="Times New Roman" w:hAnsi="Times New Roman" w:cs="Times New Roman"/>
              </w:rPr>
            </w:pPr>
          </w:p>
        </w:tc>
        <w:tc>
          <w:tcPr>
            <w:tcW w:w="1131" w:type="pct"/>
            <w:vAlign w:val="center"/>
          </w:tcPr>
          <w:p w14:paraId="2906B026">
            <w:pPr>
              <w:rPr>
                <w:rFonts w:hint="default" w:ascii="Times New Roman" w:hAnsi="Times New Roman" w:cs="Times New Roman"/>
              </w:rPr>
            </w:pPr>
          </w:p>
        </w:tc>
        <w:tc>
          <w:tcPr>
            <w:tcW w:w="684" w:type="pct"/>
            <w:vAlign w:val="center"/>
          </w:tcPr>
          <w:p w14:paraId="4EF89579">
            <w:pPr>
              <w:rPr>
                <w:rFonts w:hint="default" w:ascii="Times New Roman" w:hAnsi="Times New Roman" w:cs="Times New Roman"/>
              </w:rPr>
            </w:pPr>
          </w:p>
        </w:tc>
      </w:tr>
    </w:tbl>
    <w:p w14:paraId="19B89CF6">
      <w:pPr>
        <w:spacing w:line="240" w:lineRule="exact"/>
        <w:jc w:val="center"/>
        <w:rPr>
          <w:rFonts w:hint="default" w:ascii="Times New Roman" w:hAnsi="Times New Roman" w:eastAsia="宋体" w:cs="Times New Roman"/>
          <w:color w:val="000000"/>
          <w:sz w:val="20"/>
        </w:rPr>
      </w:pPr>
    </w:p>
    <w:p w14:paraId="45A5FD86">
      <w:pPr>
        <w:spacing w:line="240" w:lineRule="exact"/>
        <w:jc w:val="center"/>
        <w:rPr>
          <w:rFonts w:hint="default" w:ascii="Times New Roman" w:hAnsi="Times New Roman" w:cs="Times New Roman"/>
        </w:rPr>
        <w:sectPr>
          <w:footerReference r:id="rId22" w:type="default"/>
          <w:type w:val="continuous"/>
          <w:pgSz w:w="12060" w:h="16820"/>
          <w:pgMar w:top="1400" w:right="720" w:bottom="1440" w:left="1340" w:header="0" w:footer="1160" w:gutter="0"/>
          <w:cols w:space="720" w:num="1"/>
        </w:sectPr>
      </w:pPr>
      <w:r>
        <w:rPr>
          <w:rFonts w:hint="default" w:ascii="Times New Roman" w:hAnsi="Times New Roman" w:eastAsia="宋体" w:cs="Times New Roman"/>
          <w:color w:val="000000"/>
          <w:sz w:val="20"/>
        </w:rPr>
        <w:t>图</w:t>
      </w:r>
      <w:r>
        <w:rPr>
          <w:rFonts w:hint="eastAsia" w:ascii="Times New Roman" w:hAnsi="Times New Roman" w:cs="Times New Roman"/>
          <w:color w:val="000000"/>
          <w:sz w:val="20"/>
          <w:lang w:val="en-US" w:eastAsia="zh-CN"/>
        </w:rPr>
        <w:t>E</w:t>
      </w:r>
      <w:r>
        <w:rPr>
          <w:rFonts w:hint="default" w:ascii="Times New Roman" w:hAnsi="Times New Roman" w:eastAsia="宋体" w:cs="Times New Roman"/>
          <w:color w:val="000000"/>
          <w:sz w:val="20"/>
        </w:rPr>
        <w:t>．3 报告封四格式</w:t>
      </w:r>
      <w:r>
        <w:rPr>
          <w:rFonts w:hint="default" w:ascii="Times New Roman" w:hAnsi="Times New Roman" w:cs="Times New Roman"/>
        </w:rPr>
        <w:br w:type="page"/>
      </w:r>
    </w:p>
    <w:p w14:paraId="60DE2EC9">
      <w:pPr>
        <w:spacing w:after="880" w:line="280" w:lineRule="exact"/>
        <w:jc w:val="left"/>
        <w:rPr>
          <w:rFonts w:hint="default" w:ascii="Times New Roman" w:hAnsi="Times New Roman" w:eastAsia="宋体" w:cs="Times New Roman"/>
          <w:lang w:val="en-US" w:eastAsia="zh-CN"/>
        </w:rPr>
      </w:pPr>
    </w:p>
    <w:p w14:paraId="7F5942F4">
      <w:pPr>
        <w:spacing w:line="300" w:lineRule="exact"/>
        <w:jc w:val="center"/>
        <w:rPr>
          <w:rFonts w:hint="eastAsia" w:ascii="Times New Roman" w:hAnsi="Times New Roman" w:eastAsia="宋体" w:cs="Times New Roman"/>
          <w:lang w:eastAsia="zh-CN"/>
        </w:rPr>
      </w:pPr>
      <w:r>
        <w:rPr>
          <w:rFonts w:hint="default" w:ascii="Times New Roman" w:hAnsi="Times New Roman" w:eastAsia="宋体" w:cs="Times New Roman"/>
          <w:color w:val="000000"/>
          <w:sz w:val="22"/>
        </w:rPr>
        <w:t>附录</w:t>
      </w:r>
      <w:r>
        <w:rPr>
          <w:rFonts w:hint="eastAsia" w:ascii="Times New Roman" w:hAnsi="Times New Roman" w:cs="Times New Roman"/>
          <w:color w:val="000000"/>
          <w:sz w:val="22"/>
          <w:lang w:val="en-US" w:eastAsia="zh-CN"/>
        </w:rPr>
        <w:t>F</w:t>
      </w:r>
    </w:p>
    <w:p w14:paraId="37F299AA">
      <w:pPr>
        <w:spacing w:line="320" w:lineRule="exact"/>
        <w:jc w:val="center"/>
        <w:rPr>
          <w:rFonts w:hint="default" w:ascii="Times New Roman" w:hAnsi="Times New Roman" w:cs="Times New Roman"/>
        </w:rPr>
      </w:pPr>
      <w:r>
        <w:rPr>
          <w:rFonts w:hint="default" w:ascii="Times New Roman" w:hAnsi="Times New Roman" w:eastAsia="宋体" w:cs="Times New Roman"/>
          <w:b/>
          <w:color w:val="000000"/>
          <w:sz w:val="23"/>
        </w:rPr>
        <w:t>（资料性附录）</w:t>
      </w:r>
    </w:p>
    <w:p w14:paraId="4978FD8A">
      <w:pPr>
        <w:spacing w:after="280" w:line="280" w:lineRule="exact"/>
        <w:jc w:val="center"/>
        <w:rPr>
          <w:rFonts w:hint="default" w:ascii="Times New Roman" w:hAnsi="Times New Roman" w:cs="Times New Roman"/>
        </w:rPr>
      </w:pPr>
      <w:r>
        <w:rPr>
          <w:rFonts w:hint="default" w:ascii="Times New Roman" w:hAnsi="Times New Roman" w:eastAsia="宋体" w:cs="Times New Roman"/>
          <w:b/>
          <w:color w:val="000000"/>
          <w:sz w:val="20"/>
        </w:rPr>
        <w:t>本标准使用说明</w:t>
      </w:r>
    </w:p>
    <w:p w14:paraId="76834C64">
      <w:pPr>
        <w:spacing w:after="280" w:line="280" w:lineRule="exact"/>
        <w:jc w:val="left"/>
        <w:rPr>
          <w:rFonts w:hint="default" w:ascii="Times New Roman" w:hAnsi="Times New Roman" w:cs="Times New Roman"/>
        </w:rPr>
      </w:pPr>
      <w:r>
        <w:rPr>
          <w:rFonts w:hint="eastAsia" w:ascii="Times New Roman" w:hAnsi="Times New Roman" w:cs="Times New Roman"/>
          <w:color w:val="000000"/>
          <w:sz w:val="20"/>
          <w:lang w:val="en-US" w:eastAsia="zh-CN"/>
        </w:rPr>
        <w:t>F</w:t>
      </w:r>
      <w:r>
        <w:rPr>
          <w:rFonts w:hint="default" w:ascii="Times New Roman" w:hAnsi="Times New Roman" w:eastAsia="宋体" w:cs="Times New Roman"/>
          <w:color w:val="000000"/>
          <w:sz w:val="20"/>
        </w:rPr>
        <w:t>．1 本标准由职业</w:t>
      </w:r>
      <w:r>
        <w:rPr>
          <w:rFonts w:hint="eastAsia" w:ascii="Times New Roman" w:hAnsi="Times New Roman" w:eastAsia="宋体" w:cs="Times New Roman"/>
          <w:color w:val="000000"/>
          <w:sz w:val="20"/>
          <w:lang w:eastAsia="zh-CN"/>
        </w:rPr>
        <w:t>卫生</w:t>
      </w:r>
      <w:r>
        <w:rPr>
          <w:rFonts w:hint="default" w:ascii="Times New Roman" w:hAnsi="Times New Roman" w:eastAsia="宋体" w:cs="Times New Roman"/>
          <w:color w:val="000000"/>
          <w:sz w:val="20"/>
        </w:rPr>
        <w:t>技术服务机构的专业职业健康技术服务人员使用，其他人员参考使用。</w:t>
      </w:r>
    </w:p>
    <w:p w14:paraId="13250E99">
      <w:pPr>
        <w:spacing w:after="240" w:line="280" w:lineRule="exact"/>
        <w:rPr>
          <w:rFonts w:hint="default" w:ascii="Times New Roman" w:hAnsi="Times New Roman" w:cs="Times New Roman"/>
          <w:strike/>
          <w:dstrike w:val="0"/>
          <w:highlight w:val="yellow"/>
        </w:rPr>
      </w:pPr>
      <w:r>
        <w:rPr>
          <w:rFonts w:hint="eastAsia" w:ascii="Times New Roman" w:hAnsi="Times New Roman" w:cs="Times New Roman"/>
          <w:color w:val="000000"/>
          <w:sz w:val="20"/>
          <w:lang w:val="en-US" w:eastAsia="zh-CN"/>
        </w:rPr>
        <w:t>F</w:t>
      </w:r>
      <w:r>
        <w:rPr>
          <w:rFonts w:hint="default" w:ascii="Times New Roman" w:hAnsi="Times New Roman" w:eastAsia="宋体" w:cs="Times New Roman"/>
          <w:color w:val="000000"/>
          <w:sz w:val="20"/>
        </w:rPr>
        <w:t>．2 本标准涉及的“例表”仅供参考使用，例表结构和内容无法适用于所有情况，专业技术人员应根据实际情况做相应的修改。</w:t>
      </w:r>
    </w:p>
    <w:p w14:paraId="7E0C626A">
      <w:pPr>
        <w:spacing w:line="1" w:lineRule="exact"/>
        <w:rPr>
          <w:rFonts w:hint="default" w:ascii="Times New Roman" w:hAnsi="Times New Roman" w:cs="Times New Roman"/>
        </w:rPr>
      </w:pPr>
    </w:p>
    <w:p w14:paraId="6EBD4721">
      <w:pPr>
        <w:pStyle w:val="12"/>
        <w:spacing w:before="312" w:after="312"/>
        <w:rPr>
          <w:rFonts w:hint="eastAsia" w:ascii="宋体" w:hAnsi="Times New Roman" w:eastAsia="宋体" w:cs="Times New Roman"/>
          <w:b w:val="0"/>
          <w:i w:val="0"/>
          <w:sz w:val="21"/>
          <w:lang w:val="en-US" w:eastAsia="zh-CN" w:bidi="ar-SA"/>
        </w:rPr>
      </w:pPr>
    </w:p>
    <w:bookmarkEnd w:id="21"/>
    <w:bookmarkEnd w:id="57"/>
    <w:bookmarkEnd w:id="58"/>
    <w:p w14:paraId="704FE101">
      <w:pPr>
        <w:pStyle w:val="34"/>
        <w:rPr>
          <w:color w:val="0000FF"/>
        </w:rPr>
      </w:pPr>
      <w:bookmarkStart w:id="96" w:name="BookMark5"/>
    </w:p>
    <w:p w14:paraId="52EFBE02">
      <w:pPr>
        <w:pStyle w:val="35"/>
        <w:rPr>
          <w:color w:val="0000FF"/>
        </w:rPr>
      </w:pPr>
    </w:p>
    <w:bookmarkEnd w:id="96"/>
    <w:p w14:paraId="0DD8E0C3">
      <w:pPr>
        <w:pStyle w:val="12"/>
        <w:ind w:firstLine="0" w:firstLineChars="0"/>
        <w:jc w:val="center"/>
        <w:rPr>
          <w:color w:val="0000FF"/>
        </w:rPr>
      </w:pPr>
    </w:p>
    <w:p w14:paraId="2BE26EB9">
      <w:pPr>
        <w:rPr>
          <w:color w:val="0000FF"/>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C2130">
    <w:pPr>
      <w:pStyle w:val="4"/>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3292E">
    <w:pPr>
      <w:pStyle w:val="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F23AF">
    <w:pPr>
      <w:pStyle w:val="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E105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36FF2">
    <w:pPr>
      <w:pStyle w:val="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A1310">
    <w:pPr>
      <w:pStyle w:val="38"/>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F35BB">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85116">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62DF0">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B0004">
    <w:pPr>
      <w:pStyle w:val="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8CABD">
    <w:pPr>
      <w:pStyle w:val="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DBD19">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C40CA">
    <w:pPr>
      <w:pStyle w:val="5"/>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6A90">
    <w:pPr>
      <w:pStyle w:val="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C6DDB">
    <w:pPr>
      <w:pStyle w:val="37"/>
    </w:pPr>
    <w:r>
      <w:fldChar w:fldCharType="begin"/>
    </w:r>
    <w:r>
      <w:instrText xml:space="preserve"> STYLEREF  标准文件_文件编号  \* MERGEFORMAT </w:instrText>
    </w:r>
    <w:r>
      <w:fldChar w:fldCharType="separate"/>
    </w:r>
    <w:r>
      <w:t>DB 34/T 2752—2025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6F9A8">
    <w:pPr>
      <w:pStyle w:val="5"/>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2752—2025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D17B9">
    <w:pPr>
      <w:bidi w:val="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0989A">
    <w:pPr>
      <w:pStyle w:val="3"/>
      <w:spacing w:line="14" w:lineRule="auto"/>
      <w:rPr>
        <w:sz w:val="20"/>
      </w:rPr>
    </w:pPr>
    <w:r>
      <mc:AlternateContent>
        <mc:Choice Requires="wps">
          <w:drawing>
            <wp:anchor distT="0" distB="0" distL="114300" distR="114300" simplePos="0" relativeHeight="251665408" behindDoc="1" locked="0" layoutInCell="1" allowOverlap="1">
              <wp:simplePos x="0" y="0"/>
              <wp:positionH relativeFrom="page">
                <wp:posOffset>5960745</wp:posOffset>
              </wp:positionH>
              <wp:positionV relativeFrom="page">
                <wp:posOffset>902335</wp:posOffset>
              </wp:positionV>
              <wp:extent cx="892175" cy="172720"/>
              <wp:effectExtent l="0" t="0" r="0" b="0"/>
              <wp:wrapNone/>
              <wp:docPr id="6" name="文本框 6"/>
              <wp:cNvGraphicFramePr/>
              <a:graphic xmlns:a="http://schemas.openxmlformats.org/drawingml/2006/main">
                <a:graphicData uri="http://schemas.microsoft.com/office/word/2010/wordprocessingShape">
                  <wps:wsp>
                    <wps:cNvSpPr txBox="1"/>
                    <wps:spPr>
                      <a:xfrm>
                        <a:off x="0" y="0"/>
                        <a:ext cx="892175" cy="172720"/>
                      </a:xfrm>
                      <a:prstGeom prst="rect">
                        <a:avLst/>
                      </a:prstGeom>
                      <a:noFill/>
                      <a:ln>
                        <a:noFill/>
                      </a:ln>
                      <a:effectLst/>
                    </wps:spPr>
                    <wps:txbx>
                      <w:txbxContent>
                        <w:p w14:paraId="264CD1F9"/>
                      </w:txbxContent>
                    </wps:txbx>
                    <wps:bodyPr lIns="0" tIns="0" rIns="0" bIns="0" upright="1"/>
                  </wps:wsp>
                </a:graphicData>
              </a:graphic>
            </wp:anchor>
          </w:drawing>
        </mc:Choice>
        <mc:Fallback>
          <w:pict>
            <v:shape id="_x0000_s1026" o:spid="_x0000_s1026" o:spt="202" type="#_x0000_t202" style="position:absolute;left:0pt;margin-left:469.35pt;margin-top:71.05pt;height:13.6pt;width:70.25pt;mso-position-horizontal-relative:page;mso-position-vertical-relative:page;z-index:-251651072;mso-width-relative:page;mso-height-relative:page;" filled="f" stroked="f" coordsize="21600,21600" o:gfxdata="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hReDH2gAAAAwBAAAPAAAAAAAAAAEAIAAAACIAAABkcnMvZG93bnJldi54&#10;bWxQSwECFAAUAAAACACHTuJAGQsREb8BAAB/AwAADgAAAAAAAAABACAAAAApAQAAZHJzL2Uyb0Rv&#10;Yy54bWxQSwUGAAAAAAYABgBZAQAAWgUAAAAA&#10;">
              <v:fill on="f" focussize="0,0"/>
              <v:stroke on="f"/>
              <v:imagedata o:title=""/>
              <o:lock v:ext="edit" aspectratio="f"/>
              <v:textbox inset="0mm,0mm,0mm,0mm">
                <w:txbxContent>
                  <w:p w14:paraId="264CD1F9"/>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23"/>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44C50F90"/>
    <w:multiLevelType w:val="multilevel"/>
    <w:tmpl w:val="44C50F90"/>
    <w:lvl w:ilvl="0" w:tentative="0">
      <w:start w:val="1"/>
      <w:numFmt w:val="lowerLetter"/>
      <w:pStyle w:val="30"/>
      <w:lvlText w:val="%1)"/>
      <w:lvlJc w:val="left"/>
      <w:pPr>
        <w:tabs>
          <w:tab w:val="left" w:pos="851"/>
        </w:tabs>
        <w:ind w:left="851" w:hanging="426"/>
      </w:pPr>
      <w:rPr>
        <w:rFonts w:hint="eastAsia" w:ascii="宋体" w:hAnsi="Times New Roman" w:eastAsia="宋体"/>
        <w:color w:val="000000" w:themeColor="text1"/>
        <w:sz w:val="21"/>
        <w14:textFill>
          <w14:solidFill>
            <w14:schemeClr w14:val="tx1"/>
          </w14:solidFill>
        </w14:textFill>
      </w:rPr>
    </w:lvl>
    <w:lvl w:ilvl="1" w:tentative="0">
      <w:start w:val="1"/>
      <w:numFmt w:val="decimal"/>
      <w:pStyle w:val="31"/>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48802D1C"/>
    <w:multiLevelType w:val="multilevel"/>
    <w:tmpl w:val="48802D1C"/>
    <w:lvl w:ilvl="0" w:tentative="0">
      <w:start w:val="1"/>
      <w:numFmt w:val="upperLetter"/>
      <w:pStyle w:val="34"/>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4D4DC07F"/>
    <w:multiLevelType w:val="multilevel"/>
    <w:tmpl w:val="4D4DC07F"/>
    <w:lvl w:ilvl="0" w:tentative="0">
      <w:start w:val="3"/>
      <w:numFmt w:val="upperLetter"/>
      <w:lvlText w:val="%1"/>
      <w:lvlJc w:val="left"/>
      <w:pPr>
        <w:ind w:left="1044" w:hanging="526"/>
        <w:jc w:val="left"/>
      </w:pPr>
      <w:rPr>
        <w:rFonts w:hint="default"/>
        <w:lang w:val="en-US" w:eastAsia="zh-CN" w:bidi="ar-SA"/>
      </w:rPr>
    </w:lvl>
    <w:lvl w:ilvl="1" w:tentative="0">
      <w:start w:val="1"/>
      <w:numFmt w:val="decimal"/>
      <w:lvlText w:val="%1.%2"/>
      <w:lvlJc w:val="left"/>
      <w:pPr>
        <w:ind w:left="1044" w:hanging="526"/>
        <w:jc w:val="left"/>
      </w:pPr>
      <w:rPr>
        <w:rFonts w:hint="default" w:ascii="黑体" w:hAnsi="黑体" w:eastAsia="黑体" w:cs="黑体"/>
        <w:spacing w:val="0"/>
        <w:w w:val="99"/>
        <w:sz w:val="21"/>
        <w:szCs w:val="21"/>
        <w:lang w:val="en-US" w:eastAsia="zh-CN" w:bidi="ar-SA"/>
      </w:rPr>
    </w:lvl>
    <w:lvl w:ilvl="2" w:tentative="0">
      <w:start w:val="1"/>
      <w:numFmt w:val="decimal"/>
      <w:lvlText w:val="%1.%2.%3"/>
      <w:lvlJc w:val="left"/>
      <w:pPr>
        <w:ind w:left="1252" w:hanging="735"/>
        <w:jc w:val="right"/>
      </w:pPr>
      <w:rPr>
        <w:rFonts w:hint="default" w:ascii="黑体" w:hAnsi="黑体" w:eastAsia="黑体" w:cs="黑体"/>
        <w:spacing w:val="-2"/>
        <w:w w:val="99"/>
        <w:sz w:val="21"/>
        <w:szCs w:val="21"/>
        <w:lang w:val="en-US" w:eastAsia="zh-CN" w:bidi="ar-SA"/>
      </w:rPr>
    </w:lvl>
    <w:lvl w:ilvl="3" w:tentative="0">
      <w:start w:val="1"/>
      <w:numFmt w:val="decimal"/>
      <w:lvlText w:val="%1.%2.%3.%4"/>
      <w:lvlJc w:val="left"/>
      <w:pPr>
        <w:ind w:left="1464" w:hanging="946"/>
        <w:jc w:val="right"/>
      </w:pPr>
      <w:rPr>
        <w:rFonts w:hint="default" w:ascii="黑体" w:hAnsi="黑体" w:eastAsia="黑体" w:cs="黑体"/>
        <w:spacing w:val="-2"/>
        <w:w w:val="99"/>
        <w:sz w:val="21"/>
        <w:szCs w:val="21"/>
        <w:lang w:val="en-US" w:eastAsia="zh-CN" w:bidi="ar-SA"/>
      </w:rPr>
    </w:lvl>
    <w:lvl w:ilvl="4" w:tentative="0">
      <w:start w:val="0"/>
      <w:numFmt w:val="bullet"/>
      <w:lvlText w:val="•"/>
      <w:lvlJc w:val="left"/>
      <w:pPr>
        <w:ind w:left="3676" w:hanging="946"/>
      </w:pPr>
      <w:rPr>
        <w:rFonts w:hint="default"/>
        <w:lang w:val="en-US" w:eastAsia="zh-CN" w:bidi="ar-SA"/>
      </w:rPr>
    </w:lvl>
    <w:lvl w:ilvl="5" w:tentative="0">
      <w:start w:val="0"/>
      <w:numFmt w:val="bullet"/>
      <w:lvlText w:val="•"/>
      <w:lvlJc w:val="left"/>
      <w:pPr>
        <w:ind w:left="4784" w:hanging="946"/>
      </w:pPr>
      <w:rPr>
        <w:rFonts w:hint="default"/>
        <w:lang w:val="en-US" w:eastAsia="zh-CN" w:bidi="ar-SA"/>
      </w:rPr>
    </w:lvl>
    <w:lvl w:ilvl="6" w:tentative="0">
      <w:start w:val="0"/>
      <w:numFmt w:val="bullet"/>
      <w:lvlText w:val="•"/>
      <w:lvlJc w:val="left"/>
      <w:pPr>
        <w:ind w:left="5893" w:hanging="946"/>
      </w:pPr>
      <w:rPr>
        <w:rFonts w:hint="default"/>
        <w:lang w:val="en-US" w:eastAsia="zh-CN" w:bidi="ar-SA"/>
      </w:rPr>
    </w:lvl>
    <w:lvl w:ilvl="7" w:tentative="0">
      <w:start w:val="0"/>
      <w:numFmt w:val="bullet"/>
      <w:lvlText w:val="•"/>
      <w:lvlJc w:val="left"/>
      <w:pPr>
        <w:ind w:left="7001" w:hanging="946"/>
      </w:pPr>
      <w:rPr>
        <w:rFonts w:hint="default"/>
        <w:lang w:val="en-US" w:eastAsia="zh-CN" w:bidi="ar-SA"/>
      </w:rPr>
    </w:lvl>
    <w:lvl w:ilvl="8" w:tentative="0">
      <w:start w:val="0"/>
      <w:numFmt w:val="bullet"/>
      <w:lvlText w:val="•"/>
      <w:lvlJc w:val="left"/>
      <w:pPr>
        <w:ind w:left="8109" w:hanging="946"/>
      </w:pPr>
      <w:rPr>
        <w:rFonts w:hint="default"/>
        <w:lang w:val="en-US" w:eastAsia="zh-CN" w:bidi="ar-SA"/>
      </w:rPr>
    </w:lvl>
  </w:abstractNum>
  <w:abstractNum w:abstractNumId="4">
    <w:nsid w:val="5603797C"/>
    <w:multiLevelType w:val="multilevel"/>
    <w:tmpl w:val="5603797C"/>
    <w:lvl w:ilvl="0" w:tentative="0">
      <w:start w:val="1"/>
      <w:numFmt w:val="upperLetter"/>
      <w:pStyle w:val="35"/>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657D3FBC"/>
    <w:multiLevelType w:val="multilevel"/>
    <w:tmpl w:val="657D3FBC"/>
    <w:lvl w:ilvl="0" w:tentative="0">
      <w:start w:val="1"/>
      <w:numFmt w:val="upperLetter"/>
      <w:pStyle w:val="36"/>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5"/>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3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DBF04F4"/>
    <w:multiLevelType w:val="multilevel"/>
    <w:tmpl w:val="6DBF04F4"/>
    <w:lvl w:ilvl="0" w:tentative="0">
      <w:start w:val="1"/>
      <w:numFmt w:val="none"/>
      <w:pStyle w:val="2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6"/>
  </w:num>
  <w:num w:numId="3">
    <w:abstractNumId w:val="7"/>
  </w:num>
  <w:num w:numId="4">
    <w:abstractNumId w:val="1"/>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43D9C"/>
    <w:rsid w:val="09B11FBE"/>
    <w:rsid w:val="09D41DD9"/>
    <w:rsid w:val="19CB3146"/>
    <w:rsid w:val="252F6BC6"/>
    <w:rsid w:val="262C0AD4"/>
    <w:rsid w:val="280671AA"/>
    <w:rsid w:val="3B3B5435"/>
    <w:rsid w:val="3E9F75DF"/>
    <w:rsid w:val="3FC00E7F"/>
    <w:rsid w:val="40610FCA"/>
    <w:rsid w:val="489436FE"/>
    <w:rsid w:val="4B180E1F"/>
    <w:rsid w:val="4EE30EFF"/>
    <w:rsid w:val="505D3128"/>
    <w:rsid w:val="528A4F2A"/>
    <w:rsid w:val="58043D9C"/>
    <w:rsid w:val="5B715A14"/>
    <w:rsid w:val="63400ABB"/>
    <w:rsid w:val="6472739A"/>
    <w:rsid w:val="6963166C"/>
    <w:rsid w:val="6D9D5915"/>
    <w:rsid w:val="6F436122"/>
    <w:rsid w:val="70DD3DED"/>
    <w:rsid w:val="74392A0E"/>
    <w:rsid w:val="74752519"/>
    <w:rsid w:val="7F522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qFormat/>
    <w:uiPriority w:val="1"/>
    <w:rPr>
      <w:rFonts w:ascii="宋体" w:hAnsi="宋体" w:eastAsia="宋体" w:cs="宋体"/>
      <w:sz w:val="21"/>
      <w:szCs w:val="21"/>
      <w:lang w:val="en-US" w:eastAsia="zh-CN" w:bidi="ar-SA"/>
    </w:rPr>
  </w:style>
  <w:style w:type="paragraph" w:styleId="4">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5">
    <w:name w:val="header"/>
    <w:basedOn w:val="1"/>
    <w:qFormat/>
    <w:uiPriority w:val="99"/>
    <w:pPr>
      <w:tabs>
        <w:tab w:val="center" w:pos="4153"/>
        <w:tab w:val="right" w:pos="8306"/>
      </w:tabs>
      <w:adjustRightInd/>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1">
    <w:name w:val="标准文件_文件编号"/>
    <w:basedOn w:val="12"/>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标准文件_替换文件编号"/>
    <w:basedOn w:val="11"/>
    <w:qFormat/>
    <w:uiPriority w:val="0"/>
    <w:pPr>
      <w:spacing w:before="57"/>
    </w:pPr>
    <w:rPr>
      <w:sz w:val="21"/>
    </w:rPr>
  </w:style>
  <w:style w:type="paragraph" w:customStyle="1" w:styleId="14">
    <w:name w:val="标准文件_文件名称"/>
    <w:basedOn w:val="12"/>
    <w:next w:val="12"/>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6">
    <w:name w:val="其他发布日期"/>
    <w:basedOn w:val="17"/>
    <w:qFormat/>
    <w:uiPriority w:val="0"/>
    <w:pPr>
      <w:framePr w:w="3997" w:h="471" w:hRule="exact" w:hSpace="0" w:vSpace="181" w:wrap="around" w:vAnchor="page" w:hAnchor="page" w:x="1419" w:y="14097"/>
    </w:pPr>
  </w:style>
  <w:style w:type="paragraph" w:customStyle="1" w:styleId="1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8">
    <w:name w:val="其他实施日期"/>
    <w:basedOn w:val="19"/>
    <w:qFormat/>
    <w:uiPriority w:val="0"/>
    <w:pPr>
      <w:framePr w:w="3997" w:h="471" w:hRule="exact" w:vSpace="181" w:wrap="around" w:vAnchor="page" w:hAnchor="page" w:x="7089" w:y="14097"/>
    </w:pPr>
  </w:style>
  <w:style w:type="paragraph" w:customStyle="1" w:styleId="19">
    <w:name w:val="实施日期"/>
    <w:basedOn w:val="17"/>
    <w:qFormat/>
    <w:uiPriority w:val="0"/>
    <w:pPr>
      <w:framePr w:hSpace="0" w:wrap="around" w:xAlign="right"/>
      <w:jc w:val="right"/>
    </w:pPr>
  </w:style>
  <w:style w:type="paragraph" w:customStyle="1" w:styleId="20">
    <w:name w:val="其他发布部门"/>
    <w:basedOn w:val="21"/>
    <w:qFormat/>
    <w:uiPriority w:val="0"/>
    <w:pPr>
      <w:framePr w:wrap="around"/>
      <w:spacing w:line="0" w:lineRule="atLeast"/>
    </w:pPr>
    <w:rPr>
      <w:rFonts w:ascii="黑体" w:eastAsia="黑体"/>
      <w:b w:val="0"/>
    </w:rPr>
  </w:style>
  <w:style w:type="paragraph" w:customStyle="1" w:styleId="21">
    <w:name w:val="发布部门"/>
    <w:next w:val="12"/>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2">
    <w:name w:val="发布"/>
    <w:basedOn w:val="8"/>
    <w:qFormat/>
    <w:uiPriority w:val="0"/>
    <w:rPr>
      <w:rFonts w:ascii="黑体" w:eastAsia="黑体"/>
      <w:spacing w:val="85"/>
      <w:w w:val="100"/>
      <w:position w:val="3"/>
      <w:sz w:val="28"/>
      <w:szCs w:val="28"/>
    </w:rPr>
  </w:style>
  <w:style w:type="paragraph" w:customStyle="1" w:styleId="23">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24">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5">
    <w:name w:val="标准文件_章标题"/>
    <w:next w:val="12"/>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6">
    <w:name w:val="标准文件_术语条一"/>
    <w:basedOn w:val="27"/>
    <w:next w:val="12"/>
    <w:qFormat/>
    <w:uiPriority w:val="0"/>
  </w:style>
  <w:style w:type="paragraph" w:customStyle="1" w:styleId="27">
    <w:name w:val="标准文件_一级无标题"/>
    <w:basedOn w:val="28"/>
    <w:qFormat/>
    <w:uiPriority w:val="0"/>
    <w:pPr>
      <w:spacing w:before="0" w:beforeLines="0" w:after="0" w:afterLines="0"/>
      <w:outlineLvl w:val="9"/>
    </w:pPr>
    <w:rPr>
      <w:rFonts w:ascii="宋体" w:eastAsia="宋体"/>
    </w:rPr>
  </w:style>
  <w:style w:type="paragraph" w:customStyle="1" w:styleId="28">
    <w:name w:val="标准文件_一级条标题"/>
    <w:basedOn w:val="25"/>
    <w:next w:val="12"/>
    <w:qFormat/>
    <w:uiPriority w:val="0"/>
    <w:pPr>
      <w:numPr>
        <w:ilvl w:val="2"/>
      </w:numPr>
      <w:spacing w:before="50" w:beforeLines="50" w:after="50" w:afterLines="50"/>
      <w:ind w:left="0"/>
      <w:outlineLvl w:val="1"/>
    </w:pPr>
  </w:style>
  <w:style w:type="paragraph" w:customStyle="1" w:styleId="29">
    <w:name w:val="标准文件_注："/>
    <w:next w:val="12"/>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30">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31">
    <w:name w:val="标准文件_数字编号列项（二级）"/>
    <w:qFormat/>
    <w:uiPriority w:val="0"/>
    <w:pPr>
      <w:numPr>
        <w:ilvl w:val="1"/>
        <w:numId w:val="4"/>
      </w:numPr>
      <w:tabs>
        <w:tab w:val="left" w:pos="851"/>
      </w:tabs>
      <w:jc w:val="both"/>
    </w:pPr>
    <w:rPr>
      <w:rFonts w:ascii="宋体" w:hAnsi="Times New Roman" w:eastAsia="宋体" w:cs="Times New Roman"/>
      <w:sz w:val="21"/>
      <w:lang w:val="en-US" w:eastAsia="zh-CN" w:bidi="ar-SA"/>
    </w:rPr>
  </w:style>
  <w:style w:type="paragraph" w:customStyle="1" w:styleId="32">
    <w:name w:val="标准文件_二级无标题"/>
    <w:basedOn w:val="33"/>
    <w:qFormat/>
    <w:uiPriority w:val="0"/>
    <w:pPr>
      <w:spacing w:before="0" w:beforeLines="0" w:after="0" w:afterLines="0"/>
      <w:outlineLvl w:val="9"/>
    </w:pPr>
    <w:rPr>
      <w:rFonts w:ascii="宋体" w:eastAsia="宋体"/>
    </w:rPr>
  </w:style>
  <w:style w:type="paragraph" w:customStyle="1" w:styleId="33">
    <w:name w:val="标准文件_二级条标题"/>
    <w:next w:val="12"/>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4">
    <w:name w:val="标准文件_附录图标号"/>
    <w:basedOn w:val="12"/>
    <w:next w:val="1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35">
    <w:name w:val="标准文件_附录表标号"/>
    <w:basedOn w:val="12"/>
    <w:next w:val="12"/>
    <w:qFormat/>
    <w:uiPriority w:val="0"/>
    <w:pPr>
      <w:numPr>
        <w:ilvl w:val="0"/>
        <w:numId w:val="6"/>
      </w:numPr>
      <w:spacing w:line="14" w:lineRule="exact"/>
      <w:ind w:firstLine="0" w:firstLineChars="0"/>
      <w:jc w:val="center"/>
    </w:pPr>
    <w:rPr>
      <w:rFonts w:eastAsia="黑体"/>
      <w:vanish/>
      <w:sz w:val="2"/>
    </w:rPr>
  </w:style>
  <w:style w:type="paragraph" w:customStyle="1" w:styleId="36">
    <w:name w:val="标准文件_附录标识"/>
    <w:next w:val="12"/>
    <w:qFormat/>
    <w:uiPriority w:val="0"/>
    <w:pPr>
      <w:numPr>
        <w:ilvl w:val="0"/>
        <w:numId w:val="7"/>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3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3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39">
    <w:name w:val="段"/>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styleId="40">
    <w:name w:val="List Paragraph"/>
    <w:basedOn w:val="1"/>
    <w:qFormat/>
    <w:uiPriority w:val="1"/>
    <w:pPr>
      <w:spacing w:before="2"/>
      <w:ind w:left="1464" w:hanging="315"/>
    </w:pPr>
    <w:rPr>
      <w:rFonts w:ascii="宋体" w:hAnsi="宋体" w:eastAsia="宋体" w:cs="宋体"/>
      <w:lang w:val="en-US" w:eastAsia="zh-CN" w:bidi="ar-SA"/>
    </w:rPr>
  </w:style>
  <w:style w:type="paragraph" w:customStyle="1" w:styleId="41">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pn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93194bf-4ed3-4b64-b4c0-76001055c5c1}"/>
        <w:style w:val=""/>
        <w:category>
          <w:name w:val="常规"/>
          <w:gallery w:val="placeholder"/>
        </w:category>
        <w:types>
          <w:type w:val="bbPlcHdr"/>
        </w:types>
        <w:behaviors>
          <w:behavior w:val="content"/>
        </w:behaviors>
        <w:description w:val=""/>
        <w:guid w:val="{993194bf-4ed3-4b64-b4c0-76001055c5c1}"/>
      </w:docPartPr>
      <w:docPartBody>
        <w:p w14:paraId="2524D243">
          <w:pPr>
            <w:pStyle w:val="2"/>
          </w:pPr>
          <w:r>
            <w:rPr>
              <w:rStyle w:val="3"/>
              <w:rFonts w:hint="eastAsia"/>
            </w:rPr>
            <w:t>单击或点击此处输入文字。</w:t>
          </w:r>
        </w:p>
      </w:docPartBody>
    </w:docPart>
    <w:docPart>
      <w:docPartPr>
        <w:name w:val="{ace7a5bb-ea69-4424-9924-ee3ba5c5831c}"/>
        <w:style w:val=""/>
        <w:category>
          <w:name w:val="常规"/>
          <w:gallery w:val="placeholder"/>
        </w:category>
        <w:types>
          <w:type w:val="bbPlcHdr"/>
        </w:types>
        <w:behaviors>
          <w:behavior w:val="content"/>
        </w:behaviors>
        <w:description w:val=""/>
        <w:guid w:val="{ace7a5bb-ea69-4424-9924-ee3ba5c5831c}"/>
      </w:docPartPr>
      <w:docPartBody>
        <w:p w14:paraId="0E3DF73D">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38D46024F32E48FA8B6EB16081A3DF7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styleId="3">
    <w:name w:val="Placeholder Text"/>
    <w:basedOn w:val="1"/>
    <w:semiHidden/>
    <w:qFormat/>
    <w:uiPriority w:val="99"/>
    <w:rPr>
      <w:color w:val="808080"/>
    </w:rPr>
  </w:style>
  <w:style w:type="paragraph" w:customStyle="1" w:styleId="4">
    <w:name w:val="768E6ACFA2F74539962401006C7C5F9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5">
    <w:name w:val="FA8101ECA18142EFA5979D130D7ACD0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13330</Words>
  <Characters>14856</Characters>
  <Lines>0</Lines>
  <Paragraphs>0</Paragraphs>
  <TotalTime>13</TotalTime>
  <ScaleCrop>false</ScaleCrop>
  <LinksUpToDate>false</LinksUpToDate>
  <CharactersWithSpaces>15267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2025-02-18T00:47:00Z</dcterms:created>
  <dc:creator>watercat</dc:creator>
  <cp:lastModifiedBy>watercat</cp:lastModifiedBy>
  <dcterms:modified xsi:type="dcterms:W3CDTF">2025-02-19T02:02:53Z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4A6C7358334345D18A9893BDFB83FE6A_11</vt:lpwstr>
  </property>
  <property fmtid="{D5CDD505-2E9C-101B-9397-08002B2CF9AE}" pid="4" name="KSOTemplateDocerSaveRecord">
    <vt:lpwstr>eyJoZGlkIjoiMjBjZTQ4Yzk2ZGY1MTVmNmExOGExMjIwNzg4ZGZjZDUiLCJ1c2VySWQiOiI2MzIxNTcwODUifQ==</vt:lpwstr>
  </property>
</Properties>
</file>