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15"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43</w:t>
            </w:r>
            <w:r>
              <w:fldChar w:fldCharType="end"/>
            </w:r>
            <w:bookmarkEnd w:id="3"/>
          </w:p>
        </w:tc>
      </w:tr>
    </w:tbl>
    <w:p>
      <w:pPr>
        <w:pStyle w:val="50"/>
        <w:framePr w:w="9639" w:h="624" w:hRule="exact" w:hSpace="181" w:vSpace="181"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43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2025</w:t>
      </w:r>
      <w:r>
        <w:fldChar w:fldCharType="end"/>
      </w:r>
      <w:bookmarkEnd w:id="7"/>
    </w:p>
    <w:p>
      <w:pPr>
        <w:pStyle w:val="196"/>
        <w:framePr/>
        <w:rPr>
          <w:rFonts w:hint="eastAsia" w:hAnsi="黑体"/>
        </w:rPr>
      </w:pPr>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pPr>
        <w:pStyle w:val="50"/>
        <w:framePr w:w="9639" w:h="6976" w:hRule="exact" w:hSpace="0" w:vSpace="0" w:hAnchor="page" w:y="6408"/>
        <w:jc w:val="center"/>
        <w:rPr>
          <w:rFonts w:hint="eastAsia" w:ascii="黑体" w:hAnsi="黑体" w:eastAsia="黑体"/>
          <w:b w:val="0"/>
          <w:bCs w:val="0"/>
          <w:w w:val="100"/>
        </w:rPr>
      </w:pPr>
    </w:p>
    <w:p>
      <w:pPr>
        <w:pStyle w:val="197"/>
        <w:framePr w:h="6974" w:hRule="exact"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商品猪中草药无抗饲养</w:t>
      </w:r>
    </w:p>
    <w:p>
      <w:pPr>
        <w:pStyle w:val="197"/>
        <w:framePr w:h="6974" w:hRule="exact" w:x="1419" w:anchorLock="1"/>
        <w:rPr>
          <w:rFonts w:hint="eastAsia"/>
        </w:rPr>
      </w:pPr>
      <w:r>
        <w:rPr>
          <w:rFonts w:hint="eastAsia"/>
        </w:rPr>
        <w:t>技术规程</w:t>
      </w:r>
      <w:r>
        <w:fldChar w:fldCharType="end"/>
      </w:r>
      <w:bookmarkEnd w:id="8"/>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hint="eastAsia" w:eastAsia="黑体"/>
          <w:szCs w:val="28"/>
        </w:rPr>
        <w:t>Code for non-resistant Chinese herbal feeding</w:t>
      </w:r>
    </w:p>
    <w:p>
      <w:pPr>
        <w:pStyle w:val="125"/>
        <w:framePr w:w="9639" w:h="6974" w:hRule="exact" w:wrap="around" w:vAnchor="page" w:hAnchor="page" w:x="1419" w:y="6408" w:anchorLock="1"/>
        <w:textAlignment w:val="bottom"/>
        <w:rPr>
          <w:rFonts w:eastAsia="黑体"/>
          <w:szCs w:val="28"/>
        </w:rPr>
      </w:pPr>
      <w:r>
        <w:rPr>
          <w:rFonts w:hint="eastAsia" w:eastAsia="黑体"/>
          <w:szCs w:val="28"/>
        </w:rPr>
        <w:t>of commercial pigs</w:t>
      </w:r>
      <w:r>
        <w:rPr>
          <w:rFonts w:eastAsia="黑体"/>
          <w:szCs w:val="28"/>
        </w:rPr>
        <w:fldChar w:fldCharType="end"/>
      </w:r>
      <w:bookmarkEnd w:id="9"/>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5"/>
        <w:framePr w:w="9639" w:h="6974" w:hRule="exact" w:wrap="around" w:vAnchor="page" w:hAnchor="page" w:x="1419" w:y="6408" w:anchorLock="1"/>
        <w:spacing w:before="180" w:line="240" w:lineRule="atLeast"/>
        <w:textAlignment w:val="bottom"/>
        <w:rPr>
          <w:sz w:val="21"/>
          <w:szCs w:val="28"/>
        </w:rPr>
      </w:pPr>
    </w:p>
    <w:p>
      <w:pPr>
        <w:pStyle w:val="125"/>
        <w:framePr w:w="9639" w:h="6974" w:hRule="exact" w:wrap="around" w:vAnchor="page" w:hAnchor="page" w:x="1419" w:y="6408" w:anchorLock="1"/>
        <w:spacing w:before="720" w:beforeLines="300" w:after="72" w:afterLines="30" w:line="240" w:lineRule="auto"/>
        <w:textAlignment w:val="bottom"/>
        <w:rPr>
          <w:b/>
          <w:sz w:val="21"/>
          <w:szCs w:val="28"/>
        </w:rPr>
      </w:pPr>
    </w:p>
    <w:p>
      <w:pPr>
        <w:pStyle w:val="193"/>
        <w:framePr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hint="eastAsia" w:ascii="黑体"/>
        </w:rPr>
        <w:t>2025</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pPr>
        <w:pStyle w:val="194"/>
        <w:framePr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hint="eastAsia" w:ascii="黑体"/>
        </w:rPr>
        <w:t>2025</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pPr>
        <w:pStyle w:val="151"/>
        <w:framePr w:h="584" w:hRule="exact" w:hSpace="181" w:vSpace="181" w:y="15027"/>
        <w:rPr>
          <w:rFonts w:hint="eastAsia"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17"/>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3360;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pPr>
        <w:pStyle w:val="91"/>
        <w:spacing w:after="468"/>
      </w:pPr>
      <w:bookmarkStart w:id="18" w:name="BookMark1"/>
      <w:r>
        <w:rPr>
          <w:rFonts w:hint="eastAsia"/>
          <w:spacing w:val="320"/>
        </w:rPr>
        <w:t>目</w:t>
      </w:r>
      <w:r>
        <w:rPr>
          <w:rFonts w:hint="eastAsia"/>
        </w:rPr>
        <w:t>次</w:t>
      </w:r>
    </w:p>
    <w:p>
      <w:pPr>
        <w:pStyle w:val="19"/>
        <w:tabs>
          <w:tab w:val="right" w:leader="dot" w:pos="9354"/>
        </w:tabs>
        <w:rPr>
          <w:rFonts w:ascii="黑体" w:eastAsia="黑体"/>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"_Toc21770" </w:instrText>
      </w:r>
      <w:r>
        <w:fldChar w:fldCharType="separate"/>
      </w:r>
      <w:r>
        <w:rPr>
          <w:rFonts w:hint="eastAsia" w:ascii="黑体" w:eastAsia="黑体"/>
          <w:spacing w:val="320"/>
        </w:rPr>
        <w:t>前</w:t>
      </w:r>
      <w:r>
        <w:rPr>
          <w:rFonts w:hint="eastAsia" w:ascii="黑体" w:eastAsia="黑体"/>
        </w:rPr>
        <w:t>言</w:t>
      </w:r>
      <w:r>
        <w:rPr>
          <w:rFonts w:ascii="黑体" w:eastAsia="黑体"/>
        </w:rPr>
        <w:tab/>
      </w:r>
      <w:r>
        <w:rPr>
          <w:rFonts w:ascii="黑体" w:eastAsia="黑体"/>
        </w:rPr>
        <w:fldChar w:fldCharType="begin"/>
      </w:r>
      <w:r>
        <w:rPr>
          <w:rFonts w:ascii="黑体" w:eastAsia="黑体"/>
        </w:rPr>
        <w:instrText xml:space="preserve"> PAGEREF _Toc21770 </w:instrText>
      </w:r>
      <w:r>
        <w:rPr>
          <w:rFonts w:ascii="黑体" w:eastAsia="黑体"/>
        </w:rPr>
        <w:fldChar w:fldCharType="separate"/>
      </w:r>
      <w:r>
        <w:rPr>
          <w:rFonts w:ascii="黑体" w:eastAsia="黑体"/>
        </w:rPr>
        <w:t>II</w:t>
      </w:r>
      <w:r>
        <w:rPr>
          <w:rFonts w:ascii="黑体" w:eastAsia="黑体"/>
        </w:rPr>
        <w:fldChar w:fldCharType="end"/>
      </w:r>
      <w:r>
        <w:rPr>
          <w:rFonts w:ascii="黑体" w:eastAsia="黑体"/>
        </w:rPr>
        <w:fldChar w:fldCharType="end"/>
      </w:r>
    </w:p>
    <w:p>
      <w:pPr>
        <w:pStyle w:val="19"/>
        <w:tabs>
          <w:tab w:val="right" w:leader="dot" w:pos="9354"/>
        </w:tabs>
        <w:rPr>
          <w:rFonts w:ascii="黑体" w:eastAsia="黑体"/>
        </w:rPr>
      </w:pPr>
      <w:r>
        <w:fldChar w:fldCharType="begin"/>
      </w:r>
      <w:r>
        <w:instrText xml:space="preserve"> HYPERLINK \l "_Toc20575" </w:instrText>
      </w:r>
      <w:r>
        <w:fldChar w:fldCharType="separate"/>
      </w:r>
      <w:r>
        <w:rPr>
          <w:rFonts w:ascii="黑体" w:eastAsia="黑体"/>
        </w:rPr>
        <w:t>1</w:t>
      </w:r>
      <w:r>
        <w:rPr>
          <w:rFonts w:hint="eastAsia" w:ascii="黑体" w:hAnsi="Times New Roman" w:eastAsia="黑体"/>
        </w:rPr>
        <w:t xml:space="preserve"> </w:t>
      </w:r>
      <w:r>
        <w:rPr>
          <w:rFonts w:hint="eastAsia" w:ascii="黑体" w:eastAsia="黑体"/>
        </w:rPr>
        <w:t>范围</w:t>
      </w:r>
      <w:r>
        <w:rPr>
          <w:rFonts w:ascii="黑体" w:eastAsia="黑体"/>
        </w:rPr>
        <w:tab/>
      </w:r>
      <w:r>
        <w:rPr>
          <w:rFonts w:ascii="黑体" w:eastAsia="黑体"/>
        </w:rPr>
        <w:fldChar w:fldCharType="begin"/>
      </w:r>
      <w:r>
        <w:rPr>
          <w:rFonts w:ascii="黑体" w:eastAsia="黑体"/>
        </w:rPr>
        <w:instrText xml:space="preserve"> PAGEREF _Toc20575 </w:instrText>
      </w:r>
      <w:r>
        <w:rPr>
          <w:rFonts w:ascii="黑体" w:eastAsia="黑体"/>
        </w:rPr>
        <w:fldChar w:fldCharType="separate"/>
      </w:r>
      <w:r>
        <w:rPr>
          <w:rFonts w:ascii="黑体" w:eastAsia="黑体"/>
        </w:rPr>
        <w:t>1</w:t>
      </w:r>
      <w:r>
        <w:rPr>
          <w:rFonts w:ascii="黑体" w:eastAsia="黑体"/>
        </w:rPr>
        <w:fldChar w:fldCharType="end"/>
      </w:r>
      <w:r>
        <w:rPr>
          <w:rFonts w:ascii="黑体" w:eastAsia="黑体"/>
        </w:rPr>
        <w:fldChar w:fldCharType="end"/>
      </w:r>
    </w:p>
    <w:p>
      <w:pPr>
        <w:pStyle w:val="19"/>
        <w:tabs>
          <w:tab w:val="right" w:leader="dot" w:pos="9354"/>
        </w:tabs>
        <w:rPr>
          <w:rFonts w:ascii="黑体" w:eastAsia="黑体"/>
        </w:rPr>
      </w:pPr>
      <w:r>
        <w:fldChar w:fldCharType="begin"/>
      </w:r>
      <w:r>
        <w:instrText xml:space="preserve"> HYPERLINK \l "_Toc30774" </w:instrText>
      </w:r>
      <w:r>
        <w:fldChar w:fldCharType="separate"/>
      </w:r>
      <w:r>
        <w:rPr>
          <w:rFonts w:ascii="黑体" w:eastAsia="黑体"/>
        </w:rPr>
        <w:t>2</w:t>
      </w:r>
      <w:r>
        <w:rPr>
          <w:rFonts w:hint="eastAsia" w:ascii="黑体" w:hAnsi="Times New Roman" w:eastAsia="黑体"/>
        </w:rPr>
        <w:t xml:space="preserve"> </w:t>
      </w:r>
      <w:r>
        <w:rPr>
          <w:rFonts w:hint="eastAsia" w:ascii="黑体" w:eastAsia="黑体"/>
        </w:rPr>
        <w:t>规范性引用文件</w:t>
      </w:r>
      <w:r>
        <w:rPr>
          <w:rFonts w:ascii="黑体" w:eastAsia="黑体"/>
        </w:rPr>
        <w:tab/>
      </w:r>
      <w:r>
        <w:rPr>
          <w:rFonts w:ascii="黑体" w:eastAsia="黑体"/>
        </w:rPr>
        <w:fldChar w:fldCharType="begin"/>
      </w:r>
      <w:r>
        <w:rPr>
          <w:rFonts w:ascii="黑体" w:eastAsia="黑体"/>
        </w:rPr>
        <w:instrText xml:space="preserve"> PAGEREF _Toc30774 </w:instrText>
      </w:r>
      <w:r>
        <w:rPr>
          <w:rFonts w:ascii="黑体" w:eastAsia="黑体"/>
        </w:rPr>
        <w:fldChar w:fldCharType="separate"/>
      </w:r>
      <w:r>
        <w:rPr>
          <w:rFonts w:ascii="黑体" w:eastAsia="黑体"/>
        </w:rPr>
        <w:t>1</w:t>
      </w:r>
      <w:r>
        <w:rPr>
          <w:rFonts w:ascii="黑体" w:eastAsia="黑体"/>
        </w:rPr>
        <w:fldChar w:fldCharType="end"/>
      </w:r>
      <w:r>
        <w:rPr>
          <w:rFonts w:ascii="黑体" w:eastAsia="黑体"/>
        </w:rPr>
        <w:fldChar w:fldCharType="end"/>
      </w:r>
    </w:p>
    <w:p>
      <w:pPr>
        <w:pStyle w:val="19"/>
        <w:tabs>
          <w:tab w:val="right" w:leader="dot" w:pos="9354"/>
        </w:tabs>
        <w:rPr>
          <w:rFonts w:ascii="黑体" w:eastAsia="黑体"/>
        </w:rPr>
      </w:pPr>
      <w:r>
        <w:fldChar w:fldCharType="begin"/>
      </w:r>
      <w:r>
        <w:instrText xml:space="preserve"> HYPERLINK \l "_Toc14937" </w:instrText>
      </w:r>
      <w:r>
        <w:fldChar w:fldCharType="separate"/>
      </w:r>
      <w:r>
        <w:rPr>
          <w:rFonts w:ascii="黑体" w:eastAsia="黑体"/>
        </w:rPr>
        <w:t>3</w:t>
      </w:r>
      <w:r>
        <w:rPr>
          <w:rFonts w:hint="eastAsia" w:ascii="黑体" w:hAnsi="Times New Roman" w:eastAsia="黑体"/>
        </w:rPr>
        <w:t xml:space="preserve"> </w:t>
      </w:r>
      <w:r>
        <w:rPr>
          <w:rFonts w:hint="eastAsia" w:ascii="黑体" w:eastAsia="黑体"/>
        </w:rPr>
        <w:t>术语和定义</w:t>
      </w:r>
      <w:r>
        <w:rPr>
          <w:rFonts w:ascii="黑体" w:eastAsia="黑体"/>
        </w:rPr>
        <w:tab/>
      </w:r>
      <w:r>
        <w:rPr>
          <w:rFonts w:ascii="黑体" w:eastAsia="黑体"/>
        </w:rPr>
        <w:fldChar w:fldCharType="begin"/>
      </w:r>
      <w:r>
        <w:rPr>
          <w:rFonts w:ascii="黑体" w:eastAsia="黑体"/>
        </w:rPr>
        <w:instrText xml:space="preserve"> PAGEREF _Toc14937 </w:instrText>
      </w:r>
      <w:r>
        <w:rPr>
          <w:rFonts w:ascii="黑体" w:eastAsia="黑体"/>
        </w:rPr>
        <w:fldChar w:fldCharType="separate"/>
      </w:r>
      <w:r>
        <w:rPr>
          <w:rFonts w:ascii="黑体" w:eastAsia="黑体"/>
        </w:rPr>
        <w:t>1</w:t>
      </w:r>
      <w:r>
        <w:rPr>
          <w:rFonts w:ascii="黑体" w:eastAsia="黑体"/>
        </w:rPr>
        <w:fldChar w:fldCharType="end"/>
      </w:r>
      <w:r>
        <w:rPr>
          <w:rFonts w:ascii="黑体" w:eastAsia="黑体"/>
        </w:rPr>
        <w:fldChar w:fldCharType="end"/>
      </w:r>
    </w:p>
    <w:p>
      <w:pPr>
        <w:pStyle w:val="19"/>
        <w:tabs>
          <w:tab w:val="right" w:leader="dot" w:pos="9354"/>
        </w:tabs>
        <w:rPr>
          <w:rFonts w:ascii="黑体" w:eastAsia="黑体"/>
        </w:rPr>
      </w:pPr>
      <w:r>
        <w:fldChar w:fldCharType="begin"/>
      </w:r>
      <w:r>
        <w:instrText xml:space="preserve"> HYPERLINK \l "_Toc29034" </w:instrText>
      </w:r>
      <w:r>
        <w:fldChar w:fldCharType="separate"/>
      </w:r>
      <w:r>
        <w:rPr>
          <w:rFonts w:ascii="黑体" w:eastAsia="黑体"/>
        </w:rPr>
        <w:t>4</w:t>
      </w:r>
      <w:r>
        <w:rPr>
          <w:rFonts w:hint="eastAsia" w:ascii="黑体" w:hAnsi="Times New Roman" w:eastAsia="黑体"/>
        </w:rPr>
        <w:t xml:space="preserve"> </w:t>
      </w:r>
      <w:r>
        <w:rPr>
          <w:rFonts w:hint="eastAsia" w:ascii="黑体" w:eastAsia="黑体"/>
        </w:rPr>
        <w:t>猪场要求</w:t>
      </w:r>
      <w:r>
        <w:rPr>
          <w:rFonts w:ascii="黑体" w:eastAsia="黑体"/>
        </w:rPr>
        <w:tab/>
      </w:r>
      <w:r>
        <w:rPr>
          <w:rFonts w:ascii="黑体" w:eastAsia="黑体"/>
        </w:rPr>
        <w:fldChar w:fldCharType="begin"/>
      </w:r>
      <w:r>
        <w:rPr>
          <w:rFonts w:ascii="黑体" w:eastAsia="黑体"/>
        </w:rPr>
        <w:instrText xml:space="preserve"> PAGEREF _Toc29034 </w:instrText>
      </w:r>
      <w:r>
        <w:rPr>
          <w:rFonts w:ascii="黑体" w:eastAsia="黑体"/>
        </w:rPr>
        <w:fldChar w:fldCharType="separate"/>
      </w:r>
      <w:r>
        <w:rPr>
          <w:rFonts w:ascii="黑体" w:eastAsia="黑体"/>
        </w:rPr>
        <w:t>2</w:t>
      </w:r>
      <w:r>
        <w:rPr>
          <w:rFonts w:ascii="黑体" w:eastAsia="黑体"/>
        </w:rPr>
        <w:fldChar w:fldCharType="end"/>
      </w:r>
      <w:r>
        <w:rPr>
          <w:rFonts w:ascii="黑体" w:eastAsia="黑体"/>
        </w:rPr>
        <w:fldChar w:fldCharType="end"/>
      </w:r>
    </w:p>
    <w:p>
      <w:pPr>
        <w:pStyle w:val="19"/>
        <w:tabs>
          <w:tab w:val="right" w:leader="dot" w:pos="9354"/>
        </w:tabs>
        <w:rPr>
          <w:rFonts w:ascii="黑体" w:eastAsia="黑体"/>
        </w:rPr>
      </w:pPr>
      <w:r>
        <w:fldChar w:fldCharType="begin"/>
      </w:r>
      <w:r>
        <w:instrText xml:space="preserve"> HYPERLINK \l "_Toc5244" </w:instrText>
      </w:r>
      <w:r>
        <w:fldChar w:fldCharType="separate"/>
      </w:r>
      <w:r>
        <w:rPr>
          <w:rFonts w:ascii="黑体" w:eastAsia="黑体"/>
        </w:rPr>
        <w:t>5</w:t>
      </w:r>
      <w:r>
        <w:rPr>
          <w:rFonts w:hint="eastAsia" w:ascii="黑体" w:hAnsi="Times New Roman" w:eastAsia="黑体"/>
        </w:rPr>
        <w:t xml:space="preserve"> </w:t>
      </w:r>
      <w:r>
        <w:rPr>
          <w:rFonts w:hint="eastAsia" w:ascii="黑体" w:eastAsia="黑体"/>
        </w:rPr>
        <w:t>微纳米中草药饲料添加剂</w:t>
      </w:r>
      <w:r>
        <w:rPr>
          <w:rFonts w:ascii="黑体" w:eastAsia="黑体"/>
        </w:rPr>
        <w:tab/>
      </w:r>
      <w:r>
        <w:rPr>
          <w:rFonts w:ascii="黑体" w:eastAsia="黑体"/>
        </w:rPr>
        <w:fldChar w:fldCharType="begin"/>
      </w:r>
      <w:r>
        <w:rPr>
          <w:rFonts w:ascii="黑体" w:eastAsia="黑体"/>
        </w:rPr>
        <w:instrText xml:space="preserve"> PAGEREF _Toc5244 </w:instrText>
      </w:r>
      <w:r>
        <w:rPr>
          <w:rFonts w:ascii="黑体" w:eastAsia="黑体"/>
        </w:rPr>
        <w:fldChar w:fldCharType="separate"/>
      </w:r>
      <w:r>
        <w:rPr>
          <w:rFonts w:ascii="黑体" w:eastAsia="黑体"/>
        </w:rPr>
        <w:t>2</w:t>
      </w:r>
      <w:r>
        <w:rPr>
          <w:rFonts w:ascii="黑体" w:eastAsia="黑体"/>
        </w:rPr>
        <w:fldChar w:fldCharType="end"/>
      </w:r>
      <w:r>
        <w:rPr>
          <w:rFonts w:ascii="黑体" w:eastAsia="黑体"/>
        </w:rPr>
        <w:fldChar w:fldCharType="end"/>
      </w:r>
    </w:p>
    <w:p>
      <w:pPr>
        <w:pStyle w:val="24"/>
        <w:tabs>
          <w:tab w:val="right" w:leader="dot" w:pos="9354"/>
          <w:tab w:val="clear" w:pos="9344"/>
        </w:tabs>
        <w:rPr>
          <w:rFonts w:ascii="黑体" w:eastAsia="黑体"/>
        </w:rPr>
      </w:pPr>
      <w:r>
        <w:fldChar w:fldCharType="begin"/>
      </w:r>
      <w:r>
        <w:instrText xml:space="preserve"> HYPERLINK \l "_Toc20578" </w:instrText>
      </w:r>
      <w:r>
        <w:fldChar w:fldCharType="separate"/>
      </w:r>
      <w:r>
        <w:rPr>
          <w:rFonts w:ascii="黑体" w:eastAsia="黑体"/>
        </w:rPr>
        <w:t>5</w:t>
      </w:r>
      <w:r>
        <w:rPr>
          <w:rFonts w:hint="eastAsia" w:ascii="黑体" w:hAnsi="Times New Roman" w:eastAsia="黑体"/>
          <w:color w:val="000000"/>
          <w:kern w:val="0"/>
          <w14:scene3d w14:prst="orthographicFront">
            <w14:lightRig w14:rig="threePt" w14:dir="t">
              <w14:rot w14:lat="0" w14:lon="0" w14:rev="0"/>
            </w14:lightRig>
          </w14:scene3d>
        </w:rPr>
        <w:t xml:space="preserve">.1 </w:t>
      </w:r>
      <w:r>
        <w:rPr>
          <w:rFonts w:hint="eastAsia" w:ascii="黑体" w:eastAsia="黑体"/>
        </w:rPr>
        <w:t>选材</w:t>
      </w:r>
      <w:r>
        <w:rPr>
          <w:rFonts w:ascii="黑体" w:eastAsia="黑体"/>
        </w:rPr>
        <w:tab/>
      </w:r>
      <w:r>
        <w:rPr>
          <w:rFonts w:ascii="黑体" w:eastAsia="黑体"/>
        </w:rPr>
        <w:fldChar w:fldCharType="begin"/>
      </w:r>
      <w:r>
        <w:rPr>
          <w:rFonts w:ascii="黑体" w:eastAsia="黑体"/>
        </w:rPr>
        <w:instrText xml:space="preserve"> PAGEREF _Toc20578 </w:instrText>
      </w:r>
      <w:r>
        <w:rPr>
          <w:rFonts w:ascii="黑体" w:eastAsia="黑体"/>
        </w:rPr>
        <w:fldChar w:fldCharType="separate"/>
      </w:r>
      <w:r>
        <w:rPr>
          <w:rFonts w:ascii="黑体" w:eastAsia="黑体"/>
        </w:rPr>
        <w:t>2</w:t>
      </w:r>
      <w:r>
        <w:rPr>
          <w:rFonts w:ascii="黑体" w:eastAsia="黑体"/>
        </w:rPr>
        <w:fldChar w:fldCharType="end"/>
      </w:r>
      <w:r>
        <w:rPr>
          <w:rFonts w:ascii="黑体" w:eastAsia="黑体"/>
        </w:rPr>
        <w:fldChar w:fldCharType="end"/>
      </w:r>
    </w:p>
    <w:p>
      <w:pPr>
        <w:pStyle w:val="24"/>
        <w:tabs>
          <w:tab w:val="right" w:leader="dot" w:pos="9354"/>
          <w:tab w:val="clear" w:pos="9344"/>
        </w:tabs>
        <w:rPr>
          <w:rFonts w:ascii="黑体" w:eastAsia="黑体"/>
        </w:rPr>
      </w:pPr>
      <w:r>
        <w:fldChar w:fldCharType="begin"/>
      </w:r>
      <w:r>
        <w:instrText xml:space="preserve"> HYPERLINK \l "_Toc29582" </w:instrText>
      </w:r>
      <w:r>
        <w:fldChar w:fldCharType="separate"/>
      </w:r>
      <w:r>
        <w:rPr>
          <w:rFonts w:ascii="黑体" w:eastAsia="黑体"/>
        </w:rPr>
        <w:t>5</w:t>
      </w:r>
      <w:r>
        <w:rPr>
          <w:rFonts w:hint="eastAsia" w:ascii="黑体" w:hAnsi="Times New Roman" w:eastAsia="黑体"/>
          <w:color w:val="000000"/>
          <w:kern w:val="0"/>
          <w14:scene3d w14:prst="orthographicFront">
            <w14:lightRig w14:rig="threePt" w14:dir="t">
              <w14:rot w14:lat="0" w14:lon="0" w14:rev="0"/>
            </w14:lightRig>
          </w14:scene3d>
        </w:rPr>
        <w:t xml:space="preserve">.2 </w:t>
      </w:r>
      <w:r>
        <w:rPr>
          <w:rFonts w:hint="eastAsia" w:ascii="黑体" w:eastAsia="黑体"/>
        </w:rPr>
        <w:t>组成</w:t>
      </w:r>
      <w:r>
        <w:rPr>
          <w:rFonts w:ascii="黑体" w:eastAsia="黑体"/>
        </w:rPr>
        <w:tab/>
      </w:r>
      <w:r>
        <w:rPr>
          <w:rFonts w:ascii="黑体" w:eastAsia="黑体"/>
        </w:rPr>
        <w:fldChar w:fldCharType="begin"/>
      </w:r>
      <w:r>
        <w:rPr>
          <w:rFonts w:ascii="黑体" w:eastAsia="黑体"/>
        </w:rPr>
        <w:instrText xml:space="preserve"> PAGEREF _Toc29582 </w:instrText>
      </w:r>
      <w:r>
        <w:rPr>
          <w:rFonts w:ascii="黑体" w:eastAsia="黑体"/>
        </w:rPr>
        <w:fldChar w:fldCharType="separate"/>
      </w:r>
      <w:r>
        <w:rPr>
          <w:rFonts w:ascii="黑体" w:eastAsia="黑体"/>
        </w:rPr>
        <w:t>2</w:t>
      </w:r>
      <w:r>
        <w:rPr>
          <w:rFonts w:ascii="黑体" w:eastAsia="黑体"/>
        </w:rPr>
        <w:fldChar w:fldCharType="end"/>
      </w:r>
      <w:r>
        <w:rPr>
          <w:rFonts w:ascii="黑体" w:eastAsia="黑体"/>
        </w:rPr>
        <w:fldChar w:fldCharType="end"/>
      </w:r>
    </w:p>
    <w:p>
      <w:pPr>
        <w:pStyle w:val="24"/>
        <w:tabs>
          <w:tab w:val="right" w:leader="dot" w:pos="9354"/>
          <w:tab w:val="clear" w:pos="9344"/>
        </w:tabs>
        <w:rPr>
          <w:rFonts w:ascii="黑体" w:eastAsia="黑体"/>
        </w:rPr>
      </w:pPr>
      <w:r>
        <w:fldChar w:fldCharType="begin"/>
      </w:r>
      <w:r>
        <w:instrText xml:space="preserve"> HYPERLINK \l "_Toc29411" </w:instrText>
      </w:r>
      <w:r>
        <w:fldChar w:fldCharType="separate"/>
      </w:r>
      <w:r>
        <w:rPr>
          <w:rFonts w:ascii="黑体" w:eastAsia="黑体"/>
        </w:rPr>
        <w:t>5</w:t>
      </w:r>
      <w:r>
        <w:rPr>
          <w:rFonts w:hint="eastAsia" w:ascii="黑体" w:hAnsi="Times New Roman" w:eastAsia="黑体"/>
          <w:color w:val="000000"/>
          <w:kern w:val="0"/>
          <w14:scene3d w14:prst="orthographicFront">
            <w14:lightRig w14:rig="threePt" w14:dir="t">
              <w14:rot w14:lat="0" w14:lon="0" w14:rev="0"/>
            </w14:lightRig>
          </w14:scene3d>
        </w:rPr>
        <w:t xml:space="preserve">.3 </w:t>
      </w:r>
      <w:r>
        <w:rPr>
          <w:rFonts w:hint="eastAsia" w:ascii="黑体" w:eastAsia="黑体"/>
        </w:rPr>
        <w:t>工艺流程</w:t>
      </w:r>
      <w:r>
        <w:rPr>
          <w:rFonts w:ascii="黑体" w:eastAsia="黑体"/>
        </w:rPr>
        <w:tab/>
      </w:r>
      <w:r>
        <w:rPr>
          <w:rFonts w:ascii="黑体" w:eastAsia="黑体"/>
        </w:rPr>
        <w:fldChar w:fldCharType="begin"/>
      </w:r>
      <w:r>
        <w:rPr>
          <w:rFonts w:ascii="黑体" w:eastAsia="黑体"/>
        </w:rPr>
        <w:instrText xml:space="preserve"> PAGEREF _Toc29411 </w:instrText>
      </w:r>
      <w:r>
        <w:rPr>
          <w:rFonts w:ascii="黑体" w:eastAsia="黑体"/>
        </w:rPr>
        <w:fldChar w:fldCharType="separate"/>
      </w:r>
      <w:r>
        <w:rPr>
          <w:rFonts w:ascii="黑体" w:eastAsia="黑体"/>
        </w:rPr>
        <w:t>2</w:t>
      </w:r>
      <w:r>
        <w:rPr>
          <w:rFonts w:ascii="黑体" w:eastAsia="黑体"/>
        </w:rPr>
        <w:fldChar w:fldCharType="end"/>
      </w:r>
      <w:r>
        <w:rPr>
          <w:rFonts w:ascii="黑体" w:eastAsia="黑体"/>
        </w:rPr>
        <w:fldChar w:fldCharType="end"/>
      </w:r>
    </w:p>
    <w:p>
      <w:pPr>
        <w:pStyle w:val="19"/>
        <w:tabs>
          <w:tab w:val="right" w:leader="dot" w:pos="9354"/>
        </w:tabs>
        <w:rPr>
          <w:rFonts w:ascii="黑体" w:eastAsia="黑体"/>
        </w:rPr>
      </w:pPr>
      <w:r>
        <w:fldChar w:fldCharType="begin"/>
      </w:r>
      <w:r>
        <w:instrText xml:space="preserve"> HYPERLINK \l "_Toc12804" </w:instrText>
      </w:r>
      <w:r>
        <w:fldChar w:fldCharType="separate"/>
      </w:r>
      <w:r>
        <w:rPr>
          <w:rFonts w:ascii="黑体" w:eastAsia="黑体"/>
        </w:rPr>
        <w:t>6</w:t>
      </w:r>
      <w:r>
        <w:rPr>
          <w:rFonts w:hint="eastAsia" w:ascii="黑体" w:hAnsi="Times New Roman" w:eastAsia="黑体"/>
        </w:rPr>
        <w:t xml:space="preserve"> </w:t>
      </w:r>
      <w:r>
        <w:rPr>
          <w:rFonts w:hint="eastAsia" w:ascii="黑体" w:eastAsia="黑体"/>
        </w:rPr>
        <w:t>饲养管理</w:t>
      </w:r>
      <w:r>
        <w:rPr>
          <w:rFonts w:ascii="黑体" w:eastAsia="黑体"/>
        </w:rPr>
        <w:tab/>
      </w:r>
      <w:r>
        <w:rPr>
          <w:rFonts w:ascii="黑体" w:eastAsia="黑体"/>
        </w:rPr>
        <w:fldChar w:fldCharType="begin"/>
      </w:r>
      <w:r>
        <w:rPr>
          <w:rFonts w:ascii="黑体" w:eastAsia="黑体"/>
        </w:rPr>
        <w:instrText xml:space="preserve"> PAGEREF _Toc12804 </w:instrText>
      </w:r>
      <w:r>
        <w:rPr>
          <w:rFonts w:ascii="黑体" w:eastAsia="黑体"/>
        </w:rPr>
        <w:fldChar w:fldCharType="separate"/>
      </w:r>
      <w:r>
        <w:rPr>
          <w:rFonts w:ascii="黑体" w:eastAsia="黑体"/>
        </w:rPr>
        <w:t>2</w:t>
      </w:r>
      <w:r>
        <w:rPr>
          <w:rFonts w:ascii="黑体" w:eastAsia="黑体"/>
        </w:rPr>
        <w:fldChar w:fldCharType="end"/>
      </w:r>
      <w:r>
        <w:rPr>
          <w:rFonts w:ascii="黑体" w:eastAsia="黑体"/>
        </w:rPr>
        <w:fldChar w:fldCharType="end"/>
      </w:r>
    </w:p>
    <w:p>
      <w:pPr>
        <w:pStyle w:val="24"/>
        <w:tabs>
          <w:tab w:val="right" w:leader="dot" w:pos="9354"/>
          <w:tab w:val="clear" w:pos="9344"/>
        </w:tabs>
        <w:rPr>
          <w:rFonts w:ascii="黑体" w:eastAsia="黑体"/>
        </w:rPr>
      </w:pPr>
      <w:r>
        <w:fldChar w:fldCharType="begin"/>
      </w:r>
      <w:r>
        <w:instrText xml:space="preserve"> HYPERLINK \l "_Toc5677" </w:instrText>
      </w:r>
      <w:r>
        <w:fldChar w:fldCharType="separate"/>
      </w:r>
      <w:r>
        <w:rPr>
          <w:rFonts w:ascii="黑体" w:eastAsia="黑体"/>
        </w:rPr>
        <w:t>6</w:t>
      </w:r>
      <w:r>
        <w:rPr>
          <w:rFonts w:hint="eastAsia" w:ascii="黑体" w:hAnsi="Times New Roman" w:eastAsia="黑体"/>
          <w:color w:val="000000"/>
          <w:kern w:val="0"/>
          <w14:scene3d w14:prst="orthographicFront">
            <w14:lightRig w14:rig="threePt" w14:dir="t">
              <w14:rot w14:lat="0" w14:lon="0" w14:rev="0"/>
            </w14:lightRig>
          </w14:scene3d>
        </w:rPr>
        <w:t xml:space="preserve">.1 </w:t>
      </w:r>
      <w:r>
        <w:rPr>
          <w:rFonts w:hint="eastAsia" w:ascii="黑体" w:eastAsia="黑体"/>
        </w:rPr>
        <w:t>饲料原料</w:t>
      </w:r>
      <w:r>
        <w:rPr>
          <w:rFonts w:ascii="黑体" w:eastAsia="黑体"/>
        </w:rPr>
        <w:tab/>
      </w:r>
      <w:r>
        <w:rPr>
          <w:rFonts w:ascii="黑体" w:eastAsia="黑体"/>
        </w:rPr>
        <w:fldChar w:fldCharType="begin"/>
      </w:r>
      <w:r>
        <w:rPr>
          <w:rFonts w:ascii="黑体" w:eastAsia="黑体"/>
        </w:rPr>
        <w:instrText xml:space="preserve"> PAGEREF _Toc5677 </w:instrText>
      </w:r>
      <w:r>
        <w:rPr>
          <w:rFonts w:ascii="黑体" w:eastAsia="黑体"/>
        </w:rPr>
        <w:fldChar w:fldCharType="separate"/>
      </w:r>
      <w:r>
        <w:rPr>
          <w:rFonts w:ascii="黑体" w:eastAsia="黑体"/>
        </w:rPr>
        <w:t>3</w:t>
      </w:r>
      <w:r>
        <w:rPr>
          <w:rFonts w:ascii="黑体" w:eastAsia="黑体"/>
        </w:rPr>
        <w:fldChar w:fldCharType="end"/>
      </w:r>
      <w:r>
        <w:rPr>
          <w:rFonts w:ascii="黑体" w:eastAsia="黑体"/>
        </w:rPr>
        <w:fldChar w:fldCharType="end"/>
      </w:r>
    </w:p>
    <w:p>
      <w:pPr>
        <w:pStyle w:val="24"/>
        <w:tabs>
          <w:tab w:val="right" w:leader="dot" w:pos="9354"/>
          <w:tab w:val="clear" w:pos="9344"/>
        </w:tabs>
        <w:rPr>
          <w:rFonts w:ascii="黑体" w:eastAsia="黑体"/>
        </w:rPr>
      </w:pPr>
      <w:r>
        <w:fldChar w:fldCharType="begin"/>
      </w:r>
      <w:r>
        <w:instrText xml:space="preserve"> HYPERLINK \l "_Toc14912" </w:instrText>
      </w:r>
      <w:r>
        <w:fldChar w:fldCharType="separate"/>
      </w:r>
      <w:r>
        <w:rPr>
          <w:rFonts w:ascii="黑体" w:eastAsia="黑体"/>
        </w:rPr>
        <w:t>6</w:t>
      </w:r>
      <w:r>
        <w:rPr>
          <w:rFonts w:hint="eastAsia" w:ascii="黑体" w:hAnsi="Times New Roman" w:eastAsia="黑体"/>
          <w:color w:val="000000"/>
          <w:kern w:val="0"/>
          <w14:scene3d w14:prst="orthographicFront">
            <w14:lightRig w14:rig="threePt" w14:dir="t">
              <w14:rot w14:lat="0" w14:lon="0" w14:rev="0"/>
            </w14:lightRig>
          </w14:scene3d>
        </w:rPr>
        <w:t xml:space="preserve">.2 </w:t>
      </w:r>
      <w:r>
        <w:rPr>
          <w:rFonts w:hint="eastAsia" w:ascii="黑体" w:eastAsia="黑体"/>
        </w:rPr>
        <w:t>配合饲料</w:t>
      </w:r>
      <w:r>
        <w:rPr>
          <w:rFonts w:ascii="黑体" w:eastAsia="黑体"/>
        </w:rPr>
        <w:tab/>
      </w:r>
      <w:r>
        <w:rPr>
          <w:rFonts w:ascii="黑体" w:eastAsia="黑体"/>
        </w:rPr>
        <w:fldChar w:fldCharType="begin"/>
      </w:r>
      <w:r>
        <w:rPr>
          <w:rFonts w:ascii="黑体" w:eastAsia="黑体"/>
        </w:rPr>
        <w:instrText xml:space="preserve"> PAGEREF _Toc14912 </w:instrText>
      </w:r>
      <w:r>
        <w:rPr>
          <w:rFonts w:ascii="黑体" w:eastAsia="黑体"/>
        </w:rPr>
        <w:fldChar w:fldCharType="separate"/>
      </w:r>
      <w:r>
        <w:rPr>
          <w:rFonts w:ascii="黑体" w:eastAsia="黑体"/>
        </w:rPr>
        <w:t>3</w:t>
      </w:r>
      <w:r>
        <w:rPr>
          <w:rFonts w:ascii="黑体" w:eastAsia="黑体"/>
        </w:rPr>
        <w:fldChar w:fldCharType="end"/>
      </w:r>
      <w:r>
        <w:rPr>
          <w:rFonts w:ascii="黑体" w:eastAsia="黑体"/>
        </w:rPr>
        <w:fldChar w:fldCharType="end"/>
      </w:r>
    </w:p>
    <w:p>
      <w:pPr>
        <w:pStyle w:val="24"/>
        <w:tabs>
          <w:tab w:val="right" w:leader="dot" w:pos="9354"/>
          <w:tab w:val="clear" w:pos="9344"/>
        </w:tabs>
        <w:rPr>
          <w:rFonts w:ascii="黑体" w:eastAsia="黑体"/>
        </w:rPr>
      </w:pPr>
      <w:r>
        <w:fldChar w:fldCharType="begin"/>
      </w:r>
      <w:r>
        <w:instrText xml:space="preserve"> HYPERLINK \l "_Toc31950" </w:instrText>
      </w:r>
      <w:r>
        <w:fldChar w:fldCharType="separate"/>
      </w:r>
      <w:r>
        <w:rPr>
          <w:rFonts w:ascii="黑体" w:eastAsia="黑体"/>
        </w:rPr>
        <w:t>6</w:t>
      </w:r>
      <w:r>
        <w:rPr>
          <w:rFonts w:hint="eastAsia" w:ascii="黑体" w:hAnsi="Times New Roman" w:eastAsia="黑体"/>
          <w:color w:val="000000"/>
          <w:kern w:val="0"/>
          <w14:scene3d w14:prst="orthographicFront">
            <w14:lightRig w14:rig="threePt" w14:dir="t">
              <w14:rot w14:lat="0" w14:lon="0" w14:rev="0"/>
            </w14:lightRig>
          </w14:scene3d>
        </w:rPr>
        <w:t xml:space="preserve">.3 </w:t>
      </w:r>
      <w:r>
        <w:rPr>
          <w:rFonts w:hint="eastAsia" w:ascii="黑体" w:eastAsia="黑体"/>
        </w:rPr>
        <w:t>无抗配合饲料</w:t>
      </w:r>
      <w:r>
        <w:rPr>
          <w:rFonts w:ascii="黑体" w:eastAsia="黑体"/>
        </w:rPr>
        <w:tab/>
      </w:r>
      <w:r>
        <w:rPr>
          <w:rFonts w:ascii="黑体" w:eastAsia="黑体"/>
        </w:rPr>
        <w:fldChar w:fldCharType="begin"/>
      </w:r>
      <w:r>
        <w:rPr>
          <w:rFonts w:ascii="黑体" w:eastAsia="黑体"/>
        </w:rPr>
        <w:instrText xml:space="preserve"> PAGEREF _Toc31950 </w:instrText>
      </w:r>
      <w:r>
        <w:rPr>
          <w:rFonts w:ascii="黑体" w:eastAsia="黑体"/>
        </w:rPr>
        <w:fldChar w:fldCharType="separate"/>
      </w:r>
      <w:r>
        <w:rPr>
          <w:rFonts w:ascii="黑体" w:eastAsia="黑体"/>
        </w:rPr>
        <w:t>3</w:t>
      </w:r>
      <w:r>
        <w:rPr>
          <w:rFonts w:ascii="黑体" w:eastAsia="黑体"/>
        </w:rPr>
        <w:fldChar w:fldCharType="end"/>
      </w:r>
      <w:r>
        <w:rPr>
          <w:rFonts w:ascii="黑体" w:eastAsia="黑体"/>
        </w:rPr>
        <w:fldChar w:fldCharType="end"/>
      </w:r>
    </w:p>
    <w:p>
      <w:pPr>
        <w:pStyle w:val="24"/>
        <w:tabs>
          <w:tab w:val="right" w:leader="dot" w:pos="9354"/>
          <w:tab w:val="clear" w:pos="9344"/>
        </w:tabs>
        <w:rPr>
          <w:rFonts w:ascii="黑体" w:eastAsia="黑体"/>
        </w:rPr>
      </w:pPr>
      <w:r>
        <w:fldChar w:fldCharType="begin"/>
      </w:r>
      <w:r>
        <w:instrText xml:space="preserve"> HYPERLINK \l "_Toc1917" </w:instrText>
      </w:r>
      <w:r>
        <w:fldChar w:fldCharType="separate"/>
      </w:r>
      <w:r>
        <w:rPr>
          <w:rFonts w:ascii="黑体" w:eastAsia="黑体"/>
        </w:rPr>
        <w:t>6</w:t>
      </w:r>
      <w:r>
        <w:rPr>
          <w:rFonts w:hint="eastAsia" w:ascii="黑体" w:hAnsi="Times New Roman" w:eastAsia="黑体"/>
          <w:color w:val="000000"/>
          <w:kern w:val="0"/>
          <w14:scene3d w14:prst="orthographicFront">
            <w14:lightRig w14:rig="threePt" w14:dir="t">
              <w14:rot w14:lat="0" w14:lon="0" w14:rev="0"/>
            </w14:lightRig>
          </w14:scene3d>
        </w:rPr>
        <w:t xml:space="preserve">.4 </w:t>
      </w:r>
      <w:r>
        <w:rPr>
          <w:rFonts w:hint="eastAsia" w:ascii="黑体" w:eastAsia="黑体"/>
        </w:rPr>
        <w:t>饲喂</w:t>
      </w:r>
      <w:r>
        <w:rPr>
          <w:rFonts w:ascii="黑体" w:eastAsia="黑体"/>
        </w:rPr>
        <w:tab/>
      </w:r>
      <w:r>
        <w:rPr>
          <w:rFonts w:ascii="黑体" w:eastAsia="黑体"/>
        </w:rPr>
        <w:fldChar w:fldCharType="begin"/>
      </w:r>
      <w:r>
        <w:rPr>
          <w:rFonts w:ascii="黑体" w:eastAsia="黑体"/>
        </w:rPr>
        <w:instrText xml:space="preserve"> PAGEREF _Toc1917 </w:instrText>
      </w:r>
      <w:r>
        <w:rPr>
          <w:rFonts w:ascii="黑体" w:eastAsia="黑体"/>
        </w:rPr>
        <w:fldChar w:fldCharType="separate"/>
      </w:r>
      <w:r>
        <w:rPr>
          <w:rFonts w:ascii="黑体" w:eastAsia="黑体"/>
        </w:rPr>
        <w:t>3</w:t>
      </w:r>
      <w:r>
        <w:rPr>
          <w:rFonts w:ascii="黑体" w:eastAsia="黑体"/>
        </w:rPr>
        <w:fldChar w:fldCharType="end"/>
      </w:r>
      <w:r>
        <w:rPr>
          <w:rFonts w:ascii="黑体" w:eastAsia="黑体"/>
        </w:rPr>
        <w:fldChar w:fldCharType="end"/>
      </w:r>
    </w:p>
    <w:p>
      <w:pPr>
        <w:pStyle w:val="24"/>
        <w:tabs>
          <w:tab w:val="right" w:leader="dot" w:pos="9354"/>
          <w:tab w:val="clear" w:pos="9344"/>
        </w:tabs>
        <w:rPr>
          <w:rFonts w:ascii="黑体" w:eastAsia="黑体"/>
        </w:rPr>
      </w:pPr>
      <w:r>
        <w:fldChar w:fldCharType="begin"/>
      </w:r>
      <w:r>
        <w:instrText xml:space="preserve"> HYPERLINK \l "_Toc5208" </w:instrText>
      </w:r>
      <w:r>
        <w:fldChar w:fldCharType="separate"/>
      </w:r>
      <w:r>
        <w:rPr>
          <w:rFonts w:ascii="黑体" w:eastAsia="黑体"/>
        </w:rPr>
        <w:t>6</w:t>
      </w:r>
      <w:r>
        <w:rPr>
          <w:rFonts w:hint="eastAsia" w:ascii="黑体" w:hAnsi="Times New Roman" w:eastAsia="黑体"/>
          <w:color w:val="000000"/>
          <w:kern w:val="0"/>
          <w14:scene3d w14:prst="orthographicFront">
            <w14:lightRig w14:rig="threePt" w14:dir="t">
              <w14:rot w14:lat="0" w14:lon="0" w14:rev="0"/>
            </w14:lightRig>
          </w14:scene3d>
        </w:rPr>
        <w:t xml:space="preserve">.5 </w:t>
      </w:r>
      <w:r>
        <w:rPr>
          <w:rFonts w:hint="eastAsia" w:ascii="黑体" w:eastAsia="黑体"/>
        </w:rPr>
        <w:t>管理</w:t>
      </w:r>
      <w:r>
        <w:rPr>
          <w:rFonts w:ascii="黑体" w:eastAsia="黑体"/>
        </w:rPr>
        <w:tab/>
      </w:r>
      <w:r>
        <w:rPr>
          <w:rFonts w:ascii="黑体" w:eastAsia="黑体"/>
        </w:rPr>
        <w:fldChar w:fldCharType="begin"/>
      </w:r>
      <w:r>
        <w:rPr>
          <w:rFonts w:ascii="黑体" w:eastAsia="黑体"/>
        </w:rPr>
        <w:instrText xml:space="preserve"> PAGEREF _Toc5208 </w:instrText>
      </w:r>
      <w:r>
        <w:rPr>
          <w:rFonts w:ascii="黑体" w:eastAsia="黑体"/>
        </w:rPr>
        <w:fldChar w:fldCharType="separate"/>
      </w:r>
      <w:r>
        <w:rPr>
          <w:rFonts w:ascii="黑体" w:eastAsia="黑体"/>
        </w:rPr>
        <w:t>3</w:t>
      </w:r>
      <w:r>
        <w:rPr>
          <w:rFonts w:ascii="黑体" w:eastAsia="黑体"/>
        </w:rPr>
        <w:fldChar w:fldCharType="end"/>
      </w:r>
      <w:r>
        <w:rPr>
          <w:rFonts w:ascii="黑体" w:eastAsia="黑体"/>
        </w:rPr>
        <w:fldChar w:fldCharType="end"/>
      </w:r>
    </w:p>
    <w:p>
      <w:pPr>
        <w:pStyle w:val="19"/>
        <w:tabs>
          <w:tab w:val="right" w:leader="dot" w:pos="9354"/>
        </w:tabs>
        <w:rPr>
          <w:rFonts w:ascii="黑体" w:eastAsia="黑体"/>
        </w:rPr>
      </w:pPr>
      <w:r>
        <w:fldChar w:fldCharType="begin"/>
      </w:r>
      <w:r>
        <w:instrText xml:space="preserve"> HYPERLINK \l "_Toc15168" </w:instrText>
      </w:r>
      <w:r>
        <w:fldChar w:fldCharType="separate"/>
      </w:r>
      <w:r>
        <w:rPr>
          <w:rFonts w:ascii="黑体" w:eastAsia="黑体"/>
        </w:rPr>
        <w:t>7</w:t>
      </w:r>
      <w:r>
        <w:rPr>
          <w:rFonts w:hint="eastAsia" w:ascii="黑体" w:hAnsi="Times New Roman" w:eastAsia="黑体"/>
        </w:rPr>
        <w:t xml:space="preserve"> </w:t>
      </w:r>
      <w:r>
        <w:rPr>
          <w:rFonts w:hint="eastAsia" w:ascii="黑体" w:eastAsia="黑体"/>
        </w:rPr>
        <w:t>疾病防控</w:t>
      </w:r>
      <w:r>
        <w:rPr>
          <w:rFonts w:ascii="黑体" w:eastAsia="黑体"/>
        </w:rPr>
        <w:tab/>
      </w:r>
      <w:r>
        <w:rPr>
          <w:rFonts w:ascii="黑体" w:eastAsia="黑体"/>
        </w:rPr>
        <w:fldChar w:fldCharType="begin"/>
      </w:r>
      <w:r>
        <w:rPr>
          <w:rFonts w:ascii="黑体" w:eastAsia="黑体"/>
        </w:rPr>
        <w:instrText xml:space="preserve"> PAGEREF _Toc15168 </w:instrText>
      </w:r>
      <w:r>
        <w:rPr>
          <w:rFonts w:ascii="黑体" w:eastAsia="黑体"/>
        </w:rPr>
        <w:fldChar w:fldCharType="separate"/>
      </w:r>
      <w:r>
        <w:rPr>
          <w:rFonts w:ascii="黑体" w:eastAsia="黑体"/>
        </w:rPr>
        <w:t>3</w:t>
      </w:r>
      <w:r>
        <w:rPr>
          <w:rFonts w:ascii="黑体" w:eastAsia="黑体"/>
        </w:rPr>
        <w:fldChar w:fldCharType="end"/>
      </w:r>
      <w:r>
        <w:rPr>
          <w:rFonts w:ascii="黑体" w:eastAsia="黑体"/>
        </w:rPr>
        <w:fldChar w:fldCharType="end"/>
      </w:r>
    </w:p>
    <w:p>
      <w:pPr>
        <w:pStyle w:val="24"/>
        <w:tabs>
          <w:tab w:val="right" w:leader="dot" w:pos="9354"/>
          <w:tab w:val="clear" w:pos="9344"/>
        </w:tabs>
        <w:rPr>
          <w:rFonts w:ascii="黑体" w:eastAsia="黑体"/>
        </w:rPr>
      </w:pPr>
      <w:r>
        <w:fldChar w:fldCharType="begin"/>
      </w:r>
      <w:r>
        <w:instrText xml:space="preserve"> HYPERLINK \l "_Toc8587" </w:instrText>
      </w:r>
      <w:r>
        <w:fldChar w:fldCharType="separate"/>
      </w:r>
      <w:r>
        <w:rPr>
          <w:rFonts w:ascii="黑体" w:eastAsia="黑体"/>
        </w:rPr>
        <w:t>7</w:t>
      </w:r>
      <w:r>
        <w:rPr>
          <w:rFonts w:hint="eastAsia" w:ascii="黑体" w:hAnsi="Times New Roman" w:eastAsia="黑体"/>
          <w:color w:val="000000"/>
          <w:kern w:val="0"/>
          <w14:scene3d w14:prst="orthographicFront">
            <w14:lightRig w14:rig="threePt" w14:dir="t">
              <w14:rot w14:lat="0" w14:lon="0" w14:rev="0"/>
            </w14:lightRig>
          </w14:scene3d>
        </w:rPr>
        <w:t xml:space="preserve">.1 </w:t>
      </w:r>
      <w:r>
        <w:rPr>
          <w:rFonts w:hint="eastAsia" w:ascii="黑体" w:eastAsia="黑体"/>
        </w:rPr>
        <w:t>原则</w:t>
      </w:r>
      <w:r>
        <w:rPr>
          <w:rFonts w:ascii="黑体" w:eastAsia="黑体"/>
        </w:rPr>
        <w:tab/>
      </w:r>
      <w:r>
        <w:rPr>
          <w:rFonts w:ascii="黑体" w:eastAsia="黑体"/>
        </w:rPr>
        <w:fldChar w:fldCharType="begin"/>
      </w:r>
      <w:r>
        <w:rPr>
          <w:rFonts w:ascii="黑体" w:eastAsia="黑体"/>
        </w:rPr>
        <w:instrText xml:space="preserve"> PAGEREF _Toc8587 </w:instrText>
      </w:r>
      <w:r>
        <w:rPr>
          <w:rFonts w:ascii="黑体" w:eastAsia="黑体"/>
        </w:rPr>
        <w:fldChar w:fldCharType="separate"/>
      </w:r>
      <w:r>
        <w:rPr>
          <w:rFonts w:ascii="黑体" w:eastAsia="黑体"/>
        </w:rPr>
        <w:t>3</w:t>
      </w:r>
      <w:r>
        <w:rPr>
          <w:rFonts w:ascii="黑体" w:eastAsia="黑体"/>
        </w:rPr>
        <w:fldChar w:fldCharType="end"/>
      </w:r>
      <w:r>
        <w:rPr>
          <w:rFonts w:ascii="黑体" w:eastAsia="黑体"/>
        </w:rPr>
        <w:fldChar w:fldCharType="end"/>
      </w:r>
    </w:p>
    <w:p>
      <w:pPr>
        <w:pStyle w:val="24"/>
        <w:tabs>
          <w:tab w:val="right" w:leader="dot" w:pos="9354"/>
          <w:tab w:val="clear" w:pos="9344"/>
        </w:tabs>
        <w:rPr>
          <w:rFonts w:ascii="黑体" w:eastAsia="黑体"/>
        </w:rPr>
      </w:pPr>
      <w:r>
        <w:fldChar w:fldCharType="begin"/>
      </w:r>
      <w:r>
        <w:instrText xml:space="preserve"> HYPERLINK \l "_Toc21333" </w:instrText>
      </w:r>
      <w:r>
        <w:fldChar w:fldCharType="separate"/>
      </w:r>
      <w:r>
        <w:rPr>
          <w:rFonts w:ascii="黑体" w:eastAsia="黑体"/>
        </w:rPr>
        <w:t>7</w:t>
      </w:r>
      <w:r>
        <w:rPr>
          <w:rFonts w:hint="eastAsia" w:ascii="黑体" w:hAnsi="Times New Roman" w:eastAsia="黑体"/>
          <w:color w:val="000000"/>
          <w:kern w:val="0"/>
          <w14:scene3d w14:prst="orthographicFront">
            <w14:lightRig w14:rig="threePt" w14:dir="t">
              <w14:rot w14:lat="0" w14:lon="0" w14:rev="0"/>
            </w14:lightRig>
          </w14:scene3d>
        </w:rPr>
        <w:t xml:space="preserve">.2 </w:t>
      </w:r>
      <w:r>
        <w:rPr>
          <w:rFonts w:hint="eastAsia" w:ascii="黑体" w:eastAsia="黑体"/>
        </w:rPr>
        <w:t>卫生消毒</w:t>
      </w:r>
      <w:r>
        <w:rPr>
          <w:rFonts w:ascii="黑体" w:eastAsia="黑体"/>
        </w:rPr>
        <w:tab/>
      </w:r>
      <w:r>
        <w:rPr>
          <w:rFonts w:ascii="黑体" w:eastAsia="黑体"/>
        </w:rPr>
        <w:fldChar w:fldCharType="begin"/>
      </w:r>
      <w:r>
        <w:rPr>
          <w:rFonts w:ascii="黑体" w:eastAsia="黑体"/>
        </w:rPr>
        <w:instrText xml:space="preserve"> PAGEREF _Toc21333 </w:instrText>
      </w:r>
      <w:r>
        <w:rPr>
          <w:rFonts w:ascii="黑体" w:eastAsia="黑体"/>
        </w:rPr>
        <w:fldChar w:fldCharType="separate"/>
      </w:r>
      <w:r>
        <w:rPr>
          <w:rFonts w:ascii="黑体" w:eastAsia="黑体"/>
        </w:rPr>
        <w:t>3</w:t>
      </w:r>
      <w:r>
        <w:rPr>
          <w:rFonts w:ascii="黑体" w:eastAsia="黑体"/>
        </w:rPr>
        <w:fldChar w:fldCharType="end"/>
      </w:r>
      <w:r>
        <w:rPr>
          <w:rFonts w:ascii="黑体" w:eastAsia="黑体"/>
        </w:rPr>
        <w:fldChar w:fldCharType="end"/>
      </w:r>
    </w:p>
    <w:p>
      <w:pPr>
        <w:pStyle w:val="24"/>
        <w:tabs>
          <w:tab w:val="right" w:leader="dot" w:pos="9354"/>
          <w:tab w:val="clear" w:pos="9344"/>
        </w:tabs>
        <w:rPr>
          <w:rFonts w:ascii="黑体" w:eastAsia="黑体"/>
        </w:rPr>
      </w:pPr>
      <w:r>
        <w:fldChar w:fldCharType="begin"/>
      </w:r>
      <w:r>
        <w:instrText xml:space="preserve"> HYPERLINK \l "_Toc28389" </w:instrText>
      </w:r>
      <w:r>
        <w:fldChar w:fldCharType="separate"/>
      </w:r>
      <w:r>
        <w:rPr>
          <w:rFonts w:ascii="黑体" w:eastAsia="黑体"/>
        </w:rPr>
        <w:t>7</w:t>
      </w:r>
      <w:r>
        <w:rPr>
          <w:rFonts w:hint="eastAsia" w:ascii="黑体" w:hAnsi="Times New Roman" w:eastAsia="黑体"/>
          <w:color w:val="000000"/>
          <w:kern w:val="0"/>
          <w14:scene3d w14:prst="orthographicFront">
            <w14:lightRig w14:rig="threePt" w14:dir="t">
              <w14:rot w14:lat="0" w14:lon="0" w14:rev="0"/>
            </w14:lightRig>
          </w14:scene3d>
        </w:rPr>
        <w:t xml:space="preserve">.3 </w:t>
      </w:r>
      <w:r>
        <w:rPr>
          <w:rFonts w:hint="eastAsia" w:ascii="黑体" w:eastAsia="黑体"/>
        </w:rPr>
        <w:t>免疫</w:t>
      </w:r>
      <w:r>
        <w:rPr>
          <w:rFonts w:ascii="黑体" w:eastAsia="黑体"/>
        </w:rPr>
        <w:tab/>
      </w:r>
      <w:r>
        <w:rPr>
          <w:rFonts w:ascii="黑体" w:eastAsia="黑体"/>
        </w:rPr>
        <w:fldChar w:fldCharType="begin"/>
      </w:r>
      <w:r>
        <w:rPr>
          <w:rFonts w:ascii="黑体" w:eastAsia="黑体"/>
        </w:rPr>
        <w:instrText xml:space="preserve"> PAGEREF _Toc28389 </w:instrText>
      </w:r>
      <w:r>
        <w:rPr>
          <w:rFonts w:ascii="黑体" w:eastAsia="黑体"/>
        </w:rPr>
        <w:fldChar w:fldCharType="separate"/>
      </w:r>
      <w:r>
        <w:rPr>
          <w:rFonts w:ascii="黑体" w:eastAsia="黑体"/>
        </w:rPr>
        <w:t>4</w:t>
      </w:r>
      <w:r>
        <w:rPr>
          <w:rFonts w:ascii="黑体" w:eastAsia="黑体"/>
        </w:rPr>
        <w:fldChar w:fldCharType="end"/>
      </w:r>
      <w:r>
        <w:rPr>
          <w:rFonts w:ascii="黑体" w:eastAsia="黑体"/>
        </w:rPr>
        <w:fldChar w:fldCharType="end"/>
      </w:r>
    </w:p>
    <w:p>
      <w:pPr>
        <w:pStyle w:val="24"/>
        <w:tabs>
          <w:tab w:val="right" w:leader="dot" w:pos="9354"/>
          <w:tab w:val="clear" w:pos="9344"/>
        </w:tabs>
        <w:rPr>
          <w:rFonts w:ascii="黑体" w:eastAsia="黑体"/>
        </w:rPr>
      </w:pPr>
      <w:r>
        <w:fldChar w:fldCharType="begin"/>
      </w:r>
      <w:r>
        <w:instrText xml:space="preserve"> HYPERLINK \l "_Toc11417" </w:instrText>
      </w:r>
      <w:r>
        <w:fldChar w:fldCharType="separate"/>
      </w:r>
      <w:r>
        <w:rPr>
          <w:rFonts w:ascii="黑体" w:eastAsia="黑体"/>
        </w:rPr>
        <w:t>7</w:t>
      </w:r>
      <w:r>
        <w:rPr>
          <w:rFonts w:hint="eastAsia" w:ascii="黑体" w:hAnsi="Times New Roman" w:eastAsia="黑体"/>
          <w:color w:val="000000"/>
          <w:kern w:val="0"/>
          <w14:scene3d w14:prst="orthographicFront">
            <w14:lightRig w14:rig="threePt" w14:dir="t">
              <w14:rot w14:lat="0" w14:lon="0" w14:rev="0"/>
            </w14:lightRig>
          </w14:scene3d>
        </w:rPr>
        <w:t xml:space="preserve">.4 </w:t>
      </w:r>
      <w:r>
        <w:rPr>
          <w:rFonts w:hint="eastAsia" w:ascii="黑体" w:eastAsia="黑体"/>
        </w:rPr>
        <w:t>保健</w:t>
      </w:r>
      <w:r>
        <w:rPr>
          <w:rFonts w:ascii="黑体" w:eastAsia="黑体"/>
        </w:rPr>
        <w:tab/>
      </w:r>
      <w:r>
        <w:rPr>
          <w:rFonts w:ascii="黑体" w:eastAsia="黑体"/>
        </w:rPr>
        <w:fldChar w:fldCharType="begin"/>
      </w:r>
      <w:r>
        <w:rPr>
          <w:rFonts w:ascii="黑体" w:eastAsia="黑体"/>
        </w:rPr>
        <w:instrText xml:space="preserve"> PAGEREF _Toc11417 </w:instrText>
      </w:r>
      <w:r>
        <w:rPr>
          <w:rFonts w:ascii="黑体" w:eastAsia="黑体"/>
        </w:rPr>
        <w:fldChar w:fldCharType="separate"/>
      </w:r>
      <w:r>
        <w:rPr>
          <w:rFonts w:ascii="黑体" w:eastAsia="黑体"/>
        </w:rPr>
        <w:t>4</w:t>
      </w:r>
      <w:r>
        <w:rPr>
          <w:rFonts w:ascii="黑体" w:eastAsia="黑体"/>
        </w:rPr>
        <w:fldChar w:fldCharType="end"/>
      </w:r>
      <w:r>
        <w:rPr>
          <w:rFonts w:ascii="黑体" w:eastAsia="黑体"/>
        </w:rPr>
        <w:fldChar w:fldCharType="end"/>
      </w:r>
    </w:p>
    <w:p>
      <w:pPr>
        <w:pStyle w:val="24"/>
        <w:tabs>
          <w:tab w:val="right" w:leader="dot" w:pos="9354"/>
          <w:tab w:val="clear" w:pos="9344"/>
        </w:tabs>
        <w:rPr>
          <w:rFonts w:ascii="黑体" w:eastAsia="黑体"/>
        </w:rPr>
      </w:pPr>
      <w:r>
        <w:fldChar w:fldCharType="begin"/>
      </w:r>
      <w:r>
        <w:instrText xml:space="preserve"> HYPERLINK \l "_Toc6341" </w:instrText>
      </w:r>
      <w:r>
        <w:fldChar w:fldCharType="separate"/>
      </w:r>
      <w:r>
        <w:rPr>
          <w:rFonts w:ascii="黑体" w:eastAsia="黑体"/>
        </w:rPr>
        <w:t>7</w:t>
      </w:r>
      <w:r>
        <w:rPr>
          <w:rFonts w:hint="eastAsia" w:ascii="黑体" w:hAnsi="Times New Roman" w:eastAsia="黑体"/>
          <w:color w:val="000000"/>
          <w:kern w:val="0"/>
          <w14:scene3d w14:prst="orthographicFront">
            <w14:lightRig w14:rig="threePt" w14:dir="t">
              <w14:rot w14:lat="0" w14:lon="0" w14:rev="0"/>
            </w14:lightRig>
          </w14:scene3d>
        </w:rPr>
        <w:t xml:space="preserve">.5 </w:t>
      </w:r>
      <w:r>
        <w:rPr>
          <w:rFonts w:hint="eastAsia" w:ascii="黑体" w:eastAsia="黑体"/>
        </w:rPr>
        <w:t>治疗</w:t>
      </w:r>
      <w:r>
        <w:rPr>
          <w:rFonts w:ascii="黑体" w:eastAsia="黑体"/>
        </w:rPr>
        <w:tab/>
      </w:r>
      <w:r>
        <w:rPr>
          <w:rFonts w:ascii="黑体" w:eastAsia="黑体"/>
        </w:rPr>
        <w:fldChar w:fldCharType="begin"/>
      </w:r>
      <w:r>
        <w:rPr>
          <w:rFonts w:ascii="黑体" w:eastAsia="黑体"/>
        </w:rPr>
        <w:instrText xml:space="preserve"> PAGEREF _Toc6341 </w:instrText>
      </w:r>
      <w:r>
        <w:rPr>
          <w:rFonts w:ascii="黑体" w:eastAsia="黑体"/>
        </w:rPr>
        <w:fldChar w:fldCharType="separate"/>
      </w:r>
      <w:r>
        <w:rPr>
          <w:rFonts w:ascii="黑体" w:eastAsia="黑体"/>
        </w:rPr>
        <w:t>4</w:t>
      </w:r>
      <w:r>
        <w:rPr>
          <w:rFonts w:ascii="黑体" w:eastAsia="黑体"/>
        </w:rPr>
        <w:fldChar w:fldCharType="end"/>
      </w:r>
      <w:r>
        <w:rPr>
          <w:rFonts w:ascii="黑体" w:eastAsia="黑体"/>
        </w:rPr>
        <w:fldChar w:fldCharType="end"/>
      </w:r>
    </w:p>
    <w:p>
      <w:pPr>
        <w:pStyle w:val="19"/>
        <w:tabs>
          <w:tab w:val="right" w:leader="dot" w:pos="9354"/>
        </w:tabs>
        <w:rPr>
          <w:rFonts w:ascii="黑体" w:eastAsia="黑体"/>
        </w:rPr>
      </w:pPr>
      <w:r>
        <w:fldChar w:fldCharType="begin"/>
      </w:r>
      <w:r>
        <w:instrText xml:space="preserve"> HYPERLINK \l "_Toc8476" </w:instrText>
      </w:r>
      <w:r>
        <w:fldChar w:fldCharType="separate"/>
      </w:r>
      <w:r>
        <w:rPr>
          <w:rFonts w:ascii="黑体" w:eastAsia="黑体"/>
        </w:rPr>
        <w:t>8</w:t>
      </w:r>
      <w:r>
        <w:rPr>
          <w:rFonts w:hint="eastAsia" w:ascii="黑体" w:hAnsi="Times New Roman" w:eastAsia="黑体"/>
        </w:rPr>
        <w:t xml:space="preserve"> </w:t>
      </w:r>
      <w:r>
        <w:rPr>
          <w:rFonts w:hint="eastAsia" w:ascii="黑体" w:eastAsia="黑体"/>
        </w:rPr>
        <w:t>无害化处理</w:t>
      </w:r>
      <w:r>
        <w:rPr>
          <w:rFonts w:ascii="黑体" w:eastAsia="黑体"/>
        </w:rPr>
        <w:tab/>
      </w:r>
      <w:r>
        <w:rPr>
          <w:rFonts w:ascii="黑体" w:eastAsia="黑体"/>
        </w:rPr>
        <w:fldChar w:fldCharType="begin"/>
      </w:r>
      <w:r>
        <w:rPr>
          <w:rFonts w:ascii="黑体" w:eastAsia="黑体"/>
        </w:rPr>
        <w:instrText xml:space="preserve"> PAGEREF _Toc8476 </w:instrText>
      </w:r>
      <w:r>
        <w:rPr>
          <w:rFonts w:ascii="黑体" w:eastAsia="黑体"/>
        </w:rPr>
        <w:fldChar w:fldCharType="separate"/>
      </w:r>
      <w:r>
        <w:rPr>
          <w:rFonts w:ascii="黑体" w:eastAsia="黑体"/>
        </w:rPr>
        <w:t>4</w:t>
      </w:r>
      <w:r>
        <w:rPr>
          <w:rFonts w:ascii="黑体" w:eastAsia="黑体"/>
        </w:rPr>
        <w:fldChar w:fldCharType="end"/>
      </w:r>
      <w:r>
        <w:rPr>
          <w:rFonts w:ascii="黑体" w:eastAsia="黑体"/>
        </w:rPr>
        <w:fldChar w:fldCharType="end"/>
      </w:r>
    </w:p>
    <w:p>
      <w:pPr>
        <w:pStyle w:val="19"/>
        <w:tabs>
          <w:tab w:val="right" w:leader="dot" w:pos="9354"/>
        </w:tabs>
        <w:rPr>
          <w:rFonts w:ascii="黑体" w:eastAsia="黑体"/>
        </w:rPr>
      </w:pPr>
      <w:r>
        <w:fldChar w:fldCharType="begin"/>
      </w:r>
      <w:r>
        <w:instrText xml:space="preserve"> HYPERLINK \l "_Toc11129" </w:instrText>
      </w:r>
      <w:r>
        <w:fldChar w:fldCharType="separate"/>
      </w:r>
      <w:r>
        <w:rPr>
          <w:rFonts w:ascii="黑体" w:eastAsia="黑体"/>
        </w:rPr>
        <w:t>9</w:t>
      </w:r>
      <w:r>
        <w:rPr>
          <w:rFonts w:hint="eastAsia" w:ascii="黑体" w:hAnsi="Times New Roman" w:eastAsia="黑体"/>
        </w:rPr>
        <w:t xml:space="preserve"> </w:t>
      </w:r>
      <w:r>
        <w:rPr>
          <w:rFonts w:hint="eastAsia" w:ascii="黑体" w:eastAsia="黑体"/>
        </w:rPr>
        <w:t>档案记录</w:t>
      </w:r>
      <w:r>
        <w:rPr>
          <w:rFonts w:ascii="黑体" w:eastAsia="黑体"/>
        </w:rPr>
        <w:tab/>
      </w:r>
      <w:r>
        <w:rPr>
          <w:rFonts w:ascii="黑体" w:eastAsia="黑体"/>
        </w:rPr>
        <w:fldChar w:fldCharType="begin"/>
      </w:r>
      <w:r>
        <w:rPr>
          <w:rFonts w:ascii="黑体" w:eastAsia="黑体"/>
        </w:rPr>
        <w:instrText xml:space="preserve"> PAGEREF _Toc11129 </w:instrText>
      </w:r>
      <w:r>
        <w:rPr>
          <w:rFonts w:ascii="黑体" w:eastAsia="黑体"/>
        </w:rPr>
        <w:fldChar w:fldCharType="separate"/>
      </w:r>
      <w:r>
        <w:rPr>
          <w:rFonts w:ascii="黑体" w:eastAsia="黑体"/>
        </w:rPr>
        <w:t>4</w:t>
      </w:r>
      <w:r>
        <w:rPr>
          <w:rFonts w:ascii="黑体" w:eastAsia="黑体"/>
        </w:rPr>
        <w:fldChar w:fldCharType="end"/>
      </w:r>
      <w:r>
        <w:rPr>
          <w:rFonts w:ascii="黑体" w:eastAsia="黑体"/>
        </w:rPr>
        <w:fldChar w:fldCharType="end"/>
      </w:r>
    </w:p>
    <w:p>
      <w:pPr>
        <w:pStyle w:val="19"/>
        <w:tabs>
          <w:tab w:val="right" w:leader="dot" w:pos="9354"/>
        </w:tabs>
        <w:rPr>
          <w:rFonts w:ascii="黑体" w:eastAsia="黑体"/>
        </w:rPr>
      </w:pPr>
      <w:r>
        <w:fldChar w:fldCharType="begin"/>
      </w:r>
      <w:r>
        <w:instrText xml:space="preserve"> HYPERLINK \l "_Toc17512" </w:instrText>
      </w:r>
      <w:r>
        <w:fldChar w:fldCharType="separate"/>
      </w:r>
      <w:r>
        <w:rPr>
          <w:rFonts w:ascii="黑体" w:eastAsia="黑体"/>
        </w:rPr>
        <w:t>附</w:t>
      </w:r>
      <w:r>
        <w:rPr>
          <w:rFonts w:hint="eastAsia" w:ascii="黑体" w:hAnsi="Times New Roman" w:eastAsia="黑体"/>
          <w:spacing w:val="100"/>
        </w:rPr>
        <w:t xml:space="preserve">录A </w:t>
      </w:r>
      <w:r>
        <w:rPr>
          <w:rFonts w:ascii="黑体" w:eastAsia="黑体"/>
        </w:rPr>
        <w:t xml:space="preserve"> </w:t>
      </w:r>
      <w:r>
        <w:rPr>
          <w:rFonts w:hint="eastAsia" w:ascii="黑体" w:eastAsia="黑体"/>
        </w:rPr>
        <w:t>（资料性）</w:t>
      </w:r>
      <w:r>
        <w:rPr>
          <w:rFonts w:ascii="黑体" w:eastAsia="黑体"/>
        </w:rPr>
        <w:t xml:space="preserve"> </w:t>
      </w:r>
      <w:r>
        <w:rPr>
          <w:rFonts w:hint="eastAsia" w:ascii="黑体" w:eastAsia="黑体"/>
        </w:rPr>
        <w:t>常用中草药替抗制剂主要组成配方表</w:t>
      </w:r>
      <w:r>
        <w:rPr>
          <w:rFonts w:ascii="黑体" w:eastAsia="黑体"/>
        </w:rPr>
        <w:tab/>
      </w:r>
      <w:r>
        <w:rPr>
          <w:rFonts w:ascii="黑体" w:eastAsia="黑体"/>
        </w:rPr>
        <w:fldChar w:fldCharType="begin"/>
      </w:r>
      <w:r>
        <w:rPr>
          <w:rFonts w:ascii="黑体" w:eastAsia="黑体"/>
        </w:rPr>
        <w:instrText xml:space="preserve"> PAGEREF _Toc17512 </w:instrText>
      </w:r>
      <w:r>
        <w:rPr>
          <w:rFonts w:ascii="黑体" w:eastAsia="黑体"/>
        </w:rPr>
        <w:fldChar w:fldCharType="separate"/>
      </w:r>
      <w:r>
        <w:rPr>
          <w:rFonts w:ascii="黑体" w:eastAsia="黑体"/>
        </w:rPr>
        <w:t>5</w:t>
      </w:r>
      <w:r>
        <w:rPr>
          <w:rFonts w:ascii="黑体" w:eastAsia="黑体"/>
        </w:rPr>
        <w:fldChar w:fldCharType="end"/>
      </w:r>
      <w:r>
        <w:rPr>
          <w:rFonts w:ascii="黑体" w:eastAsia="黑体"/>
        </w:rPr>
        <w:fldChar w:fldCharType="end"/>
      </w:r>
    </w:p>
    <w:p>
      <w:pPr>
        <w:pStyle w:val="19"/>
        <w:tabs>
          <w:tab w:val="right" w:leader="dot" w:pos="9354"/>
        </w:tabs>
        <w:rPr>
          <w:rFonts w:ascii="黑体" w:eastAsia="黑体"/>
        </w:rPr>
      </w:pPr>
      <w:r>
        <w:fldChar w:fldCharType="begin"/>
      </w:r>
      <w:r>
        <w:instrText xml:space="preserve"> HYPERLINK \l "_Toc10998" </w:instrText>
      </w:r>
      <w:r>
        <w:fldChar w:fldCharType="separate"/>
      </w:r>
      <w:r>
        <w:rPr>
          <w:rFonts w:ascii="黑体" w:eastAsia="黑体"/>
        </w:rPr>
        <w:t>附</w:t>
      </w:r>
      <w:r>
        <w:rPr>
          <w:rFonts w:hint="eastAsia" w:ascii="黑体" w:hAnsi="Times New Roman" w:eastAsia="黑体"/>
          <w:spacing w:val="100"/>
        </w:rPr>
        <w:t xml:space="preserve">录B </w:t>
      </w:r>
      <w:r>
        <w:rPr>
          <w:rFonts w:ascii="黑体" w:eastAsia="黑体"/>
        </w:rPr>
        <w:t xml:space="preserve"> </w:t>
      </w:r>
      <w:r>
        <w:rPr>
          <w:rFonts w:hint="eastAsia" w:ascii="黑体" w:eastAsia="黑体"/>
        </w:rPr>
        <w:t>（资料性）</w:t>
      </w:r>
      <w:r>
        <w:rPr>
          <w:rFonts w:ascii="黑体" w:eastAsia="黑体"/>
        </w:rPr>
        <w:t xml:space="preserve"> </w:t>
      </w:r>
      <w:r>
        <w:rPr>
          <w:rFonts w:hint="eastAsia" w:ascii="黑体" w:eastAsia="黑体"/>
        </w:rPr>
        <w:t>商品育肥猪基础日粮的组成和营养水平与预混料配方</w:t>
      </w:r>
      <w:r>
        <w:rPr>
          <w:rFonts w:ascii="黑体" w:eastAsia="黑体"/>
        </w:rPr>
        <w:tab/>
      </w:r>
      <w:r>
        <w:rPr>
          <w:rFonts w:ascii="黑体" w:eastAsia="黑体"/>
        </w:rPr>
        <w:fldChar w:fldCharType="begin"/>
      </w:r>
      <w:r>
        <w:rPr>
          <w:rFonts w:ascii="黑体" w:eastAsia="黑体"/>
        </w:rPr>
        <w:instrText xml:space="preserve"> PAGEREF _Toc10998 </w:instrText>
      </w:r>
      <w:r>
        <w:rPr>
          <w:rFonts w:ascii="黑体" w:eastAsia="黑体"/>
        </w:rPr>
        <w:fldChar w:fldCharType="separate"/>
      </w:r>
      <w:r>
        <w:rPr>
          <w:rFonts w:ascii="黑体" w:eastAsia="黑体"/>
        </w:rPr>
        <w:t>6</w:t>
      </w:r>
      <w:r>
        <w:rPr>
          <w:rFonts w:ascii="黑体" w:eastAsia="黑体"/>
        </w:rPr>
        <w:fldChar w:fldCharType="end"/>
      </w:r>
      <w:r>
        <w:rPr>
          <w:rFonts w:ascii="黑体" w:eastAsia="黑体"/>
        </w:rPr>
        <w:fldChar w:fldCharType="end"/>
      </w:r>
    </w:p>
    <w:p>
      <w:pPr>
        <w:pStyle w:val="24"/>
        <w:tabs>
          <w:tab w:val="right" w:leader="dot" w:pos="9354"/>
          <w:tab w:val="clear" w:pos="9344"/>
        </w:tabs>
        <w:rPr>
          <w:rFonts w:ascii="黑体" w:eastAsia="黑体"/>
        </w:rPr>
      </w:pPr>
      <w:r>
        <w:fldChar w:fldCharType="begin"/>
      </w:r>
      <w:r>
        <w:instrText xml:space="preserve"> HYPERLINK \l "_Toc5872" </w:instrText>
      </w:r>
      <w:r>
        <w:fldChar w:fldCharType="separate"/>
      </w:r>
      <w:r>
        <w:rPr>
          <w:rFonts w:ascii="黑体" w:eastAsia="黑体"/>
        </w:rPr>
        <w:t>B</w:t>
      </w:r>
      <w:r>
        <w:rPr>
          <w:rFonts w:hint="eastAsia" w:ascii="黑体" w:hAnsi="Times New Roman" w:eastAsia="黑体"/>
          <w:kern w:val="21"/>
        </w:rPr>
        <w:t xml:space="preserve">.1 </w:t>
      </w:r>
      <w:r>
        <w:rPr>
          <w:rFonts w:hint="eastAsia" w:ascii="黑体" w:eastAsia="黑体"/>
        </w:rPr>
        <w:t>商品育肥猪基础日粮的组成和营养水平</w:t>
      </w:r>
      <w:r>
        <w:rPr>
          <w:rFonts w:ascii="黑体" w:eastAsia="黑体"/>
        </w:rPr>
        <w:tab/>
      </w:r>
      <w:r>
        <w:rPr>
          <w:rFonts w:ascii="黑体" w:eastAsia="黑体"/>
        </w:rPr>
        <w:fldChar w:fldCharType="begin"/>
      </w:r>
      <w:r>
        <w:rPr>
          <w:rFonts w:ascii="黑体" w:eastAsia="黑体"/>
        </w:rPr>
        <w:instrText xml:space="preserve"> PAGEREF _Toc5872 </w:instrText>
      </w:r>
      <w:r>
        <w:rPr>
          <w:rFonts w:ascii="黑体" w:eastAsia="黑体"/>
        </w:rPr>
        <w:fldChar w:fldCharType="separate"/>
      </w:r>
      <w:r>
        <w:rPr>
          <w:rFonts w:ascii="黑体" w:eastAsia="黑体"/>
        </w:rPr>
        <w:t>6</w:t>
      </w:r>
      <w:r>
        <w:rPr>
          <w:rFonts w:ascii="黑体" w:eastAsia="黑体"/>
        </w:rPr>
        <w:fldChar w:fldCharType="end"/>
      </w:r>
      <w:r>
        <w:rPr>
          <w:rFonts w:ascii="黑体" w:eastAsia="黑体"/>
        </w:rPr>
        <w:fldChar w:fldCharType="end"/>
      </w:r>
    </w:p>
    <w:p>
      <w:pPr>
        <w:pStyle w:val="24"/>
        <w:tabs>
          <w:tab w:val="right" w:leader="dot" w:pos="9354"/>
          <w:tab w:val="clear" w:pos="9344"/>
        </w:tabs>
        <w:rPr>
          <w:rFonts w:ascii="黑体" w:eastAsia="黑体"/>
        </w:rPr>
      </w:pPr>
      <w:r>
        <w:fldChar w:fldCharType="begin"/>
      </w:r>
      <w:r>
        <w:instrText xml:space="preserve"> HYPERLINK \l "_Toc6405" </w:instrText>
      </w:r>
      <w:r>
        <w:fldChar w:fldCharType="separate"/>
      </w:r>
      <w:r>
        <w:rPr>
          <w:rFonts w:ascii="黑体" w:eastAsia="黑体"/>
        </w:rPr>
        <w:t>B</w:t>
      </w:r>
      <w:r>
        <w:rPr>
          <w:rFonts w:hint="eastAsia" w:ascii="黑体" w:hAnsi="Times New Roman" w:eastAsia="黑体"/>
          <w:kern w:val="21"/>
        </w:rPr>
        <w:t xml:space="preserve">.2 </w:t>
      </w:r>
      <w:r>
        <w:rPr>
          <w:rFonts w:hint="eastAsia" w:ascii="黑体" w:eastAsia="黑体"/>
        </w:rPr>
        <w:t>预混料配方</w:t>
      </w:r>
      <w:r>
        <w:rPr>
          <w:rFonts w:ascii="黑体" w:eastAsia="黑体"/>
        </w:rPr>
        <w:tab/>
      </w:r>
      <w:r>
        <w:rPr>
          <w:rFonts w:ascii="黑体" w:eastAsia="黑体"/>
        </w:rPr>
        <w:fldChar w:fldCharType="begin"/>
      </w:r>
      <w:r>
        <w:rPr>
          <w:rFonts w:ascii="黑体" w:eastAsia="黑体"/>
        </w:rPr>
        <w:instrText xml:space="preserve"> PAGEREF _Toc6405 </w:instrText>
      </w:r>
      <w:r>
        <w:rPr>
          <w:rFonts w:ascii="黑体" w:eastAsia="黑体"/>
        </w:rPr>
        <w:fldChar w:fldCharType="separate"/>
      </w:r>
      <w:r>
        <w:rPr>
          <w:rFonts w:ascii="黑体" w:eastAsia="黑体"/>
        </w:rPr>
        <w:t>6</w:t>
      </w:r>
      <w:r>
        <w:rPr>
          <w:rFonts w:ascii="黑体" w:eastAsia="黑体"/>
        </w:rPr>
        <w:fldChar w:fldCharType="end"/>
      </w:r>
      <w:r>
        <w:rPr>
          <w:rFonts w:ascii="黑体" w:eastAsia="黑体"/>
        </w:rPr>
        <w:fldChar w:fldCharType="end"/>
      </w:r>
    </w:p>
    <w:p>
      <w:pPr>
        <w:pStyle w:val="19"/>
        <w:tabs>
          <w:tab w:val="right" w:leader="dot" w:pos="9354"/>
        </w:tabs>
        <w:rPr>
          <w:rFonts w:ascii="黑体" w:eastAsia="黑体"/>
        </w:rPr>
      </w:pPr>
      <w:r>
        <w:fldChar w:fldCharType="begin"/>
      </w:r>
      <w:r>
        <w:instrText xml:space="preserve"> HYPERLINK \l "_Toc4589" </w:instrText>
      </w:r>
      <w:r>
        <w:fldChar w:fldCharType="separate"/>
      </w:r>
      <w:r>
        <w:rPr>
          <w:rFonts w:ascii="黑体" w:eastAsia="黑体"/>
        </w:rPr>
        <w:t>附</w:t>
      </w:r>
      <w:r>
        <w:rPr>
          <w:rFonts w:hint="eastAsia" w:ascii="黑体" w:hAnsi="Times New Roman" w:eastAsia="黑体"/>
          <w:spacing w:val="100"/>
        </w:rPr>
        <w:t xml:space="preserve">录C </w:t>
      </w:r>
      <w:r>
        <w:rPr>
          <w:rFonts w:ascii="黑体" w:eastAsia="黑体"/>
        </w:rPr>
        <w:t xml:space="preserve"> </w:t>
      </w:r>
      <w:r>
        <w:rPr>
          <w:rFonts w:hint="eastAsia" w:ascii="黑体" w:eastAsia="黑体"/>
        </w:rPr>
        <w:t>（资料性）</w:t>
      </w:r>
      <w:r>
        <w:rPr>
          <w:rFonts w:ascii="黑体" w:eastAsia="黑体"/>
        </w:rPr>
        <w:t xml:space="preserve"> </w:t>
      </w:r>
      <w:r>
        <w:rPr>
          <w:rFonts w:hint="eastAsia" w:ascii="黑体" w:eastAsia="黑体"/>
        </w:rPr>
        <w:t>常用中兽药制剂保健参考程序</w:t>
      </w:r>
      <w:r>
        <w:rPr>
          <w:rFonts w:ascii="黑体" w:eastAsia="黑体"/>
        </w:rPr>
        <w:tab/>
      </w:r>
      <w:r>
        <w:rPr>
          <w:rFonts w:ascii="黑体" w:eastAsia="黑体"/>
        </w:rPr>
        <w:fldChar w:fldCharType="begin"/>
      </w:r>
      <w:r>
        <w:rPr>
          <w:rFonts w:ascii="黑体" w:eastAsia="黑体"/>
        </w:rPr>
        <w:instrText xml:space="preserve"> PAGEREF _Toc4589 </w:instrText>
      </w:r>
      <w:r>
        <w:rPr>
          <w:rFonts w:ascii="黑体" w:eastAsia="黑体"/>
        </w:rPr>
        <w:fldChar w:fldCharType="separate"/>
      </w:r>
      <w:r>
        <w:rPr>
          <w:rFonts w:ascii="黑体" w:eastAsia="黑体"/>
        </w:rPr>
        <w:t>7</w:t>
      </w:r>
      <w:r>
        <w:rPr>
          <w:rFonts w:ascii="黑体" w:eastAsia="黑体"/>
        </w:rPr>
        <w:fldChar w:fldCharType="end"/>
      </w:r>
      <w:r>
        <w:rPr>
          <w:rFonts w:ascii="黑体" w:eastAsia="黑体"/>
        </w:rPr>
        <w:fldChar w:fldCharType="end"/>
      </w:r>
    </w:p>
    <w:p>
      <w:pPr>
        <w:pStyle w:val="19"/>
        <w:tabs>
          <w:tab w:val="right" w:leader="dot" w:pos="9354"/>
        </w:tabs>
        <w:rPr>
          <w:rFonts w:ascii="黑体" w:eastAsia="黑体"/>
        </w:rPr>
      </w:pPr>
      <w:r>
        <w:fldChar w:fldCharType="begin"/>
      </w:r>
      <w:r>
        <w:instrText xml:space="preserve"> HYPERLINK \l "_Toc30253" </w:instrText>
      </w:r>
      <w:r>
        <w:fldChar w:fldCharType="separate"/>
      </w:r>
      <w:r>
        <w:rPr>
          <w:rFonts w:hint="eastAsia" w:ascii="黑体" w:eastAsia="黑体"/>
          <w:spacing w:val="105"/>
        </w:rPr>
        <w:t>参考文</w:t>
      </w:r>
      <w:r>
        <w:rPr>
          <w:rFonts w:hint="eastAsia" w:ascii="黑体" w:eastAsia="黑体"/>
        </w:rPr>
        <w:t>献</w:t>
      </w:r>
      <w:r>
        <w:rPr>
          <w:rFonts w:ascii="黑体" w:eastAsia="黑体"/>
        </w:rPr>
        <w:tab/>
      </w:r>
      <w:r>
        <w:rPr>
          <w:rFonts w:ascii="黑体" w:eastAsia="黑体"/>
        </w:rPr>
        <w:fldChar w:fldCharType="begin"/>
      </w:r>
      <w:r>
        <w:rPr>
          <w:rFonts w:ascii="黑体" w:eastAsia="黑体"/>
        </w:rPr>
        <w:instrText xml:space="preserve"> PAGEREF _Toc30253 </w:instrText>
      </w:r>
      <w:r>
        <w:rPr>
          <w:rFonts w:ascii="黑体" w:eastAsia="黑体"/>
        </w:rPr>
        <w:fldChar w:fldCharType="separate"/>
      </w:r>
      <w:r>
        <w:rPr>
          <w:rFonts w:ascii="黑体" w:eastAsia="黑体"/>
        </w:rPr>
        <w:t>8</w:t>
      </w:r>
      <w:r>
        <w:rPr>
          <w:rFonts w:ascii="黑体" w:eastAsia="黑体"/>
        </w:rPr>
        <w:fldChar w:fldCharType="end"/>
      </w:r>
      <w:r>
        <w:rPr>
          <w:rFonts w:ascii="黑体" w:eastAsia="黑体"/>
        </w:rPr>
        <w:fldChar w:fldCharType="end"/>
      </w:r>
    </w:p>
    <w:p>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18"/>
    <w:p>
      <w:pPr>
        <w:pStyle w:val="89"/>
        <w:spacing w:after="468"/>
      </w:pPr>
      <w:bookmarkStart w:id="19" w:name="_Toc21770"/>
      <w:bookmarkStart w:id="20" w:name="BookMark2"/>
      <w:r>
        <w:rPr>
          <w:rFonts w:hint="eastAsia"/>
          <w:spacing w:val="320"/>
        </w:rPr>
        <w:t>前</w:t>
      </w:r>
      <w:r>
        <w:rPr>
          <w:rFonts w:hint="eastAsia"/>
        </w:rPr>
        <w:t>言</w:t>
      </w:r>
      <w:bookmarkEnd w:id="19"/>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本文件由湖南省农业农村厅提出。</w:t>
      </w:r>
    </w:p>
    <w:p>
      <w:pPr>
        <w:pStyle w:val="56"/>
        <w:ind w:firstLine="420"/>
      </w:pPr>
      <w:r>
        <w:rPr>
          <w:rFonts w:hint="eastAsia"/>
        </w:rPr>
        <w:t>本文件由湖南省农业标准化技术委员会归口。</w:t>
      </w:r>
    </w:p>
    <w:p>
      <w:pPr>
        <w:pStyle w:val="56"/>
        <w:ind w:firstLine="420"/>
      </w:pPr>
      <w:r>
        <w:rPr>
          <w:rFonts w:hint="eastAsia"/>
        </w:rPr>
        <w:t>本文件起草单位：湖南环境生物职业技术学院、中国科学院亚热带农业生态研究所、衡阳县农业农村局、衡山县畜牧水产事务中心 、耒阳市畜牧水产事务中心、湖南省祁东县畜牧事务中心、湖南民菌生态农业发展公司、湖南佳和生态农业有限公司、衡阳县种畜场。</w:t>
      </w:r>
    </w:p>
    <w:p>
      <w:pPr>
        <w:pStyle w:val="56"/>
        <w:ind w:firstLine="420"/>
      </w:pPr>
      <w:r>
        <w:rPr>
          <w:rFonts w:hint="eastAsia"/>
        </w:rPr>
        <w:t>本文件主要起草人：胡永灵、印遇龙、郑四清、卢淼红、李孝文、陈曦、赵旭、王挺、向大金、夏水英、唐小武、刘婷、周升慧、陈曦、王挺、李小敏、邱伟海、钟金凤、王乐莅、NGUYENTHTHANH HA（越南）。</w:t>
      </w: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0"/>
    <w:p>
      <w:pPr>
        <w:spacing w:line="20" w:lineRule="exact"/>
        <w:jc w:val="center"/>
        <w:rPr>
          <w:rFonts w:hint="eastAsia" w:ascii="黑体" w:hAnsi="黑体" w:eastAsia="黑体"/>
          <w:sz w:val="32"/>
          <w:szCs w:val="32"/>
        </w:rPr>
      </w:pPr>
      <w:bookmarkStart w:id="21"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C050983C8BB947DCB0A78A92E455EAFC"/>
        </w:placeholder>
      </w:sdtPr>
      <w:sdtContent>
        <w:p>
          <w:pPr>
            <w:pStyle w:val="177"/>
            <w:spacing w:before="312" w:beforeLines="100" w:after="3" w:afterLines="1"/>
            <w:rPr>
              <w:rFonts w:hint="eastAsia"/>
            </w:rPr>
          </w:pPr>
          <w:bookmarkStart w:id="22" w:name="NEW_STAND_NAME"/>
          <w:r>
            <w:rPr>
              <w:rFonts w:hint="eastAsia"/>
            </w:rPr>
            <w:t>商品猪中草药无抗饲养技术规程</w:t>
          </w:r>
        </w:p>
        <w:p>
          <w:pPr>
            <w:pStyle w:val="177"/>
            <w:spacing w:before="3" w:beforeLines="1" w:after="680"/>
            <w:rPr>
              <w:rFonts w:hint="eastAsia"/>
            </w:rPr>
          </w:pPr>
        </w:p>
      </w:sdtContent>
    </w:sdt>
    <w:bookmarkEnd w:id="22"/>
    <w:p>
      <w:pPr>
        <w:pStyle w:val="104"/>
        <w:spacing w:before="312" w:after="312"/>
      </w:pPr>
      <w:bookmarkStart w:id="23" w:name="_Toc26718930"/>
      <w:bookmarkStart w:id="24" w:name="_Toc26648465"/>
      <w:bookmarkStart w:id="25" w:name="_Toc17233325"/>
      <w:bookmarkStart w:id="26" w:name="_Toc17233333"/>
      <w:bookmarkStart w:id="27" w:name="_Toc24884218"/>
      <w:bookmarkStart w:id="28" w:name="_Toc20575"/>
      <w:bookmarkStart w:id="29" w:name="_Toc26986530"/>
      <w:bookmarkStart w:id="30" w:name="_Toc26986771"/>
      <w:bookmarkStart w:id="31" w:name="_Toc24884211"/>
      <w:bookmarkStart w:id="32" w:name="_Toc97191423"/>
      <w:r>
        <w:rPr>
          <w:rFonts w:hint="eastAsia"/>
        </w:rPr>
        <w:t>范围</w:t>
      </w:r>
      <w:bookmarkEnd w:id="23"/>
      <w:bookmarkEnd w:id="24"/>
      <w:bookmarkEnd w:id="25"/>
      <w:bookmarkEnd w:id="26"/>
      <w:bookmarkEnd w:id="27"/>
      <w:bookmarkEnd w:id="28"/>
      <w:bookmarkEnd w:id="29"/>
      <w:bookmarkEnd w:id="30"/>
      <w:bookmarkEnd w:id="31"/>
      <w:bookmarkEnd w:id="32"/>
    </w:p>
    <w:p>
      <w:pPr>
        <w:pStyle w:val="56"/>
        <w:ind w:firstLine="420"/>
      </w:pPr>
      <w:bookmarkStart w:id="33" w:name="_Toc24884212"/>
      <w:bookmarkStart w:id="34" w:name="_Toc17233334"/>
      <w:bookmarkStart w:id="35" w:name="_Toc26648466"/>
      <w:bookmarkStart w:id="36" w:name="_Toc24884219"/>
      <w:bookmarkStart w:id="37" w:name="_Toc17233326"/>
      <w:r>
        <w:rPr>
          <w:rFonts w:hint="eastAsia"/>
        </w:rPr>
        <w:t>本文件规定了商品猪中草药无抗饲养的术语和定义、猪场要求、微纳米中草药饲料添加剂、饲养管理、疾病防控、无害化处理和档案记录。</w:t>
      </w:r>
    </w:p>
    <w:p>
      <w:pPr>
        <w:pStyle w:val="56"/>
        <w:ind w:firstLine="420"/>
      </w:pPr>
      <w:r>
        <w:rPr>
          <w:rFonts w:hint="eastAsia"/>
        </w:rPr>
        <w:t>本文件适用于商品猪中草药无抗饲养。</w:t>
      </w:r>
    </w:p>
    <w:p>
      <w:pPr>
        <w:pStyle w:val="104"/>
        <w:spacing w:before="312" w:after="312"/>
      </w:pPr>
      <w:bookmarkStart w:id="38" w:name="_Toc26718931"/>
      <w:bookmarkStart w:id="39" w:name="_Toc26986772"/>
      <w:bookmarkStart w:id="40" w:name="_Toc30774"/>
      <w:bookmarkStart w:id="41" w:name="_Toc97191424"/>
      <w:bookmarkStart w:id="42" w:name="_Toc26986531"/>
      <w:r>
        <w:rPr>
          <w:rFonts w:hint="eastAsia"/>
        </w:rPr>
        <w:t>规范性引用文件</w:t>
      </w:r>
      <w:bookmarkEnd w:id="33"/>
      <w:bookmarkEnd w:id="34"/>
      <w:bookmarkEnd w:id="35"/>
      <w:bookmarkEnd w:id="36"/>
      <w:bookmarkEnd w:id="37"/>
      <w:bookmarkEnd w:id="38"/>
      <w:bookmarkEnd w:id="39"/>
      <w:bookmarkEnd w:id="40"/>
      <w:bookmarkEnd w:id="41"/>
      <w:bookmarkEnd w:id="42"/>
    </w:p>
    <w:sdt>
      <w:sdtPr>
        <w:rPr>
          <w:rFonts w:hint="eastAsia"/>
        </w:rPr>
        <w:id w:val="715848253"/>
        <w:placeholder>
          <w:docPart w:val="293DF4832D3B4A4BB2773A86999C5F6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GB/T 5915 仔猪、生长育肥猪配合饲料</w:t>
      </w:r>
    </w:p>
    <w:p>
      <w:pPr>
        <w:pStyle w:val="56"/>
        <w:ind w:firstLine="420"/>
      </w:pPr>
      <w:r>
        <w:rPr>
          <w:rFonts w:hint="eastAsia"/>
        </w:rPr>
        <w:t>GB 13078 饲料卫生标准</w:t>
      </w:r>
    </w:p>
    <w:p>
      <w:pPr>
        <w:pStyle w:val="56"/>
        <w:ind w:firstLine="420"/>
      </w:pPr>
      <w:r>
        <w:rPr>
          <w:rFonts w:hint="eastAsia"/>
        </w:rPr>
        <w:t>GB/T 17823 集约化猪场防疫基本要求</w:t>
      </w:r>
    </w:p>
    <w:p>
      <w:pPr>
        <w:pStyle w:val="56"/>
        <w:ind w:firstLine="420"/>
      </w:pPr>
      <w:r>
        <w:rPr>
          <w:rFonts w:hint="eastAsia"/>
        </w:rPr>
        <w:t>GB/T 17824.1</w:t>
      </w:r>
      <w:r>
        <w:rPr>
          <w:rFonts w:hint="eastAsia"/>
        </w:rPr>
        <w:tab/>
      </w:r>
      <w:r>
        <w:rPr>
          <w:rFonts w:hint="eastAsia"/>
        </w:rPr>
        <w:t>规模猪场建设</w:t>
      </w:r>
    </w:p>
    <w:p>
      <w:pPr>
        <w:pStyle w:val="56"/>
        <w:ind w:firstLine="420"/>
      </w:pPr>
      <w:r>
        <w:rPr>
          <w:rFonts w:hint="eastAsia"/>
        </w:rPr>
        <w:t>GB/T 17824.2</w:t>
      </w:r>
      <w:r>
        <w:rPr>
          <w:rFonts w:hint="eastAsia"/>
        </w:rPr>
        <w:tab/>
      </w:r>
      <w:r>
        <w:rPr>
          <w:rFonts w:hint="eastAsia"/>
        </w:rPr>
        <w:t>规模猪场生产技术规程</w:t>
      </w:r>
    </w:p>
    <w:p>
      <w:pPr>
        <w:pStyle w:val="56"/>
        <w:ind w:firstLine="420"/>
      </w:pPr>
      <w:r>
        <w:rPr>
          <w:rFonts w:hint="eastAsia"/>
        </w:rPr>
        <w:t>GB/T 17824.3</w:t>
      </w:r>
      <w:r>
        <w:rPr>
          <w:rFonts w:hint="eastAsia"/>
        </w:rPr>
        <w:tab/>
      </w:r>
      <w:r>
        <w:rPr>
          <w:rFonts w:hint="eastAsia"/>
        </w:rPr>
        <w:t>规模猪场环境参数及环境管理</w:t>
      </w:r>
    </w:p>
    <w:p>
      <w:pPr>
        <w:pStyle w:val="56"/>
        <w:ind w:firstLine="420"/>
      </w:pPr>
      <w:r>
        <w:rPr>
          <w:rFonts w:hint="eastAsia"/>
        </w:rPr>
        <w:t>GB 18596 畜禽养殖业污染物排放标准</w:t>
      </w:r>
    </w:p>
    <w:p>
      <w:pPr>
        <w:pStyle w:val="56"/>
        <w:ind w:firstLine="420"/>
      </w:pPr>
      <w:r>
        <w:rPr>
          <w:rFonts w:hint="eastAsia"/>
        </w:rPr>
        <w:t>GB/T 36195 畜禽粪便无害化处理技术规范</w:t>
      </w:r>
    </w:p>
    <w:p>
      <w:pPr>
        <w:pStyle w:val="56"/>
        <w:ind w:firstLine="420"/>
      </w:pPr>
      <w:r>
        <w:rPr>
          <w:rFonts w:hint="eastAsia"/>
        </w:rPr>
        <w:t>GB/T 39235  猪营养需要量</w:t>
      </w:r>
    </w:p>
    <w:p>
      <w:pPr>
        <w:pStyle w:val="56"/>
        <w:ind w:firstLine="420"/>
      </w:pPr>
      <w:r>
        <w:rPr>
          <w:rFonts w:hint="eastAsia"/>
        </w:rPr>
        <w:t>NY/T 472 绿色食品 兽药使用准则。</w:t>
      </w:r>
    </w:p>
    <w:p>
      <w:pPr>
        <w:pStyle w:val="56"/>
        <w:ind w:firstLine="420"/>
      </w:pPr>
      <w:r>
        <w:rPr>
          <w:rFonts w:hint="eastAsia"/>
        </w:rPr>
        <w:t>NY/T 3075 畜禽养殖场消毒技术</w:t>
      </w:r>
    </w:p>
    <w:p>
      <w:pPr>
        <w:pStyle w:val="56"/>
        <w:ind w:firstLine="420"/>
      </w:pPr>
      <w:r>
        <w:rPr>
          <w:rFonts w:hint="eastAsia"/>
        </w:rPr>
        <w:t>NY/T 3189 猪饲养场兽医卫生规范</w:t>
      </w:r>
    </w:p>
    <w:p>
      <w:pPr>
        <w:pStyle w:val="56"/>
        <w:ind w:firstLine="420"/>
      </w:pPr>
      <w:r>
        <w:rPr>
          <w:rFonts w:hint="eastAsia"/>
        </w:rPr>
        <w:t>NY/T 3381 生猪无害化处理操作规范</w:t>
      </w:r>
    </w:p>
    <w:p>
      <w:pPr>
        <w:pStyle w:val="56"/>
        <w:ind w:firstLine="420"/>
      </w:pPr>
      <w:r>
        <w:rPr>
          <w:rFonts w:hint="eastAsia"/>
        </w:rPr>
        <w:t>NY/T 3445 畜禽养殖场档案规范</w:t>
      </w:r>
    </w:p>
    <w:p>
      <w:pPr>
        <w:pStyle w:val="104"/>
        <w:spacing w:before="312" w:after="312"/>
      </w:pPr>
      <w:bookmarkStart w:id="43" w:name="_Toc14937"/>
      <w:bookmarkStart w:id="44" w:name="_Toc97191425"/>
      <w:r>
        <w:rPr>
          <w:rFonts w:hint="eastAsia"/>
          <w:szCs w:val="21"/>
        </w:rPr>
        <w:t>术语和定义</w:t>
      </w:r>
      <w:bookmarkEnd w:id="43"/>
      <w:bookmarkEnd w:id="44"/>
    </w:p>
    <w:sdt>
      <w:sdtPr>
        <w:id w:val="-1909835108"/>
        <w:placeholder>
          <w:docPart w:val="46933A46D5A747418F7B06713E66E0E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r>
            <w:t>下列术语和定义适用于本文件。</w:t>
          </w:r>
        </w:p>
      </w:sdtContent>
    </w:sdt>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商品猪 commercial pigs</w:t>
      </w:r>
    </w:p>
    <w:p>
      <w:pPr>
        <w:pStyle w:val="56"/>
        <w:ind w:firstLine="420"/>
      </w:pPr>
      <w:r>
        <w:rPr>
          <w:rFonts w:hint="eastAsia"/>
        </w:rPr>
        <w:t>饲养到一定体重后，直接用于屠宰提供猪肉的生长育肥猪。</w:t>
      </w:r>
    </w:p>
    <w:p>
      <w:pPr>
        <w:pStyle w:val="223"/>
        <w:ind w:left="420" w:hanging="420" w:hangingChars="200"/>
        <w:rPr>
          <w:rFonts w:hint="eastAsia" w:ascii="黑体" w:hAnsi="黑体" w:eastAsia="黑体"/>
        </w:rPr>
      </w:pPr>
    </w:p>
    <w:p>
      <w:pPr>
        <w:pStyle w:val="56"/>
        <w:ind w:firstLine="420"/>
        <w:rPr>
          <w:rFonts w:hint="eastAsia" w:ascii="黑体" w:hAnsi="黑体" w:eastAsia="黑体"/>
        </w:rPr>
      </w:pPr>
      <w:r>
        <w:rPr>
          <w:rFonts w:hint="eastAsia" w:ascii="黑体" w:hAnsi="黑体" w:eastAsia="黑体"/>
        </w:rPr>
        <w:t>中草药破壁技术 Chinese herbal medicine cell wall breaking technology</w:t>
      </w:r>
    </w:p>
    <w:p>
      <w:pPr>
        <w:pStyle w:val="56"/>
        <w:ind w:firstLine="420"/>
      </w:pPr>
      <w:r>
        <w:rPr>
          <w:rFonts w:hint="eastAsia"/>
        </w:rPr>
        <w:t>采用普通粉碎与超音速气流粉碎等机械粉碎措施，打破中草药植物的细胞壁，使中草药粉末粒径达到微纳米级别大小的加工技术。</w:t>
      </w:r>
    </w:p>
    <w:p>
      <w:pPr>
        <w:pStyle w:val="223"/>
        <w:ind w:left="420" w:hanging="420" w:hangingChars="200"/>
        <w:rPr>
          <w:rFonts w:hint="eastAsia" w:ascii="黑体" w:hAnsi="黑体" w:eastAsia="黑体"/>
        </w:rPr>
      </w:pPr>
    </w:p>
    <w:p>
      <w:pPr>
        <w:pStyle w:val="56"/>
        <w:ind w:firstLine="420"/>
        <w:rPr>
          <w:rFonts w:hint="eastAsia" w:ascii="黑体" w:hAnsi="黑体" w:eastAsia="黑体"/>
        </w:rPr>
      </w:pPr>
      <w:r>
        <w:rPr>
          <w:rFonts w:hint="eastAsia" w:ascii="黑体" w:hAnsi="黑体" w:eastAsia="黑体"/>
        </w:rPr>
        <w:t>中草药发酵制剂 fermented nano Chinese herbal medicine</w:t>
      </w:r>
    </w:p>
    <w:p>
      <w:pPr>
        <w:pStyle w:val="56"/>
        <w:ind w:firstLine="420"/>
      </w:pPr>
      <w:r>
        <w:rPr>
          <w:rFonts w:hint="eastAsia"/>
        </w:rPr>
        <w:t>利用有益菌粉对完成炮制的中草药进行生物发酵工程发酵而制成的中草药制品。</w:t>
      </w:r>
    </w:p>
    <w:p>
      <w:pPr>
        <w:pStyle w:val="223"/>
        <w:ind w:left="420" w:hanging="420" w:hangingChars="200"/>
        <w:rPr>
          <w:rFonts w:hint="eastAsia" w:ascii="黑体" w:hAnsi="黑体" w:eastAsia="黑体"/>
        </w:rPr>
      </w:pPr>
    </w:p>
    <w:p>
      <w:pPr>
        <w:pStyle w:val="56"/>
        <w:ind w:firstLine="420"/>
        <w:rPr>
          <w:rFonts w:hint="eastAsia" w:ascii="黑体" w:hAnsi="黑体" w:eastAsia="黑体"/>
        </w:rPr>
      </w:pPr>
      <w:r>
        <w:rPr>
          <w:rFonts w:hint="eastAsia" w:ascii="黑体" w:hAnsi="黑体" w:eastAsia="黑体"/>
        </w:rPr>
        <w:t>微纳米中草药饲料添加剂 Micro-nano Traditional Chinese Medicine Feed Additives</w:t>
      </w:r>
    </w:p>
    <w:p>
      <w:pPr>
        <w:pStyle w:val="56"/>
        <w:ind w:firstLine="420"/>
        <w:rPr>
          <w:rFonts w:hint="eastAsia" w:ascii="黑体" w:hAnsi="黑体" w:eastAsia="黑体"/>
        </w:rPr>
      </w:pPr>
      <w:r>
        <w:rPr>
          <w:rFonts w:hint="eastAsia"/>
        </w:rPr>
        <w:t>将具有抗菌抗病毒、促进动物生长作用的中草药等原料经过中草药破壁技术，粉碎成微纳米级别的粉末，然后加入适量辅料而制成的饲料添加剂。</w:t>
      </w:r>
    </w:p>
    <w:p>
      <w:pPr>
        <w:pStyle w:val="223"/>
        <w:ind w:left="420" w:hanging="420" w:hangingChars="200"/>
        <w:rPr>
          <w:rFonts w:hint="eastAsia" w:ascii="黑体" w:hAnsi="黑体" w:eastAsia="黑体"/>
        </w:rPr>
      </w:pPr>
    </w:p>
    <w:p>
      <w:pPr>
        <w:pStyle w:val="223"/>
        <w:numPr>
          <w:ilvl w:val="2"/>
          <w:numId w:val="0"/>
        </w:numPr>
        <w:ind w:left="-420" w:leftChars="-200"/>
        <w:rPr>
          <w:rFonts w:hint="eastAsia" w:ascii="黑体" w:hAnsi="黑体" w:eastAsia="黑体"/>
        </w:rPr>
      </w:pPr>
      <w:r>
        <w:rPr>
          <w:rFonts w:hint="eastAsia" w:ascii="黑体" w:hAnsi="黑体" w:eastAsia="黑体"/>
        </w:rPr>
        <w:t xml:space="preserve">        无抗配合饲料Antibiotic-free compound feed</w:t>
      </w:r>
    </w:p>
    <w:p>
      <w:pPr>
        <w:pStyle w:val="56"/>
        <w:ind w:firstLine="420"/>
        <w:rPr>
          <w:rFonts w:hint="eastAsia" w:ascii="黑体" w:hAnsi="黑体" w:eastAsia="黑体"/>
        </w:rPr>
      </w:pPr>
      <w:r>
        <w:rPr>
          <w:rFonts w:hint="eastAsia"/>
        </w:rPr>
        <w:t>在配合饲料生产、存储和运输过程中不添加抗生素，不受抗生素污染，符合国家法律法规要求，经国家或国际标准规定的检测方法不应检出任何抗生素成份的配合饲料</w:t>
      </w:r>
    </w:p>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无抗饲养 antibiotic-free farming of pigs</w:t>
      </w:r>
    </w:p>
    <w:p>
      <w:pPr>
        <w:pStyle w:val="56"/>
        <w:ind w:firstLine="420"/>
      </w:pPr>
      <w:r>
        <w:rPr>
          <w:rFonts w:hint="eastAsia"/>
        </w:rPr>
        <w:t>在商品猪养殖过程中不使用任何抗生素的养殖模式。</w:t>
      </w:r>
    </w:p>
    <w:p>
      <w:pPr>
        <w:pStyle w:val="223"/>
        <w:ind w:left="420" w:hanging="420" w:hangingChars="200"/>
        <w:rPr>
          <w:rFonts w:hint="eastAsia" w:ascii="黑体" w:hAnsi="黑体" w:eastAsia="黑体"/>
        </w:rPr>
      </w:pPr>
    </w:p>
    <w:p>
      <w:pPr>
        <w:pStyle w:val="56"/>
        <w:ind w:firstLine="420"/>
        <w:rPr>
          <w:rFonts w:hint="eastAsia" w:ascii="黑体" w:hAnsi="黑体" w:eastAsia="黑体"/>
        </w:rPr>
      </w:pPr>
      <w:r>
        <w:rPr>
          <w:rFonts w:hint="eastAsia" w:ascii="黑体" w:hAnsi="黑体" w:eastAsia="黑体"/>
        </w:rPr>
        <w:t>中草药无抗饲养 Chinese herbal medicine antibiotic-free feeding</w:t>
      </w:r>
    </w:p>
    <w:p>
      <w:pPr>
        <w:pStyle w:val="56"/>
        <w:ind w:firstLine="420"/>
      </w:pPr>
      <w:r>
        <w:rPr>
          <w:rFonts w:hint="eastAsia"/>
        </w:rPr>
        <w:t>在生猪养殖过程中，使用微纳米中草药饲料添加剂等替代常规抗生素类饲料添加剂的无抗饲养方法。</w:t>
      </w:r>
    </w:p>
    <w:p>
      <w:pPr>
        <w:pStyle w:val="104"/>
        <w:spacing w:before="312" w:after="312"/>
      </w:pPr>
      <w:bookmarkStart w:id="45" w:name="_Toc29034"/>
      <w:r>
        <w:rPr>
          <w:rFonts w:hint="eastAsia"/>
        </w:rPr>
        <w:t>猪场要求</w:t>
      </w:r>
      <w:bookmarkEnd w:id="45"/>
    </w:p>
    <w:p>
      <w:pPr>
        <w:pStyle w:val="56"/>
        <w:ind w:firstLine="420"/>
      </w:pPr>
      <w:r>
        <w:rPr>
          <w:rFonts w:hint="eastAsia"/>
        </w:rPr>
        <w:t>商品猪养殖场的选址、猪舍布局等养猪场建设应符合GB/T 17824.1的要求。猪场环境参数及环境管理符合应符合GB/T 17824.3中的要求。</w:t>
      </w:r>
    </w:p>
    <w:p>
      <w:pPr>
        <w:pStyle w:val="104"/>
        <w:spacing w:before="312" w:after="312"/>
      </w:pPr>
      <w:bookmarkStart w:id="46" w:name="_Toc5244"/>
      <w:r>
        <w:rPr>
          <w:rFonts w:hint="eastAsia"/>
        </w:rPr>
        <w:t>微纳米中草药饲料添加剂</w:t>
      </w:r>
      <w:bookmarkEnd w:id="46"/>
    </w:p>
    <w:p>
      <w:pPr>
        <w:pStyle w:val="105"/>
        <w:spacing w:before="156" w:after="156"/>
      </w:pPr>
      <w:bookmarkStart w:id="47" w:name="_Toc20578"/>
      <w:r>
        <w:rPr>
          <w:rFonts w:hint="eastAsia"/>
        </w:rPr>
        <w:t>选材</w:t>
      </w:r>
      <w:bookmarkEnd w:id="47"/>
    </w:p>
    <w:p>
      <w:pPr>
        <w:pStyle w:val="56"/>
        <w:ind w:firstLine="420"/>
      </w:pPr>
      <w:r>
        <w:rPr>
          <w:rFonts w:hint="eastAsia"/>
        </w:rPr>
        <w:t>中草药应来自具有《兽药生产许可证》和产品批准文号的生产企业，符合《中华人民共和国兽药典》和《饲料原料目录》的要求。</w:t>
      </w:r>
    </w:p>
    <w:p>
      <w:pPr>
        <w:pStyle w:val="105"/>
        <w:spacing w:before="156" w:after="156"/>
      </w:pPr>
      <w:bookmarkStart w:id="48" w:name="_Toc29582"/>
      <w:r>
        <w:rPr>
          <w:rFonts w:hint="eastAsia"/>
        </w:rPr>
        <w:t>组成</w:t>
      </w:r>
      <w:bookmarkEnd w:id="48"/>
    </w:p>
    <w:p>
      <w:pPr>
        <w:pStyle w:val="56"/>
        <w:ind w:firstLine="420"/>
      </w:pPr>
      <w:r>
        <w:rPr>
          <w:rFonts w:hint="eastAsia"/>
        </w:rPr>
        <w:t>应根据猪生长阶段和气候季节特点，选用当地资源丰富的，具有抗菌、抗病毒、提高机体免疫力、促进消化与动物生长功能的3味～15味中草药，按一定的份量或比例组成具有一定功用的方剂。常用中草药替抗制剂参见附录A。</w:t>
      </w:r>
    </w:p>
    <w:p>
      <w:pPr>
        <w:pStyle w:val="105"/>
        <w:spacing w:before="156" w:after="156"/>
      </w:pPr>
      <w:bookmarkStart w:id="49" w:name="_Toc29411"/>
      <w:r>
        <w:rPr>
          <w:rFonts w:hint="eastAsia"/>
        </w:rPr>
        <w:t>工艺流程</w:t>
      </w:r>
      <w:bookmarkEnd w:id="49"/>
    </w:p>
    <w:p>
      <w:pPr>
        <w:pStyle w:val="56"/>
        <w:ind w:firstLine="420"/>
      </w:pPr>
      <w:r>
        <w:rPr>
          <w:rFonts w:hint="eastAsia"/>
        </w:rPr>
        <w:t>将中草药控干、粉碎、破壁，加入活化益生菌，按照比例放入发酵罐中发酵72 h～96 h后加入辅料制成。</w:t>
      </w:r>
    </w:p>
    <w:p>
      <w:pPr>
        <w:pStyle w:val="104"/>
        <w:spacing w:before="312" w:after="312"/>
      </w:pPr>
      <w:bookmarkStart w:id="50" w:name="_Toc12804"/>
      <w:r>
        <w:rPr>
          <w:rFonts w:hint="eastAsia"/>
        </w:rPr>
        <w:t>饲养管理</w:t>
      </w:r>
      <w:bookmarkEnd w:id="50"/>
    </w:p>
    <w:p>
      <w:pPr>
        <w:pStyle w:val="105"/>
        <w:spacing w:before="156" w:after="156"/>
      </w:pPr>
      <w:bookmarkStart w:id="51" w:name="_Toc5677"/>
      <w:r>
        <w:rPr>
          <w:rFonts w:hint="eastAsia"/>
        </w:rPr>
        <w:t>饲料原料</w:t>
      </w:r>
      <w:bookmarkEnd w:id="51"/>
    </w:p>
    <w:p>
      <w:pPr>
        <w:pStyle w:val="165"/>
      </w:pPr>
      <w:r>
        <w:rPr>
          <w:rFonts w:hint="eastAsia"/>
        </w:rPr>
        <w:t>应使用经过破壁工艺技术与生物发酵处理而制成的微纳米中草药饲料添加剂。</w:t>
      </w:r>
    </w:p>
    <w:p>
      <w:pPr>
        <w:pStyle w:val="165"/>
      </w:pPr>
      <w:r>
        <w:rPr>
          <w:rFonts w:hint="eastAsia"/>
        </w:rPr>
        <w:t>应从《饲料原料目录》和《饲料添加剂品种目录》中选择生猪易消化的、符合GB 13078规定的卫生标准的饲料原料，按《饲料添加剂安全使用规范》的要求使用。不得使用发霉、变质、被污染的饲料原料。</w:t>
      </w:r>
    </w:p>
    <w:p>
      <w:pPr>
        <w:pStyle w:val="105"/>
        <w:spacing w:before="156" w:after="156"/>
      </w:pPr>
      <w:bookmarkStart w:id="52" w:name="_Toc14912"/>
      <w:r>
        <w:rPr>
          <w:rFonts w:hint="eastAsia"/>
        </w:rPr>
        <w:t>配合饲料</w:t>
      </w:r>
      <w:bookmarkEnd w:id="52"/>
    </w:p>
    <w:p>
      <w:pPr>
        <w:pStyle w:val="56"/>
        <w:ind w:firstLine="420"/>
      </w:pPr>
      <w:r>
        <w:rPr>
          <w:rFonts w:hint="eastAsia"/>
        </w:rPr>
        <w:t>基础日粮应达到GB/T 39235、GB/T 5915规定的要求。商品猪玉米—豆粕型基础日粮的组成和营养水平参见附录B。</w:t>
      </w:r>
    </w:p>
    <w:p>
      <w:pPr>
        <w:pStyle w:val="105"/>
        <w:spacing w:before="156" w:after="156"/>
      </w:pPr>
      <w:bookmarkStart w:id="53" w:name="_Toc31950"/>
      <w:r>
        <w:rPr>
          <w:rFonts w:hint="eastAsia"/>
        </w:rPr>
        <w:t>无抗配合饲料</w:t>
      </w:r>
      <w:bookmarkEnd w:id="53"/>
    </w:p>
    <w:p>
      <w:pPr>
        <w:pStyle w:val="56"/>
        <w:ind w:firstLine="420"/>
      </w:pPr>
      <w:r>
        <w:rPr>
          <w:rFonts w:hint="eastAsia"/>
        </w:rPr>
        <w:t>应使用基础日粮＋基础日粮0.5%微纳米中草药制剂充分混合均匀。</w:t>
      </w:r>
    </w:p>
    <w:p>
      <w:pPr>
        <w:pStyle w:val="105"/>
        <w:spacing w:before="156" w:after="156"/>
      </w:pPr>
      <w:bookmarkStart w:id="54" w:name="_Toc1917"/>
      <w:r>
        <w:rPr>
          <w:rFonts w:hint="eastAsia"/>
        </w:rPr>
        <w:t>饲喂</w:t>
      </w:r>
      <w:bookmarkEnd w:id="54"/>
    </w:p>
    <w:p>
      <w:pPr>
        <w:pStyle w:val="56"/>
        <w:ind w:firstLine="420"/>
      </w:pPr>
      <w:r>
        <w:rPr>
          <w:rFonts w:hint="eastAsia"/>
        </w:rPr>
        <w:t>应采用自由饮水和分餐饲喂模式，其中30kg～60kg体重猪3次/d，60kg以上体重猪2次/d，日饲喂量宜依猪的体重大小结合猪群的采食行为（八成猪不再采食时停止投料）而定，商品猪推荐日投料量见表1。</w:t>
      </w:r>
    </w:p>
    <w:p>
      <w:pPr>
        <w:widowControl/>
        <w:tabs>
          <w:tab w:val="center" w:pos="4201"/>
          <w:tab w:val="right" w:leader="dot" w:pos="9298"/>
        </w:tabs>
        <w:autoSpaceDE w:val="0"/>
        <w:autoSpaceDN w:val="0"/>
        <w:adjustRightInd/>
        <w:spacing w:line="240" w:lineRule="exact"/>
        <w:rPr>
          <w:rFonts w:hint="eastAsia" w:hAnsi="宋体" w:cs="宋体"/>
          <w:bCs/>
        </w:rPr>
      </w:pPr>
      <w:r>
        <w:rPr>
          <w:rFonts w:ascii="Times New Roman" w:hAnsi="Times New Roman" w:eastAsia="黑体"/>
          <w:bCs/>
        </w:rPr>
        <w:t>表1</w:t>
      </w:r>
      <w:r>
        <w:rPr>
          <w:rFonts w:hint="eastAsia" w:ascii="Times New Roman" w:hAnsi="Times New Roman" w:eastAsia="黑体"/>
          <w:bCs/>
        </w:rPr>
        <w:t xml:space="preserve">                             </w:t>
      </w:r>
      <w:r>
        <w:rPr>
          <w:rFonts w:ascii="Times New Roman" w:hAnsi="Times New Roman" w:eastAsia="黑体"/>
          <w:bCs/>
        </w:rPr>
        <w:t>商品猪推荐日投料量表</w:t>
      </w:r>
    </w:p>
    <w:tbl>
      <w:tblPr>
        <w:tblStyle w:val="27"/>
        <w:tblW w:w="90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1"/>
        <w:gridCol w:w="2251"/>
        <w:gridCol w:w="2251"/>
        <w:gridCol w:w="2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1" w:type="dxa"/>
          </w:tcPr>
          <w:p>
            <w:pPr>
              <w:widowControl/>
              <w:tabs>
                <w:tab w:val="center" w:pos="4201"/>
                <w:tab w:val="right" w:leader="dot" w:pos="9298"/>
              </w:tabs>
              <w:autoSpaceDE w:val="0"/>
              <w:autoSpaceDN w:val="0"/>
              <w:adjustRightInd/>
              <w:spacing w:line="240" w:lineRule="exact"/>
              <w:jc w:val="center"/>
              <w:rPr>
                <w:rFonts w:hint="eastAsia" w:ascii="宋体" w:hAnsi="宋体" w:cs="宋体"/>
                <w:b/>
                <w:bCs/>
              </w:rPr>
            </w:pPr>
            <w:r>
              <w:rPr>
                <w:rFonts w:hint="eastAsia" w:ascii="宋体" w:hAnsi="宋体" w:cs="宋体"/>
                <w:b/>
                <w:bCs/>
              </w:rPr>
              <w:t>体重阶段（kg）</w:t>
            </w:r>
          </w:p>
        </w:tc>
        <w:tc>
          <w:tcPr>
            <w:tcW w:w="2251" w:type="dxa"/>
          </w:tcPr>
          <w:p>
            <w:pPr>
              <w:widowControl/>
              <w:tabs>
                <w:tab w:val="center" w:pos="4201"/>
                <w:tab w:val="right" w:leader="dot" w:pos="9298"/>
              </w:tabs>
              <w:autoSpaceDE w:val="0"/>
              <w:autoSpaceDN w:val="0"/>
              <w:adjustRightInd/>
              <w:spacing w:line="240" w:lineRule="exact"/>
              <w:jc w:val="center"/>
              <w:rPr>
                <w:rFonts w:hint="eastAsia" w:ascii="宋体" w:hAnsi="宋体" w:cs="宋体"/>
                <w:bCs/>
                <w:sz w:val="15"/>
                <w:szCs w:val="15"/>
              </w:rPr>
            </w:pPr>
            <w:r>
              <w:rPr>
                <w:rFonts w:hint="eastAsia" w:ascii="宋体" w:hAnsi="宋体" w:cs="宋体"/>
                <w:bCs/>
                <w:sz w:val="15"/>
                <w:szCs w:val="15"/>
              </w:rPr>
              <w:t>30</w:t>
            </w:r>
            <w:bookmarkStart w:id="55" w:name="OLE_LINK9"/>
            <w:r>
              <w:rPr>
                <w:rFonts w:hint="eastAsia" w:ascii="宋体" w:hAnsi="宋体" w:cs="宋体"/>
                <w:bCs/>
                <w:sz w:val="15"/>
                <w:szCs w:val="15"/>
              </w:rPr>
              <w:t>～</w:t>
            </w:r>
            <w:bookmarkEnd w:id="55"/>
            <w:r>
              <w:rPr>
                <w:rFonts w:hint="eastAsia" w:ascii="宋体" w:hAnsi="宋体" w:cs="宋体"/>
                <w:bCs/>
                <w:sz w:val="15"/>
                <w:szCs w:val="15"/>
              </w:rPr>
              <w:t>60</w:t>
            </w:r>
          </w:p>
        </w:tc>
        <w:tc>
          <w:tcPr>
            <w:tcW w:w="2251" w:type="dxa"/>
          </w:tcPr>
          <w:p>
            <w:pPr>
              <w:widowControl/>
              <w:tabs>
                <w:tab w:val="center" w:pos="4201"/>
                <w:tab w:val="right" w:leader="dot" w:pos="9298"/>
              </w:tabs>
              <w:autoSpaceDE w:val="0"/>
              <w:autoSpaceDN w:val="0"/>
              <w:adjustRightInd/>
              <w:spacing w:line="240" w:lineRule="exact"/>
              <w:jc w:val="center"/>
              <w:rPr>
                <w:rFonts w:hint="eastAsia" w:ascii="宋体" w:hAnsi="宋体" w:cs="宋体"/>
                <w:bCs/>
                <w:sz w:val="15"/>
                <w:szCs w:val="15"/>
              </w:rPr>
            </w:pPr>
            <w:r>
              <w:rPr>
                <w:rFonts w:hint="eastAsia" w:ascii="宋体" w:hAnsi="宋体" w:cs="宋体"/>
                <w:bCs/>
                <w:sz w:val="15"/>
                <w:szCs w:val="15"/>
              </w:rPr>
              <w:t>60～110</w:t>
            </w:r>
          </w:p>
        </w:tc>
        <w:tc>
          <w:tcPr>
            <w:tcW w:w="2252" w:type="dxa"/>
          </w:tcPr>
          <w:p>
            <w:pPr>
              <w:widowControl/>
              <w:tabs>
                <w:tab w:val="center" w:pos="4201"/>
                <w:tab w:val="right" w:leader="dot" w:pos="9298"/>
              </w:tabs>
              <w:autoSpaceDE w:val="0"/>
              <w:autoSpaceDN w:val="0"/>
              <w:adjustRightInd/>
              <w:spacing w:line="240" w:lineRule="exact"/>
              <w:jc w:val="center"/>
              <w:rPr>
                <w:rFonts w:hint="eastAsia" w:ascii="宋体" w:hAnsi="宋体" w:cs="宋体"/>
                <w:bCs/>
                <w:sz w:val="15"/>
                <w:szCs w:val="15"/>
              </w:rPr>
            </w:pPr>
            <w:r>
              <w:rPr>
                <w:rFonts w:hint="eastAsia" w:ascii="宋体" w:hAnsi="宋体" w:cs="宋体"/>
                <w:bCs/>
                <w:sz w:val="15"/>
                <w:szCs w:val="15"/>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1" w:type="dxa"/>
          </w:tcPr>
          <w:p>
            <w:pPr>
              <w:widowControl/>
              <w:tabs>
                <w:tab w:val="center" w:pos="4201"/>
                <w:tab w:val="right" w:leader="dot" w:pos="9298"/>
              </w:tabs>
              <w:autoSpaceDE w:val="0"/>
              <w:autoSpaceDN w:val="0"/>
              <w:adjustRightInd/>
              <w:spacing w:line="240" w:lineRule="exact"/>
              <w:jc w:val="center"/>
              <w:rPr>
                <w:rFonts w:hint="eastAsia" w:ascii="宋体" w:hAnsi="宋体" w:cs="宋体"/>
                <w:b/>
                <w:bCs/>
              </w:rPr>
            </w:pPr>
            <w:r>
              <w:rPr>
                <w:rFonts w:hint="eastAsia" w:ascii="宋体" w:hAnsi="宋体" w:cs="宋体"/>
                <w:b/>
                <w:bCs/>
              </w:rPr>
              <w:t>日投料量</w:t>
            </w:r>
          </w:p>
        </w:tc>
        <w:tc>
          <w:tcPr>
            <w:tcW w:w="2251" w:type="dxa"/>
          </w:tcPr>
          <w:p>
            <w:pPr>
              <w:widowControl/>
              <w:tabs>
                <w:tab w:val="center" w:pos="4201"/>
                <w:tab w:val="right" w:leader="dot" w:pos="9298"/>
              </w:tabs>
              <w:autoSpaceDE w:val="0"/>
              <w:autoSpaceDN w:val="0"/>
              <w:adjustRightInd/>
              <w:spacing w:line="240" w:lineRule="exact"/>
              <w:jc w:val="center"/>
              <w:rPr>
                <w:rFonts w:hint="eastAsia" w:ascii="宋体" w:hAnsi="宋体" w:cs="宋体"/>
                <w:bCs/>
                <w:sz w:val="15"/>
                <w:szCs w:val="15"/>
              </w:rPr>
            </w:pPr>
            <w:r>
              <w:rPr>
                <w:rFonts w:hint="eastAsia" w:ascii="宋体" w:hAnsi="宋体" w:cs="宋体"/>
                <w:bCs/>
                <w:sz w:val="15"/>
                <w:szCs w:val="15"/>
              </w:rPr>
              <w:t>5.0%～3.5%</w:t>
            </w:r>
          </w:p>
        </w:tc>
        <w:tc>
          <w:tcPr>
            <w:tcW w:w="2251" w:type="dxa"/>
          </w:tcPr>
          <w:p>
            <w:pPr>
              <w:widowControl/>
              <w:tabs>
                <w:tab w:val="center" w:pos="4201"/>
                <w:tab w:val="right" w:leader="dot" w:pos="9298"/>
              </w:tabs>
              <w:autoSpaceDE w:val="0"/>
              <w:autoSpaceDN w:val="0"/>
              <w:adjustRightInd/>
              <w:spacing w:line="240" w:lineRule="exact"/>
              <w:jc w:val="center"/>
              <w:rPr>
                <w:rFonts w:hint="eastAsia" w:ascii="宋体" w:hAnsi="宋体" w:cs="宋体"/>
                <w:bCs/>
                <w:sz w:val="15"/>
                <w:szCs w:val="15"/>
              </w:rPr>
            </w:pPr>
            <w:r>
              <w:rPr>
                <w:rFonts w:hint="eastAsia" w:ascii="宋体" w:hAnsi="宋体" w:cs="宋体"/>
                <w:bCs/>
                <w:sz w:val="15"/>
                <w:szCs w:val="15"/>
              </w:rPr>
              <w:t>3.5%～2.8%</w:t>
            </w:r>
          </w:p>
        </w:tc>
        <w:tc>
          <w:tcPr>
            <w:tcW w:w="2252" w:type="dxa"/>
          </w:tcPr>
          <w:p>
            <w:pPr>
              <w:widowControl/>
              <w:tabs>
                <w:tab w:val="center" w:pos="4201"/>
                <w:tab w:val="right" w:leader="dot" w:pos="9298"/>
              </w:tabs>
              <w:autoSpaceDE w:val="0"/>
              <w:autoSpaceDN w:val="0"/>
              <w:adjustRightInd/>
              <w:spacing w:line="240" w:lineRule="exact"/>
              <w:jc w:val="center"/>
              <w:rPr>
                <w:rFonts w:hint="eastAsia" w:ascii="宋体" w:hAnsi="宋体" w:cs="宋体"/>
                <w:bCs/>
                <w:sz w:val="15"/>
                <w:szCs w:val="15"/>
              </w:rPr>
            </w:pPr>
            <w:r>
              <w:rPr>
                <w:rFonts w:hint="eastAsia" w:ascii="宋体" w:hAnsi="宋体" w:cs="宋体"/>
                <w:bCs/>
                <w:sz w:val="15"/>
                <w:szCs w:val="15"/>
              </w:rPr>
              <w:t>3.0%～2.2%</w:t>
            </w:r>
          </w:p>
        </w:tc>
      </w:tr>
    </w:tbl>
    <w:p>
      <w:pPr>
        <w:pStyle w:val="105"/>
        <w:spacing w:before="156" w:after="156"/>
      </w:pPr>
      <w:bookmarkStart w:id="56" w:name="_Toc5208"/>
      <w:r>
        <w:rPr>
          <w:rFonts w:hint="eastAsia"/>
        </w:rPr>
        <w:t>管理</w:t>
      </w:r>
      <w:bookmarkEnd w:id="56"/>
    </w:p>
    <w:p>
      <w:pPr>
        <w:pStyle w:val="56"/>
        <w:ind w:firstLine="420"/>
      </w:pPr>
      <w:r>
        <w:rPr>
          <w:rFonts w:hint="eastAsia"/>
        </w:rPr>
        <w:t>饲养密度应执行GB/T 17824.1的规定；猪群管理应执行GB/T 17824.1的规定。</w:t>
      </w:r>
    </w:p>
    <w:p>
      <w:pPr>
        <w:pStyle w:val="104"/>
        <w:spacing w:before="312" w:after="312"/>
      </w:pPr>
      <w:bookmarkStart w:id="57" w:name="_Toc15168"/>
      <w:r>
        <w:rPr>
          <w:rFonts w:hint="eastAsia"/>
        </w:rPr>
        <w:t>疾病防控</w:t>
      </w:r>
      <w:bookmarkEnd w:id="57"/>
    </w:p>
    <w:p>
      <w:pPr>
        <w:pStyle w:val="105"/>
        <w:spacing w:before="156" w:after="156"/>
      </w:pPr>
      <w:bookmarkStart w:id="58" w:name="_Toc8587"/>
      <w:r>
        <w:rPr>
          <w:rFonts w:hint="eastAsia"/>
        </w:rPr>
        <w:t>原则</w:t>
      </w:r>
      <w:bookmarkEnd w:id="58"/>
    </w:p>
    <w:p>
      <w:pPr>
        <w:pStyle w:val="165"/>
      </w:pPr>
      <w:r>
        <w:rPr>
          <w:rFonts w:hint="eastAsia"/>
        </w:rPr>
        <w:t>应严格执行生物安全制度，坚持自繁自养原则、全进全出，严格把控人员、工用具、运输车辆的进出、清洗和消毒。</w:t>
      </w:r>
    </w:p>
    <w:p>
      <w:pPr>
        <w:pStyle w:val="165"/>
      </w:pPr>
      <w:r>
        <w:rPr>
          <w:rFonts w:hint="eastAsia"/>
        </w:rPr>
        <w:t>中草药与中兽药制剂购买和使用应符合NY/T 5030和《中华人民共和国兽药典》的规定、来源于经过中药质量监控的正规生产企业，天然中草药和益生菌制剂应符合NY/T 472和《饲料添加剂品种目录》的相关规定。</w:t>
      </w:r>
    </w:p>
    <w:p>
      <w:pPr>
        <w:pStyle w:val="165"/>
      </w:pPr>
      <w:r>
        <w:rPr>
          <w:rFonts w:hint="eastAsia"/>
        </w:rPr>
        <w:t>应执行GB/T 17823、NY/T 3189的规定，使用微纳米中草药制剂进行猪群疾病的预防和治疗。</w:t>
      </w:r>
    </w:p>
    <w:p>
      <w:pPr>
        <w:pStyle w:val="165"/>
      </w:pPr>
      <w:r>
        <w:rPr>
          <w:rFonts w:hint="eastAsia"/>
        </w:rPr>
        <w:t>不得使用任何抗生素类药物预防猪群疾病和促进猪群生长。</w:t>
      </w:r>
    </w:p>
    <w:p>
      <w:pPr>
        <w:pStyle w:val="105"/>
        <w:spacing w:before="156" w:after="156"/>
      </w:pPr>
      <w:bookmarkStart w:id="59" w:name="_Toc21333"/>
      <w:r>
        <w:rPr>
          <w:rFonts w:hint="eastAsia"/>
        </w:rPr>
        <w:t>卫生消毒</w:t>
      </w:r>
      <w:bookmarkEnd w:id="59"/>
    </w:p>
    <w:p>
      <w:pPr>
        <w:pStyle w:val="165"/>
      </w:pPr>
      <w:r>
        <w:rPr>
          <w:rFonts w:hint="eastAsia"/>
        </w:rPr>
        <w:t>应按GB/T 17823、NY/T 3075的规定，对出入车辆、出入设备用具、厂区道路、环境、猪舍内外、饮水及饲喂设备用具、兽医器械及用品等进行消毒。</w:t>
      </w:r>
    </w:p>
    <w:p>
      <w:pPr>
        <w:pStyle w:val="165"/>
      </w:pPr>
      <w:r>
        <w:rPr>
          <w:rFonts w:hint="eastAsia"/>
        </w:rPr>
        <w:t>应每天清扫猪舍，保持料槽、水槽、工用具干净，地面清洁卫生。每周猪消毒2次。</w:t>
      </w:r>
    </w:p>
    <w:p>
      <w:pPr>
        <w:pStyle w:val="165"/>
      </w:pPr>
      <w:r>
        <w:rPr>
          <w:rFonts w:hint="eastAsia"/>
        </w:rPr>
        <w:t>应在猪群转（售）出后彻底清洗、消毒，空栏期</w:t>
      </w:r>
      <w:r>
        <w:rPr>
          <w:rFonts w:hint="eastAsia"/>
          <w:lang w:val="en-US" w:eastAsia="zh-CN"/>
        </w:rPr>
        <w:t xml:space="preserve"> </w:t>
      </w:r>
      <w:r>
        <w:rPr>
          <w:rFonts w:hint="eastAsia"/>
        </w:rPr>
        <w:t>5d～7</w:t>
      </w:r>
      <w:r>
        <w:rPr>
          <w:rFonts w:hint="eastAsia"/>
          <w:lang w:val="en-US" w:eastAsia="zh-CN"/>
        </w:rPr>
        <w:t xml:space="preserve"> </w:t>
      </w:r>
      <w:r>
        <w:rPr>
          <w:rFonts w:hint="eastAsia"/>
        </w:rPr>
        <w:t>d。</w:t>
      </w:r>
    </w:p>
    <w:p>
      <w:pPr>
        <w:pStyle w:val="165"/>
      </w:pPr>
      <w:r>
        <w:rPr>
          <w:rFonts w:hint="eastAsia"/>
        </w:rPr>
        <w:t>应遵循NY/T 472的规定选择消毒药物，并按说明书的规定、三种以上消毒药物交替串梭使用。</w:t>
      </w:r>
    </w:p>
    <w:p>
      <w:pPr>
        <w:pStyle w:val="105"/>
        <w:spacing w:before="156" w:after="156"/>
      </w:pPr>
      <w:bookmarkStart w:id="60" w:name="_Toc28389"/>
      <w:r>
        <w:rPr>
          <w:rFonts w:hint="eastAsia"/>
        </w:rPr>
        <w:t>免疫</w:t>
      </w:r>
      <w:bookmarkEnd w:id="60"/>
    </w:p>
    <w:p>
      <w:pPr>
        <w:pStyle w:val="56"/>
        <w:ind w:firstLine="420"/>
      </w:pPr>
      <w:r>
        <w:rPr>
          <w:rFonts w:hint="eastAsia"/>
        </w:rPr>
        <w:t>应根据当地生猪疫情流行情况，结合本场生产实际，参照GB/T 17823的规定制订适应本场的免疫程序，选择适宜的疫苗品种严格按产品说明书进行免疫。</w:t>
      </w:r>
    </w:p>
    <w:p>
      <w:pPr>
        <w:pStyle w:val="105"/>
        <w:spacing w:before="156" w:after="156"/>
      </w:pPr>
      <w:bookmarkStart w:id="61" w:name="_Toc11417"/>
      <w:r>
        <w:rPr>
          <w:rFonts w:hint="eastAsia"/>
        </w:rPr>
        <w:t>保健</w:t>
      </w:r>
      <w:bookmarkEnd w:id="61"/>
    </w:p>
    <w:p>
      <w:pPr>
        <w:pStyle w:val="56"/>
        <w:ind w:firstLine="420"/>
      </w:pPr>
      <w:r>
        <w:rPr>
          <w:rFonts w:hint="eastAsia"/>
        </w:rPr>
        <w:t>宜使用益生菌（如地衣芽孢杆菌、枯草芽孢杆菌、乳酸杆菌等）制剂或中兽药制剂进行保健。常用中兽药制剂保健程序参见附录C。</w:t>
      </w:r>
    </w:p>
    <w:p>
      <w:pPr>
        <w:pStyle w:val="105"/>
        <w:spacing w:before="156" w:after="156"/>
      </w:pPr>
      <w:bookmarkStart w:id="62" w:name="_Toc6341"/>
      <w:r>
        <w:rPr>
          <w:rFonts w:hint="eastAsia"/>
        </w:rPr>
        <w:t>治疗</w:t>
      </w:r>
      <w:bookmarkEnd w:id="62"/>
    </w:p>
    <w:p>
      <w:pPr>
        <w:pStyle w:val="165"/>
        <w:numPr>
          <w:ilvl w:val="3"/>
          <w:numId w:val="0"/>
        </w:numPr>
      </w:pPr>
      <w:r>
        <w:rPr>
          <w:rFonts w:hint="eastAsia"/>
        </w:rPr>
        <w:t xml:space="preserve">    对经过执业兽医师诊断有治疗价值并且必须使用抗生素治疗的患病生猪，应先隔离淘汰出无抗养殖猪群再进行治疗，治疗用药物应遵循NY/T472规定的准则。</w:t>
      </w:r>
    </w:p>
    <w:p>
      <w:pPr>
        <w:pStyle w:val="104"/>
        <w:spacing w:before="312" w:after="312"/>
      </w:pPr>
      <w:bookmarkStart w:id="63" w:name="_Toc8476"/>
      <w:r>
        <w:rPr>
          <w:rFonts w:hint="eastAsia"/>
        </w:rPr>
        <w:t>无害化处理</w:t>
      </w:r>
      <w:bookmarkEnd w:id="63"/>
    </w:p>
    <w:p>
      <w:pPr>
        <w:pStyle w:val="56"/>
        <w:ind w:firstLine="420"/>
      </w:pPr>
      <w:r>
        <w:rPr>
          <w:rFonts w:hint="eastAsia"/>
        </w:rPr>
        <w:t>病、死猪无害化处理应</w:t>
      </w:r>
      <w:bookmarkStart w:id="64" w:name="_Hlk187433891"/>
      <w:r>
        <w:rPr>
          <w:rFonts w:hint="eastAsia"/>
        </w:rPr>
        <w:t>执行</w:t>
      </w:r>
      <w:bookmarkEnd w:id="64"/>
      <w:r>
        <w:rPr>
          <w:rFonts w:hint="eastAsia"/>
        </w:rPr>
        <w:t>《病死动物无害化处理技术规范》（农医发[2017]25号）、NY/T 3381的规定；粪污无害化处理应执行GB/T 36195的规定；无害化处理后需要排放的液态物应符合GB 18596的规定。</w:t>
      </w:r>
    </w:p>
    <w:p>
      <w:pPr>
        <w:pStyle w:val="104"/>
        <w:spacing w:before="312" w:after="312"/>
      </w:pPr>
      <w:bookmarkStart w:id="65" w:name="_Toc11129"/>
      <w:r>
        <w:rPr>
          <w:rFonts w:hint="eastAsia"/>
        </w:rPr>
        <w:t>档案记录</w:t>
      </w:r>
      <w:bookmarkEnd w:id="65"/>
    </w:p>
    <w:p>
      <w:pPr>
        <w:pStyle w:val="56"/>
        <w:ind w:firstLine="420"/>
      </w:pPr>
      <w:r>
        <w:rPr>
          <w:rFonts w:hint="eastAsia"/>
        </w:rPr>
        <w:t>应按照《畜禽标识和养殖档案管理办法》（农业部令第67号）、NY/T 3445的规定给商品猪加施畜禽标识，建立养殖档案。档案保存2年。</w:t>
      </w:r>
    </w:p>
    <w:p>
      <w:pPr>
        <w:pStyle w:val="56"/>
        <w:ind w:firstLine="420"/>
      </w:pPr>
    </w:p>
    <w:p>
      <w:pPr>
        <w:pStyle w:val="56"/>
        <w:ind w:firstLine="420"/>
      </w:pPr>
    </w:p>
    <w:p>
      <w:pPr>
        <w:pStyle w:val="56"/>
        <w:ind w:firstLine="420"/>
      </w:pPr>
    </w:p>
    <w:p>
      <w:pPr>
        <w:pStyle w:val="56"/>
        <w:ind w:firstLine="420"/>
        <w:sectPr>
          <w:pgSz w:w="11906" w:h="16838"/>
          <w:pgMar w:top="1928" w:right="1134" w:bottom="1134" w:left="1134" w:header="1418" w:footer="1134" w:gutter="284"/>
          <w:pgNumType w:start="1"/>
          <w:cols w:space="425" w:num="1"/>
          <w:formProt w:val="0"/>
          <w:docGrid w:type="lines" w:linePitch="312" w:charSpace="0"/>
        </w:sectPr>
      </w:pPr>
    </w:p>
    <w:bookmarkEnd w:id="21"/>
    <w:p>
      <w:pPr>
        <w:pStyle w:val="198"/>
        <w:rPr>
          <w:rFonts w:hint="eastAsia"/>
          <w:vanish w:val="0"/>
        </w:rPr>
      </w:pPr>
      <w:bookmarkStart w:id="66" w:name="BookMark5"/>
    </w:p>
    <w:p>
      <w:pPr>
        <w:pStyle w:val="199"/>
        <w:rPr>
          <w:vanish w:val="0"/>
        </w:rPr>
      </w:pPr>
    </w:p>
    <w:p>
      <w:pPr>
        <w:pStyle w:val="76"/>
        <w:spacing w:after="156"/>
      </w:pPr>
      <w:bookmarkStart w:id="67" w:name="_Toc17512"/>
      <w:r>
        <w:br w:type="textWrapping"/>
      </w:r>
      <w:r>
        <w:rPr>
          <w:rFonts w:hint="eastAsia"/>
        </w:rPr>
        <w:t>（资料性）</w:t>
      </w:r>
      <w:r>
        <w:br w:type="textWrapping"/>
      </w:r>
      <w:r>
        <w:rPr>
          <w:rFonts w:hint="eastAsia"/>
        </w:rPr>
        <w:t>常用中草药替抗制剂主要组成配方表</w:t>
      </w:r>
      <w:bookmarkEnd w:id="67"/>
    </w:p>
    <w:p>
      <w:pPr>
        <w:pStyle w:val="56"/>
        <w:ind w:firstLine="420"/>
      </w:pPr>
    </w:p>
    <w:p>
      <w:pPr>
        <w:pStyle w:val="56"/>
        <w:ind w:firstLine="420"/>
        <w:sectPr>
          <w:pgSz w:w="11906" w:h="16838"/>
          <w:pgMar w:top="1928" w:right="1134" w:bottom="1134" w:left="1134" w:header="1418" w:footer="1134" w:gutter="284"/>
          <w:cols w:space="425" w:num="1"/>
          <w:formProt w:val="0"/>
          <w:docGrid w:type="lines" w:linePitch="312" w:charSpace="0"/>
        </w:sectPr>
      </w:pPr>
      <w:r>
        <w:rPr>
          <w:rFonts w:hint="eastAsia"/>
        </w:rPr>
        <w:t>中草药替抗制剂主要组成参考配方：山银花30 g、板蓝根30 g、山药60 g、山楂30 g、当归30 g、王不留行50 g、黄芪40 g、大青叶30 g、陈皮60</w:t>
      </w:r>
      <w:bookmarkStart w:id="75" w:name="_GoBack"/>
      <w:r>
        <w:rPr>
          <w:rFonts w:hint="eastAsia"/>
        </w:rPr>
        <w:t xml:space="preserve"> </w:t>
      </w:r>
      <w:bookmarkEnd w:id="75"/>
      <w:r>
        <w:rPr>
          <w:rFonts w:hint="eastAsia"/>
        </w:rPr>
        <w:t>g、肉桂30 g、辅料（米糠）110 g。</w:t>
      </w:r>
    </w:p>
    <w:p>
      <w:pPr>
        <w:pStyle w:val="198"/>
        <w:rPr>
          <w:rFonts w:hint="eastAsia"/>
          <w:vanish w:val="0"/>
        </w:rPr>
      </w:pPr>
    </w:p>
    <w:p>
      <w:pPr>
        <w:pStyle w:val="199"/>
        <w:rPr>
          <w:vanish w:val="0"/>
        </w:rPr>
      </w:pPr>
    </w:p>
    <w:p>
      <w:pPr>
        <w:pStyle w:val="76"/>
        <w:spacing w:after="156"/>
      </w:pPr>
      <w:bookmarkStart w:id="68" w:name="_Toc10998"/>
      <w:r>
        <w:br w:type="textWrapping"/>
      </w:r>
      <w:r>
        <w:rPr>
          <w:rFonts w:hint="eastAsia"/>
        </w:rPr>
        <w:t>（资料性）</w:t>
      </w:r>
      <w:r>
        <w:br w:type="textWrapping"/>
      </w:r>
      <w:r>
        <w:rPr>
          <w:rFonts w:hint="eastAsia"/>
        </w:rPr>
        <w:t>商品育肥猪基础日粮的组成和营养水平与预混料配方</w:t>
      </w:r>
      <w:bookmarkEnd w:id="68"/>
    </w:p>
    <w:p>
      <w:pPr>
        <w:pStyle w:val="78"/>
        <w:spacing w:before="156" w:after="156"/>
      </w:pPr>
      <w:bookmarkStart w:id="69" w:name="_Toc5872"/>
      <w:r>
        <w:rPr>
          <w:rFonts w:hint="eastAsia"/>
        </w:rPr>
        <w:t>商品育肥猪基础日粮的组成和营养水平</w:t>
      </w:r>
      <w:bookmarkEnd w:id="69"/>
    </w:p>
    <w:p>
      <w:pPr>
        <w:pStyle w:val="56"/>
        <w:ind w:firstLine="420"/>
      </w:pPr>
      <w:r>
        <w:rPr>
          <w:rFonts w:hint="eastAsia"/>
        </w:rPr>
        <w:t>商品育肥猪基础日粮的组成和营养水平见表B.1。</w:t>
      </w:r>
    </w:p>
    <w:p>
      <w:pPr>
        <w:pStyle w:val="77"/>
        <w:spacing w:before="156" w:after="156"/>
      </w:pPr>
      <w:r>
        <w:rPr>
          <w:rFonts w:hint="eastAsia"/>
        </w:rPr>
        <w:t>商品育肥猪基础日粮的组成和营养水平参考表</w:t>
      </w:r>
    </w:p>
    <w:tbl>
      <w:tblPr>
        <w:tblStyle w:val="2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30" w:type="dxa"/>
            <w:vAlign w:val="center"/>
          </w:tcPr>
          <w:p>
            <w:pPr>
              <w:jc w:val="center"/>
              <w:rPr>
                <w:rFonts w:hint="eastAsia" w:ascii="宋体" w:hAnsi="宋体" w:cs="宋体"/>
                <w:b/>
                <w:bCs/>
              </w:rPr>
            </w:pPr>
            <w:r>
              <w:rPr>
                <w:rFonts w:hint="eastAsia" w:ascii="宋体" w:hAnsi="宋体" w:cs="宋体"/>
                <w:b/>
                <w:bCs/>
              </w:rPr>
              <w:t>原料</w:t>
            </w:r>
          </w:p>
        </w:tc>
        <w:tc>
          <w:tcPr>
            <w:tcW w:w="2130" w:type="dxa"/>
            <w:vAlign w:val="center"/>
          </w:tcPr>
          <w:p>
            <w:pPr>
              <w:jc w:val="center"/>
              <w:rPr>
                <w:rFonts w:hint="eastAsia" w:ascii="宋体" w:hAnsi="宋体" w:cs="宋体"/>
                <w:b/>
                <w:bCs/>
              </w:rPr>
            </w:pPr>
            <w:r>
              <w:rPr>
                <w:rFonts w:hint="eastAsia" w:ascii="宋体" w:hAnsi="宋体" w:cs="宋体"/>
                <w:b/>
                <w:bCs/>
              </w:rPr>
              <w:t>含量/%</w:t>
            </w:r>
          </w:p>
        </w:tc>
        <w:tc>
          <w:tcPr>
            <w:tcW w:w="2131" w:type="dxa"/>
            <w:vAlign w:val="center"/>
          </w:tcPr>
          <w:p>
            <w:pPr>
              <w:jc w:val="center"/>
              <w:rPr>
                <w:rFonts w:hint="eastAsia" w:ascii="宋体" w:hAnsi="宋体" w:cs="宋体"/>
                <w:b/>
                <w:bCs/>
              </w:rPr>
            </w:pPr>
            <w:r>
              <w:rPr>
                <w:rFonts w:hint="eastAsia" w:ascii="宋体" w:hAnsi="宋体" w:cs="宋体"/>
                <w:b/>
                <w:bCs/>
              </w:rPr>
              <w:t>营养水平</w:t>
            </w:r>
          </w:p>
        </w:tc>
        <w:tc>
          <w:tcPr>
            <w:tcW w:w="2131" w:type="dxa"/>
            <w:vAlign w:val="center"/>
          </w:tcPr>
          <w:p>
            <w:pPr>
              <w:jc w:val="center"/>
              <w:rPr>
                <w:rFonts w:hint="eastAsia" w:ascii="宋体" w:hAnsi="宋体" w:cs="宋体"/>
                <w:b/>
                <w:bCs/>
              </w:rPr>
            </w:pPr>
            <w:r>
              <w:rPr>
                <w:rFonts w:hint="eastAsia" w:ascii="宋体" w:hAnsi="宋体" w:cs="宋体"/>
                <w:b/>
                <w:bCs/>
              </w:rPr>
              <w:t>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30" w:type="dxa"/>
            <w:vAlign w:val="center"/>
          </w:tcPr>
          <w:p>
            <w:pPr>
              <w:spacing w:line="240" w:lineRule="exact"/>
              <w:jc w:val="center"/>
              <w:rPr>
                <w:rFonts w:hint="eastAsia" w:ascii="宋体" w:hAnsi="宋体" w:cs="宋体"/>
                <w:sz w:val="15"/>
                <w:szCs w:val="15"/>
              </w:rPr>
            </w:pPr>
            <w:r>
              <w:rPr>
                <w:rFonts w:hint="eastAsia" w:ascii="宋体" w:hAnsi="宋体" w:cs="宋体"/>
                <w:sz w:val="15"/>
                <w:szCs w:val="15"/>
              </w:rPr>
              <w:t>玉米</w:t>
            </w:r>
          </w:p>
        </w:tc>
        <w:tc>
          <w:tcPr>
            <w:tcW w:w="2130" w:type="dxa"/>
            <w:vAlign w:val="center"/>
          </w:tcPr>
          <w:p>
            <w:pPr>
              <w:spacing w:line="240" w:lineRule="exact"/>
              <w:jc w:val="center"/>
              <w:rPr>
                <w:rFonts w:hint="eastAsia" w:ascii="宋体" w:hAnsi="宋体" w:cs="宋体"/>
                <w:sz w:val="15"/>
                <w:szCs w:val="15"/>
              </w:rPr>
            </w:pPr>
            <w:r>
              <w:rPr>
                <w:rFonts w:hint="eastAsia" w:ascii="宋体" w:hAnsi="宋体" w:cs="宋体"/>
                <w:sz w:val="15"/>
                <w:szCs w:val="15"/>
              </w:rPr>
              <w:t>67.24</w:t>
            </w:r>
          </w:p>
        </w:tc>
        <w:tc>
          <w:tcPr>
            <w:tcW w:w="2131" w:type="dxa"/>
            <w:vAlign w:val="center"/>
          </w:tcPr>
          <w:p>
            <w:pPr>
              <w:spacing w:line="240" w:lineRule="exact"/>
              <w:jc w:val="center"/>
              <w:rPr>
                <w:rFonts w:hint="eastAsia" w:ascii="宋体" w:hAnsi="宋体" w:cs="宋体"/>
                <w:sz w:val="15"/>
                <w:szCs w:val="15"/>
              </w:rPr>
            </w:pPr>
            <w:r>
              <w:rPr>
                <w:rFonts w:hint="eastAsia" w:ascii="宋体" w:hAnsi="宋体" w:cs="宋体"/>
                <w:sz w:val="15"/>
                <w:szCs w:val="15"/>
              </w:rPr>
              <w:t>消化能/(Kcal/kg)</w:t>
            </w:r>
          </w:p>
        </w:tc>
        <w:tc>
          <w:tcPr>
            <w:tcW w:w="2131" w:type="dxa"/>
            <w:vAlign w:val="center"/>
          </w:tcPr>
          <w:p>
            <w:pPr>
              <w:spacing w:line="240" w:lineRule="exact"/>
              <w:jc w:val="center"/>
              <w:rPr>
                <w:rFonts w:hint="eastAsia" w:ascii="宋体" w:hAnsi="宋体" w:cs="宋体"/>
                <w:sz w:val="15"/>
                <w:szCs w:val="15"/>
              </w:rPr>
            </w:pPr>
            <w:r>
              <w:rPr>
                <w:rFonts w:hint="eastAsia" w:ascii="宋体" w:hAnsi="宋体" w:cs="宋体"/>
                <w:sz w:val="15"/>
                <w:szCs w:val="15"/>
              </w:rPr>
              <w:t>3250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30" w:type="dxa"/>
            <w:vAlign w:val="center"/>
          </w:tcPr>
          <w:p>
            <w:pPr>
              <w:spacing w:line="240" w:lineRule="exact"/>
              <w:jc w:val="center"/>
              <w:rPr>
                <w:rFonts w:hint="eastAsia" w:ascii="宋体" w:hAnsi="宋体" w:cs="宋体"/>
                <w:sz w:val="15"/>
                <w:szCs w:val="15"/>
              </w:rPr>
            </w:pPr>
            <w:r>
              <w:rPr>
                <w:rFonts w:hint="eastAsia" w:ascii="宋体" w:hAnsi="宋体" w:cs="宋体"/>
                <w:sz w:val="15"/>
                <w:szCs w:val="15"/>
              </w:rPr>
              <w:t>豆粕</w:t>
            </w:r>
          </w:p>
        </w:tc>
        <w:tc>
          <w:tcPr>
            <w:tcW w:w="2130" w:type="dxa"/>
            <w:vAlign w:val="center"/>
          </w:tcPr>
          <w:p>
            <w:pPr>
              <w:spacing w:line="240" w:lineRule="exact"/>
              <w:jc w:val="center"/>
              <w:rPr>
                <w:rFonts w:hint="eastAsia" w:ascii="宋体" w:hAnsi="宋体" w:cs="宋体"/>
                <w:sz w:val="15"/>
                <w:szCs w:val="15"/>
              </w:rPr>
            </w:pPr>
            <w:r>
              <w:rPr>
                <w:rFonts w:hint="eastAsia" w:ascii="宋体" w:hAnsi="宋体" w:cs="宋体"/>
                <w:sz w:val="15"/>
                <w:szCs w:val="15"/>
              </w:rPr>
              <w:t>21.64</w:t>
            </w:r>
          </w:p>
        </w:tc>
        <w:tc>
          <w:tcPr>
            <w:tcW w:w="2131" w:type="dxa"/>
            <w:vAlign w:val="center"/>
          </w:tcPr>
          <w:p>
            <w:pPr>
              <w:spacing w:line="240" w:lineRule="exact"/>
              <w:jc w:val="center"/>
              <w:rPr>
                <w:rFonts w:hint="eastAsia" w:ascii="宋体" w:hAnsi="宋体" w:cs="宋体"/>
                <w:sz w:val="15"/>
                <w:szCs w:val="15"/>
              </w:rPr>
            </w:pPr>
            <w:r>
              <w:rPr>
                <w:rFonts w:hint="eastAsia" w:ascii="宋体" w:hAnsi="宋体" w:cs="宋体"/>
                <w:sz w:val="15"/>
                <w:szCs w:val="15"/>
              </w:rPr>
              <w:t>粗蛋白质/%</w:t>
            </w:r>
          </w:p>
        </w:tc>
        <w:tc>
          <w:tcPr>
            <w:tcW w:w="2131" w:type="dxa"/>
            <w:vAlign w:val="center"/>
          </w:tcPr>
          <w:p>
            <w:pPr>
              <w:spacing w:line="240" w:lineRule="exact"/>
              <w:jc w:val="center"/>
              <w:rPr>
                <w:rFonts w:hint="eastAsia" w:ascii="宋体" w:hAnsi="宋体" w:cs="宋体"/>
                <w:sz w:val="15"/>
                <w:szCs w:val="15"/>
              </w:rPr>
            </w:pPr>
            <w:r>
              <w:rPr>
                <w:rFonts w:hint="eastAsia" w:ascii="宋体" w:hAnsi="宋体" w:cs="宋体"/>
                <w:sz w:val="15"/>
                <w:szCs w:val="15"/>
              </w:rPr>
              <w:t>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30" w:type="dxa"/>
            <w:vAlign w:val="center"/>
          </w:tcPr>
          <w:p>
            <w:pPr>
              <w:spacing w:line="240" w:lineRule="exact"/>
              <w:jc w:val="center"/>
              <w:rPr>
                <w:rFonts w:hint="eastAsia" w:ascii="宋体" w:hAnsi="宋体" w:cs="宋体"/>
                <w:sz w:val="15"/>
                <w:szCs w:val="15"/>
              </w:rPr>
            </w:pPr>
            <w:r>
              <w:rPr>
                <w:rFonts w:hint="eastAsia" w:ascii="宋体" w:hAnsi="宋体" w:cs="宋体"/>
                <w:sz w:val="15"/>
                <w:szCs w:val="15"/>
              </w:rPr>
              <w:t>麦麸</w:t>
            </w:r>
          </w:p>
        </w:tc>
        <w:tc>
          <w:tcPr>
            <w:tcW w:w="2130" w:type="dxa"/>
            <w:vAlign w:val="center"/>
          </w:tcPr>
          <w:p>
            <w:pPr>
              <w:spacing w:line="240" w:lineRule="exact"/>
              <w:jc w:val="center"/>
              <w:rPr>
                <w:rFonts w:hint="eastAsia" w:ascii="宋体" w:hAnsi="宋体" w:cs="宋体"/>
                <w:sz w:val="15"/>
                <w:szCs w:val="15"/>
              </w:rPr>
            </w:pPr>
            <w:r>
              <w:rPr>
                <w:rFonts w:hint="eastAsia" w:ascii="宋体" w:hAnsi="宋体" w:cs="宋体"/>
                <w:sz w:val="15"/>
                <w:szCs w:val="15"/>
              </w:rPr>
              <w:t>8.00</w:t>
            </w:r>
          </w:p>
        </w:tc>
        <w:tc>
          <w:tcPr>
            <w:tcW w:w="2131" w:type="dxa"/>
            <w:vAlign w:val="center"/>
          </w:tcPr>
          <w:p>
            <w:pPr>
              <w:spacing w:line="240" w:lineRule="exact"/>
              <w:jc w:val="center"/>
              <w:rPr>
                <w:rFonts w:hint="eastAsia" w:ascii="宋体" w:hAnsi="宋体" w:cs="宋体"/>
                <w:sz w:val="15"/>
                <w:szCs w:val="15"/>
              </w:rPr>
            </w:pPr>
            <w:r>
              <w:rPr>
                <w:rFonts w:hint="eastAsia" w:ascii="宋体" w:hAnsi="宋体" w:cs="宋体"/>
                <w:sz w:val="15"/>
                <w:szCs w:val="15"/>
              </w:rPr>
              <w:t>钙/%</w:t>
            </w:r>
          </w:p>
        </w:tc>
        <w:tc>
          <w:tcPr>
            <w:tcW w:w="2131" w:type="dxa"/>
            <w:vAlign w:val="center"/>
          </w:tcPr>
          <w:p>
            <w:pPr>
              <w:spacing w:line="240" w:lineRule="exact"/>
              <w:jc w:val="center"/>
              <w:rPr>
                <w:rFonts w:hint="eastAsia" w:ascii="宋体" w:hAnsi="宋体" w:cs="宋体"/>
                <w:sz w:val="15"/>
                <w:szCs w:val="15"/>
              </w:rPr>
            </w:pPr>
            <w:r>
              <w:rPr>
                <w:rFonts w:hint="eastAsia" w:ascii="宋体" w:hAnsi="宋体" w:cs="宋体"/>
                <w:sz w:val="15"/>
                <w:szCs w:val="15"/>
              </w:rPr>
              <w:t>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30" w:type="dxa"/>
            <w:vAlign w:val="center"/>
          </w:tcPr>
          <w:p>
            <w:pPr>
              <w:spacing w:line="240" w:lineRule="exact"/>
              <w:jc w:val="center"/>
              <w:rPr>
                <w:rFonts w:hint="eastAsia" w:ascii="宋体" w:hAnsi="宋体" w:cs="宋体"/>
                <w:sz w:val="15"/>
                <w:szCs w:val="15"/>
              </w:rPr>
            </w:pPr>
            <w:r>
              <w:rPr>
                <w:rFonts w:hint="eastAsia" w:ascii="宋体" w:hAnsi="宋体" w:cs="宋体"/>
                <w:sz w:val="15"/>
                <w:szCs w:val="15"/>
              </w:rPr>
              <w:t>磷酸氢钙</w:t>
            </w:r>
          </w:p>
        </w:tc>
        <w:tc>
          <w:tcPr>
            <w:tcW w:w="2130" w:type="dxa"/>
            <w:vAlign w:val="center"/>
          </w:tcPr>
          <w:p>
            <w:pPr>
              <w:spacing w:line="240" w:lineRule="exact"/>
              <w:jc w:val="center"/>
              <w:rPr>
                <w:rFonts w:hint="eastAsia" w:ascii="宋体" w:hAnsi="宋体" w:cs="宋体"/>
                <w:sz w:val="15"/>
                <w:szCs w:val="15"/>
              </w:rPr>
            </w:pPr>
            <w:r>
              <w:rPr>
                <w:rFonts w:hint="eastAsia" w:ascii="宋体" w:hAnsi="宋体" w:cs="宋体"/>
                <w:sz w:val="15"/>
                <w:szCs w:val="15"/>
              </w:rPr>
              <w:t>1.17</w:t>
            </w:r>
          </w:p>
        </w:tc>
        <w:tc>
          <w:tcPr>
            <w:tcW w:w="2131" w:type="dxa"/>
            <w:vAlign w:val="center"/>
          </w:tcPr>
          <w:p>
            <w:pPr>
              <w:spacing w:line="240" w:lineRule="exact"/>
              <w:jc w:val="center"/>
              <w:rPr>
                <w:rFonts w:hint="eastAsia" w:ascii="宋体" w:hAnsi="宋体" w:cs="宋体"/>
                <w:sz w:val="15"/>
                <w:szCs w:val="15"/>
              </w:rPr>
            </w:pPr>
            <w:r>
              <w:rPr>
                <w:rFonts w:hint="eastAsia" w:ascii="宋体" w:hAnsi="宋体" w:cs="宋体"/>
                <w:sz w:val="15"/>
                <w:szCs w:val="15"/>
              </w:rPr>
              <w:t>磷/%</w:t>
            </w:r>
          </w:p>
        </w:tc>
        <w:tc>
          <w:tcPr>
            <w:tcW w:w="2131" w:type="dxa"/>
            <w:vAlign w:val="center"/>
          </w:tcPr>
          <w:p>
            <w:pPr>
              <w:spacing w:line="240" w:lineRule="exact"/>
              <w:jc w:val="center"/>
              <w:rPr>
                <w:rFonts w:hint="eastAsia" w:ascii="宋体" w:hAnsi="宋体" w:cs="宋体"/>
                <w:sz w:val="15"/>
                <w:szCs w:val="15"/>
              </w:rPr>
            </w:pPr>
            <w:r>
              <w:rPr>
                <w:rFonts w:hint="eastAsia" w:ascii="宋体" w:hAnsi="宋体" w:cs="宋体"/>
                <w:sz w:val="15"/>
                <w:szCs w:val="15"/>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30" w:type="dxa"/>
            <w:vAlign w:val="center"/>
          </w:tcPr>
          <w:p>
            <w:pPr>
              <w:spacing w:line="240" w:lineRule="exact"/>
              <w:jc w:val="center"/>
              <w:rPr>
                <w:rFonts w:hint="eastAsia" w:ascii="宋体" w:hAnsi="宋体" w:cs="宋体"/>
                <w:sz w:val="15"/>
                <w:szCs w:val="15"/>
              </w:rPr>
            </w:pPr>
            <w:r>
              <w:rPr>
                <w:rFonts w:hint="eastAsia" w:ascii="宋体" w:hAnsi="宋体" w:cs="宋体"/>
                <w:sz w:val="15"/>
                <w:szCs w:val="15"/>
              </w:rPr>
              <w:t>石粉</w:t>
            </w:r>
          </w:p>
        </w:tc>
        <w:tc>
          <w:tcPr>
            <w:tcW w:w="2130" w:type="dxa"/>
            <w:vAlign w:val="center"/>
          </w:tcPr>
          <w:p>
            <w:pPr>
              <w:spacing w:line="240" w:lineRule="exact"/>
              <w:jc w:val="center"/>
              <w:rPr>
                <w:rFonts w:hint="eastAsia" w:ascii="宋体" w:hAnsi="宋体" w:cs="宋体"/>
                <w:sz w:val="15"/>
                <w:szCs w:val="15"/>
              </w:rPr>
            </w:pPr>
            <w:r>
              <w:rPr>
                <w:rFonts w:hint="eastAsia" w:ascii="宋体" w:hAnsi="宋体" w:cs="宋体"/>
                <w:sz w:val="15"/>
                <w:szCs w:val="15"/>
              </w:rPr>
              <w:t>0.60</w:t>
            </w:r>
          </w:p>
        </w:tc>
        <w:tc>
          <w:tcPr>
            <w:tcW w:w="2131" w:type="dxa"/>
            <w:vAlign w:val="center"/>
          </w:tcPr>
          <w:p>
            <w:pPr>
              <w:spacing w:line="240" w:lineRule="exact"/>
              <w:jc w:val="center"/>
              <w:rPr>
                <w:rFonts w:hint="eastAsia" w:ascii="宋体" w:hAnsi="宋体" w:cs="宋体"/>
                <w:sz w:val="15"/>
                <w:szCs w:val="15"/>
              </w:rPr>
            </w:pPr>
            <w:r>
              <w:rPr>
                <w:rFonts w:hint="eastAsia" w:ascii="宋体" w:hAnsi="宋体" w:cs="宋体"/>
                <w:sz w:val="15"/>
                <w:szCs w:val="15"/>
              </w:rPr>
              <w:t>赖氨酸/%</w:t>
            </w:r>
          </w:p>
        </w:tc>
        <w:tc>
          <w:tcPr>
            <w:tcW w:w="2131" w:type="dxa"/>
            <w:vAlign w:val="center"/>
          </w:tcPr>
          <w:p>
            <w:pPr>
              <w:spacing w:line="240" w:lineRule="exact"/>
              <w:jc w:val="center"/>
              <w:rPr>
                <w:rFonts w:hint="eastAsia" w:ascii="宋体" w:hAnsi="宋体" w:cs="宋体"/>
                <w:sz w:val="15"/>
                <w:szCs w:val="15"/>
              </w:rPr>
            </w:pPr>
            <w:r>
              <w:rPr>
                <w:rFonts w:hint="eastAsia" w:ascii="宋体" w:hAnsi="宋体" w:cs="宋体"/>
                <w:sz w:val="15"/>
                <w:szCs w:val="15"/>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30" w:type="dxa"/>
            <w:vAlign w:val="center"/>
          </w:tcPr>
          <w:p>
            <w:pPr>
              <w:spacing w:line="240" w:lineRule="exact"/>
              <w:jc w:val="center"/>
              <w:rPr>
                <w:rFonts w:hint="eastAsia" w:ascii="宋体" w:hAnsi="宋体" w:cs="宋体"/>
                <w:sz w:val="15"/>
                <w:szCs w:val="15"/>
              </w:rPr>
            </w:pPr>
            <w:r>
              <w:rPr>
                <w:rFonts w:hint="eastAsia" w:ascii="宋体" w:hAnsi="宋体" w:cs="宋体"/>
                <w:sz w:val="15"/>
                <w:szCs w:val="15"/>
              </w:rPr>
              <w:t>食盐</w:t>
            </w:r>
          </w:p>
        </w:tc>
        <w:tc>
          <w:tcPr>
            <w:tcW w:w="2130" w:type="dxa"/>
            <w:vAlign w:val="center"/>
          </w:tcPr>
          <w:p>
            <w:pPr>
              <w:spacing w:line="240" w:lineRule="exact"/>
              <w:jc w:val="center"/>
              <w:rPr>
                <w:rFonts w:hint="eastAsia" w:ascii="宋体" w:hAnsi="宋体" w:cs="宋体"/>
                <w:sz w:val="15"/>
                <w:szCs w:val="15"/>
              </w:rPr>
            </w:pPr>
            <w:r>
              <w:rPr>
                <w:rFonts w:hint="eastAsia" w:ascii="宋体" w:hAnsi="宋体" w:cs="宋体"/>
                <w:sz w:val="15"/>
                <w:szCs w:val="15"/>
              </w:rPr>
              <w:t>0.35</w:t>
            </w:r>
          </w:p>
        </w:tc>
        <w:tc>
          <w:tcPr>
            <w:tcW w:w="2131" w:type="dxa"/>
            <w:vAlign w:val="center"/>
          </w:tcPr>
          <w:p>
            <w:pPr>
              <w:spacing w:line="240" w:lineRule="exact"/>
              <w:jc w:val="center"/>
              <w:rPr>
                <w:rFonts w:hint="eastAsia" w:ascii="宋体" w:hAnsi="宋体" w:cs="宋体"/>
                <w:sz w:val="15"/>
                <w:szCs w:val="15"/>
              </w:rPr>
            </w:pPr>
            <w:r>
              <w:rPr>
                <w:rFonts w:hint="eastAsia" w:ascii="宋体" w:hAnsi="宋体" w:cs="宋体"/>
                <w:sz w:val="15"/>
                <w:szCs w:val="15"/>
              </w:rPr>
              <w:t>蛋氨酸+胱氨酸/%</w:t>
            </w:r>
          </w:p>
        </w:tc>
        <w:tc>
          <w:tcPr>
            <w:tcW w:w="2131" w:type="dxa"/>
            <w:vAlign w:val="center"/>
          </w:tcPr>
          <w:p>
            <w:pPr>
              <w:spacing w:line="240" w:lineRule="exact"/>
              <w:jc w:val="center"/>
              <w:rPr>
                <w:rFonts w:hint="eastAsia" w:ascii="宋体" w:hAnsi="宋体" w:cs="宋体"/>
                <w:sz w:val="15"/>
                <w:szCs w:val="15"/>
              </w:rPr>
            </w:pPr>
            <w:r>
              <w:rPr>
                <w:rFonts w:hint="eastAsia" w:ascii="宋体" w:hAnsi="宋体" w:cs="宋体"/>
                <w:sz w:val="15"/>
                <w:szCs w:val="15"/>
              </w:rPr>
              <w:t>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30" w:type="dxa"/>
            <w:vAlign w:val="center"/>
          </w:tcPr>
          <w:p>
            <w:pPr>
              <w:spacing w:line="240" w:lineRule="exact"/>
              <w:jc w:val="center"/>
              <w:rPr>
                <w:rFonts w:hint="eastAsia" w:ascii="宋体" w:hAnsi="宋体" w:cs="宋体"/>
                <w:sz w:val="15"/>
                <w:szCs w:val="15"/>
              </w:rPr>
            </w:pPr>
            <w:r>
              <w:rPr>
                <w:rFonts w:hint="eastAsia" w:ascii="宋体" w:hAnsi="宋体" w:cs="宋体"/>
                <w:sz w:val="15"/>
                <w:szCs w:val="15"/>
              </w:rPr>
              <w:t>预混料（详见表2）</w:t>
            </w:r>
          </w:p>
        </w:tc>
        <w:tc>
          <w:tcPr>
            <w:tcW w:w="2130" w:type="dxa"/>
            <w:vAlign w:val="center"/>
          </w:tcPr>
          <w:p>
            <w:pPr>
              <w:spacing w:line="240" w:lineRule="exact"/>
              <w:jc w:val="center"/>
              <w:rPr>
                <w:rFonts w:hint="eastAsia" w:ascii="宋体" w:hAnsi="宋体" w:cs="宋体"/>
                <w:sz w:val="15"/>
                <w:szCs w:val="15"/>
              </w:rPr>
            </w:pPr>
            <w:r>
              <w:rPr>
                <w:rFonts w:hint="eastAsia" w:ascii="宋体" w:hAnsi="宋体" w:cs="宋体"/>
                <w:sz w:val="15"/>
                <w:szCs w:val="15"/>
              </w:rPr>
              <w:t>1.00</w:t>
            </w:r>
          </w:p>
        </w:tc>
        <w:tc>
          <w:tcPr>
            <w:tcW w:w="2131" w:type="dxa"/>
            <w:vAlign w:val="center"/>
          </w:tcPr>
          <w:p>
            <w:pPr>
              <w:spacing w:line="240" w:lineRule="exact"/>
              <w:jc w:val="center"/>
              <w:rPr>
                <w:rFonts w:hint="eastAsia" w:ascii="宋体" w:hAnsi="宋体" w:cs="宋体"/>
                <w:sz w:val="15"/>
                <w:szCs w:val="15"/>
              </w:rPr>
            </w:pPr>
            <w:r>
              <w:rPr>
                <w:rFonts w:hint="eastAsia" w:ascii="宋体" w:hAnsi="宋体" w:cs="宋体"/>
                <w:sz w:val="15"/>
                <w:szCs w:val="15"/>
              </w:rPr>
              <w:t>苏氨酸/%</w:t>
            </w:r>
          </w:p>
        </w:tc>
        <w:tc>
          <w:tcPr>
            <w:tcW w:w="2131" w:type="dxa"/>
            <w:vAlign w:val="center"/>
          </w:tcPr>
          <w:p>
            <w:pPr>
              <w:spacing w:line="240" w:lineRule="exact"/>
              <w:jc w:val="center"/>
              <w:rPr>
                <w:rFonts w:hint="eastAsia" w:ascii="宋体" w:hAnsi="宋体" w:cs="宋体"/>
                <w:sz w:val="15"/>
                <w:szCs w:val="15"/>
              </w:rPr>
            </w:pPr>
            <w:r>
              <w:rPr>
                <w:rFonts w:hint="eastAsia" w:ascii="宋体" w:hAnsi="宋体" w:cs="宋体"/>
                <w:sz w:val="15"/>
                <w:szCs w:val="15"/>
              </w:rPr>
              <w:t>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30" w:type="dxa"/>
            <w:vAlign w:val="center"/>
          </w:tcPr>
          <w:p>
            <w:pPr>
              <w:spacing w:line="240" w:lineRule="exact"/>
              <w:jc w:val="center"/>
              <w:rPr>
                <w:rFonts w:hint="eastAsia" w:ascii="宋体" w:hAnsi="宋体" w:cs="宋体"/>
                <w:sz w:val="15"/>
                <w:szCs w:val="15"/>
              </w:rPr>
            </w:pPr>
            <w:r>
              <w:rPr>
                <w:rFonts w:hint="eastAsia" w:ascii="宋体" w:hAnsi="宋体" w:cs="宋体"/>
                <w:sz w:val="15"/>
                <w:szCs w:val="15"/>
              </w:rPr>
              <w:t>合计</w:t>
            </w:r>
          </w:p>
        </w:tc>
        <w:tc>
          <w:tcPr>
            <w:tcW w:w="2130" w:type="dxa"/>
            <w:vAlign w:val="center"/>
          </w:tcPr>
          <w:p>
            <w:pPr>
              <w:spacing w:line="240" w:lineRule="exact"/>
              <w:jc w:val="center"/>
              <w:rPr>
                <w:rFonts w:hint="eastAsia" w:ascii="宋体" w:hAnsi="宋体" w:cs="宋体"/>
                <w:sz w:val="15"/>
                <w:szCs w:val="15"/>
              </w:rPr>
            </w:pPr>
            <w:r>
              <w:rPr>
                <w:rFonts w:hint="eastAsia" w:ascii="宋体" w:hAnsi="宋体" w:cs="宋体"/>
                <w:sz w:val="15"/>
                <w:szCs w:val="15"/>
              </w:rPr>
              <w:t>100</w:t>
            </w:r>
          </w:p>
        </w:tc>
        <w:tc>
          <w:tcPr>
            <w:tcW w:w="2131" w:type="dxa"/>
            <w:vAlign w:val="center"/>
          </w:tcPr>
          <w:p>
            <w:pPr>
              <w:spacing w:line="240" w:lineRule="exact"/>
              <w:jc w:val="center"/>
              <w:rPr>
                <w:rFonts w:hint="eastAsia" w:ascii="宋体" w:hAnsi="宋体" w:cs="宋体"/>
                <w:sz w:val="15"/>
                <w:szCs w:val="15"/>
              </w:rPr>
            </w:pPr>
            <w:r>
              <w:rPr>
                <w:rFonts w:hint="eastAsia" w:ascii="宋体" w:hAnsi="宋体" w:cs="宋体"/>
                <w:sz w:val="15"/>
                <w:szCs w:val="15"/>
              </w:rPr>
              <w:t>色氨酸/%</w:t>
            </w:r>
          </w:p>
        </w:tc>
        <w:tc>
          <w:tcPr>
            <w:tcW w:w="2131" w:type="dxa"/>
            <w:vAlign w:val="center"/>
          </w:tcPr>
          <w:p>
            <w:pPr>
              <w:spacing w:line="240" w:lineRule="exact"/>
              <w:jc w:val="center"/>
              <w:rPr>
                <w:rFonts w:hint="eastAsia" w:ascii="宋体" w:hAnsi="宋体" w:cs="宋体"/>
                <w:sz w:val="15"/>
                <w:szCs w:val="15"/>
              </w:rPr>
            </w:pPr>
            <w:r>
              <w:rPr>
                <w:rFonts w:hint="eastAsia" w:ascii="宋体" w:hAnsi="宋体" w:cs="宋体"/>
                <w:sz w:val="15"/>
                <w:szCs w:val="15"/>
              </w:rPr>
              <w:t>0.18</w:t>
            </w:r>
          </w:p>
        </w:tc>
      </w:tr>
    </w:tbl>
    <w:p>
      <w:pPr>
        <w:pStyle w:val="56"/>
        <w:ind w:firstLine="420"/>
      </w:pPr>
    </w:p>
    <w:p>
      <w:pPr>
        <w:pStyle w:val="78"/>
        <w:spacing w:before="156" w:after="156"/>
      </w:pPr>
      <w:bookmarkStart w:id="70" w:name="_Toc6405"/>
      <w:r>
        <w:rPr>
          <w:rFonts w:hint="eastAsia"/>
        </w:rPr>
        <w:t>预混料配方</w:t>
      </w:r>
      <w:bookmarkEnd w:id="70"/>
    </w:p>
    <w:p>
      <w:pPr>
        <w:pStyle w:val="56"/>
        <w:ind w:firstLine="420"/>
      </w:pPr>
      <w:r>
        <w:rPr>
          <w:rFonts w:hint="eastAsia"/>
        </w:rPr>
        <w:t>预混料配方参考表见表</w:t>
      </w:r>
      <w:r>
        <w:t>B</w:t>
      </w:r>
      <w:r>
        <w:rPr>
          <w:rFonts w:hint="eastAsia"/>
        </w:rPr>
        <w:t>.2。</w:t>
      </w:r>
    </w:p>
    <w:p>
      <w:pPr>
        <w:pStyle w:val="77"/>
        <w:spacing w:before="156" w:after="156"/>
      </w:pPr>
      <w:r>
        <w:rPr>
          <w:rFonts w:hint="eastAsia"/>
        </w:rPr>
        <w:t>预混料配方参考表</w:t>
      </w:r>
    </w:p>
    <w:tbl>
      <w:tblPr>
        <w:tblStyle w:val="26"/>
        <w:tblW w:w="9048" w:type="dxa"/>
        <w:tblInd w:w="-68" w:type="dxa"/>
        <w:tblLayout w:type="fixed"/>
        <w:tblCellMar>
          <w:top w:w="0" w:type="dxa"/>
          <w:left w:w="108" w:type="dxa"/>
          <w:bottom w:w="0" w:type="dxa"/>
          <w:right w:w="108" w:type="dxa"/>
        </w:tblCellMar>
      </w:tblPr>
      <w:tblGrid>
        <w:gridCol w:w="567"/>
        <w:gridCol w:w="567"/>
        <w:gridCol w:w="567"/>
        <w:gridCol w:w="567"/>
        <w:gridCol w:w="567"/>
        <w:gridCol w:w="567"/>
        <w:gridCol w:w="567"/>
        <w:gridCol w:w="567"/>
        <w:gridCol w:w="567"/>
        <w:gridCol w:w="454"/>
        <w:gridCol w:w="369"/>
        <w:gridCol w:w="369"/>
        <w:gridCol w:w="369"/>
        <w:gridCol w:w="369"/>
        <w:gridCol w:w="369"/>
        <w:gridCol w:w="369"/>
        <w:gridCol w:w="369"/>
        <w:gridCol w:w="454"/>
        <w:gridCol w:w="454"/>
      </w:tblGrid>
      <w:tr>
        <w:tblPrEx>
          <w:tblCellMar>
            <w:top w:w="0" w:type="dxa"/>
            <w:left w:w="108" w:type="dxa"/>
            <w:bottom w:w="0" w:type="dxa"/>
            <w:right w:w="108" w:type="dxa"/>
          </w:tblCellMar>
        </w:tblPrEx>
        <w:trPr>
          <w:trHeight w:val="1134" w:hRule="atLeast"/>
        </w:trPr>
        <w:tc>
          <w:tcPr>
            <w:tcW w:w="567" w:type="dxa"/>
            <w:tcBorders>
              <w:top w:val="single" w:color="000000" w:sz="8" w:space="0"/>
              <w:left w:val="single" w:color="000000" w:sz="8" w:space="0"/>
              <w:bottom w:val="single" w:color="000000" w:sz="8" w:space="0"/>
              <w:right w:val="single" w:color="000000" w:sz="8" w:space="0"/>
            </w:tcBorders>
            <w:vAlign w:val="center"/>
          </w:tcPr>
          <w:p>
            <w:pPr>
              <w:widowControl/>
              <w:spacing w:line="240" w:lineRule="exact"/>
              <w:jc w:val="center"/>
              <w:rPr>
                <w:rFonts w:hint="eastAsia" w:ascii="宋体" w:hAnsi="宋体" w:cs="宋体"/>
                <w:b/>
                <w:bCs/>
              </w:rPr>
            </w:pPr>
            <w:r>
              <w:rPr>
                <w:rStyle w:val="230"/>
                <w:rFonts w:hint="default"/>
                <w:b/>
                <w:bCs/>
                <w:color w:val="auto"/>
                <w:sz w:val="21"/>
                <w:szCs w:val="21"/>
                <w:lang w:bidi="ar"/>
              </w:rPr>
              <w:t>原料</w:t>
            </w:r>
          </w:p>
        </w:tc>
        <w:tc>
          <w:tcPr>
            <w:tcW w:w="567" w:type="dxa"/>
            <w:tcBorders>
              <w:top w:val="single" w:color="auto" w:sz="4" w:space="0"/>
              <w:left w:val="single" w:color="000000" w:sz="8" w:space="0"/>
              <w:bottom w:val="single" w:color="000000" w:sz="8" w:space="0"/>
              <w:right w:val="single" w:color="000000" w:sz="8" w:space="0"/>
            </w:tcBorders>
            <w:vAlign w:val="center"/>
          </w:tcPr>
          <w:p>
            <w:pPr>
              <w:widowControl/>
              <w:spacing w:line="240" w:lineRule="exact"/>
              <w:jc w:val="center"/>
              <w:rPr>
                <w:rFonts w:hint="eastAsia" w:ascii="宋体" w:hAnsi="宋体" w:cs="宋体"/>
                <w:b/>
                <w:bCs/>
              </w:rPr>
            </w:pPr>
            <w:r>
              <w:rPr>
                <w:rStyle w:val="231"/>
                <w:rFonts w:hint="eastAsia" w:ascii="宋体" w:hAnsi="宋体" w:cs="宋体"/>
                <w:b/>
                <w:bCs/>
                <w:color w:val="auto"/>
                <w:sz w:val="21"/>
                <w:szCs w:val="21"/>
                <w:lang w:bidi="ar"/>
              </w:rPr>
              <w:t>V.A</w:t>
            </w:r>
          </w:p>
        </w:tc>
        <w:tc>
          <w:tcPr>
            <w:tcW w:w="567" w:type="dxa"/>
            <w:tcBorders>
              <w:top w:val="single" w:color="auto" w:sz="4" w:space="0"/>
              <w:left w:val="single" w:color="000000" w:sz="8" w:space="0"/>
              <w:bottom w:val="single" w:color="000000" w:sz="8" w:space="0"/>
              <w:right w:val="single" w:color="000000" w:sz="8" w:space="0"/>
            </w:tcBorders>
            <w:vAlign w:val="center"/>
          </w:tcPr>
          <w:p>
            <w:pPr>
              <w:widowControl/>
              <w:spacing w:line="240" w:lineRule="exact"/>
              <w:jc w:val="center"/>
              <w:rPr>
                <w:rFonts w:hint="eastAsia" w:ascii="宋体" w:hAnsi="宋体" w:cs="宋体"/>
                <w:b/>
                <w:bCs/>
              </w:rPr>
            </w:pPr>
            <w:r>
              <w:rPr>
                <w:rStyle w:val="231"/>
                <w:rFonts w:hint="eastAsia" w:ascii="宋体" w:hAnsi="宋体" w:cs="宋体"/>
                <w:b/>
                <w:bCs/>
                <w:color w:val="auto"/>
                <w:sz w:val="21"/>
                <w:szCs w:val="21"/>
                <w:lang w:bidi="ar"/>
              </w:rPr>
              <w:t>V.D3</w:t>
            </w:r>
          </w:p>
        </w:tc>
        <w:tc>
          <w:tcPr>
            <w:tcW w:w="567" w:type="dxa"/>
            <w:tcBorders>
              <w:top w:val="single" w:color="auto" w:sz="4" w:space="0"/>
              <w:left w:val="single" w:color="000000" w:sz="8" w:space="0"/>
              <w:bottom w:val="single" w:color="000000" w:sz="8" w:space="0"/>
              <w:right w:val="single" w:color="000000" w:sz="8" w:space="0"/>
            </w:tcBorders>
            <w:vAlign w:val="center"/>
          </w:tcPr>
          <w:p>
            <w:pPr>
              <w:widowControl/>
              <w:spacing w:line="240" w:lineRule="exact"/>
              <w:jc w:val="center"/>
              <w:rPr>
                <w:rFonts w:hint="eastAsia" w:ascii="宋体" w:hAnsi="宋体" w:cs="宋体"/>
                <w:b/>
                <w:bCs/>
              </w:rPr>
            </w:pPr>
            <w:r>
              <w:rPr>
                <w:rStyle w:val="231"/>
                <w:rFonts w:hint="eastAsia" w:ascii="宋体" w:hAnsi="宋体" w:cs="宋体"/>
                <w:b/>
                <w:bCs/>
                <w:color w:val="auto"/>
                <w:sz w:val="21"/>
                <w:szCs w:val="21"/>
                <w:lang w:bidi="ar"/>
              </w:rPr>
              <w:t>V.E</w:t>
            </w:r>
          </w:p>
        </w:tc>
        <w:tc>
          <w:tcPr>
            <w:tcW w:w="567" w:type="dxa"/>
            <w:tcBorders>
              <w:top w:val="single" w:color="auto" w:sz="4" w:space="0"/>
              <w:left w:val="single" w:color="000000" w:sz="8" w:space="0"/>
              <w:bottom w:val="single" w:color="000000" w:sz="8" w:space="0"/>
              <w:right w:val="single" w:color="000000" w:sz="8" w:space="0"/>
            </w:tcBorders>
            <w:vAlign w:val="center"/>
          </w:tcPr>
          <w:p>
            <w:pPr>
              <w:widowControl/>
              <w:spacing w:line="240" w:lineRule="exact"/>
              <w:jc w:val="center"/>
              <w:rPr>
                <w:rFonts w:hint="eastAsia" w:ascii="宋体" w:hAnsi="宋体" w:cs="宋体"/>
                <w:b/>
                <w:bCs/>
              </w:rPr>
            </w:pPr>
            <w:r>
              <w:rPr>
                <w:rStyle w:val="231"/>
                <w:rFonts w:hint="eastAsia" w:ascii="宋体" w:hAnsi="宋体" w:cs="宋体"/>
                <w:b/>
                <w:bCs/>
                <w:color w:val="auto"/>
                <w:sz w:val="21"/>
                <w:szCs w:val="21"/>
                <w:lang w:bidi="ar"/>
              </w:rPr>
              <w:t>V.K3</w:t>
            </w:r>
          </w:p>
        </w:tc>
        <w:tc>
          <w:tcPr>
            <w:tcW w:w="567" w:type="dxa"/>
            <w:tcBorders>
              <w:top w:val="single" w:color="auto" w:sz="4" w:space="0"/>
              <w:left w:val="single" w:color="000000" w:sz="8" w:space="0"/>
              <w:bottom w:val="single" w:color="000000" w:sz="8" w:space="0"/>
              <w:right w:val="single" w:color="000000" w:sz="8" w:space="0"/>
            </w:tcBorders>
            <w:vAlign w:val="center"/>
          </w:tcPr>
          <w:p>
            <w:pPr>
              <w:widowControl/>
              <w:spacing w:line="240" w:lineRule="exact"/>
              <w:jc w:val="center"/>
              <w:rPr>
                <w:rFonts w:hint="eastAsia" w:ascii="宋体" w:hAnsi="宋体" w:cs="宋体"/>
                <w:b/>
                <w:bCs/>
              </w:rPr>
            </w:pPr>
            <w:r>
              <w:rPr>
                <w:rStyle w:val="231"/>
                <w:rFonts w:hint="eastAsia" w:ascii="宋体" w:hAnsi="宋体" w:cs="宋体"/>
                <w:b/>
                <w:bCs/>
                <w:color w:val="auto"/>
                <w:sz w:val="21"/>
                <w:szCs w:val="21"/>
                <w:lang w:bidi="ar"/>
              </w:rPr>
              <w:t>V.B1</w:t>
            </w:r>
          </w:p>
        </w:tc>
        <w:tc>
          <w:tcPr>
            <w:tcW w:w="567" w:type="dxa"/>
            <w:tcBorders>
              <w:top w:val="single" w:color="auto" w:sz="4" w:space="0"/>
              <w:left w:val="single" w:color="000000" w:sz="8" w:space="0"/>
              <w:bottom w:val="single" w:color="000000" w:sz="8" w:space="0"/>
              <w:right w:val="single" w:color="000000" w:sz="8" w:space="0"/>
            </w:tcBorders>
            <w:vAlign w:val="center"/>
          </w:tcPr>
          <w:p>
            <w:pPr>
              <w:widowControl/>
              <w:spacing w:line="240" w:lineRule="exact"/>
              <w:jc w:val="center"/>
              <w:rPr>
                <w:rFonts w:hint="eastAsia" w:ascii="宋体" w:hAnsi="宋体" w:cs="宋体"/>
                <w:b/>
                <w:bCs/>
              </w:rPr>
            </w:pPr>
            <w:r>
              <w:rPr>
                <w:rStyle w:val="231"/>
                <w:rFonts w:hint="eastAsia" w:ascii="宋体" w:hAnsi="宋体" w:cs="宋体"/>
                <w:b/>
                <w:bCs/>
                <w:color w:val="auto"/>
                <w:sz w:val="21"/>
                <w:szCs w:val="21"/>
                <w:lang w:bidi="ar"/>
              </w:rPr>
              <w:t>V.B2</w:t>
            </w:r>
          </w:p>
        </w:tc>
        <w:tc>
          <w:tcPr>
            <w:tcW w:w="567" w:type="dxa"/>
            <w:tcBorders>
              <w:top w:val="single" w:color="auto" w:sz="4" w:space="0"/>
              <w:left w:val="single" w:color="000000" w:sz="8" w:space="0"/>
              <w:bottom w:val="single" w:color="000000" w:sz="8" w:space="0"/>
              <w:right w:val="single" w:color="000000" w:sz="8" w:space="0"/>
            </w:tcBorders>
            <w:vAlign w:val="center"/>
          </w:tcPr>
          <w:p>
            <w:pPr>
              <w:widowControl/>
              <w:spacing w:line="240" w:lineRule="exact"/>
              <w:jc w:val="center"/>
              <w:rPr>
                <w:rFonts w:hint="eastAsia" w:ascii="宋体" w:hAnsi="宋体" w:cs="宋体"/>
                <w:b/>
                <w:bCs/>
              </w:rPr>
            </w:pPr>
            <w:r>
              <w:rPr>
                <w:rStyle w:val="231"/>
                <w:rFonts w:hint="eastAsia" w:ascii="宋体" w:hAnsi="宋体" w:cs="宋体"/>
                <w:b/>
                <w:bCs/>
                <w:color w:val="auto"/>
                <w:sz w:val="21"/>
                <w:szCs w:val="21"/>
                <w:lang w:bidi="ar"/>
              </w:rPr>
              <w:t>V.B6</w:t>
            </w:r>
          </w:p>
        </w:tc>
        <w:tc>
          <w:tcPr>
            <w:tcW w:w="567" w:type="dxa"/>
            <w:tcBorders>
              <w:top w:val="single" w:color="auto" w:sz="4" w:space="0"/>
              <w:left w:val="single" w:color="000000" w:sz="8" w:space="0"/>
              <w:bottom w:val="single" w:color="000000" w:sz="8" w:space="0"/>
              <w:right w:val="single" w:color="000000" w:sz="8" w:space="0"/>
            </w:tcBorders>
            <w:vAlign w:val="center"/>
          </w:tcPr>
          <w:p>
            <w:pPr>
              <w:widowControl/>
              <w:spacing w:line="240" w:lineRule="exact"/>
              <w:jc w:val="center"/>
              <w:rPr>
                <w:rFonts w:hint="eastAsia" w:ascii="宋体" w:hAnsi="宋体" w:cs="宋体"/>
                <w:b/>
                <w:bCs/>
              </w:rPr>
            </w:pPr>
            <w:r>
              <w:rPr>
                <w:rStyle w:val="231"/>
                <w:rFonts w:hint="eastAsia" w:ascii="宋体" w:hAnsi="宋体" w:cs="宋体"/>
                <w:b/>
                <w:bCs/>
                <w:color w:val="auto"/>
                <w:sz w:val="21"/>
                <w:szCs w:val="21"/>
                <w:lang w:bidi="ar"/>
              </w:rPr>
              <w:t>V.B12</w:t>
            </w:r>
          </w:p>
        </w:tc>
        <w:tc>
          <w:tcPr>
            <w:tcW w:w="454" w:type="dxa"/>
            <w:tcBorders>
              <w:top w:val="single" w:color="auto" w:sz="4" w:space="0"/>
              <w:left w:val="single" w:color="000000" w:sz="8" w:space="0"/>
              <w:bottom w:val="single" w:color="000000" w:sz="8" w:space="0"/>
              <w:right w:val="single" w:color="000000" w:sz="8" w:space="0"/>
            </w:tcBorders>
            <w:vAlign w:val="center"/>
          </w:tcPr>
          <w:p>
            <w:pPr>
              <w:widowControl/>
              <w:spacing w:line="240" w:lineRule="exact"/>
              <w:jc w:val="center"/>
              <w:rPr>
                <w:rFonts w:hint="eastAsia" w:ascii="宋体" w:hAnsi="宋体" w:cs="宋体"/>
                <w:b/>
                <w:bCs/>
              </w:rPr>
            </w:pPr>
            <w:r>
              <w:rPr>
                <w:rStyle w:val="230"/>
                <w:rFonts w:hint="default"/>
                <w:b/>
                <w:bCs/>
                <w:color w:val="auto"/>
                <w:sz w:val="21"/>
                <w:szCs w:val="21"/>
                <w:lang w:bidi="ar"/>
              </w:rPr>
              <w:t>生物素</w:t>
            </w:r>
          </w:p>
        </w:tc>
        <w:tc>
          <w:tcPr>
            <w:tcW w:w="369" w:type="dxa"/>
            <w:tcBorders>
              <w:top w:val="single" w:color="auto" w:sz="4" w:space="0"/>
              <w:left w:val="single" w:color="000000" w:sz="8" w:space="0"/>
              <w:bottom w:val="single" w:color="000000" w:sz="8" w:space="0"/>
              <w:right w:val="single" w:color="000000" w:sz="8" w:space="0"/>
            </w:tcBorders>
            <w:vAlign w:val="center"/>
          </w:tcPr>
          <w:p>
            <w:pPr>
              <w:widowControl/>
              <w:spacing w:line="240" w:lineRule="exact"/>
              <w:jc w:val="center"/>
              <w:rPr>
                <w:rFonts w:hint="eastAsia" w:ascii="宋体" w:hAnsi="宋体" w:cs="宋体"/>
                <w:b/>
                <w:bCs/>
              </w:rPr>
            </w:pPr>
            <w:r>
              <w:rPr>
                <w:rStyle w:val="230"/>
                <w:rFonts w:hint="default"/>
                <w:b/>
                <w:bCs/>
                <w:color w:val="auto"/>
                <w:sz w:val="21"/>
                <w:szCs w:val="21"/>
                <w:lang w:bidi="ar"/>
              </w:rPr>
              <w:t>叶酸</w:t>
            </w:r>
          </w:p>
        </w:tc>
        <w:tc>
          <w:tcPr>
            <w:tcW w:w="369" w:type="dxa"/>
            <w:tcBorders>
              <w:top w:val="single" w:color="auto" w:sz="4" w:space="0"/>
              <w:left w:val="single" w:color="000000" w:sz="8" w:space="0"/>
              <w:bottom w:val="single" w:color="000000" w:sz="8" w:space="0"/>
              <w:right w:val="single" w:color="000000" w:sz="8" w:space="0"/>
            </w:tcBorders>
            <w:vAlign w:val="center"/>
          </w:tcPr>
          <w:p>
            <w:pPr>
              <w:widowControl/>
              <w:spacing w:line="240" w:lineRule="exact"/>
              <w:jc w:val="center"/>
              <w:rPr>
                <w:rFonts w:hint="eastAsia" w:ascii="宋体" w:hAnsi="宋体" w:cs="宋体"/>
                <w:b/>
                <w:bCs/>
              </w:rPr>
            </w:pPr>
            <w:r>
              <w:rPr>
                <w:rStyle w:val="230"/>
                <w:rFonts w:hint="default"/>
                <w:b/>
                <w:bCs/>
                <w:color w:val="auto"/>
                <w:sz w:val="21"/>
                <w:szCs w:val="21"/>
                <w:lang w:bidi="ar"/>
              </w:rPr>
              <w:t>烟酸</w:t>
            </w:r>
          </w:p>
        </w:tc>
        <w:tc>
          <w:tcPr>
            <w:tcW w:w="369" w:type="dxa"/>
            <w:tcBorders>
              <w:top w:val="single" w:color="auto" w:sz="4" w:space="0"/>
              <w:left w:val="single" w:color="000000" w:sz="8" w:space="0"/>
              <w:bottom w:val="single" w:color="000000" w:sz="8" w:space="0"/>
              <w:right w:val="single" w:color="000000" w:sz="8" w:space="0"/>
            </w:tcBorders>
            <w:textDirection w:val="tbRl"/>
            <w:vAlign w:val="center"/>
          </w:tcPr>
          <w:p>
            <w:pPr>
              <w:widowControl/>
              <w:spacing w:line="240" w:lineRule="exact"/>
              <w:ind w:left="113" w:right="113"/>
              <w:jc w:val="center"/>
              <w:rPr>
                <w:rFonts w:hint="eastAsia" w:ascii="宋体" w:hAnsi="宋体" w:cs="宋体"/>
                <w:b/>
                <w:bCs/>
              </w:rPr>
            </w:pPr>
            <w:r>
              <w:rPr>
                <w:rStyle w:val="231"/>
                <w:rFonts w:hint="eastAsia" w:ascii="宋体" w:hAnsi="宋体" w:cs="宋体"/>
                <w:b/>
                <w:bCs/>
                <w:color w:val="auto"/>
                <w:sz w:val="21"/>
                <w:szCs w:val="21"/>
                <w:lang w:bidi="ar"/>
              </w:rPr>
              <w:t>D-</w:t>
            </w:r>
            <w:r>
              <w:rPr>
                <w:rStyle w:val="230"/>
                <w:rFonts w:hint="default"/>
                <w:b/>
                <w:bCs/>
                <w:color w:val="auto"/>
                <w:sz w:val="21"/>
                <w:szCs w:val="21"/>
                <w:lang w:bidi="ar"/>
              </w:rPr>
              <w:t>泛酸</w:t>
            </w:r>
          </w:p>
        </w:tc>
        <w:tc>
          <w:tcPr>
            <w:tcW w:w="369" w:type="dxa"/>
            <w:tcBorders>
              <w:top w:val="single" w:color="auto" w:sz="4" w:space="0"/>
              <w:left w:val="single" w:color="000000" w:sz="8" w:space="0"/>
              <w:bottom w:val="single" w:color="000000" w:sz="8" w:space="0"/>
              <w:right w:val="single" w:color="000000" w:sz="8" w:space="0"/>
            </w:tcBorders>
            <w:vAlign w:val="center"/>
          </w:tcPr>
          <w:p>
            <w:pPr>
              <w:widowControl/>
              <w:spacing w:line="240" w:lineRule="exact"/>
              <w:jc w:val="center"/>
              <w:rPr>
                <w:rFonts w:hint="eastAsia" w:ascii="宋体" w:hAnsi="宋体" w:cs="宋体"/>
                <w:b/>
                <w:bCs/>
              </w:rPr>
            </w:pPr>
            <w:r>
              <w:rPr>
                <w:rStyle w:val="230"/>
                <w:rFonts w:hint="default"/>
                <w:b/>
                <w:bCs/>
                <w:color w:val="auto"/>
                <w:sz w:val="21"/>
                <w:szCs w:val="21"/>
                <w:lang w:bidi="ar"/>
              </w:rPr>
              <w:t>铜</w:t>
            </w:r>
          </w:p>
        </w:tc>
        <w:tc>
          <w:tcPr>
            <w:tcW w:w="369" w:type="dxa"/>
            <w:tcBorders>
              <w:top w:val="single" w:color="auto" w:sz="4" w:space="0"/>
              <w:left w:val="single" w:color="000000" w:sz="8" w:space="0"/>
              <w:bottom w:val="single" w:color="000000" w:sz="8" w:space="0"/>
              <w:right w:val="single" w:color="000000" w:sz="8" w:space="0"/>
            </w:tcBorders>
            <w:vAlign w:val="center"/>
          </w:tcPr>
          <w:p>
            <w:pPr>
              <w:widowControl/>
              <w:spacing w:line="240" w:lineRule="exact"/>
              <w:jc w:val="center"/>
              <w:rPr>
                <w:rFonts w:hint="eastAsia" w:ascii="宋体" w:hAnsi="宋体" w:cs="宋体"/>
                <w:b/>
                <w:bCs/>
              </w:rPr>
            </w:pPr>
            <w:r>
              <w:rPr>
                <w:rStyle w:val="230"/>
                <w:rFonts w:hint="default"/>
                <w:b/>
                <w:bCs/>
                <w:color w:val="auto"/>
                <w:sz w:val="21"/>
                <w:szCs w:val="21"/>
                <w:lang w:bidi="ar"/>
              </w:rPr>
              <w:t>铁</w:t>
            </w:r>
          </w:p>
        </w:tc>
        <w:tc>
          <w:tcPr>
            <w:tcW w:w="369" w:type="dxa"/>
            <w:tcBorders>
              <w:top w:val="single" w:color="auto" w:sz="4" w:space="0"/>
              <w:left w:val="single" w:color="000000" w:sz="8" w:space="0"/>
              <w:bottom w:val="single" w:color="000000" w:sz="8" w:space="0"/>
              <w:right w:val="single" w:color="000000" w:sz="8" w:space="0"/>
            </w:tcBorders>
            <w:vAlign w:val="center"/>
          </w:tcPr>
          <w:p>
            <w:pPr>
              <w:widowControl/>
              <w:spacing w:line="240" w:lineRule="exact"/>
              <w:jc w:val="center"/>
              <w:rPr>
                <w:rFonts w:hint="eastAsia" w:ascii="宋体" w:hAnsi="宋体" w:cs="宋体"/>
                <w:b/>
                <w:bCs/>
              </w:rPr>
            </w:pPr>
            <w:r>
              <w:rPr>
                <w:rStyle w:val="230"/>
                <w:rFonts w:hint="default"/>
                <w:b/>
                <w:bCs/>
                <w:color w:val="auto"/>
                <w:sz w:val="21"/>
                <w:szCs w:val="21"/>
                <w:lang w:bidi="ar"/>
              </w:rPr>
              <w:t>锌</w:t>
            </w:r>
          </w:p>
        </w:tc>
        <w:tc>
          <w:tcPr>
            <w:tcW w:w="369" w:type="dxa"/>
            <w:tcBorders>
              <w:top w:val="single" w:color="auto" w:sz="4" w:space="0"/>
              <w:left w:val="single" w:color="000000" w:sz="8" w:space="0"/>
              <w:bottom w:val="single" w:color="000000" w:sz="8" w:space="0"/>
              <w:right w:val="single" w:color="000000" w:sz="8" w:space="0"/>
            </w:tcBorders>
            <w:vAlign w:val="center"/>
          </w:tcPr>
          <w:p>
            <w:pPr>
              <w:widowControl/>
              <w:spacing w:line="240" w:lineRule="exact"/>
              <w:jc w:val="center"/>
              <w:rPr>
                <w:rFonts w:hint="eastAsia" w:ascii="宋体" w:hAnsi="宋体" w:cs="宋体"/>
                <w:b/>
                <w:bCs/>
              </w:rPr>
            </w:pPr>
            <w:r>
              <w:rPr>
                <w:rStyle w:val="230"/>
                <w:rFonts w:hint="default"/>
                <w:b/>
                <w:bCs/>
                <w:color w:val="auto"/>
                <w:sz w:val="21"/>
                <w:szCs w:val="21"/>
                <w:lang w:bidi="ar"/>
              </w:rPr>
              <w:t>锰</w:t>
            </w:r>
          </w:p>
        </w:tc>
        <w:tc>
          <w:tcPr>
            <w:tcW w:w="454" w:type="dxa"/>
            <w:tcBorders>
              <w:top w:val="single" w:color="auto" w:sz="4" w:space="0"/>
              <w:left w:val="single" w:color="000000" w:sz="8" w:space="0"/>
              <w:bottom w:val="single" w:color="000000" w:sz="8" w:space="0"/>
              <w:right w:val="single" w:color="000000" w:sz="8" w:space="0"/>
            </w:tcBorders>
            <w:vAlign w:val="center"/>
          </w:tcPr>
          <w:p>
            <w:pPr>
              <w:widowControl/>
              <w:spacing w:line="240" w:lineRule="exact"/>
              <w:jc w:val="center"/>
              <w:rPr>
                <w:rFonts w:hint="eastAsia" w:ascii="宋体" w:hAnsi="宋体" w:cs="宋体"/>
                <w:b/>
                <w:bCs/>
              </w:rPr>
            </w:pPr>
            <w:r>
              <w:rPr>
                <w:rStyle w:val="230"/>
                <w:rFonts w:hint="default"/>
                <w:b/>
                <w:bCs/>
                <w:color w:val="auto"/>
                <w:sz w:val="21"/>
                <w:szCs w:val="21"/>
                <w:lang w:bidi="ar"/>
              </w:rPr>
              <w:t>碘</w:t>
            </w:r>
          </w:p>
        </w:tc>
        <w:tc>
          <w:tcPr>
            <w:tcW w:w="454" w:type="dxa"/>
            <w:tcBorders>
              <w:top w:val="single" w:color="auto" w:sz="4" w:space="0"/>
              <w:left w:val="single" w:color="000000" w:sz="8" w:space="0"/>
              <w:bottom w:val="single" w:color="000000" w:sz="8" w:space="0"/>
              <w:right w:val="single" w:color="000000" w:sz="8" w:space="0"/>
            </w:tcBorders>
            <w:vAlign w:val="center"/>
          </w:tcPr>
          <w:p>
            <w:pPr>
              <w:widowControl/>
              <w:spacing w:line="240" w:lineRule="exact"/>
              <w:jc w:val="center"/>
              <w:rPr>
                <w:rFonts w:hint="eastAsia" w:ascii="宋体" w:hAnsi="宋体" w:cs="宋体"/>
                <w:b/>
                <w:bCs/>
              </w:rPr>
            </w:pPr>
            <w:r>
              <w:rPr>
                <w:rStyle w:val="230"/>
                <w:rFonts w:hint="default"/>
                <w:b/>
                <w:bCs/>
                <w:color w:val="auto"/>
                <w:sz w:val="21"/>
                <w:szCs w:val="21"/>
                <w:lang w:bidi="ar"/>
              </w:rPr>
              <w:t>硒</w:t>
            </w:r>
          </w:p>
        </w:tc>
      </w:tr>
      <w:tr>
        <w:tblPrEx>
          <w:tblCellMar>
            <w:top w:w="0" w:type="dxa"/>
            <w:left w:w="108" w:type="dxa"/>
            <w:bottom w:w="0" w:type="dxa"/>
            <w:right w:w="108" w:type="dxa"/>
          </w:tblCellMar>
        </w:tblPrEx>
        <w:trPr>
          <w:trHeight w:val="330" w:hRule="atLeast"/>
        </w:trPr>
        <w:tc>
          <w:tcPr>
            <w:tcW w:w="567" w:type="dxa"/>
            <w:tcBorders>
              <w:top w:val="single" w:color="000000" w:sz="8" w:space="0"/>
              <w:left w:val="single" w:color="000000" w:sz="8" w:space="0"/>
              <w:bottom w:val="single" w:color="000000" w:sz="8" w:space="0"/>
              <w:right w:val="single" w:color="000000" w:sz="8" w:space="0"/>
            </w:tcBorders>
          </w:tcPr>
          <w:p>
            <w:pPr>
              <w:widowControl/>
              <w:spacing w:line="240" w:lineRule="exact"/>
              <w:rPr>
                <w:rFonts w:hint="eastAsia" w:ascii="宋体" w:hAnsi="宋体" w:cs="宋体"/>
              </w:rPr>
            </w:pPr>
            <w:r>
              <w:rPr>
                <w:rStyle w:val="230"/>
                <w:rFonts w:hint="default"/>
                <w:color w:val="auto"/>
                <w:sz w:val="21"/>
                <w:szCs w:val="21"/>
                <w:lang w:bidi="ar"/>
              </w:rPr>
              <w:t>含量</w:t>
            </w:r>
            <w:r>
              <w:rPr>
                <w:rStyle w:val="230"/>
                <w:color w:val="auto"/>
                <w:sz w:val="13"/>
                <w:szCs w:val="13"/>
                <w:lang w:bidi="ar"/>
              </w:rPr>
              <w:t>IU、mg</w:t>
            </w:r>
            <w:r>
              <w:rPr>
                <w:rStyle w:val="231"/>
                <w:rFonts w:hint="eastAsia" w:ascii="宋体" w:hAnsi="宋体" w:cs="宋体"/>
                <w:color w:val="auto"/>
                <w:sz w:val="13"/>
                <w:szCs w:val="13"/>
                <w:lang w:bidi="ar"/>
              </w:rPr>
              <w:t>/kg</w:t>
            </w:r>
          </w:p>
        </w:tc>
        <w:tc>
          <w:tcPr>
            <w:tcW w:w="567" w:type="dxa"/>
            <w:tcBorders>
              <w:top w:val="nil"/>
              <w:left w:val="single" w:color="000000" w:sz="8" w:space="0"/>
              <w:bottom w:val="single" w:color="000000" w:sz="8" w:space="0"/>
              <w:right w:val="single" w:color="000000" w:sz="8" w:space="0"/>
            </w:tcBorders>
            <w:vAlign w:val="center"/>
          </w:tcPr>
          <w:p>
            <w:pPr>
              <w:widowControl/>
              <w:spacing w:line="200" w:lineRule="exact"/>
              <w:jc w:val="center"/>
              <w:rPr>
                <w:rFonts w:hint="eastAsia" w:ascii="宋体" w:hAnsi="宋体" w:cs="宋体"/>
                <w:sz w:val="15"/>
                <w:szCs w:val="15"/>
              </w:rPr>
            </w:pPr>
            <w:r>
              <w:rPr>
                <w:rStyle w:val="231"/>
                <w:rFonts w:hint="eastAsia" w:ascii="宋体" w:hAnsi="宋体" w:cs="宋体"/>
                <w:color w:val="auto"/>
                <w:sz w:val="15"/>
                <w:szCs w:val="15"/>
                <w:lang w:bidi="ar"/>
              </w:rPr>
              <w:t xml:space="preserve">5500 </w:t>
            </w:r>
          </w:p>
        </w:tc>
        <w:tc>
          <w:tcPr>
            <w:tcW w:w="567" w:type="dxa"/>
            <w:tcBorders>
              <w:top w:val="nil"/>
              <w:left w:val="single" w:color="000000" w:sz="8" w:space="0"/>
              <w:bottom w:val="single" w:color="000000" w:sz="8" w:space="0"/>
              <w:right w:val="single" w:color="000000" w:sz="8" w:space="0"/>
            </w:tcBorders>
            <w:vAlign w:val="center"/>
          </w:tcPr>
          <w:p>
            <w:pPr>
              <w:widowControl/>
              <w:spacing w:line="200" w:lineRule="exact"/>
              <w:jc w:val="center"/>
              <w:rPr>
                <w:rFonts w:hint="eastAsia" w:ascii="宋体" w:hAnsi="宋体" w:cs="宋体"/>
                <w:sz w:val="15"/>
                <w:szCs w:val="15"/>
              </w:rPr>
            </w:pPr>
            <w:r>
              <w:rPr>
                <w:rStyle w:val="231"/>
                <w:rFonts w:hint="eastAsia" w:ascii="宋体" w:hAnsi="宋体" w:cs="宋体"/>
                <w:color w:val="auto"/>
                <w:sz w:val="15"/>
                <w:szCs w:val="15"/>
                <w:lang w:bidi="ar"/>
              </w:rPr>
              <w:t xml:space="preserve">1000 </w:t>
            </w:r>
          </w:p>
        </w:tc>
        <w:tc>
          <w:tcPr>
            <w:tcW w:w="567" w:type="dxa"/>
            <w:tcBorders>
              <w:top w:val="nil"/>
              <w:left w:val="single" w:color="000000" w:sz="8" w:space="0"/>
              <w:bottom w:val="single" w:color="000000" w:sz="8" w:space="0"/>
              <w:right w:val="single" w:color="000000" w:sz="8" w:space="0"/>
            </w:tcBorders>
            <w:vAlign w:val="center"/>
          </w:tcPr>
          <w:p>
            <w:pPr>
              <w:widowControl/>
              <w:spacing w:line="200" w:lineRule="exact"/>
              <w:jc w:val="center"/>
              <w:rPr>
                <w:rFonts w:hint="eastAsia" w:ascii="宋体" w:hAnsi="宋体" w:cs="宋体"/>
                <w:sz w:val="15"/>
                <w:szCs w:val="15"/>
              </w:rPr>
            </w:pPr>
            <w:r>
              <w:rPr>
                <w:rStyle w:val="231"/>
                <w:rFonts w:hint="eastAsia" w:ascii="宋体" w:hAnsi="宋体" w:cs="宋体"/>
                <w:color w:val="auto"/>
                <w:sz w:val="15"/>
                <w:szCs w:val="15"/>
                <w:lang w:bidi="ar"/>
              </w:rPr>
              <w:t>30U</w:t>
            </w:r>
          </w:p>
        </w:tc>
        <w:tc>
          <w:tcPr>
            <w:tcW w:w="567" w:type="dxa"/>
            <w:tcBorders>
              <w:top w:val="nil"/>
              <w:left w:val="single" w:color="000000" w:sz="8" w:space="0"/>
              <w:bottom w:val="single" w:color="000000" w:sz="8" w:space="0"/>
              <w:right w:val="single" w:color="000000" w:sz="8" w:space="0"/>
            </w:tcBorders>
            <w:vAlign w:val="center"/>
          </w:tcPr>
          <w:p>
            <w:pPr>
              <w:widowControl/>
              <w:spacing w:line="200" w:lineRule="exact"/>
              <w:jc w:val="center"/>
              <w:rPr>
                <w:rFonts w:hint="eastAsia" w:ascii="宋体" w:hAnsi="宋体" w:cs="宋体"/>
                <w:sz w:val="15"/>
                <w:szCs w:val="15"/>
              </w:rPr>
            </w:pPr>
            <w:r>
              <w:rPr>
                <w:rStyle w:val="231"/>
                <w:rFonts w:hint="eastAsia" w:ascii="宋体" w:hAnsi="宋体" w:cs="宋体"/>
                <w:color w:val="auto"/>
                <w:sz w:val="15"/>
                <w:szCs w:val="15"/>
                <w:lang w:bidi="ar"/>
              </w:rPr>
              <w:t xml:space="preserve">2.8 </w:t>
            </w:r>
          </w:p>
        </w:tc>
        <w:tc>
          <w:tcPr>
            <w:tcW w:w="567" w:type="dxa"/>
            <w:tcBorders>
              <w:top w:val="nil"/>
              <w:left w:val="single" w:color="000000" w:sz="8" w:space="0"/>
              <w:bottom w:val="single" w:color="000000" w:sz="8" w:space="0"/>
              <w:right w:val="single" w:color="000000" w:sz="8" w:space="0"/>
            </w:tcBorders>
            <w:vAlign w:val="center"/>
          </w:tcPr>
          <w:p>
            <w:pPr>
              <w:widowControl/>
              <w:spacing w:line="200" w:lineRule="exact"/>
              <w:jc w:val="center"/>
              <w:rPr>
                <w:rFonts w:hint="eastAsia" w:ascii="宋体" w:hAnsi="宋体" w:cs="宋体"/>
                <w:sz w:val="15"/>
                <w:szCs w:val="15"/>
              </w:rPr>
            </w:pPr>
            <w:r>
              <w:rPr>
                <w:rStyle w:val="231"/>
                <w:rFonts w:hint="eastAsia" w:ascii="宋体" w:hAnsi="宋体" w:cs="宋体"/>
                <w:color w:val="auto"/>
                <w:sz w:val="15"/>
                <w:szCs w:val="15"/>
                <w:lang w:bidi="ar"/>
              </w:rPr>
              <w:t xml:space="preserve">2.0 </w:t>
            </w:r>
          </w:p>
        </w:tc>
        <w:tc>
          <w:tcPr>
            <w:tcW w:w="567" w:type="dxa"/>
            <w:tcBorders>
              <w:top w:val="nil"/>
              <w:left w:val="single" w:color="000000" w:sz="8" w:space="0"/>
              <w:bottom w:val="single" w:color="000000" w:sz="8" w:space="0"/>
              <w:right w:val="single" w:color="000000" w:sz="8" w:space="0"/>
            </w:tcBorders>
            <w:vAlign w:val="center"/>
          </w:tcPr>
          <w:p>
            <w:pPr>
              <w:widowControl/>
              <w:spacing w:line="200" w:lineRule="exact"/>
              <w:jc w:val="center"/>
              <w:rPr>
                <w:rFonts w:hint="eastAsia" w:ascii="宋体" w:hAnsi="宋体" w:cs="宋体"/>
                <w:sz w:val="15"/>
                <w:szCs w:val="15"/>
              </w:rPr>
            </w:pPr>
            <w:r>
              <w:rPr>
                <w:rStyle w:val="231"/>
                <w:rFonts w:hint="eastAsia" w:ascii="宋体" w:hAnsi="宋体" w:cs="宋体"/>
                <w:color w:val="auto"/>
                <w:sz w:val="15"/>
                <w:szCs w:val="15"/>
                <w:lang w:bidi="ar"/>
              </w:rPr>
              <w:t xml:space="preserve">5.6 </w:t>
            </w:r>
          </w:p>
        </w:tc>
        <w:tc>
          <w:tcPr>
            <w:tcW w:w="567" w:type="dxa"/>
            <w:tcBorders>
              <w:top w:val="nil"/>
              <w:left w:val="single" w:color="000000" w:sz="8" w:space="0"/>
              <w:bottom w:val="single" w:color="000000" w:sz="8" w:space="0"/>
              <w:right w:val="single" w:color="000000" w:sz="8" w:space="0"/>
            </w:tcBorders>
            <w:vAlign w:val="center"/>
          </w:tcPr>
          <w:p>
            <w:pPr>
              <w:widowControl/>
              <w:spacing w:line="200" w:lineRule="exact"/>
              <w:jc w:val="center"/>
              <w:rPr>
                <w:rFonts w:hint="eastAsia" w:ascii="宋体" w:hAnsi="宋体" w:cs="宋体"/>
                <w:sz w:val="15"/>
                <w:szCs w:val="15"/>
              </w:rPr>
            </w:pPr>
            <w:r>
              <w:rPr>
                <w:rStyle w:val="231"/>
                <w:rFonts w:hint="eastAsia" w:ascii="宋体" w:hAnsi="宋体" w:cs="宋体"/>
                <w:color w:val="auto"/>
                <w:sz w:val="15"/>
                <w:szCs w:val="15"/>
                <w:lang w:bidi="ar"/>
              </w:rPr>
              <w:t xml:space="preserve">4.0 </w:t>
            </w:r>
          </w:p>
        </w:tc>
        <w:tc>
          <w:tcPr>
            <w:tcW w:w="567" w:type="dxa"/>
            <w:tcBorders>
              <w:top w:val="nil"/>
              <w:left w:val="single" w:color="000000" w:sz="8" w:space="0"/>
              <w:bottom w:val="single" w:color="000000" w:sz="8" w:space="0"/>
              <w:right w:val="single" w:color="000000" w:sz="8" w:space="0"/>
            </w:tcBorders>
            <w:vAlign w:val="center"/>
          </w:tcPr>
          <w:p>
            <w:pPr>
              <w:widowControl/>
              <w:spacing w:line="200" w:lineRule="exact"/>
              <w:jc w:val="center"/>
              <w:rPr>
                <w:rFonts w:hint="eastAsia" w:ascii="宋体" w:hAnsi="宋体" w:cs="宋体"/>
                <w:sz w:val="15"/>
                <w:szCs w:val="15"/>
              </w:rPr>
            </w:pPr>
            <w:r>
              <w:rPr>
                <w:rStyle w:val="231"/>
                <w:rFonts w:hint="eastAsia" w:ascii="宋体" w:hAnsi="宋体" w:cs="宋体"/>
                <w:color w:val="auto"/>
                <w:sz w:val="15"/>
                <w:szCs w:val="15"/>
                <w:lang w:bidi="ar"/>
              </w:rPr>
              <w:t xml:space="preserve">0.02 </w:t>
            </w:r>
          </w:p>
        </w:tc>
        <w:tc>
          <w:tcPr>
            <w:tcW w:w="454" w:type="dxa"/>
            <w:tcBorders>
              <w:top w:val="nil"/>
              <w:left w:val="single" w:color="000000" w:sz="8" w:space="0"/>
              <w:bottom w:val="single" w:color="000000" w:sz="8" w:space="0"/>
              <w:right w:val="single" w:color="000000" w:sz="8" w:space="0"/>
            </w:tcBorders>
            <w:vAlign w:val="center"/>
          </w:tcPr>
          <w:p>
            <w:pPr>
              <w:widowControl/>
              <w:spacing w:line="200" w:lineRule="exact"/>
              <w:jc w:val="center"/>
              <w:rPr>
                <w:rFonts w:hint="eastAsia" w:ascii="宋体" w:hAnsi="宋体" w:cs="宋体"/>
                <w:sz w:val="15"/>
                <w:szCs w:val="15"/>
              </w:rPr>
            </w:pPr>
            <w:r>
              <w:rPr>
                <w:rStyle w:val="231"/>
                <w:rFonts w:hint="eastAsia" w:ascii="宋体" w:hAnsi="宋体" w:cs="宋体"/>
                <w:color w:val="auto"/>
                <w:sz w:val="15"/>
                <w:szCs w:val="15"/>
                <w:lang w:bidi="ar"/>
              </w:rPr>
              <w:t xml:space="preserve">0.1 </w:t>
            </w:r>
          </w:p>
        </w:tc>
        <w:tc>
          <w:tcPr>
            <w:tcW w:w="369" w:type="dxa"/>
            <w:tcBorders>
              <w:top w:val="nil"/>
              <w:left w:val="single" w:color="000000" w:sz="8" w:space="0"/>
              <w:bottom w:val="single" w:color="000000" w:sz="8" w:space="0"/>
              <w:right w:val="single" w:color="000000" w:sz="8" w:space="0"/>
            </w:tcBorders>
            <w:vAlign w:val="center"/>
          </w:tcPr>
          <w:p>
            <w:pPr>
              <w:widowControl/>
              <w:spacing w:line="200" w:lineRule="exact"/>
              <w:jc w:val="center"/>
              <w:rPr>
                <w:rFonts w:hint="eastAsia" w:ascii="宋体" w:hAnsi="宋体" w:cs="宋体"/>
                <w:sz w:val="15"/>
                <w:szCs w:val="15"/>
              </w:rPr>
            </w:pPr>
            <w:r>
              <w:rPr>
                <w:rStyle w:val="231"/>
                <w:rFonts w:hint="eastAsia" w:ascii="宋体" w:hAnsi="宋体" w:cs="宋体"/>
                <w:color w:val="auto"/>
                <w:sz w:val="15"/>
                <w:szCs w:val="15"/>
                <w:lang w:bidi="ar"/>
              </w:rPr>
              <w:t xml:space="preserve">1 </w:t>
            </w:r>
          </w:p>
        </w:tc>
        <w:tc>
          <w:tcPr>
            <w:tcW w:w="369" w:type="dxa"/>
            <w:tcBorders>
              <w:top w:val="nil"/>
              <w:left w:val="single" w:color="000000" w:sz="8" w:space="0"/>
              <w:bottom w:val="single" w:color="000000" w:sz="8" w:space="0"/>
              <w:right w:val="single" w:color="000000" w:sz="8" w:space="0"/>
            </w:tcBorders>
            <w:vAlign w:val="center"/>
          </w:tcPr>
          <w:p>
            <w:pPr>
              <w:widowControl/>
              <w:spacing w:line="200" w:lineRule="exact"/>
              <w:jc w:val="center"/>
              <w:rPr>
                <w:rFonts w:hint="eastAsia" w:ascii="宋体" w:hAnsi="宋体" w:cs="宋体"/>
                <w:sz w:val="15"/>
                <w:szCs w:val="15"/>
              </w:rPr>
            </w:pPr>
            <w:r>
              <w:rPr>
                <w:rStyle w:val="231"/>
                <w:rFonts w:hint="eastAsia" w:ascii="宋体" w:hAnsi="宋体" w:cs="宋体"/>
                <w:color w:val="auto"/>
                <w:sz w:val="15"/>
                <w:szCs w:val="15"/>
                <w:lang w:bidi="ar"/>
              </w:rPr>
              <w:t xml:space="preserve">30 </w:t>
            </w:r>
          </w:p>
        </w:tc>
        <w:tc>
          <w:tcPr>
            <w:tcW w:w="369" w:type="dxa"/>
            <w:tcBorders>
              <w:top w:val="nil"/>
              <w:left w:val="single" w:color="000000" w:sz="8" w:space="0"/>
              <w:bottom w:val="single" w:color="000000" w:sz="8" w:space="0"/>
              <w:right w:val="single" w:color="000000" w:sz="8" w:space="0"/>
            </w:tcBorders>
            <w:vAlign w:val="center"/>
          </w:tcPr>
          <w:p>
            <w:pPr>
              <w:widowControl/>
              <w:spacing w:line="200" w:lineRule="exact"/>
              <w:jc w:val="center"/>
              <w:rPr>
                <w:rFonts w:hint="eastAsia" w:ascii="宋体" w:hAnsi="宋体" w:cs="宋体"/>
                <w:sz w:val="15"/>
                <w:szCs w:val="15"/>
              </w:rPr>
            </w:pPr>
            <w:r>
              <w:rPr>
                <w:rStyle w:val="231"/>
                <w:rFonts w:hint="eastAsia" w:ascii="宋体" w:hAnsi="宋体" w:cs="宋体"/>
                <w:color w:val="auto"/>
                <w:sz w:val="15"/>
                <w:szCs w:val="15"/>
                <w:lang w:bidi="ar"/>
              </w:rPr>
              <w:t xml:space="preserve">15 </w:t>
            </w:r>
          </w:p>
        </w:tc>
        <w:tc>
          <w:tcPr>
            <w:tcW w:w="369" w:type="dxa"/>
            <w:tcBorders>
              <w:top w:val="nil"/>
              <w:left w:val="single" w:color="000000" w:sz="8" w:space="0"/>
              <w:bottom w:val="single" w:color="000000" w:sz="8" w:space="0"/>
              <w:right w:val="single" w:color="000000" w:sz="8" w:space="0"/>
            </w:tcBorders>
            <w:vAlign w:val="center"/>
          </w:tcPr>
          <w:p>
            <w:pPr>
              <w:widowControl/>
              <w:spacing w:line="200" w:lineRule="exact"/>
              <w:jc w:val="center"/>
              <w:rPr>
                <w:rFonts w:hint="eastAsia" w:ascii="宋体" w:hAnsi="宋体" w:cs="宋体"/>
                <w:sz w:val="15"/>
                <w:szCs w:val="15"/>
              </w:rPr>
            </w:pPr>
            <w:r>
              <w:rPr>
                <w:rStyle w:val="231"/>
                <w:rFonts w:hint="eastAsia" w:ascii="宋体" w:hAnsi="宋体" w:cs="宋体"/>
                <w:color w:val="auto"/>
                <w:sz w:val="15"/>
                <w:szCs w:val="15"/>
                <w:lang w:bidi="ar"/>
              </w:rPr>
              <w:t xml:space="preserve">50 </w:t>
            </w:r>
          </w:p>
        </w:tc>
        <w:tc>
          <w:tcPr>
            <w:tcW w:w="369" w:type="dxa"/>
            <w:tcBorders>
              <w:top w:val="nil"/>
              <w:left w:val="single" w:color="000000" w:sz="8" w:space="0"/>
              <w:bottom w:val="single" w:color="000000" w:sz="8" w:space="0"/>
              <w:right w:val="single" w:color="000000" w:sz="8" w:space="0"/>
            </w:tcBorders>
            <w:vAlign w:val="center"/>
          </w:tcPr>
          <w:p>
            <w:pPr>
              <w:widowControl/>
              <w:spacing w:line="200" w:lineRule="exact"/>
              <w:jc w:val="center"/>
              <w:rPr>
                <w:rFonts w:hint="eastAsia" w:ascii="宋体" w:hAnsi="宋体" w:cs="宋体"/>
                <w:sz w:val="15"/>
                <w:szCs w:val="15"/>
              </w:rPr>
            </w:pPr>
            <w:r>
              <w:rPr>
                <w:rStyle w:val="231"/>
                <w:rFonts w:hint="eastAsia" w:ascii="宋体" w:hAnsi="宋体" w:cs="宋体"/>
                <w:color w:val="auto"/>
                <w:sz w:val="15"/>
                <w:szCs w:val="15"/>
                <w:lang w:bidi="ar"/>
              </w:rPr>
              <w:t xml:space="preserve">30 </w:t>
            </w:r>
          </w:p>
        </w:tc>
        <w:tc>
          <w:tcPr>
            <w:tcW w:w="369" w:type="dxa"/>
            <w:tcBorders>
              <w:top w:val="nil"/>
              <w:left w:val="single" w:color="000000" w:sz="8" w:space="0"/>
              <w:bottom w:val="single" w:color="000000" w:sz="8" w:space="0"/>
              <w:right w:val="single" w:color="000000" w:sz="8" w:space="0"/>
            </w:tcBorders>
            <w:vAlign w:val="center"/>
          </w:tcPr>
          <w:p>
            <w:pPr>
              <w:widowControl/>
              <w:spacing w:line="200" w:lineRule="exact"/>
              <w:jc w:val="center"/>
              <w:rPr>
                <w:rFonts w:hint="eastAsia" w:ascii="宋体" w:hAnsi="宋体" w:cs="宋体"/>
                <w:sz w:val="15"/>
                <w:szCs w:val="15"/>
              </w:rPr>
            </w:pPr>
            <w:r>
              <w:rPr>
                <w:rStyle w:val="231"/>
                <w:rFonts w:hint="eastAsia" w:ascii="宋体" w:hAnsi="宋体" w:cs="宋体"/>
                <w:color w:val="auto"/>
                <w:sz w:val="15"/>
                <w:szCs w:val="15"/>
                <w:lang w:bidi="ar"/>
              </w:rPr>
              <w:t xml:space="preserve">70 </w:t>
            </w:r>
          </w:p>
        </w:tc>
        <w:tc>
          <w:tcPr>
            <w:tcW w:w="369" w:type="dxa"/>
            <w:tcBorders>
              <w:top w:val="nil"/>
              <w:left w:val="single" w:color="000000" w:sz="8" w:space="0"/>
              <w:bottom w:val="single" w:color="000000" w:sz="8" w:space="0"/>
              <w:right w:val="single" w:color="000000" w:sz="8" w:space="0"/>
            </w:tcBorders>
            <w:vAlign w:val="center"/>
          </w:tcPr>
          <w:p>
            <w:pPr>
              <w:widowControl/>
              <w:spacing w:line="200" w:lineRule="exact"/>
              <w:jc w:val="center"/>
              <w:rPr>
                <w:rFonts w:hint="eastAsia" w:ascii="宋体" w:hAnsi="宋体" w:cs="宋体"/>
                <w:sz w:val="15"/>
                <w:szCs w:val="15"/>
              </w:rPr>
            </w:pPr>
            <w:r>
              <w:rPr>
                <w:rStyle w:val="231"/>
                <w:rFonts w:hint="eastAsia" w:ascii="宋体" w:hAnsi="宋体" w:cs="宋体"/>
                <w:color w:val="auto"/>
                <w:sz w:val="15"/>
                <w:szCs w:val="15"/>
                <w:lang w:bidi="ar"/>
              </w:rPr>
              <w:t xml:space="preserve">50 </w:t>
            </w:r>
          </w:p>
        </w:tc>
        <w:tc>
          <w:tcPr>
            <w:tcW w:w="454" w:type="dxa"/>
            <w:tcBorders>
              <w:top w:val="nil"/>
              <w:left w:val="single" w:color="000000" w:sz="8" w:space="0"/>
              <w:bottom w:val="single" w:color="000000" w:sz="8" w:space="0"/>
              <w:right w:val="single" w:color="000000" w:sz="8" w:space="0"/>
            </w:tcBorders>
            <w:vAlign w:val="center"/>
          </w:tcPr>
          <w:p>
            <w:pPr>
              <w:widowControl/>
              <w:spacing w:line="200" w:lineRule="exact"/>
              <w:jc w:val="center"/>
              <w:rPr>
                <w:rFonts w:hint="eastAsia" w:ascii="宋体" w:hAnsi="宋体" w:cs="宋体"/>
                <w:sz w:val="15"/>
                <w:szCs w:val="15"/>
              </w:rPr>
            </w:pPr>
            <w:r>
              <w:rPr>
                <w:rStyle w:val="231"/>
                <w:rFonts w:hint="eastAsia" w:ascii="宋体" w:hAnsi="宋体" w:cs="宋体"/>
                <w:color w:val="auto"/>
                <w:sz w:val="15"/>
                <w:szCs w:val="15"/>
                <w:lang w:bidi="ar"/>
              </w:rPr>
              <w:t xml:space="preserve">0.4 </w:t>
            </w:r>
          </w:p>
        </w:tc>
        <w:tc>
          <w:tcPr>
            <w:tcW w:w="454" w:type="dxa"/>
            <w:tcBorders>
              <w:top w:val="nil"/>
              <w:left w:val="single" w:color="000000" w:sz="8" w:space="0"/>
              <w:bottom w:val="single" w:color="000000" w:sz="8" w:space="0"/>
              <w:right w:val="single" w:color="000000" w:sz="8" w:space="0"/>
            </w:tcBorders>
            <w:vAlign w:val="center"/>
          </w:tcPr>
          <w:p>
            <w:pPr>
              <w:widowControl/>
              <w:spacing w:line="200" w:lineRule="exact"/>
              <w:jc w:val="center"/>
              <w:rPr>
                <w:rFonts w:hint="eastAsia" w:ascii="宋体" w:hAnsi="宋体" w:cs="宋体"/>
                <w:sz w:val="15"/>
                <w:szCs w:val="15"/>
              </w:rPr>
            </w:pPr>
            <w:r>
              <w:rPr>
                <w:rStyle w:val="231"/>
                <w:rFonts w:hint="eastAsia" w:ascii="宋体" w:hAnsi="宋体" w:cs="宋体"/>
                <w:color w:val="auto"/>
                <w:sz w:val="15"/>
                <w:szCs w:val="15"/>
                <w:lang w:bidi="ar"/>
              </w:rPr>
              <w:t xml:space="preserve">0.3 </w:t>
            </w:r>
          </w:p>
        </w:tc>
      </w:tr>
    </w:tbl>
    <w:p>
      <w:pPr>
        <w:pStyle w:val="56"/>
        <w:ind w:firstLine="420"/>
      </w:pPr>
    </w:p>
    <w:p>
      <w:pPr>
        <w:pStyle w:val="56"/>
        <w:ind w:firstLine="420"/>
        <w:sectPr>
          <w:pgSz w:w="11906" w:h="16838"/>
          <w:pgMar w:top="1928" w:right="1134" w:bottom="1134" w:left="1134" w:header="1418" w:footer="1134" w:gutter="284"/>
          <w:cols w:space="425" w:num="1"/>
          <w:formProt w:val="0"/>
          <w:docGrid w:type="lines" w:linePitch="312" w:charSpace="0"/>
        </w:sectPr>
      </w:pPr>
    </w:p>
    <w:p>
      <w:pPr>
        <w:pStyle w:val="198"/>
        <w:rPr>
          <w:rFonts w:hint="eastAsia"/>
          <w:vanish w:val="0"/>
        </w:rPr>
      </w:pPr>
    </w:p>
    <w:p>
      <w:pPr>
        <w:pStyle w:val="199"/>
        <w:rPr>
          <w:vanish w:val="0"/>
        </w:rPr>
      </w:pPr>
    </w:p>
    <w:p>
      <w:pPr>
        <w:pStyle w:val="76"/>
        <w:spacing w:after="156"/>
      </w:pPr>
      <w:bookmarkStart w:id="71" w:name="_Toc4589"/>
      <w:r>
        <w:br w:type="textWrapping"/>
      </w:r>
      <w:r>
        <w:rPr>
          <w:rFonts w:hint="eastAsia"/>
        </w:rPr>
        <w:t>（资料性）</w:t>
      </w:r>
      <w:r>
        <w:br w:type="textWrapping"/>
      </w:r>
      <w:r>
        <w:rPr>
          <w:rFonts w:hint="eastAsia"/>
        </w:rPr>
        <w:t>常用中兽药制剂保健参考程序</w:t>
      </w:r>
      <w:bookmarkEnd w:id="71"/>
    </w:p>
    <w:p>
      <w:pPr>
        <w:pStyle w:val="77"/>
        <w:spacing w:before="156" w:after="156"/>
      </w:pPr>
      <w:r>
        <w:rPr>
          <w:rFonts w:hint="eastAsia"/>
        </w:rPr>
        <w:t>常用中兽药制剂保健参考程序</w:t>
      </w:r>
    </w:p>
    <w:tbl>
      <w:tblPr>
        <w:tblStyle w:val="26"/>
        <w:tblW w:w="9119" w:type="dxa"/>
        <w:tblInd w:w="0" w:type="dxa"/>
        <w:tblLayout w:type="fixed"/>
        <w:tblCellMar>
          <w:top w:w="15" w:type="dxa"/>
          <w:left w:w="15" w:type="dxa"/>
          <w:bottom w:w="15" w:type="dxa"/>
          <w:right w:w="15" w:type="dxa"/>
        </w:tblCellMar>
      </w:tblPr>
      <w:tblGrid>
        <w:gridCol w:w="637"/>
        <w:gridCol w:w="831"/>
        <w:gridCol w:w="1753"/>
        <w:gridCol w:w="1169"/>
        <w:gridCol w:w="4729"/>
      </w:tblGrid>
      <w:tr>
        <w:tblPrEx>
          <w:tblCellMar>
            <w:top w:w="15" w:type="dxa"/>
            <w:left w:w="15" w:type="dxa"/>
            <w:bottom w:w="15" w:type="dxa"/>
            <w:right w:w="15" w:type="dxa"/>
          </w:tblCellMar>
        </w:tblPrEx>
        <w:trPr>
          <w:trHeight w:val="617"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序号</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名称</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主要成分</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主要功能</w:t>
            </w:r>
          </w:p>
        </w:tc>
        <w:tc>
          <w:tcPr>
            <w:tcW w:w="4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保健用法</w:t>
            </w:r>
          </w:p>
        </w:tc>
      </w:tr>
      <w:tr>
        <w:tblPrEx>
          <w:tblCellMar>
            <w:top w:w="15" w:type="dxa"/>
            <w:left w:w="15" w:type="dxa"/>
            <w:bottom w:w="15" w:type="dxa"/>
            <w:right w:w="15" w:type="dxa"/>
          </w:tblCellMar>
        </w:tblPrEx>
        <w:trPr>
          <w:trHeight w:val="907"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color w:val="000000"/>
                <w:sz w:val="20"/>
                <w:szCs w:val="20"/>
              </w:rPr>
            </w:pPr>
            <w:r>
              <w:rPr>
                <w:rFonts w:hint="eastAsia" w:ascii="宋体" w:hAnsi="宋体" w:cs="宋体"/>
                <w:b/>
                <w:color w:val="000000"/>
                <w:kern w:val="0"/>
                <w:sz w:val="20"/>
                <w:szCs w:val="20"/>
                <w:lang w:bidi="ar"/>
              </w:rPr>
              <w:t>1</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强壮散</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党参、黄芪、茯苓、白术、六神曲、麦芽、山楂(炒)、草豆蔻</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益气健脾，消积化食</w:t>
            </w:r>
          </w:p>
        </w:tc>
        <w:tc>
          <w:tcPr>
            <w:tcW w:w="4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主治无明显病变的食欲不振、体瘦毛焦、生长迟缓。用于70日龄、100日龄、120日龄的生猪保健，分别在饲料中添加强壮散（30g～50g）/d▪头，每次连用5d～7d</w:t>
            </w:r>
          </w:p>
        </w:tc>
      </w:tr>
      <w:tr>
        <w:tblPrEx>
          <w:tblCellMar>
            <w:top w:w="15" w:type="dxa"/>
            <w:left w:w="15" w:type="dxa"/>
            <w:bottom w:w="15" w:type="dxa"/>
            <w:right w:w="15" w:type="dxa"/>
          </w:tblCellMar>
        </w:tblPrEx>
        <w:trPr>
          <w:trHeight w:val="51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color w:val="000000"/>
                <w:sz w:val="20"/>
                <w:szCs w:val="20"/>
              </w:rPr>
            </w:pPr>
            <w:r>
              <w:rPr>
                <w:rFonts w:hint="eastAsia" w:ascii="宋体" w:hAnsi="宋体" w:cs="宋体"/>
                <w:b/>
                <w:color w:val="000000"/>
                <w:kern w:val="0"/>
                <w:sz w:val="20"/>
                <w:szCs w:val="20"/>
                <w:lang w:bidi="ar"/>
              </w:rPr>
              <w:t>2</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白龙散</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白头翁、龙胆、黄连</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清热燥湿，凉血止痢</w:t>
            </w:r>
          </w:p>
        </w:tc>
        <w:tc>
          <w:tcPr>
            <w:tcW w:w="4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主治湿热泻痢，热毒血痢。用于猪腹泻时，在饲料中添加或灌服白龙散（10g～20g）/d▪头，连用3～5d</w:t>
            </w:r>
          </w:p>
        </w:tc>
      </w:tr>
      <w:tr>
        <w:tblPrEx>
          <w:tblCellMar>
            <w:top w:w="15" w:type="dxa"/>
            <w:left w:w="15" w:type="dxa"/>
            <w:bottom w:w="15" w:type="dxa"/>
            <w:right w:w="15" w:type="dxa"/>
          </w:tblCellMar>
        </w:tblPrEx>
        <w:trPr>
          <w:trHeight w:val="907"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color w:val="000000"/>
                <w:sz w:val="20"/>
                <w:szCs w:val="20"/>
              </w:rPr>
            </w:pPr>
            <w:r>
              <w:rPr>
                <w:rFonts w:hint="eastAsia" w:ascii="宋体" w:hAnsi="宋体" w:cs="宋体"/>
                <w:b/>
                <w:color w:val="000000"/>
                <w:kern w:val="0"/>
                <w:sz w:val="20"/>
                <w:szCs w:val="20"/>
                <w:lang w:bidi="ar"/>
              </w:rPr>
              <w:t>3</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三白散</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玄明粉、石膏、滑石</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清胃泻火，通便</w:t>
            </w:r>
          </w:p>
        </w:tc>
        <w:tc>
          <w:tcPr>
            <w:tcW w:w="4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主治胃热食少、粪便秘结、尿短赤，用于猪采食量减少、便秘时，在饲料中添加或灌服三白散（30g～60g）/d▪头，连用3～5d</w:t>
            </w:r>
          </w:p>
        </w:tc>
      </w:tr>
      <w:tr>
        <w:tblPrEx>
          <w:tblCellMar>
            <w:top w:w="15" w:type="dxa"/>
            <w:left w:w="15" w:type="dxa"/>
            <w:bottom w:w="15" w:type="dxa"/>
            <w:right w:w="15" w:type="dxa"/>
          </w:tblCellMar>
        </w:tblPrEx>
        <w:trPr>
          <w:trHeight w:val="51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color w:val="000000"/>
                <w:sz w:val="20"/>
                <w:szCs w:val="20"/>
              </w:rPr>
            </w:pPr>
            <w:r>
              <w:rPr>
                <w:rFonts w:hint="eastAsia" w:ascii="宋体" w:hAnsi="宋体" w:cs="宋体"/>
                <w:b/>
                <w:color w:val="000000"/>
                <w:kern w:val="0"/>
                <w:sz w:val="20"/>
                <w:szCs w:val="20"/>
                <w:lang w:bidi="ar"/>
              </w:rPr>
              <w:t>4</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桑菊散</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桑叶、菊花、连翘、薄荷、苦杏仁</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疏风清热，宣肺止咳</w:t>
            </w:r>
          </w:p>
        </w:tc>
        <w:tc>
          <w:tcPr>
            <w:tcW w:w="47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用于热应激，在饲料中添加或灌服主治外感风热的桑菊散（30g～60g）/d▪头或主治伤热、中暑的清暑散（50g～80g）/d▪头，连用3～5d</w:t>
            </w:r>
          </w:p>
        </w:tc>
      </w:tr>
      <w:tr>
        <w:tblPrEx>
          <w:tblCellMar>
            <w:top w:w="15" w:type="dxa"/>
            <w:left w:w="15" w:type="dxa"/>
            <w:bottom w:w="15" w:type="dxa"/>
            <w:right w:w="15" w:type="dxa"/>
          </w:tblCellMar>
        </w:tblPrEx>
        <w:trPr>
          <w:trHeight w:val="51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color w:val="000000"/>
                <w:sz w:val="20"/>
                <w:szCs w:val="20"/>
              </w:rPr>
            </w:pPr>
            <w:r>
              <w:rPr>
                <w:rFonts w:hint="eastAsia" w:ascii="宋体" w:hAnsi="宋体" w:cs="宋体"/>
                <w:b/>
                <w:color w:val="000000"/>
                <w:kern w:val="0"/>
                <w:sz w:val="20"/>
                <w:szCs w:val="20"/>
                <w:lang w:bidi="ar"/>
              </w:rPr>
              <w:t>5</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清暑散</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香薷、白扁豆、麦冬、薄荷、木通等</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清热祛暑</w:t>
            </w:r>
          </w:p>
        </w:tc>
        <w:tc>
          <w:tcPr>
            <w:tcW w:w="47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hint="eastAsia" w:ascii="宋体" w:hAnsi="宋体" w:cs="宋体"/>
                <w:color w:val="000000"/>
                <w:sz w:val="18"/>
                <w:szCs w:val="18"/>
              </w:rPr>
            </w:pPr>
          </w:p>
        </w:tc>
      </w:tr>
      <w:tr>
        <w:tblPrEx>
          <w:tblCellMar>
            <w:top w:w="15" w:type="dxa"/>
            <w:left w:w="15" w:type="dxa"/>
            <w:bottom w:w="15" w:type="dxa"/>
            <w:right w:w="15" w:type="dxa"/>
          </w:tblCellMar>
        </w:tblPrEx>
        <w:trPr>
          <w:trHeight w:val="907"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color w:val="000000"/>
                <w:sz w:val="20"/>
                <w:szCs w:val="20"/>
              </w:rPr>
            </w:pPr>
            <w:r>
              <w:rPr>
                <w:rFonts w:hint="eastAsia" w:ascii="宋体" w:hAnsi="宋体" w:cs="宋体"/>
                <w:b/>
                <w:color w:val="000000"/>
                <w:kern w:val="0"/>
                <w:sz w:val="20"/>
                <w:szCs w:val="20"/>
                <w:lang w:bidi="ar"/>
              </w:rPr>
              <w:t>6</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桂心散</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肉桂、青皮、白术、厚朴、益智等</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温中散寒，理气止痛</w:t>
            </w:r>
          </w:p>
        </w:tc>
        <w:tc>
          <w:tcPr>
            <w:tcW w:w="4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主治胃寒食少、胃冷吐涎、冷痛。用于冷应激，在饲料中添加或灌服在饲料中添加桂心散（45g～60g））/d▪头，连用3～5d</w:t>
            </w:r>
          </w:p>
        </w:tc>
      </w:tr>
      <w:tr>
        <w:tblPrEx>
          <w:tblCellMar>
            <w:top w:w="15" w:type="dxa"/>
            <w:left w:w="15" w:type="dxa"/>
            <w:bottom w:w="15" w:type="dxa"/>
            <w:right w:w="15" w:type="dxa"/>
          </w:tblCellMar>
        </w:tblPrEx>
        <w:trPr>
          <w:trHeight w:val="51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color w:val="000000"/>
                <w:sz w:val="20"/>
                <w:szCs w:val="20"/>
              </w:rPr>
            </w:pPr>
            <w:r>
              <w:rPr>
                <w:rFonts w:hint="eastAsia" w:ascii="宋体" w:hAnsi="宋体" w:cs="宋体"/>
                <w:b/>
                <w:color w:val="000000"/>
                <w:kern w:val="0"/>
                <w:sz w:val="20"/>
                <w:szCs w:val="20"/>
                <w:lang w:bidi="ar"/>
              </w:rPr>
              <w:t>7</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四君子散</w:t>
            </w:r>
          </w:p>
        </w:tc>
        <w:tc>
          <w:tcPr>
            <w:tcW w:w="17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党参、白术(炒)、茯苓、炙甘草</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益气健脾</w:t>
            </w:r>
          </w:p>
        </w:tc>
        <w:tc>
          <w:tcPr>
            <w:tcW w:w="4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用于运输应激，在运输前5 d～7 d的猪饲料中添加四君子散（30g～45g）/d▪头，连用5 d～7 d</w:t>
            </w:r>
          </w:p>
        </w:tc>
      </w:tr>
    </w:tbl>
    <w:p>
      <w:pPr>
        <w:pStyle w:val="56"/>
        <w:ind w:firstLine="420"/>
      </w:pPr>
    </w:p>
    <w:p>
      <w:pPr>
        <w:pStyle w:val="56"/>
        <w:ind w:firstLine="420"/>
      </w:pPr>
    </w:p>
    <w:p>
      <w:pPr>
        <w:pStyle w:val="56"/>
        <w:ind w:firstLine="420"/>
      </w:pPr>
    </w:p>
    <w:bookmarkEnd w:id="66"/>
    <w:p>
      <w:pPr>
        <w:pStyle w:val="56"/>
        <w:ind w:firstLine="420"/>
        <w:sectPr>
          <w:pgSz w:w="11906" w:h="16838"/>
          <w:pgMar w:top="1928" w:right="1134" w:bottom="1134" w:left="1134" w:header="1418" w:footer="1134" w:gutter="284"/>
          <w:cols w:space="425" w:num="1"/>
          <w:formProt w:val="0"/>
          <w:docGrid w:type="lines" w:linePitch="312" w:charSpace="0"/>
        </w:sectPr>
      </w:pPr>
      <w:bookmarkStart w:id="72" w:name="BookMark6"/>
    </w:p>
    <w:p>
      <w:pPr>
        <w:pStyle w:val="63"/>
        <w:spacing w:after="156"/>
      </w:pPr>
      <w:bookmarkStart w:id="73" w:name="_Toc30253"/>
      <w:r>
        <w:rPr>
          <w:rFonts w:hint="eastAsia"/>
          <w:spacing w:val="105"/>
        </w:rPr>
        <w:t>参考文</w:t>
      </w:r>
      <w:r>
        <w:rPr>
          <w:rFonts w:hint="eastAsia"/>
        </w:rPr>
        <w:t>献</w:t>
      </w:r>
      <w:bookmarkEnd w:id="73"/>
    </w:p>
    <w:p>
      <w:pPr>
        <w:pStyle w:val="56"/>
        <w:ind w:firstLine="420"/>
      </w:pPr>
      <w:r>
        <w:rPr>
          <w:rFonts w:hint="eastAsia"/>
        </w:rPr>
        <w:t>［1］《畜禽标识和养殖档案管理办法》（中华人民共和国农业部令 第67号）</w:t>
      </w:r>
    </w:p>
    <w:p>
      <w:pPr>
        <w:pStyle w:val="56"/>
        <w:ind w:firstLine="420"/>
      </w:pPr>
      <w:r>
        <w:rPr>
          <w:rFonts w:hint="eastAsia"/>
        </w:rPr>
        <w:t xml:space="preserve">［2］《饲料原料目录》（中华人民共和国农业部公告 第1773号） </w:t>
      </w:r>
    </w:p>
    <w:p>
      <w:pPr>
        <w:pStyle w:val="56"/>
        <w:ind w:firstLine="420"/>
      </w:pPr>
      <w:r>
        <w:rPr>
          <w:rFonts w:hint="eastAsia"/>
        </w:rPr>
        <w:t xml:space="preserve">［3］《饲料添加剂品种目录》（中华人民共和国农业部公告 第2045号） </w:t>
      </w:r>
    </w:p>
    <w:p>
      <w:pPr>
        <w:pStyle w:val="56"/>
        <w:ind w:firstLine="420"/>
      </w:pPr>
      <w:r>
        <w:rPr>
          <w:rFonts w:hint="eastAsia"/>
        </w:rPr>
        <w:t>［4］《饲料添加剂安全使用规范》（中华人民共和国农业部公告 第2625号）</w:t>
      </w:r>
    </w:p>
    <w:p>
      <w:pPr>
        <w:pStyle w:val="56"/>
        <w:ind w:firstLine="420"/>
      </w:pPr>
      <w:r>
        <w:rPr>
          <w:rFonts w:hint="eastAsia"/>
        </w:rPr>
        <w:t>［5］《病死及病害动物无害化处理技术规范》（农医发[2017]25号）</w:t>
      </w:r>
    </w:p>
    <w:p>
      <w:pPr>
        <w:pStyle w:val="56"/>
        <w:ind w:firstLine="420"/>
      </w:pPr>
      <w:r>
        <w:rPr>
          <w:rFonts w:hint="eastAsia"/>
        </w:rPr>
        <w:t>［6］《中华人民共和国兽药典》（2020年版）</w:t>
      </w:r>
    </w:p>
    <w:p>
      <w:pPr>
        <w:pStyle w:val="56"/>
        <w:ind w:firstLine="420"/>
      </w:pPr>
      <w:r>
        <w:rPr>
          <w:rFonts w:hint="eastAsia"/>
        </w:rPr>
        <w:t>［7］《中华人民共和国动物防疫法》（2021版）</w:t>
      </w:r>
    </w:p>
    <w:p>
      <w:pPr>
        <w:pStyle w:val="56"/>
        <w:ind w:firstLine="420"/>
      </w:pPr>
    </w:p>
    <w:p>
      <w:pPr>
        <w:pStyle w:val="56"/>
        <w:ind w:firstLine="420"/>
      </w:pPr>
    </w:p>
    <w:bookmarkEnd w:id="72"/>
    <w:p>
      <w:pPr>
        <w:pStyle w:val="56"/>
        <w:ind w:firstLine="0" w:firstLineChars="0"/>
        <w:jc w:val="center"/>
      </w:pPr>
      <w:bookmarkStart w:id="74" w:name="BookMark8"/>
      <w:r>
        <w:rPr>
          <w:rFonts w:hint="eastAsia"/>
        </w:rPr>
        <w:drawing>
          <wp:inline distT="0" distB="0" distL="0" distR="0">
            <wp:extent cx="1485900" cy="317500"/>
            <wp:effectExtent l="0" t="0" r="0" b="6350"/>
            <wp:docPr id="1096599589" name="图片 1"/>
            <wp:cNvGraphicFramePr/>
            <a:graphic xmlns:a="http://schemas.openxmlformats.org/drawingml/2006/main">
              <a:graphicData uri="http://schemas.openxmlformats.org/drawingml/2006/picture">
                <pic:pic xmlns:pic="http://schemas.openxmlformats.org/drawingml/2006/picture">
                  <pic:nvPicPr>
                    <pic:cNvPr id="1096599589" name="图片 1"/>
                    <pic:cNvPicPr/>
                  </pic:nvPicPr>
                  <pic:blipFill>
                    <a:blip r:embed="rId16">
                      <a:extLst>
                        <a:ext uri="{28A0092B-C50C-407E-A947-70E740481C1C}">
                          <a14:useLocalDpi xmlns:a14="http://schemas.microsoft.com/office/drawing/2010/main" val="false"/>
                        </a:ext>
                      </a:extLst>
                    </a:blip>
                    <a:stretch>
                      <a:fillRect/>
                    </a:stretch>
                  </pic:blipFill>
                  <pic:spPr>
                    <a:xfrm>
                      <a:off x="0" y="0"/>
                      <a:ext cx="1485900" cy="317500"/>
                    </a:xfrm>
                    <a:prstGeom prst="rect">
                      <a:avLst/>
                    </a:prstGeom>
                  </pic:spPr>
                </pic:pic>
              </a:graphicData>
            </a:graphic>
          </wp:inline>
        </w:drawing>
      </w:r>
      <w:bookmarkEnd w:id="74"/>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w:altName w:val="Nimbus Roman No9 L"/>
    <w:panose1 w:val="020B0604020202020204"/>
    <w:charset w:val="00"/>
    <w:family w:val="swiss"/>
    <w:pitch w:val="default"/>
    <w:sig w:usb0="00000000" w:usb1="00000000" w:usb2="00000009" w:usb3="00000000" w:csb0="000001FF" w:csb1="00000000"/>
  </w:font>
  <w:font w:name="等线">
    <w:altName w:val="华文仿宋"/>
    <w:panose1 w:val="02010600030101010101"/>
    <w:charset w:val="86"/>
    <w:family w:val="auto"/>
    <w:pitch w:val="default"/>
    <w:sig w:usb0="00000000" w:usb1="00000000" w:usb2="00000016" w:usb3="00000000" w:csb0="0004000F" w:csb1="00000000"/>
  </w:font>
  <w:font w:name="等线 Light">
    <w:altName w:val="华文仿宋"/>
    <w:panose1 w:val="02010600030101010101"/>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ejaVu Math TeX Gyre">
    <w:panose1 w:val="02000503000000000000"/>
    <w:charset w:val="00"/>
    <w:family w:val="auto"/>
    <w:pitch w:val="default"/>
    <w:sig w:usb0="A10000EF" w:usb1="4201F9EE" w:usb2="02000000" w:usb3="00000000" w:csb0="60000193" w:csb1="0DD40000"/>
  </w:font>
  <w:font w:name="Liberation Serif">
    <w:panose1 w:val="02020603050405020304"/>
    <w:charset w:val="00"/>
    <w:family w:val="auto"/>
    <w:pitch w:val="default"/>
    <w:sig w:usb0="A00002AF" w:usb1="500078FB" w:usb2="00000000" w:usb3="00000000" w:csb0="6000009F" w:csb1="DFD7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rPr>
        <w:rFonts w:hint="eastAsia"/>
      </w:rPr>
      <w:t>DB 43/T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43/T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993"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attachedTemplate r:id="rId1"/>
  <w:documentProtection w:edit="forms" w:enforcement="1" w:cryptProviderType="rsaAES" w:cryptAlgorithmClass="hash" w:cryptAlgorithmType="typeAny" w:cryptAlgorithmSid="14" w:cryptSpinCount="100000" w:hash="zQy+GHfiFPe2w4pD2H/rmVkPqL2Ojp/Na3FlVhIV2bV4qfdoHvdMgko++RE713IBG4D3mjrBr2OftChwlA3hmw==" w:salt="W32AksZi9Vo3Tf0IiZ0NMg=="/>
  <w:defaultTabStop w:val="420"/>
  <w:drawingGridHorizontalSpacing w:val="105"/>
  <w:drawingGridVerticalSpacing w:val="156"/>
  <w:noPunctuationKerning w:val="true"/>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BD8"/>
    <w:rsid w:val="0000040A"/>
    <w:rsid w:val="00000A94"/>
    <w:rsid w:val="00000D4A"/>
    <w:rsid w:val="000013CE"/>
    <w:rsid w:val="00001972"/>
    <w:rsid w:val="00001D9A"/>
    <w:rsid w:val="00007B3A"/>
    <w:rsid w:val="000107E0"/>
    <w:rsid w:val="00011FDE"/>
    <w:rsid w:val="00012FFD"/>
    <w:rsid w:val="00014162"/>
    <w:rsid w:val="00014340"/>
    <w:rsid w:val="00016081"/>
    <w:rsid w:val="00016A9C"/>
    <w:rsid w:val="00017983"/>
    <w:rsid w:val="00022184"/>
    <w:rsid w:val="00022762"/>
    <w:rsid w:val="000238E0"/>
    <w:rsid w:val="000249DB"/>
    <w:rsid w:val="0002595E"/>
    <w:rsid w:val="000262D9"/>
    <w:rsid w:val="000303C3"/>
    <w:rsid w:val="000331D3"/>
    <w:rsid w:val="000346A5"/>
    <w:rsid w:val="00034DDA"/>
    <w:rsid w:val="00035367"/>
    <w:rsid w:val="000359C3"/>
    <w:rsid w:val="00035A7D"/>
    <w:rsid w:val="000365ED"/>
    <w:rsid w:val="0004249A"/>
    <w:rsid w:val="00043282"/>
    <w:rsid w:val="00044286"/>
    <w:rsid w:val="00047F28"/>
    <w:rsid w:val="000503AA"/>
    <w:rsid w:val="000506A1"/>
    <w:rsid w:val="000515DD"/>
    <w:rsid w:val="0005265A"/>
    <w:rsid w:val="000539DD"/>
    <w:rsid w:val="00053BD3"/>
    <w:rsid w:val="0005410D"/>
    <w:rsid w:val="000556ED"/>
    <w:rsid w:val="00055FE2"/>
    <w:rsid w:val="0005616F"/>
    <w:rsid w:val="00060C2E"/>
    <w:rsid w:val="00061033"/>
    <w:rsid w:val="0006189B"/>
    <w:rsid w:val="000619E9"/>
    <w:rsid w:val="000622D4"/>
    <w:rsid w:val="0006357D"/>
    <w:rsid w:val="00066F62"/>
    <w:rsid w:val="00067F1E"/>
    <w:rsid w:val="00071CC0"/>
    <w:rsid w:val="00073C8C"/>
    <w:rsid w:val="00077B64"/>
    <w:rsid w:val="00080A1C"/>
    <w:rsid w:val="00082317"/>
    <w:rsid w:val="00083D2C"/>
    <w:rsid w:val="00086AA1"/>
    <w:rsid w:val="00086E8F"/>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B74EC"/>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322"/>
    <w:rsid w:val="000F4AEA"/>
    <w:rsid w:val="000F633F"/>
    <w:rsid w:val="000F67E9"/>
    <w:rsid w:val="00104926"/>
    <w:rsid w:val="00111CA2"/>
    <w:rsid w:val="00113B1E"/>
    <w:rsid w:val="0011711C"/>
    <w:rsid w:val="0012059C"/>
    <w:rsid w:val="00123B3A"/>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E57"/>
    <w:rsid w:val="001759BE"/>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0946"/>
    <w:rsid w:val="001E1B6A"/>
    <w:rsid w:val="001E2484"/>
    <w:rsid w:val="001E2DA3"/>
    <w:rsid w:val="001E3CC4"/>
    <w:rsid w:val="001E4882"/>
    <w:rsid w:val="001E6250"/>
    <w:rsid w:val="001E73AB"/>
    <w:rsid w:val="001F092D"/>
    <w:rsid w:val="001F143A"/>
    <w:rsid w:val="001F1605"/>
    <w:rsid w:val="001F2508"/>
    <w:rsid w:val="001F4816"/>
    <w:rsid w:val="001F4EE9"/>
    <w:rsid w:val="001F67D4"/>
    <w:rsid w:val="001F69B4"/>
    <w:rsid w:val="001F77C7"/>
    <w:rsid w:val="00200183"/>
    <w:rsid w:val="00200333"/>
    <w:rsid w:val="0020107D"/>
    <w:rsid w:val="00202AA4"/>
    <w:rsid w:val="002031F7"/>
    <w:rsid w:val="002040E6"/>
    <w:rsid w:val="0020527B"/>
    <w:rsid w:val="00205F2C"/>
    <w:rsid w:val="00210B15"/>
    <w:rsid w:val="002142EA"/>
    <w:rsid w:val="002164CB"/>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900"/>
    <w:rsid w:val="00263D25"/>
    <w:rsid w:val="002643C3"/>
    <w:rsid w:val="00264A0C"/>
    <w:rsid w:val="00266EEB"/>
    <w:rsid w:val="00267EF4"/>
    <w:rsid w:val="00270CB8"/>
    <w:rsid w:val="00272B08"/>
    <w:rsid w:val="002771AC"/>
    <w:rsid w:val="00281BB8"/>
    <w:rsid w:val="00281E9E"/>
    <w:rsid w:val="00282405"/>
    <w:rsid w:val="00285170"/>
    <w:rsid w:val="00285361"/>
    <w:rsid w:val="00292B96"/>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94D"/>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14EE"/>
    <w:rsid w:val="002F30E0"/>
    <w:rsid w:val="002F35E4"/>
    <w:rsid w:val="002F3730"/>
    <w:rsid w:val="002F38E1"/>
    <w:rsid w:val="002F7AF6"/>
    <w:rsid w:val="00300E63"/>
    <w:rsid w:val="00302F5F"/>
    <w:rsid w:val="003034E4"/>
    <w:rsid w:val="0030441D"/>
    <w:rsid w:val="00306063"/>
    <w:rsid w:val="00313B85"/>
    <w:rsid w:val="00317988"/>
    <w:rsid w:val="003221B4"/>
    <w:rsid w:val="0032258D"/>
    <w:rsid w:val="003226A5"/>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441C"/>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624C"/>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5725"/>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4AE0"/>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2E31"/>
    <w:rsid w:val="004D4406"/>
    <w:rsid w:val="004D7C42"/>
    <w:rsid w:val="004E0465"/>
    <w:rsid w:val="004E0619"/>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3CEF"/>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0369"/>
    <w:rsid w:val="00632182"/>
    <w:rsid w:val="00632AE0"/>
    <w:rsid w:val="00633C17"/>
    <w:rsid w:val="00634D9E"/>
    <w:rsid w:val="00636E3E"/>
    <w:rsid w:val="006379F7"/>
    <w:rsid w:val="00637E4D"/>
    <w:rsid w:val="00640620"/>
    <w:rsid w:val="00641A1F"/>
    <w:rsid w:val="00645904"/>
    <w:rsid w:val="006515E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538"/>
    <w:rsid w:val="006770F4"/>
    <w:rsid w:val="00677A84"/>
    <w:rsid w:val="0068026D"/>
    <w:rsid w:val="00680A27"/>
    <w:rsid w:val="006816A4"/>
    <w:rsid w:val="006819B8"/>
    <w:rsid w:val="006840A6"/>
    <w:rsid w:val="006850CD"/>
    <w:rsid w:val="00685AAB"/>
    <w:rsid w:val="00694C81"/>
    <w:rsid w:val="00695D22"/>
    <w:rsid w:val="006A07AA"/>
    <w:rsid w:val="006A25E5"/>
    <w:rsid w:val="006A2B46"/>
    <w:rsid w:val="006A3068"/>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D6723"/>
    <w:rsid w:val="006E23EA"/>
    <w:rsid w:val="006F03A8"/>
    <w:rsid w:val="006F2ACA"/>
    <w:rsid w:val="006F2ADC"/>
    <w:rsid w:val="006F2BFE"/>
    <w:rsid w:val="006F31E9"/>
    <w:rsid w:val="006F6284"/>
    <w:rsid w:val="007002C5"/>
    <w:rsid w:val="00703441"/>
    <w:rsid w:val="00704387"/>
    <w:rsid w:val="00707669"/>
    <w:rsid w:val="00711CBA"/>
    <w:rsid w:val="00711FB5"/>
    <w:rsid w:val="00712A01"/>
    <w:rsid w:val="00714F58"/>
    <w:rsid w:val="00722FBF"/>
    <w:rsid w:val="00722FC2"/>
    <w:rsid w:val="00724879"/>
    <w:rsid w:val="00724E1B"/>
    <w:rsid w:val="00725949"/>
    <w:rsid w:val="00726BF4"/>
    <w:rsid w:val="00727FA2"/>
    <w:rsid w:val="007322D9"/>
    <w:rsid w:val="00732BC0"/>
    <w:rsid w:val="0073720F"/>
    <w:rsid w:val="00737796"/>
    <w:rsid w:val="0074165C"/>
    <w:rsid w:val="00742C35"/>
    <w:rsid w:val="007432CA"/>
    <w:rsid w:val="007439EB"/>
    <w:rsid w:val="00743CB4"/>
    <w:rsid w:val="00743F0A"/>
    <w:rsid w:val="007444E8"/>
    <w:rsid w:val="00744F01"/>
    <w:rsid w:val="0074548E"/>
    <w:rsid w:val="00745773"/>
    <w:rsid w:val="00746800"/>
    <w:rsid w:val="007501A8"/>
    <w:rsid w:val="00750D61"/>
    <w:rsid w:val="00750EE1"/>
    <w:rsid w:val="00752B4D"/>
    <w:rsid w:val="00755402"/>
    <w:rsid w:val="00756B26"/>
    <w:rsid w:val="00756EDF"/>
    <w:rsid w:val="007600E3"/>
    <w:rsid w:val="007607FF"/>
    <w:rsid w:val="00765C43"/>
    <w:rsid w:val="00765EFB"/>
    <w:rsid w:val="007671CA"/>
    <w:rsid w:val="00767C61"/>
    <w:rsid w:val="0077008A"/>
    <w:rsid w:val="00773C1F"/>
    <w:rsid w:val="00774DA4"/>
    <w:rsid w:val="00776599"/>
    <w:rsid w:val="0078114B"/>
    <w:rsid w:val="00781DD2"/>
    <w:rsid w:val="00783ECF"/>
    <w:rsid w:val="0078413A"/>
    <w:rsid w:val="007867FF"/>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56672"/>
    <w:rsid w:val="0086018B"/>
    <w:rsid w:val="008603CE"/>
    <w:rsid w:val="00860737"/>
    <w:rsid w:val="008620FC"/>
    <w:rsid w:val="008627A5"/>
    <w:rsid w:val="00863E05"/>
    <w:rsid w:val="00865ACA"/>
    <w:rsid w:val="00865D28"/>
    <w:rsid w:val="00865F85"/>
    <w:rsid w:val="00867C10"/>
    <w:rsid w:val="00870439"/>
    <w:rsid w:val="00870DA1"/>
    <w:rsid w:val="008732E7"/>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87D"/>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2CC1"/>
    <w:rsid w:val="00913CA9"/>
    <w:rsid w:val="009145AE"/>
    <w:rsid w:val="009146CE"/>
    <w:rsid w:val="00914CA7"/>
    <w:rsid w:val="00915C3E"/>
    <w:rsid w:val="009161A8"/>
    <w:rsid w:val="009245F5"/>
    <w:rsid w:val="009249EC"/>
    <w:rsid w:val="009273B3"/>
    <w:rsid w:val="009305B5"/>
    <w:rsid w:val="009429D5"/>
    <w:rsid w:val="00942BF1"/>
    <w:rsid w:val="00942CA2"/>
    <w:rsid w:val="00945180"/>
    <w:rsid w:val="00945428"/>
    <w:rsid w:val="0094607B"/>
    <w:rsid w:val="00953604"/>
    <w:rsid w:val="0095496B"/>
    <w:rsid w:val="009610DC"/>
    <w:rsid w:val="00961490"/>
    <w:rsid w:val="0096381A"/>
    <w:rsid w:val="00965E04"/>
    <w:rsid w:val="009674AD"/>
    <w:rsid w:val="00970CDC"/>
    <w:rsid w:val="00973E4F"/>
    <w:rsid w:val="00977010"/>
    <w:rsid w:val="00977D02"/>
    <w:rsid w:val="009809BB"/>
    <w:rsid w:val="0098364B"/>
    <w:rsid w:val="00984DAC"/>
    <w:rsid w:val="009911AF"/>
    <w:rsid w:val="00991875"/>
    <w:rsid w:val="00991F92"/>
    <w:rsid w:val="0099225F"/>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46F"/>
    <w:rsid w:val="00A028C0"/>
    <w:rsid w:val="00A02BAE"/>
    <w:rsid w:val="00A06A6B"/>
    <w:rsid w:val="00A07E47"/>
    <w:rsid w:val="00A129D0"/>
    <w:rsid w:val="00A12C33"/>
    <w:rsid w:val="00A138BA"/>
    <w:rsid w:val="00A14C8E"/>
    <w:rsid w:val="00A153D9"/>
    <w:rsid w:val="00A15F09"/>
    <w:rsid w:val="00A169B6"/>
    <w:rsid w:val="00A2271D"/>
    <w:rsid w:val="00A237D5"/>
    <w:rsid w:val="00A23F89"/>
    <w:rsid w:val="00A270A9"/>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878"/>
    <w:rsid w:val="00A648CD"/>
    <w:rsid w:val="00A6537A"/>
    <w:rsid w:val="00A669CD"/>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3AE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3373"/>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1EC"/>
    <w:rsid w:val="00B60ACF"/>
    <w:rsid w:val="00B62B58"/>
    <w:rsid w:val="00B65149"/>
    <w:rsid w:val="00B66567"/>
    <w:rsid w:val="00B66F52"/>
    <w:rsid w:val="00B66FE5"/>
    <w:rsid w:val="00B712AA"/>
    <w:rsid w:val="00B72880"/>
    <w:rsid w:val="00B737E8"/>
    <w:rsid w:val="00B758BF"/>
    <w:rsid w:val="00B77EC8"/>
    <w:rsid w:val="00B827A6"/>
    <w:rsid w:val="00B831CE"/>
    <w:rsid w:val="00B86677"/>
    <w:rsid w:val="00B87131"/>
    <w:rsid w:val="00B939B1"/>
    <w:rsid w:val="00B96D40"/>
    <w:rsid w:val="00B97386"/>
    <w:rsid w:val="00BA263B"/>
    <w:rsid w:val="00BA42B2"/>
    <w:rsid w:val="00BA540E"/>
    <w:rsid w:val="00BA58D4"/>
    <w:rsid w:val="00BA5B9E"/>
    <w:rsid w:val="00BA7C9A"/>
    <w:rsid w:val="00BB203B"/>
    <w:rsid w:val="00BB5F8F"/>
    <w:rsid w:val="00BB657A"/>
    <w:rsid w:val="00BC1A4E"/>
    <w:rsid w:val="00BC4790"/>
    <w:rsid w:val="00BC5DC7"/>
    <w:rsid w:val="00BC6B8B"/>
    <w:rsid w:val="00BC73D8"/>
    <w:rsid w:val="00BD52D7"/>
    <w:rsid w:val="00BD5AD2"/>
    <w:rsid w:val="00BE03ED"/>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2E66"/>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667F"/>
    <w:rsid w:val="00C71372"/>
    <w:rsid w:val="00C72410"/>
    <w:rsid w:val="00C7287F"/>
    <w:rsid w:val="00C80CB8"/>
    <w:rsid w:val="00C819F8"/>
    <w:rsid w:val="00C8248C"/>
    <w:rsid w:val="00C84E33"/>
    <w:rsid w:val="00C86D6F"/>
    <w:rsid w:val="00C871B0"/>
    <w:rsid w:val="00C905FC"/>
    <w:rsid w:val="00C92D03"/>
    <w:rsid w:val="00C9319C"/>
    <w:rsid w:val="00C9435D"/>
    <w:rsid w:val="00C94DF2"/>
    <w:rsid w:val="00C96741"/>
    <w:rsid w:val="00CA1BD8"/>
    <w:rsid w:val="00CA2D1B"/>
    <w:rsid w:val="00CA375D"/>
    <w:rsid w:val="00CA662A"/>
    <w:rsid w:val="00CA7AFD"/>
    <w:rsid w:val="00CA7C3C"/>
    <w:rsid w:val="00CB0189"/>
    <w:rsid w:val="00CB0BA2"/>
    <w:rsid w:val="00CB18B4"/>
    <w:rsid w:val="00CB1A42"/>
    <w:rsid w:val="00CB1B0C"/>
    <w:rsid w:val="00CB2C0B"/>
    <w:rsid w:val="00CB517D"/>
    <w:rsid w:val="00CC038D"/>
    <w:rsid w:val="00CC08DB"/>
    <w:rsid w:val="00CC0D15"/>
    <w:rsid w:val="00CC39FF"/>
    <w:rsid w:val="00CC3C2F"/>
    <w:rsid w:val="00CC4AC8"/>
    <w:rsid w:val="00CC5233"/>
    <w:rsid w:val="00CC5DE6"/>
    <w:rsid w:val="00CC6E1A"/>
    <w:rsid w:val="00CC6E4E"/>
    <w:rsid w:val="00CC6FE8"/>
    <w:rsid w:val="00CC7202"/>
    <w:rsid w:val="00CD2808"/>
    <w:rsid w:val="00CD28BF"/>
    <w:rsid w:val="00CD4092"/>
    <w:rsid w:val="00CD4A20"/>
    <w:rsid w:val="00CD50A1"/>
    <w:rsid w:val="00CD519E"/>
    <w:rsid w:val="00CD561D"/>
    <w:rsid w:val="00CE0C4F"/>
    <w:rsid w:val="00CE30EA"/>
    <w:rsid w:val="00CE4C75"/>
    <w:rsid w:val="00CF0413"/>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5BA7"/>
    <w:rsid w:val="00D17BB7"/>
    <w:rsid w:val="00D20737"/>
    <w:rsid w:val="00D21E81"/>
    <w:rsid w:val="00D223DE"/>
    <w:rsid w:val="00D24CBE"/>
    <w:rsid w:val="00D25E37"/>
    <w:rsid w:val="00D2661A"/>
    <w:rsid w:val="00D27582"/>
    <w:rsid w:val="00D27EC4"/>
    <w:rsid w:val="00D32719"/>
    <w:rsid w:val="00D3310D"/>
    <w:rsid w:val="00D33333"/>
    <w:rsid w:val="00D33457"/>
    <w:rsid w:val="00D352A2"/>
    <w:rsid w:val="00D35531"/>
    <w:rsid w:val="00D4162B"/>
    <w:rsid w:val="00D4514F"/>
    <w:rsid w:val="00D451E2"/>
    <w:rsid w:val="00D45E89"/>
    <w:rsid w:val="00D45E8D"/>
    <w:rsid w:val="00D466AE"/>
    <w:rsid w:val="00D4734F"/>
    <w:rsid w:val="00D51BF3"/>
    <w:rsid w:val="00D556B3"/>
    <w:rsid w:val="00D563EE"/>
    <w:rsid w:val="00D60FE8"/>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5D7A"/>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03A"/>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140"/>
    <w:rsid w:val="00E502C1"/>
    <w:rsid w:val="00E502DD"/>
    <w:rsid w:val="00E50D3A"/>
    <w:rsid w:val="00E51387"/>
    <w:rsid w:val="00E51E68"/>
    <w:rsid w:val="00E52EFD"/>
    <w:rsid w:val="00E5408A"/>
    <w:rsid w:val="00E56800"/>
    <w:rsid w:val="00E60C63"/>
    <w:rsid w:val="00E62FF9"/>
    <w:rsid w:val="00E635D6"/>
    <w:rsid w:val="00E639BC"/>
    <w:rsid w:val="00E664CC"/>
    <w:rsid w:val="00E66DED"/>
    <w:rsid w:val="00E67942"/>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C626A"/>
    <w:rsid w:val="00ED067A"/>
    <w:rsid w:val="00ED2B50"/>
    <w:rsid w:val="00ED66C5"/>
    <w:rsid w:val="00ED7936"/>
    <w:rsid w:val="00EE0350"/>
    <w:rsid w:val="00EE0719"/>
    <w:rsid w:val="00EE0E80"/>
    <w:rsid w:val="00EE2B42"/>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6510"/>
    <w:rsid w:val="00F420D5"/>
    <w:rsid w:val="00F451EA"/>
    <w:rsid w:val="00F45447"/>
    <w:rsid w:val="00F456C6"/>
    <w:rsid w:val="00F4577B"/>
    <w:rsid w:val="00F46496"/>
    <w:rsid w:val="00F474D0"/>
    <w:rsid w:val="00F50179"/>
    <w:rsid w:val="00F515EE"/>
    <w:rsid w:val="00F56511"/>
    <w:rsid w:val="00F60429"/>
    <w:rsid w:val="00F6194E"/>
    <w:rsid w:val="00F623AC"/>
    <w:rsid w:val="00F6412A"/>
    <w:rsid w:val="00F65893"/>
    <w:rsid w:val="00F66A4A"/>
    <w:rsid w:val="00F71E22"/>
    <w:rsid w:val="00F72142"/>
    <w:rsid w:val="00F72AE7"/>
    <w:rsid w:val="00F81141"/>
    <w:rsid w:val="00F8298B"/>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6ED8"/>
    <w:rsid w:val="00FA73B1"/>
    <w:rsid w:val="00FB0CB9"/>
    <w:rsid w:val="00FB231D"/>
    <w:rsid w:val="00FB45F1"/>
    <w:rsid w:val="00FB4A72"/>
    <w:rsid w:val="00FB54E8"/>
    <w:rsid w:val="00FB7054"/>
    <w:rsid w:val="00FC0EB2"/>
    <w:rsid w:val="00FC17B7"/>
    <w:rsid w:val="00FC2CB7"/>
    <w:rsid w:val="00FC4090"/>
    <w:rsid w:val="00FC55B4"/>
    <w:rsid w:val="00FD00E6"/>
    <w:rsid w:val="00FD09A1"/>
    <w:rsid w:val="00FD2232"/>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EF1C45"/>
    <w:rsid w:val="04821B26"/>
    <w:rsid w:val="057B1967"/>
    <w:rsid w:val="0C641FB1"/>
    <w:rsid w:val="0ECB525B"/>
    <w:rsid w:val="124C71A5"/>
    <w:rsid w:val="13B61787"/>
    <w:rsid w:val="152E63CF"/>
    <w:rsid w:val="17AA0B1E"/>
    <w:rsid w:val="191E411B"/>
    <w:rsid w:val="1A230410"/>
    <w:rsid w:val="1B677345"/>
    <w:rsid w:val="1CB47043"/>
    <w:rsid w:val="1CC0320F"/>
    <w:rsid w:val="1E0C2EA6"/>
    <w:rsid w:val="1EC60E31"/>
    <w:rsid w:val="1FA67150"/>
    <w:rsid w:val="20222394"/>
    <w:rsid w:val="20F87C0B"/>
    <w:rsid w:val="25A40C70"/>
    <w:rsid w:val="27F0283D"/>
    <w:rsid w:val="288A13FB"/>
    <w:rsid w:val="295C5D99"/>
    <w:rsid w:val="29A76B84"/>
    <w:rsid w:val="2BE97073"/>
    <w:rsid w:val="2D7155FE"/>
    <w:rsid w:val="2F862F39"/>
    <w:rsid w:val="326C5A6A"/>
    <w:rsid w:val="33B21DD7"/>
    <w:rsid w:val="34353DDD"/>
    <w:rsid w:val="359208AC"/>
    <w:rsid w:val="3A5963E3"/>
    <w:rsid w:val="3B9E0BF4"/>
    <w:rsid w:val="404D56A4"/>
    <w:rsid w:val="40512BC2"/>
    <w:rsid w:val="41C00D0D"/>
    <w:rsid w:val="4977435B"/>
    <w:rsid w:val="4BBA5604"/>
    <w:rsid w:val="4C380169"/>
    <w:rsid w:val="4E8D5058"/>
    <w:rsid w:val="4FEC365F"/>
    <w:rsid w:val="54756197"/>
    <w:rsid w:val="587B654D"/>
    <w:rsid w:val="5B317C8B"/>
    <w:rsid w:val="5EE061A3"/>
    <w:rsid w:val="5FAA4828"/>
    <w:rsid w:val="68675829"/>
    <w:rsid w:val="69652453"/>
    <w:rsid w:val="699C06FF"/>
    <w:rsid w:val="6BCE1488"/>
    <w:rsid w:val="6C6C387B"/>
    <w:rsid w:val="6C8C308D"/>
    <w:rsid w:val="6F145290"/>
    <w:rsid w:val="700B42A7"/>
    <w:rsid w:val="72322CFF"/>
    <w:rsid w:val="72467869"/>
    <w:rsid w:val="72BF1FDA"/>
    <w:rsid w:val="74894340"/>
    <w:rsid w:val="7CEC0BF0"/>
    <w:rsid w:val="7F864B00"/>
    <w:rsid w:val="7F8A2465"/>
    <w:rsid w:val="7FB70FC5"/>
    <w:rsid w:val="D6FF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customStyle="1" w:styleId="46">
    <w:name w:val="引用1"/>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customStyle="1" w:styleId="186">
    <w:name w:val="占位符文本1"/>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character" w:customStyle="1" w:styleId="230">
    <w:name w:val="font11"/>
    <w:qFormat/>
    <w:uiPriority w:val="0"/>
    <w:rPr>
      <w:rFonts w:hint="eastAsia" w:ascii="宋体" w:hAnsi="宋体" w:eastAsia="宋体" w:cs="宋体"/>
      <w:color w:val="0000FF"/>
      <w:sz w:val="24"/>
      <w:szCs w:val="24"/>
      <w:u w:val="none"/>
    </w:rPr>
  </w:style>
  <w:style w:type="character" w:customStyle="1" w:styleId="231">
    <w:name w:val="font21"/>
    <w:qFormat/>
    <w:uiPriority w:val="0"/>
    <w:rPr>
      <w:rFonts w:hint="default" w:ascii="Times New Roman" w:hAnsi="Times New Roman" w:cs="Times New Roman"/>
      <w:color w:val="0000FF"/>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greatwall/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050983C8BB947DCB0A78A92E455EAFC"/>
        <w:style w:val=""/>
        <w:category>
          <w:name w:val="常规"/>
          <w:gallery w:val="placeholder"/>
        </w:category>
        <w:types>
          <w:type w:val="bbPlcHdr"/>
        </w:types>
        <w:behaviors>
          <w:behavior w:val="content"/>
        </w:behaviors>
        <w:description w:val=""/>
        <w:guid w:val="{053333A2-6ED7-4106-8EB2-63DA33EE01CE}"/>
      </w:docPartPr>
      <w:docPartBody>
        <w:p>
          <w:pPr>
            <w:pStyle w:val="5"/>
            <w:rPr>
              <w:rFonts w:hint="eastAsia"/>
            </w:rPr>
          </w:pPr>
          <w:r>
            <w:rPr>
              <w:rStyle w:val="4"/>
              <w:rFonts w:hint="eastAsia"/>
            </w:rPr>
            <w:t>单击或点击此处输入文字。</w:t>
          </w:r>
        </w:p>
      </w:docPartBody>
    </w:docPart>
    <w:docPart>
      <w:docPartPr>
        <w:name w:val="293DF4832D3B4A4BB2773A86999C5F68"/>
        <w:style w:val=""/>
        <w:category>
          <w:name w:val="常规"/>
          <w:gallery w:val="placeholder"/>
        </w:category>
        <w:types>
          <w:type w:val="bbPlcHdr"/>
        </w:types>
        <w:behaviors>
          <w:behavior w:val="content"/>
        </w:behaviors>
        <w:description w:val=""/>
        <w:guid w:val="{D92EF4E8-1FF6-4E8C-A791-66C38EED8028}"/>
      </w:docPartPr>
      <w:docPartBody>
        <w:p>
          <w:pPr>
            <w:pStyle w:val="6"/>
            <w:rPr>
              <w:rFonts w:hint="eastAsia"/>
            </w:rPr>
          </w:pPr>
          <w:r>
            <w:rPr>
              <w:rStyle w:val="4"/>
              <w:rFonts w:hint="eastAsia"/>
            </w:rPr>
            <w:t>选择一项。</w:t>
          </w:r>
        </w:p>
      </w:docPartBody>
    </w:docPart>
    <w:docPart>
      <w:docPartPr>
        <w:name w:val="46933A46D5A747418F7B06713E66E0E9"/>
        <w:style w:val=""/>
        <w:category>
          <w:name w:val="常规"/>
          <w:gallery w:val="placeholder"/>
        </w:category>
        <w:types>
          <w:type w:val="bbPlcHdr"/>
        </w:types>
        <w:behaviors>
          <w:behavior w:val="content"/>
        </w:behaviors>
        <w:description w:val=""/>
        <w:guid w:val="{5002DDAE-A7A9-4209-B44B-8FA6FEC44DDC}"/>
      </w:docPartPr>
      <w:docPartBody>
        <w:p>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等线">
    <w:altName w:val="汉仪仿宋S"/>
    <w:panose1 w:val="00000000000000000000"/>
    <w:charset w:val="86"/>
    <w:family w:val="auto"/>
    <w:pitch w:val="default"/>
    <w:sig w:usb0="00000000" w:usb1="00000000" w:usb2="00000000" w:usb3="00000000" w:csb0="00000000" w:csb1="00000000"/>
  </w:font>
  <w:font w:name="等线">
    <w:altName w:val="汉仪仿宋S"/>
    <w:panose1 w:val="00000000000000000000"/>
    <w:charset w:val="00"/>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B3B"/>
    <w:rsid w:val="000F60AE"/>
    <w:rsid w:val="001048C1"/>
    <w:rsid w:val="0043278D"/>
    <w:rsid w:val="004A2416"/>
    <w:rsid w:val="004E0B0F"/>
    <w:rsid w:val="004E5B3B"/>
    <w:rsid w:val="00654C9D"/>
    <w:rsid w:val="008740BD"/>
    <w:rsid w:val="00942CA2"/>
    <w:rsid w:val="00C53CAB"/>
    <w:rsid w:val="00D17BB7"/>
    <w:rsid w:val="00D60FE8"/>
    <w:rsid w:val="00FD2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4">
    <w:name w:val="占位符文本1"/>
    <w:basedOn w:val="2"/>
    <w:semiHidden/>
    <w:qFormat/>
    <w:uiPriority w:val="99"/>
    <w:rPr>
      <w:color w:val="808080"/>
    </w:rPr>
  </w:style>
  <w:style w:type="paragraph" w:customStyle="1" w:styleId="5">
    <w:name w:val="C050983C8BB947DCB0A78A92E455EAFC"/>
    <w:qFormat/>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paragraph" w:customStyle="1" w:styleId="6">
    <w:name w:val="293DF4832D3B4A4BB2773A86999C5F68"/>
    <w:qFormat/>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paragraph" w:customStyle="1" w:styleId="7">
    <w:name w:val="46933A46D5A747418F7B06713E66E0E9"/>
    <w:qFormat/>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11</Pages>
  <Words>1050</Words>
  <Characters>5988</Characters>
  <Lines>49</Lines>
  <Paragraphs>14</Paragraphs>
  <TotalTime>1</TotalTime>
  <ScaleCrop>false</ScaleCrop>
  <LinksUpToDate>false</LinksUpToDate>
  <CharactersWithSpaces>7024</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2024-11-15T21:55:00Z</dcterms:created>
  <dc:creator>sam</dc:creator>
  <dc:description>&lt;config cover="true" show_menu="true" version="1.0.0" doctype="SDKXY"&gt;_x000d_
&lt;/config&gt;</dc:description>
  <cp:lastModifiedBy>greatwall</cp:lastModifiedBy>
  <cp:lastPrinted>2024-11-16T00:03:00Z</cp:lastPrinted>
  <dcterms:modified xsi:type="dcterms:W3CDTF">2025-02-19T16:01:08Z</dcterms:modified>
  <dc:title>地方标准</dc:title>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2052-11.8.2.10251</vt:lpwstr>
  </property>
</Properties>
</file>