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5"/>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w:t>
            </w:r>
            <w:r>
              <w:rPr>
                <w:rFonts w:ascii="黑体" w:hAnsi="黑体" w:eastAsia="黑体"/>
                <w:sz w:val="21"/>
                <w:szCs w:val="21"/>
              </w:rPr>
              <w:fldChar w:fldCharType="end"/>
            </w:r>
            <w:bookmarkEnd w:id="1"/>
          </w:p>
        </w:tc>
      </w:tr>
    </w:tbl>
    <w:tbl>
      <w:tblPr>
        <w:tblStyle w:val="35"/>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PrEx>
        <w:tc>
          <w:tcPr>
            <w:tcW w:w="6407" w:type="dxa"/>
          </w:tcPr>
          <w:p>
            <w:pPr>
              <w:pStyle w:val="51"/>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43</w:t>
            </w:r>
            <w:r>
              <w:fldChar w:fldCharType="end"/>
            </w:r>
            <w:bookmarkEnd w:id="3"/>
          </w:p>
        </w:tc>
      </w:tr>
    </w:tbl>
    <w:p>
      <w:pPr>
        <w:pStyle w:val="52"/>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湖南省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7"/>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43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8"/>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w:pict>
          <v:line id="直接连接符 73" o:spid="_x0000_s1026" o:spt="20" style="position:absolute;left:0pt;margin-left:70.9pt;margin-top:212.65pt;height:0pt;width:481.9pt;mso-position-horizontal-relative:page;mso-position-vertical-relative:page;z-index:251659264;mso-width-relative:page;mso-height-relative:page;"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L1sVG/PAQAAbgMA&#10;AA4AAABkcnMvZTJvRG9jLnhtbK1TwY7TMBC9I/EPlu80adEuEDXdQ1fLZYFKu3zA1HEaC9tj2W6T&#10;/gQ/gMQNThy58zcsn8HYbbq7cEPkMIo9M29m3hvPLwaj2U76oNDWfDopOZNWYKPspubvb6+eveQs&#10;RLANaLSy5nsZ+MXi6ZN57yo5ww51Iz0jEBuq3tW8i9FVRRFEJw2ECTppydmiNxDp6DdF46EndKOL&#10;WVmeFz36xnkUMgS6vTw4+SLjt60U8V3bBhmZrjn1FrP12a6TLRZzqDYeXKfEsQ34hy4MKEtFT1CX&#10;EIFtvfoLyijhMWAbJwJNgW2rhMwz0DTT8o9pbjpwMs9C5AR3oin8P1jxdrfyTDWkHWcWDEl09+n7&#10;z49ffv34TPbu21f24nliqXehouClXfk0pxjsjbtG8SEwi8sO7Ebmbm/3jiCi38qUVDzKSofgqNy6&#10;f4MNhcE2YmZtaL1JqMQHG7I4+5M4cohM0OX5lPQuSUMx+gqoxkTnQ3wt0bD0U3OtbOINKthdh5ga&#10;gWoMSdcWr5TWWXttWV/zV2ezs5wQUKsmOVNY8Jv1Unu2g7Q9+ctTkedhmMetbQ5FtE15Mi/esfI4&#10;9YHCNTb7lR+pIVFzb8cFTFvz8JwJvH8mi9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WAAAAZHJzL1BLAQIUABQAAAAIAIdO4kAng0mW2AAA&#10;AAwBAAAPAAAAAAAAAAEAIAAAADgAAABkcnMvZG93bnJldi54bWxQSwECFAAUAAAACACHTuJAvWxU&#10;b88BAABuAwAADgAAAAAAAAABACAAAAA9AQAAZHJzL2Uyb0RvYy54bWxQSwUGAAAAAAYABgBZAQAA&#10;fgUAAAAA&#10;">
            <v:path arrowok="t"/>
            <v:fill focussize="0,0"/>
            <v:stroke/>
            <v:imagedata o:title=""/>
            <o:lock v:ext="edit"/>
          </v:line>
        </w:pict>
      </w:r>
    </w:p>
    <w:p>
      <w:pPr>
        <w:pStyle w:val="52"/>
        <w:framePr w:w="9639" w:h="6976" w:hRule="exact" w:hSpace="0" w:vSpace="0" w:hAnchor="page" w:y="6408"/>
        <w:jc w:val="center"/>
        <w:rPr>
          <w:rFonts w:ascii="黑体" w:hAnsi="黑体" w:eastAsia="黑体"/>
          <w:b w:val="0"/>
          <w:bCs w:val="0"/>
          <w:w w:val="100"/>
        </w:rPr>
      </w:pPr>
    </w:p>
    <w:p>
      <w:pPr>
        <w:pStyle w:val="199"/>
        <w:framePr w:h="6974" w:hRule="exact"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肉牛场防疫技术规范</w:t>
      </w:r>
      <w:r>
        <w:fldChar w:fldCharType="end"/>
      </w:r>
      <w:bookmarkEnd w:id="9"/>
    </w:p>
    <w:p>
      <w:pPr>
        <w:framePr w:w="9639" w:h="6974" w:hRule="exact" w:wrap="around" w:vAnchor="page" w:hAnchor="page" w:x="1419" w:y="6408" w:anchorLock="1"/>
        <w:ind w:left="-1418"/>
      </w:pPr>
    </w:p>
    <w:p>
      <w:pPr>
        <w:pStyle w:val="127"/>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 xml:space="preserve">    Technical standard of Epidemic Prevention for Beef Farm</w:t>
      </w:r>
      <w:r>
        <w:rPr>
          <w:rFonts w:ascii="黑体" w:hAnsi="黑体" w:eastAsia="黑体"/>
          <w:szCs w:val="28"/>
        </w:rPr>
        <w:t>     </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7"/>
        <w:framePr w:w="9639" w:h="6974" w:hRule="exact" w:wrap="around" w:vAnchor="page" w:hAnchor="page" w:x="1419" w:y="6408" w:anchorLock="1"/>
        <w:textAlignment w:val="bottom"/>
        <w:rPr>
          <w:rFonts w:eastAsia="黑体"/>
          <w:szCs w:val="28"/>
        </w:rPr>
      </w:pPr>
    </w:p>
    <w:p>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7"/>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5"/>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6"/>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3"/>
        <w:framePr w:h="584" w:hRule="exact" w:hSpace="181" w:vSpace="181"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湖南省市场监督管理局</w:t>
      </w:r>
      <w:r>
        <w:rPr>
          <w:rFonts w:hAnsi="黑体"/>
          <w:w w:val="100"/>
          <w:sz w:val="28"/>
        </w:rPr>
        <w:fldChar w:fldCharType="end"/>
      </w:r>
      <w:bookmarkEnd w:id="20"/>
      <w:r>
        <w:rPr>
          <w:rFonts w:ascii="Times New Roman"/>
          <w:w w:val="100"/>
          <w:sz w:val="28"/>
        </w:rPr>
        <w:t>  </w:t>
      </w:r>
      <w:r>
        <w:rPr>
          <w:rStyle w:val="231"/>
          <w:rFonts w:hint="eastAsia" w:hAnsi="黑体"/>
          <w:position w:val="0"/>
        </w:rPr>
        <w:t>发</w:t>
      </w:r>
      <w:r>
        <w:rPr>
          <w:rStyle w:val="231"/>
          <w:rFonts w:hint="eastAsia" w:hAnsi="黑体"/>
          <w:spacing w:val="0"/>
          <w:position w:val="0"/>
        </w:rPr>
        <w:t>布</w:t>
      </w:r>
    </w:p>
    <w:p>
      <w:pPr>
        <w:rPr>
          <w:rFonts w:ascii="宋体" w:hAnsi="宋体"/>
          <w:sz w:val="28"/>
          <w:szCs w:val="28"/>
        </w:r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w:pict>
          <v:line id="直接连接符 5" o:spid="_x0000_s1027" o:spt="20" style="position:absolute;left:0pt;margin-left:70.85pt;margin-top:728.6pt;height:0pt;width:481.9pt;mso-position-horizontal-relative:page;mso-position-vertical-relative:page;z-index:251660288;mso-width-relative:page;mso-height-relative:page;"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S27Nl84BAABtAwAA&#10;DgAAAGRycy9lMm9Eb2MueG1srVPBjtMwEL0j8Q+W7zRppa4garqHrpbLApV2+YCp4yQWtsey3ab9&#10;CX4AiRucOHLnb1g+g7HblGX3hshhFHtm3sy8N15c7o1mO+mDQlvz6aTkTFqBjbJdzd/fXb94yVmI&#10;YBvQaGXNDzLwy+XzZ4vBVXKGPepGekYgNlSDq3kfo6uKIoheGggTdNKSs0VvINLRd0XjYSB0o4tZ&#10;WV4UA/rGeRQyBLq9Ojr5MuO3rRTxXdsGGZmuOfUWs/XZbpItlguoOg+uV+LUBvxDFwaUpaJnqCuI&#10;wLZePYEySngM2MaJQFNg2yoh8ww0zbR8NM1tD07mWYic4M40hf8HK97u1p6ppuYzziwYkuj+0/ef&#10;H7/8+vGZ7P23r2yeSBpcqCh2Zdc+jSn29tbdoPgQmMVVD7aTudm7gyOE6LcyJRV/ZaVDcFRtM7zB&#10;hsJgGzGTtm+9SahEB9tnbQ5nbeQ+MkGXF1OSuyQJxegroBoTnQ/xtUTD0k/NtbKJNqhgdxNiagSq&#10;MSRdW7xWWmfptWVDzV/NZ/OcEFCrJjlTWPDdZqU920FanvzlqcjzMMzj1jbHItqmPJn37lR5nPpI&#10;4Qabw9qP1JCmubfT/qWleXjOBP55Jcv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FgAAAGRycy9QSwECFAAUAAAACACHTuJAqzMc+9cAAAAO&#10;AQAADwAAAAAAAAABACAAAAA4AAAAZHJzL2Rvd25yZXYueG1sUEsBAhQAFAAAAAgAh07iQEtuzZfO&#10;AQAAbQMAAA4AAAAAAAAAAQAgAAAAPAEAAGRycy9lMm9Eb2MueG1sUEsFBgAAAAAGAAYAWQEAAHwF&#10;AAAAAA==&#10;">
            <v:path arrowok="t"/>
            <v:fill focussize="0,0"/>
            <v:stroke/>
            <v:imagedata o:title=""/>
            <o:lock v:ext="edit"/>
            <w10:anchorlock/>
          </v:line>
        </w:pict>
      </w:r>
    </w:p>
    <w:p>
      <w:pPr>
        <w:pStyle w:val="93"/>
        <w:spacing w:after="468"/>
      </w:pPr>
      <w:bookmarkStart w:id="21" w:name="BookMark1"/>
      <w:bookmarkStart w:id="22" w:name="_Toc183424405"/>
      <w:bookmarkStart w:id="23" w:name="_Toc185926632"/>
      <w:bookmarkStart w:id="24" w:name="_Toc183425291"/>
      <w:bookmarkStart w:id="25" w:name="_Toc184019712"/>
      <w:bookmarkStart w:id="26" w:name="_Toc183438625"/>
      <w:bookmarkStart w:id="27" w:name="_Toc185926475"/>
      <w:bookmarkStart w:id="28" w:name="_Toc185923960"/>
      <w:bookmarkStart w:id="29" w:name="_Toc185926488"/>
      <w:bookmarkStart w:id="30" w:name="_Toc183532084"/>
      <w:r>
        <w:rPr>
          <w:rFonts w:hint="eastAsia"/>
          <w:spacing w:val="320"/>
        </w:rPr>
        <w:t>目</w:t>
      </w:r>
      <w:r>
        <w:rPr>
          <w:rFonts w:hint="eastAsia"/>
        </w:rPr>
        <w:t>次</w:t>
      </w:r>
    </w:p>
    <w:p>
      <w:pPr>
        <w:pStyle w:val="20"/>
        <w:tabs>
          <w:tab w:val="right" w:leader="dot" w:pos="9344"/>
        </w:tabs>
        <w:rPr>
          <w:rFonts w:asciiTheme="minorHAnsi" w:hAnsiTheme="minorHAnsi" w:eastAsiaTheme="minorEastAsia" w:cstheme="minorBidi"/>
          <w:szCs w:val="22"/>
        </w:rPr>
      </w:pPr>
      <w:r>
        <w:rPr>
          <w:rFonts w:ascii="Times New Roman" w:hAnsi="Times New Roman"/>
        </w:rPr>
        <w:fldChar w:fldCharType="begin"/>
      </w:r>
      <w:r>
        <w:rPr>
          <w:rFonts w:ascii="Times New Roman" w:hAnsi="Times New Roman"/>
        </w:rPr>
        <w:instrText xml:space="preserve"> </w:instrText>
      </w:r>
      <w:r>
        <w:rPr>
          <w:rFonts w:hint="eastAsia" w:ascii="Times New Roman" w:hAnsi="Times New Roman"/>
        </w:rPr>
        <w:instrText xml:space="preserve">TOC \o "1-1" \h</w:instrText>
      </w:r>
      <w:r>
        <w:rPr>
          <w:rFonts w:ascii="Times New Roman" w:hAnsi="Times New Roman"/>
        </w:rPr>
        <w:instrText xml:space="preserve"> </w:instrText>
      </w:r>
      <w:r>
        <w:rPr>
          <w:rFonts w:ascii="Times New Roman" w:hAnsi="Times New Roman"/>
        </w:rPr>
        <w:fldChar w:fldCharType="separate"/>
      </w:r>
      <w:r>
        <w:fldChar w:fldCharType="begin"/>
      </w:r>
      <w:r>
        <w:instrText xml:space="preserve"> HYPERLINK \l "_Toc190848159" </w:instrText>
      </w:r>
      <w:r>
        <w:fldChar w:fldCharType="separate"/>
      </w:r>
      <w:r>
        <w:rPr>
          <w:rFonts w:hint="eastAsia"/>
        </w:rPr>
        <w:t>前</w:t>
      </w:r>
      <w:r>
        <w:rPr>
          <w:rStyle w:val="32"/>
          <w:rFonts w:hint="eastAsia"/>
        </w:rPr>
        <w:t>言</w:t>
      </w:r>
      <w:r>
        <w:tab/>
      </w:r>
      <w:r>
        <w:fldChar w:fldCharType="begin"/>
      </w:r>
      <w:r>
        <w:instrText xml:space="preserve"> PAGEREF _Toc190848159 \h </w:instrText>
      </w:r>
      <w:r>
        <w:fldChar w:fldCharType="separate"/>
      </w:r>
      <w:r>
        <w:t>II</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"_Toc190848160" </w:instrText>
      </w:r>
      <w:r>
        <w:fldChar w:fldCharType="separate"/>
      </w:r>
      <w:r>
        <w:rPr>
          <w:rStyle w:val="32"/>
        </w:rPr>
        <w:t>1</w:t>
      </w:r>
      <w:r>
        <w:rPr>
          <w:rStyle w:val="32"/>
          <w:rFonts w:hint="eastAsia" w:ascii="Times New Roman"/>
        </w:rPr>
        <w:t xml:space="preserve"> 范围</w:t>
      </w:r>
      <w:r>
        <w:tab/>
      </w:r>
      <w:r>
        <w:fldChar w:fldCharType="begin"/>
      </w:r>
      <w:r>
        <w:instrText xml:space="preserve"> PAGEREF _Toc190848160 \h </w:instrText>
      </w:r>
      <w:r>
        <w:fldChar w:fldCharType="separate"/>
      </w:r>
      <w:r>
        <w:t>3</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"_Toc190848161" </w:instrText>
      </w:r>
      <w:r>
        <w:fldChar w:fldCharType="separate"/>
      </w:r>
      <w:r>
        <w:rPr>
          <w:rStyle w:val="32"/>
        </w:rPr>
        <w:t>2</w:t>
      </w:r>
      <w:r>
        <w:rPr>
          <w:rStyle w:val="32"/>
          <w:rFonts w:hint="eastAsia" w:ascii="Times New Roman"/>
        </w:rPr>
        <w:t xml:space="preserve"> 规范性引用文件</w:t>
      </w:r>
      <w:r>
        <w:tab/>
      </w:r>
      <w:r>
        <w:fldChar w:fldCharType="begin"/>
      </w:r>
      <w:r>
        <w:instrText xml:space="preserve"> PAGEREF _Toc190848161 \h </w:instrText>
      </w:r>
      <w:r>
        <w:fldChar w:fldCharType="separate"/>
      </w:r>
      <w:r>
        <w:t>3</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"_Toc190848162" </w:instrText>
      </w:r>
      <w:r>
        <w:fldChar w:fldCharType="separate"/>
      </w:r>
      <w:r>
        <w:rPr>
          <w:rStyle w:val="32"/>
        </w:rPr>
        <w:t>3</w:t>
      </w:r>
      <w:r>
        <w:rPr>
          <w:rStyle w:val="32"/>
          <w:rFonts w:hint="eastAsia" w:ascii="Times New Roman"/>
        </w:rPr>
        <w:t xml:space="preserve"> 术语和定义</w:t>
      </w:r>
      <w:r>
        <w:tab/>
      </w:r>
      <w:r>
        <w:fldChar w:fldCharType="begin"/>
      </w:r>
      <w:r>
        <w:instrText xml:space="preserve"> PAGEREF _Toc190848162 \h </w:instrText>
      </w:r>
      <w:r>
        <w:fldChar w:fldCharType="separate"/>
      </w:r>
      <w:r>
        <w:t>3</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"_Toc190848163" </w:instrText>
      </w:r>
      <w:r>
        <w:fldChar w:fldCharType="separate"/>
      </w:r>
      <w:r>
        <w:rPr>
          <w:rStyle w:val="32"/>
        </w:rPr>
        <w:t>4</w:t>
      </w:r>
      <w:r>
        <w:rPr>
          <w:rStyle w:val="32"/>
          <w:rFonts w:hint="eastAsia" w:ascii="Times New Roman"/>
        </w:rPr>
        <w:t xml:space="preserve"> 选址与场区建设</w:t>
      </w:r>
      <w:r>
        <w:tab/>
      </w:r>
      <w:r>
        <w:fldChar w:fldCharType="begin"/>
      </w:r>
      <w:r>
        <w:instrText xml:space="preserve"> PAGEREF _Toc190848163 \h </w:instrText>
      </w:r>
      <w:r>
        <w:fldChar w:fldCharType="separate"/>
      </w:r>
      <w:r>
        <w:t>3</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"_Toc190848164" </w:instrText>
      </w:r>
      <w:r>
        <w:fldChar w:fldCharType="separate"/>
      </w:r>
      <w:r>
        <w:rPr>
          <w:rStyle w:val="32"/>
        </w:rPr>
        <w:t>5</w:t>
      </w:r>
      <w:r>
        <w:rPr>
          <w:rStyle w:val="32"/>
          <w:rFonts w:hint="eastAsia" w:ascii="Times New Roman"/>
        </w:rPr>
        <w:t xml:space="preserve"> 引进与调出管理</w:t>
      </w:r>
      <w:r>
        <w:tab/>
      </w:r>
      <w:r>
        <w:fldChar w:fldCharType="begin"/>
      </w:r>
      <w:r>
        <w:instrText xml:space="preserve"> PAGEREF _Toc190848164 \h </w:instrText>
      </w:r>
      <w:r>
        <w:fldChar w:fldCharType="separate"/>
      </w:r>
      <w:r>
        <w:t>4</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"_Toc190848165" </w:instrText>
      </w:r>
      <w:r>
        <w:fldChar w:fldCharType="separate"/>
      </w:r>
      <w:r>
        <w:rPr>
          <w:rStyle w:val="32"/>
        </w:rPr>
        <w:t>6</w:t>
      </w:r>
      <w:r>
        <w:rPr>
          <w:rStyle w:val="32"/>
          <w:rFonts w:hint="eastAsia" w:hAnsi="黑体"/>
        </w:rPr>
        <w:t xml:space="preserve"> 内部管理</w:t>
      </w:r>
      <w:r>
        <w:tab/>
      </w:r>
      <w:r>
        <w:fldChar w:fldCharType="begin"/>
      </w:r>
      <w:r>
        <w:instrText xml:space="preserve"> PAGEREF _Toc190848165 \h </w:instrText>
      </w:r>
      <w:r>
        <w:fldChar w:fldCharType="separate"/>
      </w:r>
      <w:r>
        <w:t>4</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"_Toc190848166" </w:instrText>
      </w:r>
      <w:r>
        <w:fldChar w:fldCharType="separate"/>
      </w:r>
      <w:r>
        <w:rPr>
          <w:rStyle w:val="32"/>
        </w:rPr>
        <w:t>7</w:t>
      </w:r>
      <w:r>
        <w:rPr>
          <w:rStyle w:val="32"/>
          <w:rFonts w:hint="eastAsia" w:hAnsi="黑体"/>
        </w:rPr>
        <w:t xml:space="preserve"> 饲养管理</w:t>
      </w:r>
      <w:r>
        <w:tab/>
      </w:r>
      <w:r>
        <w:fldChar w:fldCharType="begin"/>
      </w:r>
      <w:r>
        <w:instrText xml:space="preserve"> PAGEREF _Toc190848166 \h </w:instrText>
      </w:r>
      <w:r>
        <w:fldChar w:fldCharType="separate"/>
      </w:r>
      <w:r>
        <w:t>4</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"_Toc190848167" </w:instrText>
      </w:r>
      <w:r>
        <w:fldChar w:fldCharType="separate"/>
      </w:r>
      <w:r>
        <w:rPr>
          <w:rStyle w:val="32"/>
        </w:rPr>
        <w:t>8</w:t>
      </w:r>
      <w:r>
        <w:rPr>
          <w:rStyle w:val="32"/>
          <w:rFonts w:hint="eastAsia" w:hAnsi="黑体"/>
        </w:rPr>
        <w:t xml:space="preserve"> 疫病控制与净化</w:t>
      </w:r>
      <w:r>
        <w:tab/>
      </w:r>
      <w:r>
        <w:fldChar w:fldCharType="begin"/>
      </w:r>
      <w:r>
        <w:instrText xml:space="preserve"> PAGEREF _Toc190848167 \h </w:instrText>
      </w:r>
      <w:r>
        <w:fldChar w:fldCharType="separate"/>
      </w:r>
      <w:r>
        <w:t>5</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"_Toc190848168" </w:instrText>
      </w:r>
      <w:r>
        <w:fldChar w:fldCharType="separate"/>
      </w:r>
      <w:r>
        <w:rPr>
          <w:rStyle w:val="32"/>
        </w:rPr>
        <w:t>9</w:t>
      </w:r>
      <w:r>
        <w:rPr>
          <w:rStyle w:val="32"/>
          <w:rFonts w:hint="eastAsia" w:hAnsi="黑体"/>
        </w:rPr>
        <w:t xml:space="preserve"> 无害化处理</w:t>
      </w:r>
      <w:r>
        <w:tab/>
      </w:r>
      <w:r>
        <w:fldChar w:fldCharType="begin"/>
      </w:r>
      <w:r>
        <w:instrText xml:space="preserve"> PAGEREF _Toc190848168 \h </w:instrText>
      </w:r>
      <w:r>
        <w:fldChar w:fldCharType="separate"/>
      </w:r>
      <w:r>
        <w:t>6</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"_Toc190848169" </w:instrText>
      </w:r>
      <w:r>
        <w:fldChar w:fldCharType="separate"/>
      </w:r>
      <w:r>
        <w:rPr>
          <w:rStyle w:val="32"/>
        </w:rPr>
        <w:t>10</w:t>
      </w:r>
      <w:r>
        <w:rPr>
          <w:rStyle w:val="32"/>
          <w:rFonts w:hint="eastAsia" w:hAnsi="黑体"/>
        </w:rPr>
        <w:t xml:space="preserve"> 档案管理</w:t>
      </w:r>
      <w:r>
        <w:tab/>
      </w:r>
      <w:r>
        <w:fldChar w:fldCharType="begin"/>
      </w:r>
      <w:r>
        <w:instrText xml:space="preserve"> PAGEREF _Toc190848169 \h </w:instrText>
      </w:r>
      <w:r>
        <w:fldChar w:fldCharType="separate"/>
      </w:r>
      <w:r>
        <w:t>6</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"_Toc190848170" </w:instrText>
      </w:r>
      <w:r>
        <w:fldChar w:fldCharType="separate"/>
      </w:r>
      <w:r>
        <w:rPr>
          <w:rStyle w:val="32"/>
          <w:rFonts w:hint="eastAsia"/>
          <w:spacing w:val="100"/>
        </w:rPr>
        <w:t>附录A</w:t>
      </w:r>
      <w:r>
        <w:rPr>
          <w:rStyle w:val="32"/>
          <w:rFonts w:hint="eastAsia"/>
        </w:rPr>
        <w:t xml:space="preserve"> （资料性）</w:t>
      </w:r>
      <w:r>
        <w:tab/>
      </w:r>
      <w:r>
        <w:fldChar w:fldCharType="begin"/>
      </w:r>
      <w:r>
        <w:instrText xml:space="preserve"> PAGEREF _Toc190848170 \h </w:instrText>
      </w:r>
      <w:r>
        <w:fldChar w:fldCharType="separate"/>
      </w:r>
      <w:r>
        <w:t>7</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"_Toc190848171" </w:instrText>
      </w:r>
      <w:r>
        <w:fldChar w:fldCharType="separate"/>
      </w:r>
      <w:r>
        <w:rPr>
          <w:rStyle w:val="32"/>
          <w:rFonts w:hint="eastAsia"/>
          <w:spacing w:val="100"/>
        </w:rPr>
        <w:t>附录B</w:t>
      </w:r>
      <w:r>
        <w:rPr>
          <w:rStyle w:val="32"/>
          <w:rFonts w:hint="eastAsia"/>
        </w:rPr>
        <w:t xml:space="preserve"> （资料性）</w:t>
      </w:r>
      <w:r>
        <w:tab/>
      </w:r>
      <w:r>
        <w:fldChar w:fldCharType="begin"/>
      </w:r>
      <w:r>
        <w:instrText xml:space="preserve"> PAGEREF _Toc190848171 \h </w:instrText>
      </w:r>
      <w:r>
        <w:fldChar w:fldCharType="separate"/>
      </w:r>
      <w:r>
        <w:t>8</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"_Toc190848172" </w:instrText>
      </w:r>
      <w:r>
        <w:fldChar w:fldCharType="separate"/>
      </w:r>
      <w:r>
        <w:rPr>
          <w:rStyle w:val="32"/>
          <w:rFonts w:hint="eastAsia"/>
          <w:spacing w:val="105"/>
        </w:rPr>
        <w:t>参考文</w:t>
      </w:r>
      <w:r>
        <w:rPr>
          <w:rStyle w:val="32"/>
          <w:rFonts w:hint="eastAsia"/>
        </w:rPr>
        <w:t>献</w:t>
      </w:r>
      <w:r>
        <w:tab/>
      </w:r>
      <w:r>
        <w:fldChar w:fldCharType="begin"/>
      </w:r>
      <w:r>
        <w:instrText xml:space="preserve"> PAGEREF _Toc190848172 \h </w:instrText>
      </w:r>
      <w:r>
        <w:fldChar w:fldCharType="separate"/>
      </w:r>
      <w:r>
        <w:t>9</w:t>
      </w:r>
      <w:r>
        <w:fldChar w:fldCharType="end"/>
      </w:r>
      <w:r>
        <w:fldChar w:fldCharType="end"/>
      </w:r>
    </w:p>
    <w:p>
      <w:pPr>
        <w:pStyle w:val="93"/>
        <w:spacing w:after="468"/>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rPr>
          <w:rFonts w:ascii="Times New Roman" w:hAnsi="Times New Roman"/>
        </w:rPr>
        <w:fldChar w:fldCharType="end"/>
      </w:r>
    </w:p>
    <w:bookmarkEnd w:id="21"/>
    <w:p>
      <w:pPr>
        <w:pStyle w:val="91"/>
        <w:spacing w:before="900" w:after="468"/>
      </w:pPr>
      <w:bookmarkStart w:id="31" w:name="_Toc190848159"/>
      <w:bookmarkStart w:id="32" w:name="BookMark2"/>
      <w:r>
        <w:rPr>
          <w:spacing w:val="320"/>
        </w:rPr>
        <w:t>前</w:t>
      </w:r>
      <w:r>
        <w:t>言</w:t>
      </w:r>
      <w:bookmarkEnd w:id="22"/>
      <w:bookmarkEnd w:id="23"/>
      <w:bookmarkEnd w:id="24"/>
      <w:bookmarkEnd w:id="25"/>
      <w:bookmarkEnd w:id="26"/>
      <w:bookmarkEnd w:id="27"/>
      <w:bookmarkEnd w:id="28"/>
      <w:bookmarkEnd w:id="29"/>
      <w:bookmarkEnd w:id="30"/>
      <w:bookmarkEnd w:id="31"/>
    </w:p>
    <w:p>
      <w:pPr>
        <w:pStyle w:val="58"/>
        <w:ind w:firstLine="420"/>
      </w:pPr>
      <w:r>
        <w:rPr>
          <w:rFonts w:hint="eastAsia"/>
        </w:rPr>
        <w:t xml:space="preserve">本文件按照GB/T 1.1-2020 </w:t>
      </w:r>
      <w:r>
        <w:rPr>
          <w:rFonts w:hint="eastAsia" w:ascii="宋体" w:hAnsi="宋体" w:cs="宋体"/>
        </w:rPr>
        <w:t xml:space="preserve">NY/T 5030 </w:t>
      </w:r>
      <w:r>
        <w:rPr>
          <w:rFonts w:hint="eastAsia"/>
        </w:rPr>
        <w:t>《标准化工作导则 第1部分：标准化文件的结构和起草规则》的规定起草。</w:t>
      </w:r>
    </w:p>
    <w:p>
      <w:pPr>
        <w:pStyle w:val="58"/>
        <w:ind w:firstLine="420"/>
      </w:pPr>
      <w:r>
        <w:rPr>
          <w:rFonts w:hint="eastAsia"/>
        </w:rPr>
        <w:t>本标准替代DB43/527-2010 《肉牛场防疫技术规范》，与DB43/527-2010相比，本标准突出了肉牛场生物安全、疫病净化、无害化处理方面内容。主要技术变化如下：</w:t>
      </w:r>
    </w:p>
    <w:p>
      <w:pPr>
        <w:pStyle w:val="58"/>
        <w:ind w:firstLine="420"/>
      </w:pPr>
      <w:r>
        <w:rPr>
          <w:rFonts w:hint="eastAsia"/>
        </w:rPr>
        <w:t>——增删了部分规范性引用文件。删除了部分已废止的标准、增加部分新新引用的标准和规范性文件（见2，2010版2）；</w:t>
      </w:r>
    </w:p>
    <w:p>
      <w:pPr>
        <w:pStyle w:val="58"/>
        <w:ind w:firstLine="420"/>
      </w:pPr>
      <w:r>
        <w:rPr>
          <w:rFonts w:hint="eastAsia"/>
        </w:rPr>
        <w:t>——增加了术语与定义（见3.1和3.2）；</w:t>
      </w:r>
    </w:p>
    <w:p>
      <w:pPr>
        <w:pStyle w:val="58"/>
        <w:ind w:firstLine="420"/>
      </w:pPr>
      <w:r>
        <w:rPr>
          <w:rFonts w:hint="eastAsia"/>
        </w:rPr>
        <w:t>——修改了牛场选址与基础设施建设，根据最新防疫条件审核管理办法对相关内容进行了简化调整（见4.1和4.2，2010版3.1、3.2和3.3）；</w:t>
      </w:r>
    </w:p>
    <w:p>
      <w:pPr>
        <w:pStyle w:val="58"/>
        <w:ind w:firstLine="420"/>
      </w:pPr>
      <w:r>
        <w:rPr>
          <w:rFonts w:hint="eastAsia"/>
        </w:rPr>
        <w:t>——修改了引进与调出方面的内容。将“肉牛的引进与调出”修改为“引进与调出管理”，增加了“精液与胚胎引进”，并调整了肉牛引进与调出相关要求。（见5.1、5.2和5.3，2010版4.1和4.2）；</w:t>
      </w:r>
    </w:p>
    <w:p>
      <w:pPr>
        <w:pStyle w:val="58"/>
        <w:ind w:firstLine="420"/>
      </w:pPr>
      <w:r>
        <w:rPr>
          <w:rFonts w:hint="eastAsia"/>
        </w:rPr>
        <w:t>——增加了内部管理方面的内容。本文将原版防疫管理中7.5关于人员管理方面内容移入内部管理中的人员管理。增加物资管理方面内容（见6.1和6.2，2010版7.5）；</w:t>
      </w:r>
    </w:p>
    <w:p>
      <w:pPr>
        <w:pStyle w:val="58"/>
        <w:ind w:firstLine="420"/>
      </w:pPr>
      <w:r>
        <w:rPr>
          <w:rFonts w:hint="eastAsia"/>
        </w:rPr>
        <w:t>——修改了疫病监测防控方面内容，将疫病监测、免疫、扑灭合并为疫病控制与净化，加入了疫病净化工作要求，根据国家最新疫病分类目录和防控技术规范修改了疫病处置方面要求。（见8.1-8.4,2010版5、8和9）；</w:t>
      </w:r>
    </w:p>
    <w:p>
      <w:pPr>
        <w:pStyle w:val="58"/>
        <w:ind w:firstLine="420"/>
      </w:pPr>
      <w:r>
        <w:rPr>
          <w:rFonts w:hint="eastAsia"/>
        </w:rPr>
        <w:t>——删除了原版防疫管理条目，人员管理方面的内容调整如前述，消毒灭源方面内容移入疫病控制与净化（见6和8,2010版7）；</w:t>
      </w:r>
    </w:p>
    <w:p>
      <w:pPr>
        <w:pStyle w:val="58"/>
        <w:ind w:firstLine="420"/>
      </w:pPr>
      <w:r>
        <w:rPr>
          <w:rFonts w:hint="eastAsia"/>
        </w:rPr>
        <w:t>——增加了无害化处理内容（见9.1和9.2）；</w:t>
      </w:r>
    </w:p>
    <w:p>
      <w:pPr>
        <w:pStyle w:val="58"/>
        <w:ind w:firstLine="420"/>
      </w:pPr>
      <w:r>
        <w:rPr>
          <w:rFonts w:hint="eastAsia"/>
        </w:rPr>
        <w:t>——修改了附录A。修改了口蹄疫免疫部分，删除了布鲁氏菌病免疫内容，增加了牛结节性皮肤病免疫（见附录A）。</w:t>
      </w:r>
    </w:p>
    <w:p>
      <w:pPr>
        <w:pStyle w:val="58"/>
        <w:ind w:firstLine="420"/>
      </w:pPr>
      <w:r>
        <w:rPr>
          <w:rFonts w:hint="eastAsia"/>
        </w:rPr>
        <w:t>本文件由湖南省农业农村厅提出。</w:t>
      </w:r>
      <w:bookmarkStart w:id="148" w:name="_GoBack"/>
      <w:bookmarkEnd w:id="148"/>
    </w:p>
    <w:p>
      <w:pPr>
        <w:pStyle w:val="58"/>
        <w:ind w:firstLine="420"/>
      </w:pPr>
      <w:r>
        <w:rPr>
          <w:rFonts w:hint="eastAsia"/>
        </w:rPr>
        <w:t>本文件由湖南省农业标准化技术委员会归口。</w:t>
      </w:r>
    </w:p>
    <w:p>
      <w:pPr>
        <w:pStyle w:val="58"/>
        <w:ind w:firstLine="420"/>
      </w:pPr>
      <w:r>
        <w:rPr>
          <w:rFonts w:hint="eastAsia"/>
        </w:rPr>
        <w:t>本标准起草单位：湖南省畜牧兽医研究所，娄底市动物疫病预防控制中心。</w:t>
      </w:r>
    </w:p>
    <w:p>
      <w:pPr>
        <w:pStyle w:val="58"/>
        <w:ind w:firstLine="420"/>
      </w:pPr>
      <w:r>
        <w:rPr>
          <w:rFonts w:hint="eastAsia"/>
        </w:rPr>
        <w:t>本标准主要起草人员：杨俊，潘文武，丁朝阳，谢凯等。</w:t>
      </w:r>
    </w:p>
    <w:p>
      <w:pPr>
        <w:pStyle w:val="58"/>
        <w:ind w:firstLine="420"/>
        <w:sectPr>
          <w:pgSz w:w="11906" w:h="16838"/>
          <w:pgMar w:top="1928" w:right="1134" w:bottom="1134" w:left="1134" w:header="1418" w:footer="1134" w:gutter="284"/>
          <w:pgNumType w:fmt="upperRoman"/>
          <w:cols w:space="425" w:num="1"/>
          <w:formProt w:val="0"/>
          <w:docGrid w:type="lines" w:linePitch="312" w:charSpace="0"/>
        </w:sectPr>
      </w:pPr>
    </w:p>
    <w:bookmarkEnd w:id="32"/>
    <w:p>
      <w:pPr>
        <w:spacing w:line="20" w:lineRule="exact"/>
        <w:jc w:val="center"/>
        <w:rPr>
          <w:rFonts w:ascii="黑体" w:hAnsi="黑体" w:eastAsia="黑体"/>
          <w:sz w:val="32"/>
          <w:szCs w:val="32"/>
        </w:rPr>
      </w:pPr>
      <w:bookmarkStart w:id="33" w:name="BookMark4"/>
    </w:p>
    <w:p>
      <w:pPr>
        <w:spacing w:line="20" w:lineRule="exact"/>
        <w:jc w:val="center"/>
        <w:rPr>
          <w:rFonts w:ascii="黑体" w:hAnsi="黑体" w:eastAsia="黑体"/>
          <w:sz w:val="32"/>
          <w:szCs w:val="32"/>
        </w:rPr>
      </w:pPr>
    </w:p>
    <w:sdt>
      <w:sdtPr>
        <w:tag w:val="NEW_STAND_NAME"/>
        <w:id w:val="595910757"/>
        <w:lock w:val="sdtLocked"/>
        <w:placeholder>
          <w:docPart w:val="778560AF44E14B0B98EDB620B5B23949"/>
        </w:placeholder>
      </w:sdtPr>
      <w:sdtContent>
        <w:p>
          <w:pPr>
            <w:pStyle w:val="179"/>
            <w:spacing w:beforeLines="100" w:afterLines="220"/>
          </w:pPr>
          <w:bookmarkStart w:id="34" w:name="NEW_STAND_NAME"/>
          <w:r>
            <w:rPr>
              <w:rFonts w:hint="eastAsia"/>
            </w:rPr>
            <w:t>肉牛场防疫技术规范</w:t>
          </w:r>
        </w:p>
      </w:sdtContent>
    </w:sdt>
    <w:bookmarkEnd w:id="34"/>
    <w:p>
      <w:pPr>
        <w:pStyle w:val="106"/>
        <w:spacing w:before="312" w:after="312"/>
        <w:rPr>
          <w:rFonts w:ascii="Times New Roman"/>
        </w:rPr>
      </w:pPr>
      <w:bookmarkStart w:id="35" w:name="_Toc185923961"/>
      <w:bookmarkStart w:id="36" w:name="_Toc26986530"/>
      <w:bookmarkStart w:id="37" w:name="_Toc17233325"/>
      <w:bookmarkStart w:id="38" w:name="_Toc185926476"/>
      <w:bookmarkStart w:id="39" w:name="_Toc183532085"/>
      <w:bookmarkStart w:id="40" w:name="_Toc190848160"/>
      <w:bookmarkStart w:id="41" w:name="_Toc183425292"/>
      <w:bookmarkStart w:id="42" w:name="_Toc183422537"/>
      <w:bookmarkStart w:id="43" w:name="_Toc183423006"/>
      <w:bookmarkStart w:id="44" w:name="_Toc183423041"/>
      <w:bookmarkStart w:id="45" w:name="_Toc183438626"/>
      <w:bookmarkStart w:id="46" w:name="_Toc97191423"/>
      <w:bookmarkStart w:id="47" w:name="_Toc185926489"/>
      <w:bookmarkStart w:id="48" w:name="_Toc26648465"/>
      <w:bookmarkStart w:id="49" w:name="_Toc17233333"/>
      <w:bookmarkStart w:id="50" w:name="_Toc185926633"/>
      <w:bookmarkStart w:id="51" w:name="_Toc26718930"/>
      <w:bookmarkStart w:id="52" w:name="_Toc24884218"/>
      <w:bookmarkStart w:id="53" w:name="_Toc183424406"/>
      <w:bookmarkStart w:id="54" w:name="_Toc26986771"/>
      <w:bookmarkStart w:id="55" w:name="_Toc24884211"/>
      <w:bookmarkStart w:id="56" w:name="_Toc184019713"/>
      <w:r>
        <w:rPr>
          <w:rFonts w:ascii="Times New Roman"/>
        </w:rPr>
        <w:t>范围</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pPr>
        <w:pStyle w:val="58"/>
        <w:ind w:firstLine="420"/>
      </w:pPr>
      <w:bookmarkStart w:id="57" w:name="_Toc17233334"/>
      <w:bookmarkStart w:id="58" w:name="_Toc26648466"/>
      <w:bookmarkStart w:id="59" w:name="_Toc17233326"/>
      <w:bookmarkStart w:id="60" w:name="_Toc24884219"/>
      <w:bookmarkStart w:id="61" w:name="_Toc24884212"/>
      <w:r>
        <w:rPr>
          <w:rFonts w:hint="eastAsia"/>
        </w:rPr>
        <w:t>本标准规定了肉牛场环境与基础设施、肉牛引进与调出、内部管理、饲养管理、疫病控制与净化、无害化处理和档案记录等要求</w:t>
      </w:r>
      <w:r>
        <w:t>。</w:t>
      </w:r>
    </w:p>
    <w:p>
      <w:pPr>
        <w:pStyle w:val="58"/>
        <w:ind w:firstLine="420"/>
      </w:pPr>
      <w:r>
        <w:rPr>
          <w:rFonts w:hint="eastAsia"/>
        </w:rPr>
        <w:t>本标准适用于我省肉牛场的防疫</w:t>
      </w:r>
      <w:r>
        <w:t>。</w:t>
      </w:r>
    </w:p>
    <w:p>
      <w:pPr>
        <w:pStyle w:val="106"/>
        <w:spacing w:before="312" w:after="312"/>
        <w:rPr>
          <w:rFonts w:ascii="Times New Roman"/>
        </w:rPr>
      </w:pPr>
      <w:bookmarkStart w:id="62" w:name="_Toc183423007"/>
      <w:bookmarkStart w:id="63" w:name="_Toc185926477"/>
      <w:bookmarkStart w:id="64" w:name="_Toc183423042"/>
      <w:bookmarkStart w:id="65" w:name="_Toc183424407"/>
      <w:bookmarkStart w:id="66" w:name="_Toc183422538"/>
      <w:bookmarkStart w:id="67" w:name="_Toc185926490"/>
      <w:bookmarkStart w:id="68" w:name="_Toc185923962"/>
      <w:bookmarkStart w:id="69" w:name="_Toc183438627"/>
      <w:bookmarkStart w:id="70" w:name="_Toc183532086"/>
      <w:bookmarkStart w:id="71" w:name="_Toc190848161"/>
      <w:bookmarkStart w:id="72" w:name="_Toc184019714"/>
      <w:bookmarkStart w:id="73" w:name="_Toc26986531"/>
      <w:bookmarkStart w:id="74" w:name="_Toc97191424"/>
      <w:bookmarkStart w:id="75" w:name="_Toc26718931"/>
      <w:bookmarkStart w:id="76" w:name="_Toc185926634"/>
      <w:bookmarkStart w:id="77" w:name="_Toc26986772"/>
      <w:bookmarkStart w:id="78" w:name="_Toc183425293"/>
      <w:r>
        <w:rPr>
          <w:rFonts w:ascii="Times New Roman"/>
        </w:rPr>
        <w:t>规范性引用文件</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58"/>
        <w:ind w:firstLine="420"/>
      </w:pPr>
      <w:r>
        <w:t xml:space="preserve">GB 4143 </w:t>
      </w:r>
      <w:r>
        <w:rPr>
          <w:rFonts w:hAnsi="宋体"/>
        </w:rPr>
        <w:t>牛冷冻精液</w:t>
      </w:r>
    </w:p>
    <w:p>
      <w:pPr>
        <w:pStyle w:val="58"/>
        <w:ind w:firstLine="420"/>
      </w:pPr>
      <w:r>
        <w:t xml:space="preserve">GB 18596 </w:t>
      </w:r>
      <w:r>
        <w:rPr>
          <w:rFonts w:hAnsi="宋体"/>
        </w:rPr>
        <w:t>畜禽养殖业污染物排放标准</w:t>
      </w:r>
    </w:p>
    <w:p>
      <w:pPr>
        <w:pStyle w:val="58"/>
        <w:ind w:firstLine="420"/>
      </w:pPr>
      <w:r>
        <w:t xml:space="preserve">GB/T 25881 </w:t>
      </w:r>
      <w:r>
        <w:rPr>
          <w:rFonts w:hAnsi="宋体"/>
        </w:rPr>
        <w:t>牛胚胎</w:t>
      </w:r>
    </w:p>
    <w:p>
      <w:pPr>
        <w:pStyle w:val="58"/>
        <w:ind w:firstLine="420"/>
      </w:pPr>
      <w:r>
        <w:t xml:space="preserve">NY 5032 </w:t>
      </w:r>
      <w:r>
        <w:rPr>
          <w:rFonts w:hAnsi="宋体"/>
        </w:rPr>
        <w:t>无公害食品畜禽饲料和饲料添加剂使用准则</w:t>
      </w:r>
    </w:p>
    <w:p>
      <w:pPr>
        <w:pStyle w:val="58"/>
        <w:ind w:firstLine="420"/>
      </w:pPr>
      <w:r>
        <w:t xml:space="preserve">NY/T 682 </w:t>
      </w:r>
      <w:r>
        <w:rPr>
          <w:rFonts w:hAnsi="宋体"/>
        </w:rPr>
        <w:t>畜禽场场区设计技术规范</w:t>
      </w:r>
    </w:p>
    <w:p>
      <w:pPr>
        <w:pStyle w:val="58"/>
        <w:ind w:firstLine="420"/>
      </w:pPr>
      <w:r>
        <w:t xml:space="preserve">NY/T 3075 </w:t>
      </w:r>
      <w:r>
        <w:rPr>
          <w:rFonts w:hAnsi="宋体"/>
        </w:rPr>
        <w:t>畜禽养殖场消毒技术</w:t>
      </w:r>
    </w:p>
    <w:p>
      <w:pPr>
        <w:pStyle w:val="58"/>
        <w:ind w:firstLine="420"/>
        <w:rPr>
          <w:rFonts w:hint="eastAsia" w:ascii="宋体" w:hAnsi="宋体" w:cs="宋体"/>
        </w:rPr>
      </w:pPr>
      <w:r>
        <w:t xml:space="preserve">NY/T 5030 </w:t>
      </w:r>
      <w:r>
        <w:rPr>
          <w:rFonts w:hAnsi="宋体"/>
        </w:rPr>
        <w:t>无</w:t>
      </w:r>
      <w:r>
        <w:rPr>
          <w:rFonts w:hint="eastAsia" w:ascii="宋体" w:hAnsi="宋体" w:cs="宋体"/>
        </w:rPr>
        <w:t>公害农产品畜禽馒头兽药使用准则</w:t>
      </w:r>
    </w:p>
    <w:p>
      <w:pPr>
        <w:pStyle w:val="58"/>
        <w:ind w:firstLine="420"/>
      </w:pPr>
      <w:r>
        <w:t xml:space="preserve">NY 5128 </w:t>
      </w:r>
      <w:r>
        <w:rPr>
          <w:rFonts w:hAnsi="宋体"/>
        </w:rPr>
        <w:t>牛饲料管理准则</w:t>
      </w:r>
    </w:p>
    <w:p>
      <w:pPr>
        <w:pStyle w:val="106"/>
        <w:spacing w:before="312" w:after="312"/>
      </w:pPr>
      <w:bookmarkStart w:id="79" w:name="_Toc183423043"/>
      <w:bookmarkStart w:id="80" w:name="_Toc190848162"/>
      <w:bookmarkStart w:id="81" w:name="_Toc185926478"/>
      <w:bookmarkStart w:id="82" w:name="_Toc97191425"/>
      <w:bookmarkStart w:id="83" w:name="_Toc183423008"/>
      <w:bookmarkStart w:id="84" w:name="_Toc185923963"/>
      <w:bookmarkStart w:id="85" w:name="_Toc184019715"/>
      <w:bookmarkStart w:id="86" w:name="_Toc183425294"/>
      <w:bookmarkStart w:id="87" w:name="_Toc185926635"/>
      <w:bookmarkStart w:id="88" w:name="_Toc183438628"/>
      <w:bookmarkStart w:id="89" w:name="_Toc183424408"/>
      <w:bookmarkStart w:id="90" w:name="_Toc185926491"/>
      <w:bookmarkStart w:id="91" w:name="_Toc183532087"/>
      <w:bookmarkStart w:id="92" w:name="_Toc183422539"/>
      <w:r>
        <w:rPr>
          <w:rFonts w:ascii="Times New Roman"/>
          <w:szCs w:val="21"/>
        </w:rPr>
        <w:t>术语和定义</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Start w:id="93" w:name="_Toc26986532"/>
      <w:bookmarkEnd w:id="93"/>
    </w:p>
    <w:p>
      <w:pPr>
        <w:pStyle w:val="58"/>
        <w:ind w:firstLine="420"/>
      </w:pPr>
      <w:r>
        <w:rPr>
          <w:rFonts w:hint="eastAsia"/>
          <w:szCs w:val="21"/>
        </w:rPr>
        <w:t>下列术语和定义适用于本文件。</w:t>
      </w:r>
    </w:p>
    <w:p>
      <w:pPr>
        <w:pStyle w:val="164"/>
        <w:ind w:left="0"/>
        <w:rPr>
          <w:rFonts w:ascii="黑体" w:hAnsi="黑体" w:eastAsia="黑体" w:cs="黑体"/>
        </w:rPr>
      </w:pPr>
      <w:bookmarkStart w:id="94" w:name="_Toc183423009"/>
      <w:bookmarkEnd w:id="94"/>
    </w:p>
    <w:p>
      <w:pPr>
        <w:pStyle w:val="58"/>
        <w:ind w:firstLine="420"/>
        <w:rPr>
          <w:rFonts w:ascii="黑体" w:hAnsi="黑体" w:eastAsia="黑体" w:cs="黑体"/>
        </w:rPr>
      </w:pPr>
      <w:r>
        <w:rPr>
          <w:rFonts w:hint="eastAsia" w:ascii="黑体" w:hAnsi="黑体" w:eastAsia="黑体" w:cs="黑体"/>
        </w:rPr>
        <w:t xml:space="preserve">规模肉牛场 </w:t>
      </w:r>
      <w:r>
        <w:rPr>
          <w:rFonts w:eastAsia="黑体"/>
        </w:rPr>
        <w:t>cattle farm</w:t>
      </w:r>
    </w:p>
    <w:p>
      <w:pPr>
        <w:pStyle w:val="58"/>
        <w:ind w:firstLine="420"/>
      </w:pPr>
      <w:r>
        <w:rPr>
          <w:rFonts w:hint="eastAsia"/>
        </w:rPr>
        <w:t>经当地主管部门审批备案，存栏100头以上或年出栏50头以上的肉牛场</w:t>
      </w:r>
      <w:r>
        <w:t>。</w:t>
      </w:r>
    </w:p>
    <w:p>
      <w:pPr>
        <w:pStyle w:val="164"/>
        <w:ind w:left="0"/>
        <w:rPr>
          <w:rFonts w:ascii="黑体" w:hAnsi="黑体" w:eastAsia="黑体" w:cs="黑体"/>
        </w:rPr>
      </w:pPr>
      <w:bookmarkStart w:id="95" w:name="_Toc183423010"/>
      <w:bookmarkEnd w:id="95"/>
    </w:p>
    <w:p>
      <w:pPr>
        <w:pStyle w:val="225"/>
        <w:numPr>
          <w:ilvl w:val="2"/>
          <w:numId w:val="0"/>
        </w:numPr>
        <w:ind w:firstLine="420" w:firstLineChars="200"/>
        <w:jc w:val="left"/>
        <w:rPr>
          <w:rFonts w:ascii="Times New Roman" w:eastAsia="黑体"/>
        </w:rPr>
      </w:pPr>
      <w:r>
        <w:rPr>
          <w:rFonts w:hint="eastAsia" w:ascii="Times New Roman" w:eastAsia="黑体"/>
        </w:rPr>
        <w:t>动物疫病净化 animal disease eradication</w:t>
      </w:r>
    </w:p>
    <w:p>
      <w:pPr>
        <w:pStyle w:val="58"/>
        <w:ind w:firstLine="420"/>
      </w:pPr>
      <w:r>
        <w:rPr>
          <w:rFonts w:hint="eastAsia"/>
        </w:rPr>
        <w:t>有计划地在特定区域或场所对特定动物疫病，通过免疫、监测、检疫、隔离、消毒、淘汰、扑杀、无害化处理等一些列技术和管理措施、消灭和清除病原，最终达到并维持在该范围内动物个体不发病和无感染状态的过程</w:t>
      </w:r>
      <w:r>
        <w:t>。</w:t>
      </w:r>
    </w:p>
    <w:p>
      <w:pPr>
        <w:pStyle w:val="106"/>
        <w:spacing w:before="312" w:after="312"/>
        <w:rPr>
          <w:rFonts w:ascii="Times New Roman"/>
          <w:color w:val="000000" w:themeColor="text1"/>
        </w:rPr>
      </w:pPr>
      <w:bookmarkStart w:id="96" w:name="_Toc8254"/>
      <w:bookmarkEnd w:id="96"/>
      <w:bookmarkStart w:id="97" w:name="_Toc190848163"/>
      <w:r>
        <w:rPr>
          <w:rFonts w:hint="eastAsia" w:ascii="Times New Roman"/>
          <w:color w:val="000000" w:themeColor="text1"/>
        </w:rPr>
        <w:t>选址与场区建设</w:t>
      </w:r>
      <w:bookmarkEnd w:id="97"/>
    </w:p>
    <w:p>
      <w:pPr>
        <w:pStyle w:val="164"/>
        <w:ind w:left="0"/>
        <w:rPr>
          <w:rFonts w:ascii="Times New Roman"/>
        </w:rPr>
      </w:pPr>
      <w:r>
        <w:rPr>
          <w:rFonts w:hint="eastAsia" w:hAnsi="宋体" w:cs="宋体"/>
        </w:rPr>
        <w:t>牛场的设计与建设符合</w:t>
      </w:r>
      <w:r>
        <w:rPr>
          <w:rFonts w:ascii="Times New Roman"/>
        </w:rPr>
        <w:t>NY/T 682</w:t>
      </w:r>
      <w:r>
        <w:rPr>
          <w:rFonts w:hint="eastAsia" w:hAnsi="宋体" w:cs="宋体"/>
        </w:rPr>
        <w:t>的要求</w:t>
      </w:r>
      <w:r>
        <w:rPr>
          <w:rFonts w:ascii="Times New Roman"/>
        </w:rPr>
        <w:t>。</w:t>
      </w:r>
    </w:p>
    <w:p>
      <w:pPr>
        <w:pStyle w:val="164"/>
        <w:ind w:left="0"/>
        <w:rPr>
          <w:rFonts w:ascii="Times New Roman"/>
          <w:color w:val="000000" w:themeColor="text1"/>
        </w:rPr>
      </w:pPr>
      <w:r>
        <w:rPr>
          <w:rFonts w:hint="eastAsia" w:hAnsi="宋体" w:cs="宋体"/>
        </w:rPr>
        <w:t>牛场建设前应进行动物防疫条件审查选址风险评估</w:t>
      </w:r>
      <w:r>
        <w:rPr>
          <w:rFonts w:hint="eastAsia" w:ascii="Times New Roman"/>
        </w:rPr>
        <w:t>，</w:t>
      </w:r>
      <w:r>
        <w:rPr>
          <w:rFonts w:hint="eastAsia" w:ascii="Times New Roman"/>
          <w:color w:val="000000" w:themeColor="text1"/>
        </w:rPr>
        <w:t>相关要求见《湖南省实施&lt;中华人民共和国动物防疫法&gt;办法》。</w:t>
      </w:r>
    </w:p>
    <w:p>
      <w:pPr>
        <w:pStyle w:val="106"/>
        <w:spacing w:before="312" w:after="312"/>
        <w:rPr>
          <w:rFonts w:ascii="Times New Roman"/>
        </w:rPr>
      </w:pPr>
      <w:bookmarkStart w:id="98" w:name="_Toc17984"/>
      <w:bookmarkEnd w:id="98"/>
      <w:bookmarkStart w:id="99" w:name="_Toc190848164"/>
      <w:r>
        <w:rPr>
          <w:rFonts w:hint="eastAsia" w:ascii="Times New Roman"/>
        </w:rPr>
        <w:t>引进与调出管理</w:t>
      </w:r>
      <w:bookmarkEnd w:id="99"/>
    </w:p>
    <w:p>
      <w:pPr>
        <w:pStyle w:val="58"/>
        <w:ind w:firstLine="420"/>
      </w:pPr>
      <w:r>
        <w:rPr>
          <w:rFonts w:hint="eastAsia" w:ascii="宋体" w:hAnsi="宋体" w:cs="宋体"/>
        </w:rPr>
        <w:t>跨省引种应向省级动物防疫监督机构备案，实行点对点调运。</w:t>
      </w:r>
    </w:p>
    <w:p>
      <w:pPr>
        <w:pStyle w:val="107"/>
        <w:spacing w:before="156" w:after="156"/>
        <w:ind w:left="0"/>
        <w:rPr>
          <w:rFonts w:ascii="Times New Roman"/>
          <w:color w:val="000000" w:themeColor="text1"/>
        </w:rPr>
      </w:pPr>
      <w:bookmarkStart w:id="100" w:name="_Ref164777336"/>
      <w:bookmarkEnd w:id="100"/>
      <w:r>
        <w:rPr>
          <w:rFonts w:hint="eastAsia" w:hAnsi="黑体"/>
          <w:color w:val="000000" w:themeColor="text1"/>
        </w:rPr>
        <w:t>冻精、胚胎引进</w:t>
      </w:r>
    </w:p>
    <w:p>
      <w:pPr>
        <w:pStyle w:val="167"/>
        <w:numPr>
          <w:ilvl w:val="3"/>
          <w:numId w:val="0"/>
        </w:numPr>
        <w:ind w:firstLine="420" w:firstLineChars="200"/>
        <w:rPr>
          <w:rFonts w:ascii="Times New Roman"/>
        </w:rPr>
      </w:pPr>
      <w:r>
        <w:rPr>
          <w:rFonts w:hint="eastAsia" w:hAnsi="宋体"/>
          <w:szCs w:val="21"/>
        </w:rPr>
        <w:t>引进的冷冻精液、胚胎应分别符合</w:t>
      </w:r>
      <w:r>
        <w:rPr>
          <w:rFonts w:hint="eastAsia" w:ascii="Times New Roman"/>
        </w:rPr>
        <w:t>GB 4143、GB/T 25881</w:t>
      </w:r>
      <w:r>
        <w:rPr>
          <w:rFonts w:hint="eastAsia" w:hAnsi="宋体"/>
          <w:szCs w:val="21"/>
        </w:rPr>
        <w:t>的规定。国内引进精液、胚胎应具备口蹄疫、布鲁氏菌病、结核病等规定病种的动物检疫合格证明，国外引进精液、胚胎应有国家畜牧兽医行政主管部门签发的许可文件及海关总署出具的入境货物规定病种的检验检疫合格证明</w:t>
      </w:r>
      <w:r>
        <w:rPr>
          <w:rFonts w:ascii="Times New Roman"/>
        </w:rPr>
        <w:t>。</w:t>
      </w:r>
    </w:p>
    <w:p>
      <w:pPr>
        <w:pStyle w:val="107"/>
        <w:spacing w:before="156" w:after="156"/>
        <w:ind w:left="0"/>
        <w:rPr>
          <w:rFonts w:ascii="Times New Roman"/>
          <w:color w:val="000000" w:themeColor="text1"/>
        </w:rPr>
      </w:pPr>
      <w:r>
        <w:rPr>
          <w:rFonts w:hint="eastAsia" w:hAnsi="黑体"/>
          <w:color w:val="000000" w:themeColor="text1"/>
        </w:rPr>
        <w:t>肉牛引进</w:t>
      </w:r>
    </w:p>
    <w:p>
      <w:pPr>
        <w:pStyle w:val="167"/>
        <w:ind w:left="0"/>
        <w:rPr>
          <w:rFonts w:ascii="Times New Roman"/>
        </w:rPr>
      </w:pPr>
      <w:r>
        <w:rPr>
          <w:rFonts w:hint="eastAsia" w:hAnsi="宋体"/>
          <w:szCs w:val="21"/>
        </w:rPr>
        <w:t>坚持自繁自养原则，不从口蹄疫、牛海绵状脑病、布鲁氏菌病、牛结节性皮肤病等疫区或高风险区引进牛只</w:t>
      </w:r>
      <w:r>
        <w:rPr>
          <w:rFonts w:ascii="Times New Roman"/>
        </w:rPr>
        <w:t>。</w:t>
      </w:r>
    </w:p>
    <w:p>
      <w:pPr>
        <w:pStyle w:val="167"/>
        <w:ind w:left="0"/>
        <w:rPr>
          <w:rFonts w:ascii="Times New Roman"/>
        </w:rPr>
      </w:pPr>
      <w:r>
        <w:rPr>
          <w:rFonts w:hint="eastAsia" w:hAnsi="宋体"/>
          <w:szCs w:val="21"/>
        </w:rPr>
        <w:t>跨省调运种牛的，应附带肉牛系谱档案和产地检疫规程规定的病种动物检疫合格证明。到达目的地后隔离</w:t>
      </w:r>
      <w:r>
        <w:rPr>
          <w:rFonts w:hint="eastAsia" w:ascii="Times New Roman"/>
        </w:rPr>
        <w:t>30</w:t>
      </w:r>
      <w:r>
        <w:rPr>
          <w:rFonts w:hint="eastAsia" w:hAnsi="宋体"/>
          <w:szCs w:val="21"/>
        </w:rPr>
        <w:t>天，经隔离观察合格后方可混群饲养</w:t>
      </w:r>
      <w:r>
        <w:rPr>
          <w:rFonts w:ascii="Times New Roman"/>
        </w:rPr>
        <w:t>。</w:t>
      </w:r>
    </w:p>
    <w:p>
      <w:pPr>
        <w:pStyle w:val="167"/>
        <w:ind w:left="0"/>
        <w:rPr>
          <w:rFonts w:ascii="Times New Roman"/>
        </w:rPr>
      </w:pPr>
      <w:r>
        <w:rPr>
          <w:rFonts w:hint="eastAsia" w:hAnsi="宋体"/>
          <w:szCs w:val="21"/>
        </w:rPr>
        <w:t>严格做好运输车辆、装前卸后工具的消毒，防止病原跨区域传播</w:t>
      </w:r>
      <w:r>
        <w:rPr>
          <w:rFonts w:ascii="Times New Roman"/>
        </w:rPr>
        <w:t>。</w:t>
      </w:r>
    </w:p>
    <w:p>
      <w:pPr>
        <w:pStyle w:val="107"/>
        <w:spacing w:before="156" w:after="156"/>
        <w:ind w:left="0"/>
        <w:rPr>
          <w:rFonts w:ascii="Times New Roman"/>
        </w:rPr>
      </w:pPr>
      <w:bookmarkStart w:id="101" w:name="_Ref172709653"/>
      <w:bookmarkEnd w:id="101"/>
      <w:bookmarkStart w:id="102" w:name="_Toc173313613"/>
      <w:bookmarkEnd w:id="102"/>
      <w:bookmarkStart w:id="103" w:name="_Ref164779831"/>
      <w:bookmarkEnd w:id="103"/>
      <w:r>
        <w:rPr>
          <w:rFonts w:hint="eastAsia" w:hAnsi="黑体"/>
        </w:rPr>
        <w:t>肉牛调出</w:t>
      </w:r>
    </w:p>
    <w:p>
      <w:pPr>
        <w:pStyle w:val="167"/>
        <w:numPr>
          <w:ilvl w:val="3"/>
          <w:numId w:val="0"/>
        </w:numPr>
        <w:ind w:firstLine="420" w:firstLineChars="200"/>
      </w:pPr>
      <w:r>
        <w:rPr>
          <w:rFonts w:hint="eastAsia" w:hAnsi="宋体"/>
          <w:szCs w:val="21"/>
        </w:rPr>
        <w:t>调出肉牛必须经当地动物卫生监督机构按照</w:t>
      </w:r>
      <w:r>
        <w:rPr>
          <w:rFonts w:hint="eastAsia" w:hAnsi="宋体"/>
          <w:color w:val="000000" w:themeColor="text1"/>
          <w:szCs w:val="21"/>
        </w:rPr>
        <w:t>《反刍动物产地检疫规程》</w:t>
      </w:r>
      <w:r>
        <w:rPr>
          <w:rFonts w:hint="eastAsia" w:hAnsi="宋体"/>
          <w:szCs w:val="21"/>
        </w:rPr>
        <w:t>的规定实施检疫，凭动物检疫合格证上市或运输。跨省调运的遵照输入地有关规定执行</w:t>
      </w:r>
      <w:r>
        <w:rPr>
          <w:rFonts w:ascii="Times New Roman"/>
        </w:rPr>
        <w:t>。</w:t>
      </w:r>
    </w:p>
    <w:p>
      <w:pPr>
        <w:pStyle w:val="106"/>
        <w:spacing w:before="312" w:after="312"/>
        <w:rPr>
          <w:rFonts w:ascii="Times New Roman"/>
        </w:rPr>
      </w:pPr>
      <w:bookmarkStart w:id="104" w:name="_Toc190848165"/>
      <w:r>
        <w:rPr>
          <w:rFonts w:hAnsi="黑体"/>
          <w:color w:val="000000"/>
        </w:rPr>
        <w:t>内部管理</w:t>
      </w:r>
      <w:bookmarkEnd w:id="104"/>
    </w:p>
    <w:p>
      <w:pPr>
        <w:pStyle w:val="107"/>
        <w:spacing w:before="156" w:after="156"/>
        <w:ind w:left="0"/>
        <w:rPr>
          <w:rFonts w:ascii="Times New Roman"/>
        </w:rPr>
      </w:pPr>
      <w:r>
        <w:rPr>
          <w:rFonts w:hint="eastAsia" w:ascii="Times New Roman"/>
        </w:rPr>
        <w:t>人员管理</w:t>
      </w:r>
    </w:p>
    <w:p>
      <w:pPr>
        <w:pStyle w:val="167"/>
        <w:ind w:left="0"/>
      </w:pPr>
      <w:r>
        <w:rPr>
          <w:rFonts w:hint="eastAsia"/>
        </w:rPr>
        <w:t>牛场应制定外来人员到访制度，合理设置进入路线和措施，禁止外来人员随意进入场区。</w:t>
      </w:r>
    </w:p>
    <w:p>
      <w:pPr>
        <w:pStyle w:val="167"/>
        <w:ind w:left="0"/>
        <w:rPr>
          <w:color w:val="000000"/>
        </w:rPr>
      </w:pPr>
      <w:r>
        <w:rPr>
          <w:rFonts w:hint="eastAsia"/>
          <w:color w:val="000000"/>
        </w:rPr>
        <w:t>加强内部人员培训，确保员工熟知并理解场内各项防疫制度和措施，自觉遵照执行。</w:t>
      </w:r>
    </w:p>
    <w:p>
      <w:pPr>
        <w:pStyle w:val="167"/>
        <w:ind w:left="0"/>
        <w:rPr>
          <w:color w:val="000000"/>
        </w:rPr>
      </w:pPr>
      <w:r>
        <w:rPr>
          <w:rFonts w:hint="eastAsia"/>
          <w:color w:val="000000"/>
        </w:rPr>
        <w:t>场内饲养、技术人员每年应进行健康检查，取得《健康证》后方可上岗。患有结核病、布鲁氏菌病等人兽共患病的人员不得从事牛场养殖相关工作。</w:t>
      </w:r>
    </w:p>
    <w:p>
      <w:pPr>
        <w:pStyle w:val="107"/>
        <w:spacing w:before="156" w:after="156"/>
        <w:ind w:left="0"/>
        <w:rPr>
          <w:rFonts w:ascii="Times New Roman"/>
        </w:rPr>
      </w:pPr>
      <w:r>
        <w:rPr>
          <w:rFonts w:hint="eastAsia" w:ascii="Times New Roman"/>
        </w:rPr>
        <w:t>物资管理</w:t>
      </w:r>
    </w:p>
    <w:p>
      <w:pPr>
        <w:pStyle w:val="167"/>
        <w:ind w:left="0"/>
      </w:pPr>
      <w:r>
        <w:rPr>
          <w:rFonts w:hint="eastAsia"/>
          <w:color w:val="000000"/>
        </w:rPr>
        <w:t>做好物资管理，建立场内物资入、出库台账登记。</w:t>
      </w:r>
    </w:p>
    <w:p>
      <w:pPr>
        <w:pStyle w:val="167"/>
        <w:ind w:left="0"/>
        <w:rPr>
          <w:rFonts w:ascii="Times New Roman"/>
        </w:rPr>
      </w:pPr>
      <w:bookmarkStart w:id="105" w:name="_Toc173313615"/>
      <w:bookmarkEnd w:id="105"/>
      <w:bookmarkStart w:id="106" w:name="_Ref172710242"/>
      <w:bookmarkEnd w:id="106"/>
      <w:bookmarkStart w:id="107" w:name="_Hlk173852209"/>
      <w:r>
        <w:rPr>
          <w:rFonts w:hint="eastAsia" w:ascii="Times New Roman"/>
        </w:rPr>
        <w:t>牛、羊肉及其制品不得从外面购买入场</w:t>
      </w:r>
      <w:r>
        <w:rPr>
          <w:rFonts w:ascii="Times New Roman"/>
        </w:rPr>
        <w:t>。</w:t>
      </w:r>
      <w:bookmarkEnd w:id="107"/>
    </w:p>
    <w:p>
      <w:pPr>
        <w:pStyle w:val="167"/>
        <w:ind w:left="0"/>
        <w:rPr>
          <w:rFonts w:ascii="Times New Roman"/>
        </w:rPr>
      </w:pPr>
      <w:r>
        <w:rPr>
          <w:rFonts w:hint="eastAsia" w:hAnsi="宋体" w:cs="宋体"/>
          <w:szCs w:val="21"/>
        </w:rPr>
        <w:t>外购兽药、疫苗等物资入场前应对其外包装消毒</w:t>
      </w:r>
      <w:r>
        <w:rPr>
          <w:rFonts w:ascii="Times New Roman"/>
        </w:rPr>
        <w:t>。</w:t>
      </w:r>
    </w:p>
    <w:p>
      <w:pPr>
        <w:pStyle w:val="167"/>
        <w:ind w:left="0"/>
        <w:rPr>
          <w:rFonts w:ascii="Times New Roman"/>
        </w:rPr>
      </w:pPr>
      <w:r>
        <w:rPr>
          <w:rFonts w:hint="eastAsia" w:ascii="Times New Roman"/>
        </w:rPr>
        <w:t>物资应尽量分区专用，或只从低风险区域向高风险区域单向流通</w:t>
      </w:r>
      <w:r>
        <w:rPr>
          <w:rFonts w:ascii="Times New Roman"/>
        </w:rPr>
        <w:t>。</w:t>
      </w:r>
    </w:p>
    <w:p>
      <w:pPr>
        <w:pStyle w:val="106"/>
        <w:spacing w:before="312" w:after="312"/>
        <w:rPr>
          <w:rFonts w:ascii="Times New Roman" w:eastAsia="宋体"/>
        </w:rPr>
      </w:pPr>
      <w:bookmarkStart w:id="108" w:name="_Toc717"/>
      <w:bookmarkEnd w:id="108"/>
      <w:bookmarkStart w:id="109" w:name="_Toc190848166"/>
      <w:r>
        <w:rPr>
          <w:rFonts w:hAnsi="黑体"/>
          <w:color w:val="000000" w:themeColor="text1"/>
        </w:rPr>
        <w:t>饲养管理</w:t>
      </w:r>
      <w:bookmarkEnd w:id="109"/>
    </w:p>
    <w:p>
      <w:pPr>
        <w:pStyle w:val="164"/>
        <w:ind w:left="0"/>
        <w:rPr>
          <w:rFonts w:hAnsi="宋体" w:cs="宋体"/>
        </w:rPr>
      </w:pPr>
      <w:bookmarkStart w:id="110" w:name="_Toc173313617"/>
      <w:bookmarkEnd w:id="110"/>
      <w:bookmarkStart w:id="111" w:name="_Toc185923972"/>
      <w:r>
        <w:rPr>
          <w:rFonts w:hint="eastAsia" w:ascii="Times New Roman"/>
        </w:rPr>
        <w:t>饲养管理应符合NY/T 5128</w:t>
      </w:r>
      <w:r>
        <w:rPr>
          <w:rFonts w:hint="eastAsia" w:hAnsi="宋体" w:cs="宋体"/>
        </w:rPr>
        <w:t>的规定。</w:t>
      </w:r>
    </w:p>
    <w:bookmarkEnd w:id="111"/>
    <w:p>
      <w:pPr>
        <w:pStyle w:val="164"/>
        <w:ind w:left="0"/>
        <w:rPr>
          <w:rFonts w:hAnsi="宋体" w:cs="宋体"/>
        </w:rPr>
      </w:pPr>
      <w:r>
        <w:rPr>
          <w:rFonts w:hint="eastAsia" w:hAnsi="宋体" w:cs="宋体"/>
        </w:rPr>
        <w:t>使用的饲料原料和饲料、饲料添加剂产品应符合</w:t>
      </w:r>
      <w:r>
        <w:rPr>
          <w:rFonts w:hint="eastAsia" w:ascii="Times New Roman"/>
        </w:rPr>
        <w:t>NY 5032</w:t>
      </w:r>
      <w:r>
        <w:rPr>
          <w:rFonts w:hint="eastAsia" w:hAnsi="宋体" w:cs="宋体"/>
        </w:rPr>
        <w:t>的要求，禁止饲喂动物源性肉骨粉。</w:t>
      </w:r>
    </w:p>
    <w:p>
      <w:pPr>
        <w:pStyle w:val="164"/>
        <w:ind w:left="0"/>
        <w:rPr>
          <w:rFonts w:hAnsi="宋体" w:cs="宋体"/>
        </w:rPr>
      </w:pPr>
      <w:r>
        <w:rPr>
          <w:rFonts w:hint="eastAsia" w:hAnsi="宋体" w:cs="宋体"/>
        </w:rPr>
        <w:t>按</w:t>
      </w:r>
      <w:r>
        <w:rPr>
          <w:rFonts w:hint="eastAsia" w:ascii="Times New Roman"/>
        </w:rPr>
        <w:t>NY/T 5030</w:t>
      </w:r>
      <w:r>
        <w:rPr>
          <w:rFonts w:hint="eastAsia" w:hAnsi="宋体" w:cs="宋体"/>
        </w:rPr>
        <w:t>的规定使用兽药。</w:t>
      </w:r>
    </w:p>
    <w:p>
      <w:pPr>
        <w:pStyle w:val="164"/>
        <w:ind w:left="0"/>
        <w:rPr>
          <w:rFonts w:hAnsi="宋体" w:cs="宋体"/>
        </w:rPr>
      </w:pPr>
      <w:r>
        <w:rPr>
          <w:rFonts w:hint="eastAsia" w:hAnsi="宋体" w:cs="宋体"/>
        </w:rPr>
        <w:t>制定牛常见寄生虫的驱虫方案和程序，应选用高效、安全、广谱、低残留的抗寄生虫药定期对不同牛群实施驱虫灭虫。</w:t>
      </w:r>
    </w:p>
    <w:p>
      <w:pPr>
        <w:pStyle w:val="164"/>
        <w:ind w:left="0"/>
        <w:rPr>
          <w:rFonts w:hAnsi="宋体" w:cs="宋体"/>
        </w:rPr>
      </w:pPr>
      <w:r>
        <w:rPr>
          <w:rFonts w:hint="eastAsia" w:hAnsi="宋体" w:cs="宋体"/>
        </w:rPr>
        <w:t>加强对生产环境、水质、饲料、用药等生产环节有害、有毒物质残留的管理和监控，通过定期接受政府部门的抽检、送检或有条件的自检等方式，严格控制或杜绝违禁物品、有毒有害物质和药物残留</w:t>
      </w:r>
      <w:r>
        <w:rPr>
          <w:rFonts w:hAnsi="宋体" w:cs="宋体"/>
        </w:rPr>
        <w:t>。</w:t>
      </w:r>
    </w:p>
    <w:p>
      <w:pPr>
        <w:pStyle w:val="106"/>
        <w:spacing w:before="312" w:after="312"/>
        <w:rPr>
          <w:rFonts w:ascii="Times New Roman"/>
          <w:color w:val="000000" w:themeColor="text1"/>
        </w:rPr>
      </w:pPr>
      <w:bookmarkStart w:id="112" w:name="_Toc173313623"/>
      <w:bookmarkEnd w:id="112"/>
      <w:bookmarkStart w:id="113" w:name="_Toc190848167"/>
      <w:r>
        <w:rPr>
          <w:rFonts w:hAnsi="黑体"/>
          <w:color w:val="000000" w:themeColor="text1"/>
        </w:rPr>
        <w:t>疫病控制与净化</w:t>
      </w:r>
      <w:bookmarkEnd w:id="113"/>
    </w:p>
    <w:p>
      <w:pPr>
        <w:pStyle w:val="107"/>
        <w:spacing w:before="156" w:after="156"/>
        <w:ind w:left="0"/>
        <w:rPr>
          <w:rFonts w:ascii="Times New Roman"/>
          <w:color w:val="000000" w:themeColor="text1"/>
        </w:rPr>
      </w:pPr>
      <w:bookmarkStart w:id="114" w:name="_Ref172713460"/>
      <w:bookmarkEnd w:id="114"/>
      <w:r>
        <w:rPr>
          <w:rFonts w:hAnsi="黑体"/>
          <w:color w:val="000000" w:themeColor="text1"/>
        </w:rPr>
        <w:t>监测与净化</w:t>
      </w:r>
    </w:p>
    <w:p>
      <w:pPr>
        <w:pStyle w:val="167"/>
        <w:ind w:left="0"/>
        <w:rPr>
          <w:rFonts w:ascii="Times New Roman"/>
        </w:rPr>
      </w:pPr>
      <w:r>
        <w:rPr>
          <w:rFonts w:hint="eastAsia" w:hAnsi="宋体" w:cs="宋体"/>
          <w:bCs/>
          <w:kern w:val="2"/>
          <w:szCs w:val="24"/>
        </w:rPr>
        <w:t>肉牛场防疫实行预防为主，预防与控制、净化、消灭相结合的方针</w:t>
      </w:r>
      <w:r>
        <w:rPr>
          <w:rFonts w:ascii="Times New Roman"/>
        </w:rPr>
        <w:t>。</w:t>
      </w:r>
    </w:p>
    <w:p>
      <w:pPr>
        <w:pStyle w:val="167"/>
        <w:ind w:left="0"/>
        <w:rPr>
          <w:rFonts w:ascii="Times New Roman"/>
        </w:rPr>
      </w:pPr>
      <w:r>
        <w:rPr>
          <w:rFonts w:hint="eastAsia" w:ascii="Times New Roman"/>
        </w:rPr>
        <w:t>定期对本场口蹄疫、布鲁氏菌病、结核病、牛结节性皮肤病、炭疽等重大动物疫病和人兽共患病病种及本地区较为流行、危害较大的病种进行监测，定期开展流行病学调查，充分掌握周边区域疫情情况，制定针对性防控措施</w:t>
      </w:r>
      <w:r>
        <w:rPr>
          <w:rFonts w:ascii="Times New Roman"/>
        </w:rPr>
        <w:t>。</w:t>
      </w:r>
    </w:p>
    <w:p>
      <w:pPr>
        <w:pStyle w:val="167"/>
        <w:ind w:left="0"/>
        <w:rPr>
          <w:rFonts w:ascii="Times New Roman"/>
        </w:rPr>
      </w:pPr>
      <w:r>
        <w:rPr>
          <w:rFonts w:hint="eastAsia" w:ascii="Times New Roman"/>
        </w:rPr>
        <w:t>积极开展疫病净化工作。根据监测和流调情况，不断完善综合防控措施，提高管理水平，自主开展或参与政府有关部门牵头开展的相关疫病净化场、无疫小区、区域净化建设工作，优先实现牛结核、布鲁氏菌病等人兽共患病的净化消灭</w:t>
      </w:r>
      <w:r>
        <w:rPr>
          <w:rFonts w:ascii="Times New Roman"/>
        </w:rPr>
        <w:t>。</w:t>
      </w:r>
    </w:p>
    <w:p>
      <w:pPr>
        <w:pStyle w:val="107"/>
        <w:spacing w:before="156" w:after="156"/>
        <w:ind w:left="0"/>
        <w:rPr>
          <w:rFonts w:ascii="Times New Roman"/>
          <w:color w:val="000000" w:themeColor="text1"/>
        </w:rPr>
      </w:pPr>
      <w:bookmarkStart w:id="115" w:name="_Toc183423035"/>
      <w:r>
        <w:rPr>
          <w:rFonts w:hAnsi="黑体"/>
          <w:color w:val="000000" w:themeColor="text1"/>
        </w:rPr>
        <w:t>疫病免疫</w:t>
      </w:r>
    </w:p>
    <w:p>
      <w:pPr>
        <w:pStyle w:val="167"/>
        <w:ind w:left="0"/>
        <w:rPr>
          <w:rFonts w:ascii="Times New Roman"/>
        </w:rPr>
      </w:pPr>
      <w:r>
        <w:rPr>
          <w:rFonts w:hint="eastAsia" w:hAnsi="宋体" w:cs="宋体"/>
          <w:bCs/>
          <w:kern w:val="2"/>
          <w:szCs w:val="24"/>
        </w:rPr>
        <w:t>肉牛场应</w:t>
      </w:r>
      <w:r>
        <w:rPr>
          <w:rFonts w:hint="eastAsia" w:hAnsi="宋体" w:cs="宋体"/>
          <w:bCs/>
          <w:color w:val="000000" w:themeColor="text1"/>
          <w:kern w:val="2"/>
          <w:szCs w:val="24"/>
        </w:rPr>
        <w:t>按</w:t>
      </w:r>
      <w:r>
        <w:rPr>
          <w:rFonts w:hint="eastAsia" w:hAnsi="宋体" w:cs="宋体"/>
          <w:bCs/>
          <w:kern w:val="2"/>
          <w:szCs w:val="24"/>
        </w:rPr>
        <w:t>畜牧兽医主管部门的规定，结合牛场疫病控制和净化工作计划、疫情形势，制定免疫方案。</w:t>
      </w:r>
    </w:p>
    <w:p>
      <w:pPr>
        <w:pStyle w:val="167"/>
        <w:ind w:left="0"/>
        <w:rPr>
          <w:rFonts w:ascii="Times New Roman"/>
          <w:color w:val="000000" w:themeColor="text1"/>
        </w:rPr>
      </w:pPr>
      <w:r>
        <w:rPr>
          <w:rFonts w:hint="eastAsia" w:hAnsi="宋体" w:cs="宋体"/>
          <w:bCs/>
          <w:color w:val="000000" w:themeColor="text1"/>
          <w:kern w:val="2"/>
          <w:szCs w:val="24"/>
        </w:rPr>
        <w:t>国家强制免疫病种免疫密度达到</w:t>
      </w:r>
      <w:r>
        <w:rPr>
          <w:rFonts w:hint="eastAsia" w:ascii="Times New Roman"/>
        </w:rPr>
        <w:t>100%</w:t>
      </w:r>
      <w:r>
        <w:rPr>
          <w:rFonts w:hint="eastAsia" w:hAnsi="宋体" w:cs="宋体"/>
          <w:bCs/>
          <w:color w:val="000000" w:themeColor="text1"/>
          <w:kern w:val="2"/>
          <w:szCs w:val="24"/>
        </w:rPr>
        <w:t>，群体免疫抗体水平达到</w:t>
      </w:r>
      <w:r>
        <w:rPr>
          <w:rFonts w:hint="eastAsia" w:ascii="Times New Roman"/>
        </w:rPr>
        <w:t>70%</w:t>
      </w:r>
      <w:r>
        <w:rPr>
          <w:rFonts w:hint="eastAsia" w:hAnsi="宋体" w:cs="宋体"/>
          <w:bCs/>
          <w:color w:val="000000" w:themeColor="text1"/>
          <w:kern w:val="2"/>
          <w:szCs w:val="24"/>
        </w:rPr>
        <w:t>以上</w:t>
      </w:r>
      <w:r>
        <w:rPr>
          <w:rFonts w:ascii="Times New Roman"/>
          <w:color w:val="000000" w:themeColor="text1"/>
        </w:rPr>
        <w:t>。</w:t>
      </w:r>
    </w:p>
    <w:p>
      <w:pPr>
        <w:pStyle w:val="167"/>
        <w:ind w:left="0"/>
        <w:rPr>
          <w:rFonts w:ascii="Times New Roman"/>
          <w:color w:val="000000" w:themeColor="text1"/>
        </w:rPr>
      </w:pPr>
      <w:r>
        <w:rPr>
          <w:rFonts w:hint="eastAsia" w:hAnsi="宋体" w:cs="宋体"/>
          <w:bCs/>
          <w:color w:val="000000" w:themeColor="text1"/>
          <w:kern w:val="2"/>
          <w:szCs w:val="24"/>
        </w:rPr>
        <w:t>根据《中华人民共和国动物防疫法》及其配套法规的要求，结合当地实际情况，参见附录A有选择地进行疫病的预防接种工作</w:t>
      </w:r>
      <w:r>
        <w:rPr>
          <w:rFonts w:ascii="Times New Roman"/>
          <w:color w:val="000000" w:themeColor="text1"/>
        </w:rPr>
        <w:t>。</w:t>
      </w:r>
    </w:p>
    <w:p>
      <w:pPr>
        <w:pStyle w:val="167"/>
        <w:ind w:left="0"/>
        <w:rPr>
          <w:rFonts w:ascii="Times New Roman"/>
          <w:color w:val="000000" w:themeColor="text1"/>
        </w:rPr>
      </w:pPr>
      <w:r>
        <w:rPr>
          <w:rFonts w:hint="eastAsia" w:hAnsi="宋体" w:cs="宋体"/>
          <w:bCs/>
          <w:color w:val="000000" w:themeColor="text1"/>
          <w:kern w:val="2"/>
          <w:szCs w:val="24"/>
        </w:rPr>
        <w:t>疫苗来源应符合《兽用生物制品经营管理办法》的规定，不得使用过期、保藏不善或包装破损的疫苗。</w:t>
      </w:r>
    </w:p>
    <w:p>
      <w:pPr>
        <w:pStyle w:val="167"/>
        <w:ind w:left="0"/>
        <w:rPr>
          <w:rFonts w:ascii="Times New Roman"/>
          <w:color w:val="000000" w:themeColor="text1"/>
        </w:rPr>
      </w:pPr>
      <w:r>
        <w:rPr>
          <w:rFonts w:hint="eastAsia" w:hAnsi="宋体" w:cs="宋体"/>
          <w:bCs/>
          <w:color w:val="000000" w:themeColor="text1"/>
          <w:kern w:val="2"/>
          <w:szCs w:val="24"/>
        </w:rPr>
        <w:t>做好免疫效果评估，自主开展或配合本地兽医主管部门完成春、秋两季集中免疫效果评估。根据评估情况及时改进免疫程序。</w:t>
      </w:r>
    </w:p>
    <w:bookmarkEnd w:id="115"/>
    <w:p>
      <w:pPr>
        <w:pStyle w:val="107"/>
        <w:spacing w:before="156" w:after="156"/>
        <w:ind w:left="0"/>
        <w:rPr>
          <w:rFonts w:ascii="Times New Roman"/>
        </w:rPr>
      </w:pPr>
      <w:r>
        <w:rPr>
          <w:rFonts w:hAnsi="黑体"/>
        </w:rPr>
        <w:t>消毒灭源</w:t>
      </w:r>
    </w:p>
    <w:p>
      <w:pPr>
        <w:pStyle w:val="167"/>
        <w:ind w:left="0"/>
        <w:rPr>
          <w:rFonts w:ascii="Times New Roman"/>
        </w:rPr>
      </w:pPr>
      <w:r>
        <w:rPr>
          <w:rFonts w:hint="eastAsia" w:hAnsi="宋体" w:cs="宋体"/>
          <w:bCs/>
          <w:kern w:val="2"/>
          <w:szCs w:val="24"/>
        </w:rPr>
        <w:t>场内应按照</w:t>
      </w:r>
      <w:r>
        <w:rPr>
          <w:rFonts w:hint="eastAsia" w:ascii="Times New Roman"/>
        </w:rPr>
        <w:t xml:space="preserve"> NY/T 3075</w:t>
      </w:r>
      <w:r>
        <w:rPr>
          <w:rFonts w:hint="eastAsia" w:hAnsi="宋体" w:cs="宋体"/>
          <w:bCs/>
          <w:kern w:val="2"/>
          <w:szCs w:val="24"/>
        </w:rPr>
        <w:t>的要求建立和实施消毒制度，至少每半年开展一次全场大消毒并观察和监测消毒效果。疫病流行期间，应增加消毒频次</w:t>
      </w:r>
      <w:r>
        <w:rPr>
          <w:rFonts w:ascii="Times New Roman"/>
        </w:rPr>
        <w:t>。</w:t>
      </w:r>
    </w:p>
    <w:p>
      <w:pPr>
        <w:pStyle w:val="167"/>
        <w:ind w:left="0"/>
        <w:rPr>
          <w:rFonts w:ascii="Times New Roman"/>
        </w:rPr>
      </w:pPr>
      <w:r>
        <w:rPr>
          <w:rFonts w:hint="eastAsia" w:hAnsi="宋体" w:cs="宋体"/>
          <w:bCs/>
          <w:kern w:val="2"/>
          <w:szCs w:val="24"/>
        </w:rPr>
        <w:t>保持场内清洁卫生，场区道路、房舍、圈舍、设备、器皿等坚持每天清洗</w:t>
      </w:r>
      <w:r>
        <w:rPr>
          <w:rFonts w:ascii="Times New Roman"/>
        </w:rPr>
        <w:t>。</w:t>
      </w:r>
    </w:p>
    <w:p>
      <w:pPr>
        <w:pStyle w:val="167"/>
        <w:ind w:left="0"/>
        <w:rPr>
          <w:rFonts w:ascii="Times New Roman"/>
        </w:rPr>
      </w:pPr>
      <w:r>
        <w:rPr>
          <w:rFonts w:hint="eastAsia" w:hAnsi="宋体" w:cs="宋体"/>
          <w:bCs/>
          <w:kern w:val="2"/>
          <w:szCs w:val="24"/>
        </w:rPr>
        <w:t>进入生产区的人员应洗手、戴工作帽、穿工作服和胶靴。工作服、帽等应保持清洁，每周消毒一次。</w:t>
      </w:r>
    </w:p>
    <w:p>
      <w:pPr>
        <w:pStyle w:val="167"/>
        <w:ind w:left="0"/>
        <w:rPr>
          <w:rFonts w:ascii="Times New Roman"/>
        </w:rPr>
      </w:pPr>
      <w:r>
        <w:rPr>
          <w:rFonts w:hint="eastAsia" w:hAnsi="宋体" w:cs="宋体"/>
          <w:bCs/>
          <w:kern w:val="2"/>
          <w:szCs w:val="24"/>
        </w:rPr>
        <w:t>每批牛调出后，对牛舍立即彻底清扫、冲洗后严格消毒，至少空栏</w:t>
      </w:r>
      <w:r>
        <w:rPr>
          <w:rFonts w:hint="eastAsia" w:ascii="Times New Roman"/>
        </w:rPr>
        <w:t>5-7</w:t>
      </w:r>
      <w:r>
        <w:rPr>
          <w:rFonts w:hint="eastAsia" w:hAnsi="宋体" w:cs="宋体"/>
          <w:bCs/>
          <w:kern w:val="2"/>
          <w:szCs w:val="24"/>
        </w:rPr>
        <w:t>天再进牛。</w:t>
      </w:r>
    </w:p>
    <w:p>
      <w:pPr>
        <w:pStyle w:val="167"/>
        <w:ind w:left="0"/>
        <w:rPr>
          <w:rFonts w:ascii="Times New Roman"/>
        </w:rPr>
      </w:pPr>
      <w:r>
        <w:rPr>
          <w:rFonts w:hint="eastAsia" w:ascii="Times New Roman"/>
        </w:rPr>
        <w:t>使用的消毒药物应安全、高效、低毒低残留且配制方便，应根据消毒药物的特性和场内卫生状况等选用不同的消毒药，以获得最佳消毒效果。</w:t>
      </w:r>
    </w:p>
    <w:p>
      <w:pPr>
        <w:pStyle w:val="167"/>
        <w:ind w:left="0"/>
        <w:rPr>
          <w:rFonts w:ascii="Times New Roman"/>
        </w:rPr>
      </w:pPr>
      <w:r>
        <w:rPr>
          <w:rFonts w:hint="eastAsia" w:hAnsi="宋体" w:cs="宋体"/>
          <w:bCs/>
          <w:kern w:val="2"/>
          <w:szCs w:val="24"/>
        </w:rPr>
        <w:t>牛场的每个消毒池应每周更换一次消毒液，保持有效浓度。</w:t>
      </w:r>
    </w:p>
    <w:p>
      <w:pPr>
        <w:pStyle w:val="167"/>
        <w:ind w:left="0"/>
        <w:rPr>
          <w:rFonts w:ascii="Times New Roman"/>
        </w:rPr>
      </w:pPr>
      <w:r>
        <w:rPr>
          <w:rFonts w:hint="eastAsia" w:hAnsi="宋体" w:cs="宋体"/>
          <w:bCs/>
          <w:kern w:val="2"/>
          <w:szCs w:val="24"/>
        </w:rPr>
        <w:t>落实灭鼠、灭蚊、灭蝇工作计划和措施，禁止其它家畜、禽、犬、猫等动物进入场内。</w:t>
      </w:r>
    </w:p>
    <w:p>
      <w:pPr>
        <w:pStyle w:val="107"/>
        <w:spacing w:before="156" w:after="156"/>
        <w:ind w:left="0"/>
        <w:rPr>
          <w:rFonts w:ascii="Times New Roman"/>
          <w:color w:val="000000" w:themeColor="text1"/>
        </w:rPr>
      </w:pPr>
      <w:bookmarkStart w:id="116" w:name="_Ref172727126"/>
      <w:bookmarkEnd w:id="116"/>
      <w:r>
        <w:rPr>
          <w:rFonts w:hAnsi="黑体"/>
          <w:color w:val="000000" w:themeColor="text1"/>
        </w:rPr>
        <w:t>疫病处置</w:t>
      </w:r>
    </w:p>
    <w:p>
      <w:pPr>
        <w:pStyle w:val="167"/>
        <w:ind w:left="0"/>
        <w:rPr>
          <w:rFonts w:ascii="Times New Roman"/>
          <w:color w:val="000000" w:themeColor="text1"/>
        </w:rPr>
      </w:pPr>
      <w:r>
        <w:rPr>
          <w:rFonts w:hint="eastAsia" w:hAnsi="宋体" w:cs="宋体"/>
          <w:bCs/>
          <w:kern w:val="2"/>
          <w:szCs w:val="24"/>
        </w:rPr>
        <w:t>发现口蹄疫、牛海绵状脑病、牛瘟、牛传染性胸膜肺炎等一类动物疫情或疑似疫情</w:t>
      </w:r>
      <w:r>
        <w:rPr>
          <w:rFonts w:hint="eastAsia" w:hAnsi="宋体" w:cs="宋体"/>
          <w:bCs/>
          <w:color w:val="000000" w:themeColor="text1"/>
          <w:kern w:val="2"/>
          <w:szCs w:val="24"/>
        </w:rPr>
        <w:t>，应根据《中华人民共和国动物防疫法》、《重大动物疫情应急条例》的规定及时报告和处置</w:t>
      </w:r>
      <w:r>
        <w:rPr>
          <w:rFonts w:ascii="Times New Roman"/>
          <w:color w:val="000000" w:themeColor="text1"/>
        </w:rPr>
        <w:t>。</w:t>
      </w:r>
    </w:p>
    <w:p>
      <w:pPr>
        <w:pStyle w:val="167"/>
        <w:ind w:left="0"/>
        <w:rPr>
          <w:rFonts w:ascii="Times New Roman"/>
        </w:rPr>
      </w:pPr>
      <w:r>
        <w:rPr>
          <w:rFonts w:hint="eastAsia" w:hAnsi="宋体" w:cs="宋体"/>
          <w:bCs/>
          <w:kern w:val="2"/>
          <w:szCs w:val="24"/>
        </w:rPr>
        <w:t>发生牛结核病、布鲁氏菌病、牛结节性皮肤病等疫病，应对牛群实施清群和净化措施。爆发其他种类疫病应采取隔离、处置染疫或疑似染疫动物，必要时可以对易感动物采取紧急免疫措施，同时报告当地兽医主管部门</w:t>
      </w:r>
      <w:r>
        <w:rPr>
          <w:rFonts w:ascii="Times New Roman"/>
        </w:rPr>
        <w:t>。</w:t>
      </w:r>
    </w:p>
    <w:p>
      <w:pPr>
        <w:pStyle w:val="106"/>
        <w:spacing w:before="312" w:after="312"/>
        <w:rPr>
          <w:rFonts w:ascii="Times New Roman"/>
          <w:color w:val="FF0000"/>
        </w:rPr>
      </w:pPr>
      <w:bookmarkStart w:id="117" w:name="_Toc190848168"/>
      <w:r>
        <w:rPr>
          <w:rFonts w:hAnsi="黑体"/>
        </w:rPr>
        <w:t>无害化处理</w:t>
      </w:r>
      <w:bookmarkEnd w:id="117"/>
    </w:p>
    <w:p>
      <w:pPr>
        <w:pStyle w:val="107"/>
        <w:spacing w:before="156" w:after="156"/>
        <w:ind w:left="0"/>
        <w:rPr>
          <w:rFonts w:ascii="Times New Roman"/>
          <w:color w:val="FF0000"/>
        </w:rPr>
      </w:pPr>
      <w:r>
        <w:rPr>
          <w:rFonts w:hAnsi="黑体"/>
        </w:rPr>
        <w:t>废弃物无害化处理</w:t>
      </w:r>
    </w:p>
    <w:p>
      <w:pPr>
        <w:pStyle w:val="167"/>
        <w:ind w:left="0"/>
        <w:rPr>
          <w:rFonts w:ascii="Times New Roman"/>
        </w:rPr>
      </w:pPr>
      <w:r>
        <w:rPr>
          <w:rFonts w:hint="eastAsia" w:hAnsi="宋体" w:cs="宋体"/>
        </w:rPr>
        <w:t>养牛场应加强饲养管理，从源头减少粪污废弃物的产生</w:t>
      </w:r>
      <w:r>
        <w:rPr>
          <w:rFonts w:ascii="Times New Roman"/>
        </w:rPr>
        <w:t>。</w:t>
      </w:r>
    </w:p>
    <w:p>
      <w:pPr>
        <w:pStyle w:val="167"/>
        <w:ind w:left="0"/>
        <w:rPr>
          <w:rFonts w:ascii="Times New Roman"/>
        </w:rPr>
      </w:pPr>
      <w:r>
        <w:rPr>
          <w:rFonts w:hint="eastAsia" w:hAnsi="宋体" w:cs="宋体"/>
        </w:rPr>
        <w:t>粪尿及污物的处理与排放应符合</w:t>
      </w:r>
      <w:r>
        <w:rPr>
          <w:rFonts w:hint="eastAsia" w:ascii="Times New Roman"/>
        </w:rPr>
        <w:t>GB 18596</w:t>
      </w:r>
      <w:r>
        <w:rPr>
          <w:rFonts w:hint="eastAsia" w:hAnsi="宋体" w:cs="宋体"/>
        </w:rPr>
        <w:t>的规定</w:t>
      </w:r>
      <w:r>
        <w:rPr>
          <w:rFonts w:ascii="Times New Roman"/>
        </w:rPr>
        <w:t>。</w:t>
      </w:r>
    </w:p>
    <w:p>
      <w:pPr>
        <w:pStyle w:val="167"/>
        <w:ind w:left="0"/>
        <w:rPr>
          <w:rFonts w:ascii="Times New Roman"/>
        </w:rPr>
      </w:pPr>
      <w:r>
        <w:rPr>
          <w:rFonts w:hint="eastAsia" w:hAnsi="宋体" w:cs="宋体"/>
        </w:rPr>
        <w:t>各类外包装彻底消毒后再利用或送生活垃圾收集点</w:t>
      </w:r>
      <w:r>
        <w:rPr>
          <w:rFonts w:ascii="Times New Roman"/>
        </w:rPr>
        <w:t>。</w:t>
      </w:r>
    </w:p>
    <w:p>
      <w:pPr>
        <w:pStyle w:val="167"/>
        <w:ind w:left="0"/>
        <w:rPr>
          <w:rFonts w:ascii="Times New Roman"/>
        </w:rPr>
      </w:pPr>
      <w:r>
        <w:rPr>
          <w:rFonts w:hint="eastAsia" w:hAnsi="宋体" w:cs="宋体"/>
        </w:rPr>
        <w:t>兽医医疗废弃物应委托医疗垃圾处理机构收集处理。</w:t>
      </w:r>
    </w:p>
    <w:p>
      <w:pPr>
        <w:pStyle w:val="107"/>
        <w:spacing w:before="156" w:after="156"/>
        <w:ind w:left="0"/>
        <w:rPr>
          <w:rFonts w:ascii="Times New Roman"/>
          <w:color w:val="FF0000"/>
        </w:rPr>
      </w:pPr>
      <w:r>
        <w:rPr>
          <w:rFonts w:hAnsi="黑体" w:cs="黑体"/>
        </w:rPr>
        <w:t>病死动物无害化处理</w:t>
      </w:r>
    </w:p>
    <w:p>
      <w:pPr>
        <w:pStyle w:val="167"/>
        <w:ind w:left="0"/>
        <w:rPr>
          <w:rFonts w:ascii="Times New Roman"/>
        </w:rPr>
      </w:pPr>
      <w:r>
        <w:rPr>
          <w:rFonts w:hint="eastAsia" w:hAnsi="宋体" w:cs="宋体"/>
        </w:rPr>
        <w:t>有条件的牛场可建立符合要求的病死动物无害化处理设施，就近处理场内病死病害动物。未建立无害化处理设施的，应委托病死病害动物无害化处理（点）中心收集处理</w:t>
      </w:r>
      <w:r>
        <w:rPr>
          <w:rFonts w:ascii="Times New Roman"/>
        </w:rPr>
        <w:t>。</w:t>
      </w:r>
    </w:p>
    <w:p>
      <w:pPr>
        <w:pStyle w:val="167"/>
        <w:ind w:left="0"/>
        <w:rPr>
          <w:rFonts w:ascii="Times New Roman"/>
          <w:color w:val="000000" w:themeColor="text1"/>
        </w:rPr>
      </w:pPr>
      <w:r>
        <w:rPr>
          <w:rFonts w:hint="eastAsia" w:hAnsi="宋体" w:cs="宋体"/>
        </w:rPr>
        <w:t>病死病害动物无害化处理遵照</w:t>
      </w:r>
      <w:r>
        <w:rPr>
          <w:rFonts w:hint="eastAsia" w:hAnsi="宋体" w:cs="宋体"/>
          <w:color w:val="000000" w:themeColor="text1"/>
        </w:rPr>
        <w:t>《病死及病害动物无害化处理技术规范》（农医发</w:t>
      </w:r>
      <w:r>
        <w:rPr>
          <w:rFonts w:hint="eastAsia" w:ascii="Times New Roman"/>
        </w:rPr>
        <w:t>〔2017〕25</w:t>
      </w:r>
      <w:r>
        <w:rPr>
          <w:rFonts w:hint="eastAsia" w:hAnsi="宋体" w:cs="宋体"/>
          <w:color w:val="000000" w:themeColor="text1"/>
        </w:rPr>
        <w:t>号）执行</w:t>
      </w:r>
      <w:r>
        <w:rPr>
          <w:rFonts w:ascii="Times New Roman"/>
          <w:color w:val="000000" w:themeColor="text1"/>
        </w:rPr>
        <w:t>。</w:t>
      </w:r>
    </w:p>
    <w:p>
      <w:pPr>
        <w:pStyle w:val="106"/>
        <w:spacing w:before="312" w:after="312"/>
        <w:rPr>
          <w:rFonts w:ascii="Times New Roman"/>
          <w:color w:val="FF0000"/>
        </w:rPr>
      </w:pPr>
      <w:bookmarkStart w:id="118" w:name="_Toc190848169"/>
      <w:r>
        <w:rPr>
          <w:rFonts w:hAnsi="黑体"/>
        </w:rPr>
        <w:t>档案管理</w:t>
      </w:r>
      <w:bookmarkEnd w:id="118"/>
    </w:p>
    <w:p>
      <w:pPr>
        <w:pStyle w:val="164"/>
        <w:ind w:left="0"/>
        <w:rPr>
          <w:rFonts w:hAnsi="宋体" w:cs="宋体"/>
        </w:rPr>
      </w:pPr>
      <w:r>
        <w:rPr>
          <w:rFonts w:hint="eastAsia" w:hAnsi="宋体" w:cs="宋体"/>
        </w:rPr>
        <w:t>应按规定建立肉牛场防疫档案，防疫档案参见附录</w:t>
      </w:r>
      <w:r>
        <w:rPr>
          <w:rFonts w:ascii="Times New Roman"/>
        </w:rPr>
        <w:t>B</w:t>
      </w:r>
      <w:r>
        <w:rPr>
          <w:rFonts w:hint="eastAsia" w:hAnsi="宋体" w:cs="宋体"/>
        </w:rPr>
        <w:t>。</w:t>
      </w:r>
    </w:p>
    <w:p>
      <w:pPr>
        <w:pStyle w:val="164"/>
        <w:ind w:left="0"/>
        <w:rPr>
          <w:rFonts w:hAnsi="宋体" w:cs="宋体"/>
        </w:rPr>
      </w:pPr>
      <w:r>
        <w:rPr>
          <w:rFonts w:hint="eastAsia" w:hAnsi="宋体" w:cs="宋体"/>
        </w:rPr>
        <w:t>建立牛籍卡，做到一牛一卡一号，记录牛的编号、出生日期、外貌、生产性能等原始资料</w:t>
      </w:r>
      <w:r>
        <w:rPr>
          <w:rFonts w:hAnsi="宋体" w:cs="宋体"/>
        </w:rPr>
        <w:t>。</w:t>
      </w:r>
    </w:p>
    <w:p>
      <w:pPr>
        <w:pStyle w:val="164"/>
        <w:ind w:left="0"/>
        <w:rPr>
          <w:rFonts w:hAnsi="宋体" w:cs="宋体"/>
        </w:rPr>
      </w:pPr>
      <w:r>
        <w:rPr>
          <w:rFonts w:hint="eastAsia" w:hAnsi="宋体" w:cs="宋体"/>
        </w:rPr>
        <w:t>所有记录保</w:t>
      </w:r>
      <w:r>
        <w:rPr>
          <w:rFonts w:hint="eastAsia" w:hAnsi="宋体" w:cs="宋体"/>
          <w:color w:val="000000" w:themeColor="text1"/>
        </w:rPr>
        <w:t>存</w:t>
      </w:r>
      <w:r>
        <w:rPr>
          <w:rFonts w:hint="eastAsia" w:ascii="Times New Roman"/>
        </w:rPr>
        <w:t>20</w:t>
      </w:r>
      <w:r>
        <w:rPr>
          <w:rFonts w:hint="eastAsia" w:hAnsi="宋体" w:cs="宋体"/>
          <w:color w:val="000000" w:themeColor="text1"/>
        </w:rPr>
        <w:t>年</w:t>
      </w:r>
      <w:r>
        <w:rPr>
          <w:rFonts w:hint="eastAsia" w:hAnsi="宋体" w:cs="宋体"/>
        </w:rPr>
        <w:t>以上</w:t>
      </w:r>
      <w:r>
        <w:rPr>
          <w:rFonts w:hAnsi="宋体" w:cs="宋体"/>
        </w:rPr>
        <w:t>。</w:t>
      </w:r>
    </w:p>
    <w:p>
      <w:pPr>
        <w:pStyle w:val="167"/>
        <w:numPr>
          <w:ilvl w:val="3"/>
          <w:numId w:val="0"/>
        </w:numPr>
        <w:rPr>
          <w:rFonts w:ascii="Times New Roman"/>
        </w:rPr>
      </w:pPr>
    </w:p>
    <w:p>
      <w:pPr>
        <w:rPr>
          <w:rFonts w:ascii="Times New Roman"/>
        </w:rPr>
        <w:sectPr>
          <w:pgSz w:w="11906" w:h="16838"/>
          <w:pgMar w:top="1928" w:right="1134" w:bottom="1134" w:left="1134" w:header="1418" w:footer="1134" w:gutter="284"/>
          <w:cols w:space="425" w:num="1"/>
          <w:formProt w:val="0"/>
          <w:docGrid w:type="lines" w:linePitch="312" w:charSpace="0"/>
        </w:sectPr>
      </w:pPr>
    </w:p>
    <w:bookmarkEnd w:id="33"/>
    <w:p>
      <w:pPr>
        <w:pStyle w:val="78"/>
        <w:spacing w:after="156"/>
      </w:pPr>
      <w:bookmarkStart w:id="119" w:name="BookMark5"/>
      <w:r>
        <w:br w:type="textWrapping"/>
      </w:r>
      <w:bookmarkStart w:id="120" w:name="_Toc190848170"/>
      <w:r>
        <w:rPr>
          <w:rFonts w:hint="eastAsia"/>
        </w:rPr>
        <w:t>（资料性）</w:t>
      </w:r>
      <w:bookmarkEnd w:id="120"/>
      <w:r>
        <w:br w:type="textWrapping"/>
      </w:r>
    </w:p>
    <w:p>
      <w:pPr>
        <w:pStyle w:val="58"/>
        <w:ind w:firstLine="0" w:firstLineChars="0"/>
        <w:jc w:val="center"/>
        <w:rPr>
          <w:rFonts w:ascii="黑体" w:hAnsi="黑体" w:eastAsia="黑体" w:cs="黑体"/>
        </w:rPr>
      </w:pPr>
      <w:r>
        <w:rPr>
          <w:rFonts w:hint="eastAsia" w:ascii="黑体" w:hAnsi="黑体" w:eastAsia="黑体" w:cs="黑体"/>
        </w:rPr>
        <w:t>肉牛常用疫苗接种方法</w:t>
      </w:r>
    </w:p>
    <w:tbl>
      <w:tblPr>
        <w:tblStyle w:val="34"/>
        <w:tblW w:w="9606"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95"/>
        <w:gridCol w:w="5502"/>
        <w:gridCol w:w="9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365" w:hRule="atLeast"/>
          <w:jc w:val="center"/>
        </w:trPr>
        <w:tc>
          <w:tcPr>
            <w:tcW w:w="3195" w:type="dxa"/>
          </w:tcPr>
          <w:p>
            <w:pPr>
              <w:pStyle w:val="239"/>
              <w:spacing w:before="83" w:line="220" w:lineRule="auto"/>
              <w:ind w:left="1265"/>
              <w:rPr>
                <w:sz w:val="21"/>
                <w:szCs w:val="21"/>
              </w:rPr>
            </w:pPr>
            <w:r>
              <w:rPr>
                <w:rFonts w:hint="eastAsia"/>
                <w:spacing w:val="-2"/>
                <w:sz w:val="21"/>
                <w:szCs w:val="21"/>
              </w:rPr>
              <w:t>疫苗名称</w:t>
            </w:r>
          </w:p>
        </w:tc>
        <w:tc>
          <w:tcPr>
            <w:tcW w:w="5502" w:type="dxa"/>
          </w:tcPr>
          <w:p>
            <w:pPr>
              <w:pStyle w:val="239"/>
              <w:spacing w:before="83" w:line="220" w:lineRule="auto"/>
              <w:ind w:left="2483"/>
              <w:rPr>
                <w:sz w:val="21"/>
                <w:szCs w:val="21"/>
              </w:rPr>
            </w:pPr>
            <w:r>
              <w:rPr>
                <w:rFonts w:hint="eastAsia"/>
                <w:spacing w:val="-4"/>
                <w:sz w:val="21"/>
                <w:szCs w:val="21"/>
              </w:rPr>
              <w:t>接</w:t>
            </w:r>
            <w:r>
              <w:rPr>
                <w:spacing w:val="-4"/>
                <w:sz w:val="21"/>
                <w:szCs w:val="21"/>
              </w:rPr>
              <w:t xml:space="preserve"> </w:t>
            </w:r>
            <w:r>
              <w:rPr>
                <w:rFonts w:hint="eastAsia"/>
                <w:spacing w:val="-4"/>
                <w:sz w:val="21"/>
                <w:szCs w:val="21"/>
              </w:rPr>
              <w:t>种</w:t>
            </w:r>
            <w:r>
              <w:rPr>
                <w:spacing w:val="-4"/>
                <w:sz w:val="21"/>
                <w:szCs w:val="21"/>
              </w:rPr>
              <w:t xml:space="preserve"> </w:t>
            </w:r>
            <w:r>
              <w:rPr>
                <w:rFonts w:hint="eastAsia"/>
                <w:spacing w:val="-4"/>
                <w:sz w:val="21"/>
                <w:szCs w:val="21"/>
              </w:rPr>
              <w:t>方</w:t>
            </w:r>
            <w:r>
              <w:rPr>
                <w:spacing w:val="-4"/>
                <w:sz w:val="21"/>
                <w:szCs w:val="21"/>
              </w:rPr>
              <w:t xml:space="preserve"> </w:t>
            </w:r>
            <w:r>
              <w:rPr>
                <w:rFonts w:hint="eastAsia"/>
                <w:spacing w:val="-4"/>
                <w:sz w:val="21"/>
                <w:szCs w:val="21"/>
              </w:rPr>
              <w:t>法</w:t>
            </w:r>
          </w:p>
        </w:tc>
        <w:tc>
          <w:tcPr>
            <w:tcW w:w="909" w:type="dxa"/>
            <w:vAlign w:val="center"/>
          </w:tcPr>
          <w:p>
            <w:pPr>
              <w:pStyle w:val="239"/>
              <w:spacing w:before="83" w:line="220" w:lineRule="auto"/>
              <w:jc w:val="center"/>
              <w:rPr>
                <w:sz w:val="21"/>
                <w:szCs w:val="21"/>
              </w:rPr>
            </w:pPr>
            <w:r>
              <w:rPr>
                <w:rFonts w:hint="eastAsia"/>
                <w:spacing w:val="4"/>
                <w:sz w:val="21"/>
                <w:szCs w:val="21"/>
              </w:rPr>
              <w:t>免疫期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619" w:hRule="atLeast"/>
          <w:jc w:val="center"/>
        </w:trPr>
        <w:tc>
          <w:tcPr>
            <w:tcW w:w="3195" w:type="dxa"/>
          </w:tcPr>
          <w:p>
            <w:pPr>
              <w:pStyle w:val="239"/>
              <w:spacing w:before="206" w:line="218" w:lineRule="auto"/>
              <w:ind w:left="145"/>
              <w:rPr>
                <w:rFonts w:ascii="Times New Roman" w:hAnsi="Times New Roman" w:cs="Times New Roman"/>
                <w:sz w:val="21"/>
                <w:szCs w:val="21"/>
              </w:rPr>
            </w:pPr>
            <w:r>
              <w:rPr>
                <w:rFonts w:ascii="Times New Roman" w:hAnsi="Times New Roman" w:cs="Times New Roman"/>
                <w:spacing w:val="1"/>
                <w:sz w:val="21"/>
                <w:szCs w:val="21"/>
              </w:rPr>
              <w:t>牛口蹄疫0型、A型二价灭活疫苗</w:t>
            </w:r>
          </w:p>
        </w:tc>
        <w:tc>
          <w:tcPr>
            <w:tcW w:w="5502" w:type="dxa"/>
          </w:tcPr>
          <w:p>
            <w:pPr>
              <w:pStyle w:val="239"/>
              <w:spacing w:before="208" w:line="219" w:lineRule="auto"/>
              <w:ind w:left="113"/>
              <w:rPr>
                <w:rFonts w:ascii="Times New Roman" w:hAnsi="Times New Roman" w:cs="Times New Roman"/>
                <w:sz w:val="21"/>
                <w:szCs w:val="21"/>
              </w:rPr>
            </w:pPr>
            <w:r>
              <w:rPr>
                <w:rFonts w:ascii="Times New Roman" w:hAnsi="Times New Roman" w:cs="Times New Roman"/>
                <w:spacing w:val="2"/>
                <w:sz w:val="21"/>
                <w:szCs w:val="21"/>
              </w:rPr>
              <w:t>肌肉注射，每头1.0</w:t>
            </w:r>
            <w:r>
              <w:rPr>
                <w:rFonts w:ascii="Times New Roman" w:hAnsi="Times New Roman" w:cs="Times New Roman"/>
                <w:sz w:val="21"/>
                <w:szCs w:val="21"/>
              </w:rPr>
              <w:t>ml，</w:t>
            </w:r>
            <w:bookmarkStart w:id="121" w:name="OLE_LINK15"/>
            <w:bookmarkStart w:id="122" w:name="OLE_LINK14"/>
            <w:r>
              <w:rPr>
                <w:rFonts w:ascii="Times New Roman" w:hAnsi="Times New Roman" w:cs="Times New Roman"/>
                <w:sz w:val="21"/>
                <w:szCs w:val="21"/>
              </w:rPr>
              <w:t>犊牛90日龄初免，首次免疫后，间隔1个月加强免疫，以后每4-6个月加强免疫一次。</w:t>
            </w:r>
            <w:bookmarkEnd w:id="121"/>
            <w:bookmarkEnd w:id="122"/>
          </w:p>
        </w:tc>
        <w:tc>
          <w:tcPr>
            <w:tcW w:w="909" w:type="dxa"/>
            <w:vAlign w:val="center"/>
          </w:tcPr>
          <w:p>
            <w:pPr>
              <w:pStyle w:val="239"/>
              <w:spacing w:line="380" w:lineRule="exact"/>
              <w:jc w:val="center"/>
              <w:rPr>
                <w:rFonts w:ascii="Times New Roman" w:hAnsi="Times New Roman" w:cs="Times New Roman"/>
                <w:sz w:val="21"/>
                <w:szCs w:val="21"/>
              </w:rPr>
            </w:pPr>
            <w:r>
              <w:rPr>
                <w:rFonts w:ascii="Times New Roman" w:hAnsi="Times New Roman" w:cs="Times New Roman"/>
                <w:spacing w:val="13"/>
                <w:sz w:val="21"/>
                <w:szCs w:val="21"/>
              </w:rPr>
              <w:t>6个月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0" w:hRule="atLeast"/>
          <w:jc w:val="center"/>
        </w:trPr>
        <w:tc>
          <w:tcPr>
            <w:tcW w:w="3195" w:type="dxa"/>
          </w:tcPr>
          <w:p>
            <w:pPr>
              <w:pStyle w:val="239"/>
              <w:spacing w:before="206" w:line="218" w:lineRule="auto"/>
              <w:ind w:left="145"/>
              <w:rPr>
                <w:rFonts w:ascii="Times New Roman" w:hAnsi="Times New Roman" w:cs="Times New Roman"/>
                <w:sz w:val="21"/>
                <w:szCs w:val="21"/>
              </w:rPr>
            </w:pPr>
            <w:r>
              <w:rPr>
                <w:rFonts w:ascii="Times New Roman" w:hAnsi="Times New Roman" w:cs="Times New Roman"/>
                <w:spacing w:val="1"/>
                <w:sz w:val="21"/>
                <w:szCs w:val="21"/>
              </w:rPr>
              <w:t>O型、亚洲1型、A型三价灭活疫苗</w:t>
            </w:r>
          </w:p>
        </w:tc>
        <w:tc>
          <w:tcPr>
            <w:tcW w:w="5502" w:type="dxa"/>
          </w:tcPr>
          <w:p>
            <w:pPr>
              <w:pStyle w:val="239"/>
              <w:spacing w:before="209" w:line="219" w:lineRule="auto"/>
              <w:ind w:left="113"/>
              <w:rPr>
                <w:rFonts w:ascii="Times New Roman" w:hAnsi="Times New Roman" w:cs="Times New Roman"/>
                <w:sz w:val="21"/>
                <w:szCs w:val="21"/>
              </w:rPr>
            </w:pPr>
            <w:r>
              <w:rPr>
                <w:rFonts w:ascii="Times New Roman" w:hAnsi="Times New Roman" w:cs="Times New Roman"/>
                <w:spacing w:val="1"/>
                <w:sz w:val="21"/>
                <w:szCs w:val="21"/>
              </w:rPr>
              <w:t>肌肉注射，成年牛每头1</w:t>
            </w:r>
            <w:r>
              <w:rPr>
                <w:rFonts w:ascii="Times New Roman" w:hAnsi="Times New Roman" w:cs="Times New Roman"/>
                <w:sz w:val="21"/>
                <w:szCs w:val="21"/>
              </w:rPr>
              <w:t>ml，犊牛90日龄初免，首次免疫后，间隔1个月加强免疫，以后每4-6个月加强免疫一次。</w:t>
            </w:r>
          </w:p>
        </w:tc>
        <w:tc>
          <w:tcPr>
            <w:tcW w:w="909" w:type="dxa"/>
            <w:vAlign w:val="center"/>
          </w:tcPr>
          <w:p>
            <w:pPr>
              <w:pStyle w:val="239"/>
              <w:spacing w:line="380" w:lineRule="exact"/>
              <w:jc w:val="center"/>
              <w:rPr>
                <w:rFonts w:ascii="Times New Roman" w:hAnsi="Times New Roman" w:cs="Times New Roman"/>
                <w:sz w:val="21"/>
                <w:szCs w:val="21"/>
              </w:rPr>
            </w:pPr>
            <w:r>
              <w:rPr>
                <w:rFonts w:ascii="Times New Roman" w:hAnsi="Times New Roman" w:cs="Times New Roman"/>
                <w:spacing w:val="13"/>
                <w:sz w:val="21"/>
                <w:szCs w:val="21"/>
              </w:rPr>
              <w:t>6个月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9" w:hRule="atLeast"/>
          <w:jc w:val="center"/>
        </w:trPr>
        <w:tc>
          <w:tcPr>
            <w:tcW w:w="3195" w:type="dxa"/>
          </w:tcPr>
          <w:p>
            <w:pPr>
              <w:pStyle w:val="239"/>
              <w:spacing w:before="200" w:line="220" w:lineRule="auto"/>
              <w:ind w:left="145"/>
              <w:rPr>
                <w:rFonts w:ascii="Times New Roman" w:hAnsi="Times New Roman" w:cs="Times New Roman"/>
                <w:sz w:val="21"/>
                <w:szCs w:val="21"/>
              </w:rPr>
            </w:pPr>
            <w:bookmarkStart w:id="123" w:name="OLE_LINK20"/>
            <w:bookmarkStart w:id="124" w:name="OLE_LINK21"/>
            <w:r>
              <w:rPr>
                <w:rFonts w:ascii="Times New Roman" w:hAnsi="Times New Roman" w:cs="Times New Roman"/>
                <w:spacing w:val="-2"/>
                <w:sz w:val="21"/>
                <w:szCs w:val="21"/>
              </w:rPr>
              <w:t>无荚膜炭疽芽胞苗</w:t>
            </w:r>
            <w:bookmarkEnd w:id="123"/>
            <w:bookmarkEnd w:id="124"/>
          </w:p>
        </w:tc>
        <w:tc>
          <w:tcPr>
            <w:tcW w:w="5502" w:type="dxa"/>
          </w:tcPr>
          <w:p>
            <w:pPr>
              <w:pStyle w:val="239"/>
              <w:spacing w:before="197" w:line="216" w:lineRule="auto"/>
              <w:ind w:left="113"/>
              <w:rPr>
                <w:rFonts w:ascii="Times New Roman" w:hAnsi="Times New Roman" w:cs="Times New Roman"/>
                <w:sz w:val="21"/>
                <w:szCs w:val="21"/>
              </w:rPr>
            </w:pPr>
            <w:r>
              <w:rPr>
                <w:rFonts w:ascii="Times New Roman" w:hAnsi="Times New Roman" w:cs="Times New Roman"/>
                <w:spacing w:val="1"/>
                <w:sz w:val="21"/>
                <w:szCs w:val="21"/>
              </w:rPr>
              <w:t>1岁以上牛，皮下注射1</w:t>
            </w:r>
            <w:r>
              <w:rPr>
                <w:rFonts w:ascii="Times New Roman" w:hAnsi="Times New Roman" w:cs="Times New Roman"/>
                <w:sz w:val="21"/>
                <w:szCs w:val="21"/>
              </w:rPr>
              <w:t>ml</w:t>
            </w:r>
            <w:r>
              <w:rPr>
                <w:rFonts w:ascii="Times New Roman" w:hAnsi="Times New Roman" w:cs="Times New Roman"/>
                <w:spacing w:val="1"/>
                <w:sz w:val="21"/>
                <w:szCs w:val="21"/>
              </w:rPr>
              <w:t>，1岁以下小牛，皮</w:t>
            </w:r>
            <w:r>
              <w:rPr>
                <w:rFonts w:ascii="Times New Roman" w:hAnsi="Times New Roman" w:cs="Times New Roman"/>
                <w:sz w:val="21"/>
                <w:szCs w:val="21"/>
              </w:rPr>
              <w:t>下注射0.5ml。</w:t>
            </w:r>
          </w:p>
        </w:tc>
        <w:tc>
          <w:tcPr>
            <w:tcW w:w="909" w:type="dxa"/>
            <w:vAlign w:val="center"/>
          </w:tcPr>
          <w:p>
            <w:pPr>
              <w:pStyle w:val="239"/>
              <w:spacing w:line="380" w:lineRule="exact"/>
              <w:jc w:val="center"/>
              <w:rPr>
                <w:rFonts w:ascii="Times New Roman" w:hAnsi="Times New Roman" w:cs="Times New Roman"/>
                <w:sz w:val="21"/>
                <w:szCs w:val="21"/>
              </w:rPr>
            </w:pPr>
            <w:r>
              <w:rPr>
                <w:rFonts w:ascii="Times New Roman" w:hAnsi="Times New Roman" w:cs="Times New Roman"/>
                <w:spacing w:val="10"/>
                <w:sz w:val="21"/>
                <w:szCs w:val="21"/>
              </w:rPr>
              <w:t>12个月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513" w:hRule="atLeast"/>
          <w:jc w:val="center"/>
        </w:trPr>
        <w:tc>
          <w:tcPr>
            <w:tcW w:w="3195" w:type="dxa"/>
            <w:vAlign w:val="center"/>
          </w:tcPr>
          <w:p>
            <w:pPr>
              <w:pStyle w:val="239"/>
              <w:spacing w:before="65" w:line="219" w:lineRule="auto"/>
              <w:ind w:left="145"/>
              <w:jc w:val="both"/>
              <w:rPr>
                <w:rFonts w:ascii="Times New Roman" w:hAnsi="Times New Roman" w:cs="Times New Roman"/>
                <w:sz w:val="21"/>
                <w:szCs w:val="21"/>
              </w:rPr>
            </w:pPr>
            <w:r>
              <w:rPr>
                <w:rFonts w:ascii="Times New Roman" w:hAnsi="Times New Roman" w:cs="Times New Roman"/>
                <w:spacing w:val="1"/>
                <w:sz w:val="21"/>
                <w:szCs w:val="21"/>
              </w:rPr>
              <w:t>牛副伤寒灭活疫苗</w:t>
            </w:r>
          </w:p>
        </w:tc>
        <w:tc>
          <w:tcPr>
            <w:tcW w:w="5502" w:type="dxa"/>
          </w:tcPr>
          <w:p>
            <w:pPr>
              <w:pStyle w:val="239"/>
              <w:spacing w:before="71" w:line="288" w:lineRule="auto"/>
              <w:ind w:left="113" w:right="37"/>
              <w:rPr>
                <w:rFonts w:ascii="Times New Roman" w:hAnsi="Times New Roman" w:cs="Times New Roman"/>
                <w:sz w:val="21"/>
                <w:szCs w:val="21"/>
              </w:rPr>
            </w:pPr>
            <w:r>
              <w:rPr>
                <w:rFonts w:ascii="Times New Roman" w:hAnsi="Times New Roman" w:cs="Times New Roman"/>
                <w:sz w:val="21"/>
                <w:szCs w:val="21"/>
              </w:rPr>
              <w:t>(1)肌肉注射。1岁以下牛，每头1.0ml；1岁以上牛，每头2.0 ml。为提高免疫效果，对1岁以上的牛，在第1次接种</w:t>
            </w:r>
            <w:r>
              <w:rPr>
                <w:rFonts w:ascii="Times New Roman" w:hAnsi="Times New Roman" w:cs="Times New Roman"/>
                <w:spacing w:val="-1"/>
                <w:sz w:val="21"/>
                <w:szCs w:val="21"/>
              </w:rPr>
              <w:t>后10日，可用相同剂量再接种1次。</w:t>
            </w:r>
          </w:p>
          <w:p>
            <w:pPr>
              <w:pStyle w:val="239"/>
              <w:spacing w:before="114" w:line="271" w:lineRule="auto"/>
              <w:ind w:left="113" w:right="80"/>
              <w:rPr>
                <w:rFonts w:ascii="Times New Roman" w:hAnsi="Times New Roman" w:cs="Times New Roman"/>
                <w:sz w:val="21"/>
                <w:szCs w:val="21"/>
              </w:rPr>
            </w:pPr>
            <w:r>
              <w:rPr>
                <w:rFonts w:ascii="Times New Roman" w:hAnsi="Times New Roman" w:cs="Times New Roman"/>
                <w:sz w:val="21"/>
                <w:szCs w:val="21"/>
              </w:rPr>
              <w:t>(2)在已发生牛副伤寒的畜群中，可对2～10日龄的犊牛</w:t>
            </w:r>
            <w:r>
              <w:rPr>
                <w:rFonts w:ascii="Times New Roman" w:hAnsi="Times New Roman" w:cs="Times New Roman"/>
                <w:spacing w:val="1"/>
                <w:sz w:val="21"/>
                <w:szCs w:val="21"/>
              </w:rPr>
              <w:t>进行接种，每头1.0</w:t>
            </w:r>
            <w:r>
              <w:rPr>
                <w:rFonts w:ascii="Times New Roman" w:hAnsi="Times New Roman" w:cs="Times New Roman"/>
                <w:sz w:val="21"/>
                <w:szCs w:val="21"/>
              </w:rPr>
              <w:t>ml</w:t>
            </w:r>
            <w:r>
              <w:rPr>
                <w:rFonts w:ascii="Times New Roman" w:hAnsi="Times New Roman" w:cs="Times New Roman"/>
                <w:spacing w:val="1"/>
                <w:sz w:val="21"/>
                <w:szCs w:val="21"/>
              </w:rPr>
              <w:t>。</w:t>
            </w:r>
          </w:p>
          <w:p>
            <w:pPr>
              <w:pStyle w:val="239"/>
              <w:spacing w:before="113" w:line="267" w:lineRule="auto"/>
              <w:ind w:left="113" w:right="2"/>
              <w:rPr>
                <w:rFonts w:ascii="Times New Roman" w:hAnsi="Times New Roman" w:cs="Times New Roman"/>
                <w:sz w:val="21"/>
                <w:szCs w:val="21"/>
              </w:rPr>
            </w:pPr>
            <w:r>
              <w:rPr>
                <w:rFonts w:ascii="Times New Roman" w:hAnsi="Times New Roman" w:cs="Times New Roman"/>
                <w:spacing w:val="3"/>
                <w:sz w:val="21"/>
                <w:szCs w:val="21"/>
              </w:rPr>
              <w:t>(3)孕畜应在产前45～60日龄时接种，</w:t>
            </w:r>
            <w:r>
              <w:rPr>
                <w:rFonts w:ascii="Times New Roman" w:hAnsi="Times New Roman" w:cs="Times New Roman"/>
                <w:spacing w:val="2"/>
                <w:sz w:val="21"/>
                <w:szCs w:val="21"/>
              </w:rPr>
              <w:t>所产犊牛应在30-</w:t>
            </w:r>
            <w:r>
              <w:rPr>
                <w:rFonts w:ascii="Times New Roman" w:hAnsi="Times New Roman" w:cs="Times New Roman"/>
                <w:sz w:val="21"/>
                <w:szCs w:val="21"/>
              </w:rPr>
              <w:t>45日龄时再进行接种。</w:t>
            </w:r>
          </w:p>
        </w:tc>
        <w:tc>
          <w:tcPr>
            <w:tcW w:w="909" w:type="dxa"/>
            <w:vAlign w:val="center"/>
          </w:tcPr>
          <w:p>
            <w:pPr>
              <w:pStyle w:val="239"/>
              <w:spacing w:before="65" w:line="219" w:lineRule="auto"/>
              <w:jc w:val="center"/>
              <w:rPr>
                <w:rFonts w:ascii="Times New Roman" w:hAnsi="Times New Roman" w:cs="Times New Roman"/>
                <w:sz w:val="21"/>
                <w:szCs w:val="21"/>
              </w:rPr>
            </w:pPr>
            <w:r>
              <w:rPr>
                <w:rFonts w:ascii="Times New Roman" w:hAnsi="Times New Roman" w:cs="Times New Roman"/>
                <w:spacing w:val="13"/>
                <w:sz w:val="21"/>
                <w:szCs w:val="21"/>
              </w:rPr>
              <w:t>6个月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24" w:hRule="atLeast"/>
          <w:jc w:val="center"/>
        </w:trPr>
        <w:tc>
          <w:tcPr>
            <w:tcW w:w="3195" w:type="dxa"/>
            <w:vAlign w:val="center"/>
          </w:tcPr>
          <w:p>
            <w:pPr>
              <w:pStyle w:val="239"/>
              <w:spacing w:line="400" w:lineRule="exact"/>
              <w:ind w:left="147"/>
              <w:jc w:val="both"/>
              <w:rPr>
                <w:rFonts w:ascii="Times New Roman" w:hAnsi="Times New Roman" w:cs="Times New Roman"/>
                <w:sz w:val="21"/>
                <w:szCs w:val="21"/>
              </w:rPr>
            </w:pPr>
            <w:r>
              <w:rPr>
                <w:rFonts w:ascii="Times New Roman" w:hAnsi="Times New Roman" w:cs="Times New Roman"/>
                <w:sz w:val="21"/>
                <w:szCs w:val="21"/>
              </w:rPr>
              <w:t>牛多杀性巴氏杆菌病灭活疫苗</w:t>
            </w:r>
          </w:p>
        </w:tc>
        <w:tc>
          <w:tcPr>
            <w:tcW w:w="5502" w:type="dxa"/>
          </w:tcPr>
          <w:p>
            <w:pPr>
              <w:pStyle w:val="239"/>
              <w:spacing w:before="77" w:line="298" w:lineRule="auto"/>
              <w:ind w:left="113" w:right="82"/>
              <w:rPr>
                <w:rFonts w:ascii="Times New Roman" w:hAnsi="Times New Roman" w:cs="Times New Roman"/>
                <w:sz w:val="21"/>
                <w:szCs w:val="21"/>
              </w:rPr>
            </w:pPr>
            <w:r>
              <w:rPr>
                <w:rFonts w:ascii="Times New Roman" w:hAnsi="Times New Roman" w:cs="Times New Roman"/>
                <w:sz w:val="21"/>
                <w:szCs w:val="21"/>
              </w:rPr>
              <w:t>皮下或肌肉注射。体重100 kg以下的</w:t>
            </w:r>
            <w:r>
              <w:rPr>
                <w:rFonts w:ascii="Times New Roman" w:hAnsi="Times New Roman" w:cs="Times New Roman"/>
                <w:spacing w:val="-1"/>
                <w:sz w:val="21"/>
                <w:szCs w:val="21"/>
              </w:rPr>
              <w:t>牛，每头4.0ml；体</w:t>
            </w:r>
            <w:r>
              <w:rPr>
                <w:rFonts w:ascii="Times New Roman" w:hAnsi="Times New Roman" w:cs="Times New Roman"/>
                <w:sz w:val="21"/>
                <w:szCs w:val="21"/>
              </w:rPr>
              <w:t>重100 kg以上的牛，每头6.0ml。</w:t>
            </w:r>
          </w:p>
        </w:tc>
        <w:tc>
          <w:tcPr>
            <w:tcW w:w="909" w:type="dxa"/>
            <w:vAlign w:val="center"/>
          </w:tcPr>
          <w:p>
            <w:pPr>
              <w:pStyle w:val="239"/>
              <w:spacing w:line="360" w:lineRule="exact"/>
              <w:jc w:val="center"/>
              <w:rPr>
                <w:rFonts w:ascii="Times New Roman" w:hAnsi="Times New Roman" w:cs="Times New Roman"/>
                <w:sz w:val="21"/>
                <w:szCs w:val="21"/>
              </w:rPr>
            </w:pPr>
            <w:r>
              <w:rPr>
                <w:rFonts w:ascii="Times New Roman" w:hAnsi="Times New Roman" w:cs="Times New Roman"/>
                <w:spacing w:val="13"/>
                <w:sz w:val="21"/>
                <w:szCs w:val="21"/>
              </w:rPr>
              <w:t>9个月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97" w:hRule="atLeast"/>
          <w:jc w:val="center"/>
        </w:trPr>
        <w:tc>
          <w:tcPr>
            <w:tcW w:w="3195" w:type="dxa"/>
            <w:vAlign w:val="center"/>
          </w:tcPr>
          <w:p>
            <w:pPr>
              <w:pStyle w:val="239"/>
              <w:spacing w:line="400" w:lineRule="exact"/>
              <w:ind w:left="147"/>
              <w:jc w:val="both"/>
              <w:rPr>
                <w:rFonts w:ascii="Times New Roman" w:hAnsi="Times New Roman" w:cs="Times New Roman"/>
                <w:sz w:val="21"/>
                <w:szCs w:val="21"/>
              </w:rPr>
            </w:pPr>
            <w:r>
              <w:rPr>
                <w:rFonts w:ascii="Times New Roman" w:hAnsi="Times New Roman" w:cs="Times New Roman"/>
                <w:spacing w:val="1"/>
                <w:sz w:val="21"/>
                <w:szCs w:val="21"/>
              </w:rPr>
              <w:t>牛气肿疽灭活苗</w:t>
            </w:r>
          </w:p>
        </w:tc>
        <w:tc>
          <w:tcPr>
            <w:tcW w:w="5502" w:type="dxa"/>
          </w:tcPr>
          <w:p>
            <w:pPr>
              <w:pStyle w:val="239"/>
              <w:spacing w:before="82" w:line="322" w:lineRule="auto"/>
              <w:ind w:left="113" w:right="62"/>
              <w:rPr>
                <w:rFonts w:ascii="Times New Roman" w:hAnsi="Times New Roman" w:cs="Times New Roman"/>
                <w:sz w:val="21"/>
                <w:szCs w:val="21"/>
              </w:rPr>
            </w:pPr>
            <w:r>
              <w:rPr>
                <w:rFonts w:ascii="Times New Roman" w:hAnsi="Times New Roman" w:cs="Times New Roman"/>
                <w:sz w:val="21"/>
                <w:szCs w:val="21"/>
              </w:rPr>
              <w:t>皮下注射。不论年龄大小，每头牛5.0ml，6月龄以下的犊牛接种后，到6月龄时，应再接种一次。</w:t>
            </w:r>
          </w:p>
        </w:tc>
        <w:tc>
          <w:tcPr>
            <w:tcW w:w="909" w:type="dxa"/>
            <w:vAlign w:val="center"/>
          </w:tcPr>
          <w:p>
            <w:pPr>
              <w:pStyle w:val="239"/>
              <w:spacing w:line="360" w:lineRule="exact"/>
              <w:jc w:val="center"/>
              <w:rPr>
                <w:rFonts w:ascii="Times New Roman" w:hAnsi="Times New Roman" w:cs="Times New Roman"/>
                <w:sz w:val="21"/>
                <w:szCs w:val="21"/>
              </w:rPr>
            </w:pPr>
            <w:r>
              <w:rPr>
                <w:rFonts w:ascii="Times New Roman" w:hAnsi="Times New Roman" w:cs="Times New Roman"/>
                <w:spacing w:val="13"/>
                <w:sz w:val="21"/>
                <w:szCs w:val="21"/>
              </w:rPr>
              <w:t>6个月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14" w:hRule="atLeast"/>
          <w:jc w:val="center"/>
        </w:trPr>
        <w:tc>
          <w:tcPr>
            <w:tcW w:w="3195" w:type="dxa"/>
          </w:tcPr>
          <w:p>
            <w:pPr>
              <w:pStyle w:val="239"/>
              <w:spacing w:before="267" w:line="220" w:lineRule="auto"/>
              <w:ind w:left="145"/>
              <w:rPr>
                <w:rFonts w:ascii="Times New Roman" w:hAnsi="Times New Roman" w:cs="Times New Roman"/>
                <w:sz w:val="21"/>
                <w:szCs w:val="21"/>
              </w:rPr>
            </w:pPr>
            <w:r>
              <w:rPr>
                <w:rFonts w:ascii="Times New Roman" w:hAnsi="Times New Roman" w:cs="Times New Roman"/>
                <w:spacing w:val="1"/>
                <w:sz w:val="21"/>
                <w:szCs w:val="21"/>
              </w:rPr>
              <w:t>牛流行热灭活疫苗</w:t>
            </w:r>
          </w:p>
        </w:tc>
        <w:tc>
          <w:tcPr>
            <w:tcW w:w="5502" w:type="dxa"/>
          </w:tcPr>
          <w:p>
            <w:pPr>
              <w:pStyle w:val="239"/>
              <w:spacing w:before="86" w:line="285" w:lineRule="auto"/>
              <w:ind w:left="113" w:right="260"/>
              <w:rPr>
                <w:rFonts w:ascii="Times New Roman" w:hAnsi="Times New Roman" w:cs="Times New Roman"/>
                <w:sz w:val="21"/>
                <w:szCs w:val="21"/>
              </w:rPr>
            </w:pPr>
            <w:r>
              <w:rPr>
                <w:rFonts w:ascii="Times New Roman" w:hAnsi="Times New Roman" w:cs="Times New Roman"/>
                <w:sz w:val="21"/>
                <w:szCs w:val="21"/>
              </w:rPr>
              <w:t>颈部皮下注射。成年牛第一次注射4.0m</w:t>
            </w:r>
            <w:r>
              <w:rPr>
                <w:rFonts w:ascii="Times New Roman" w:hAnsi="Times New Roman" w:cs="Times New Roman"/>
                <w:spacing w:val="-1"/>
                <w:sz w:val="21"/>
                <w:szCs w:val="21"/>
              </w:rPr>
              <w:t>l；间隔21日再注射4.0ml；6个月以下的犊牛，剂量减半。</w:t>
            </w:r>
          </w:p>
        </w:tc>
        <w:tc>
          <w:tcPr>
            <w:tcW w:w="909" w:type="dxa"/>
            <w:vAlign w:val="center"/>
          </w:tcPr>
          <w:p>
            <w:pPr>
              <w:pStyle w:val="239"/>
              <w:spacing w:line="360" w:lineRule="exact"/>
              <w:jc w:val="center"/>
              <w:rPr>
                <w:rFonts w:ascii="Times New Roman" w:hAnsi="Times New Roman" w:cs="Times New Roman"/>
                <w:sz w:val="21"/>
                <w:szCs w:val="21"/>
              </w:rPr>
            </w:pPr>
            <w:r>
              <w:rPr>
                <w:rFonts w:ascii="Times New Roman" w:hAnsi="Times New Roman" w:cs="Times New Roman"/>
                <w:spacing w:val="13"/>
                <w:sz w:val="21"/>
                <w:szCs w:val="21"/>
              </w:rPr>
              <w:t>4个月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14" w:hRule="atLeast"/>
          <w:jc w:val="center"/>
        </w:trPr>
        <w:tc>
          <w:tcPr>
            <w:tcW w:w="3195" w:type="dxa"/>
          </w:tcPr>
          <w:p>
            <w:pPr>
              <w:pStyle w:val="239"/>
              <w:spacing w:before="267" w:line="220" w:lineRule="auto"/>
              <w:ind w:left="145"/>
              <w:rPr>
                <w:rFonts w:ascii="Times New Roman" w:hAnsi="Times New Roman" w:cs="Times New Roman"/>
                <w:spacing w:val="1"/>
                <w:sz w:val="21"/>
                <w:szCs w:val="21"/>
              </w:rPr>
            </w:pPr>
            <w:r>
              <w:rPr>
                <w:rFonts w:ascii="Times New Roman" w:hAnsi="Times New Roman" w:cs="Times New Roman"/>
                <w:spacing w:val="1"/>
                <w:sz w:val="21"/>
                <w:szCs w:val="21"/>
              </w:rPr>
              <w:t>山羊痘活疫苗（预防牛结节性皮肤病）</w:t>
            </w:r>
          </w:p>
        </w:tc>
        <w:tc>
          <w:tcPr>
            <w:tcW w:w="5502" w:type="dxa"/>
          </w:tcPr>
          <w:p>
            <w:pPr>
              <w:pStyle w:val="239"/>
              <w:spacing w:before="86" w:line="285" w:lineRule="auto"/>
              <w:ind w:left="113" w:right="260"/>
              <w:rPr>
                <w:rFonts w:ascii="Times New Roman" w:hAnsi="Times New Roman" w:cs="Times New Roman"/>
                <w:sz w:val="21"/>
                <w:szCs w:val="21"/>
              </w:rPr>
            </w:pPr>
            <w:bookmarkStart w:id="125" w:name="OLE_LINK16"/>
            <w:bookmarkStart w:id="126" w:name="OLE_LINK17"/>
            <w:r>
              <w:rPr>
                <w:rFonts w:ascii="Times New Roman" w:hAnsi="Times New Roman" w:cs="Times New Roman"/>
                <w:sz w:val="21"/>
                <w:szCs w:val="21"/>
              </w:rPr>
              <w:t>使用国家批准的山羊痘活疫苗，</w:t>
            </w:r>
            <w:bookmarkEnd w:id="125"/>
            <w:bookmarkEnd w:id="126"/>
            <w:r>
              <w:rPr>
                <w:rFonts w:ascii="Times New Roman" w:hAnsi="Times New Roman" w:cs="Times New Roman"/>
                <w:sz w:val="21"/>
                <w:szCs w:val="21"/>
              </w:rPr>
              <w:t>尾根内侧或股内侧皮内注射，不论牛只大小，一律按山羊的5倍剂量免疫。</w:t>
            </w:r>
          </w:p>
        </w:tc>
        <w:tc>
          <w:tcPr>
            <w:tcW w:w="909" w:type="dxa"/>
            <w:vAlign w:val="center"/>
          </w:tcPr>
          <w:p>
            <w:pPr>
              <w:pStyle w:val="239"/>
              <w:spacing w:line="360" w:lineRule="exact"/>
              <w:jc w:val="center"/>
              <w:rPr>
                <w:rFonts w:ascii="Times New Roman" w:hAnsi="Times New Roman" w:cs="Times New Roman"/>
                <w:spacing w:val="13"/>
                <w:sz w:val="21"/>
                <w:szCs w:val="21"/>
              </w:rPr>
            </w:pPr>
            <w:r>
              <w:rPr>
                <w:rFonts w:ascii="Times New Roman" w:hAnsi="Times New Roman" w:cs="Times New Roman"/>
                <w:spacing w:val="13"/>
                <w:sz w:val="21"/>
                <w:szCs w:val="21"/>
              </w:rPr>
              <w:t>12个月</w:t>
            </w:r>
          </w:p>
        </w:tc>
      </w:tr>
    </w:tbl>
    <w:p>
      <w:pPr>
        <w:pStyle w:val="58"/>
        <w:ind w:firstLine="0" w:firstLineChars="0"/>
        <w:jc w:val="center"/>
        <w:rPr>
          <w:rFonts w:ascii="黑体" w:hAnsi="黑体" w:eastAsia="黑体" w:cs="黑体"/>
        </w:rPr>
        <w:sectPr>
          <w:pgSz w:w="11906" w:h="16838"/>
          <w:pgMar w:top="1928" w:right="1134" w:bottom="1134" w:left="1134" w:header="1418" w:footer="1134" w:gutter="284"/>
          <w:cols w:space="425" w:num="1"/>
          <w:formProt w:val="0"/>
          <w:docGrid w:type="lines" w:linePitch="312" w:charSpace="0"/>
        </w:sectPr>
      </w:pPr>
    </w:p>
    <w:p>
      <w:pPr>
        <w:pStyle w:val="200"/>
        <w:rPr>
          <w:vanish w:val="0"/>
        </w:rPr>
      </w:pPr>
    </w:p>
    <w:p>
      <w:pPr>
        <w:pStyle w:val="201"/>
        <w:rPr>
          <w:vanish w:val="0"/>
        </w:rPr>
      </w:pPr>
    </w:p>
    <w:p>
      <w:pPr>
        <w:pStyle w:val="78"/>
        <w:spacing w:after="156"/>
      </w:pPr>
      <w:r>
        <w:br w:type="textWrapping"/>
      </w:r>
      <w:bookmarkStart w:id="127" w:name="_Toc190848171"/>
      <w:bookmarkStart w:id="128" w:name="_Toc185926498"/>
      <w:bookmarkStart w:id="129" w:name="_Toc185923986"/>
      <w:bookmarkStart w:id="130" w:name="_Toc185926642"/>
      <w:bookmarkStart w:id="131" w:name="_Toc185926485"/>
      <w:r>
        <w:rPr>
          <w:rFonts w:hint="eastAsia"/>
        </w:rPr>
        <w:t>（资料性）</w:t>
      </w:r>
      <w:bookmarkEnd w:id="127"/>
      <w:r>
        <w:br w:type="textWrapping"/>
      </w:r>
      <w:bookmarkEnd w:id="128"/>
      <w:bookmarkEnd w:id="129"/>
      <w:bookmarkEnd w:id="130"/>
      <w:bookmarkEnd w:id="131"/>
    </w:p>
    <w:p>
      <w:pPr>
        <w:pStyle w:val="233"/>
        <w:tabs>
          <w:tab w:val="center" w:pos="4201"/>
          <w:tab w:val="right" w:leader="dot" w:pos="9298"/>
        </w:tabs>
        <w:adjustRightInd w:val="0"/>
        <w:snapToGrid w:val="0"/>
        <w:spacing w:beforeLines="50" w:afterLines="50"/>
        <w:ind w:firstLine="0" w:firstLineChars="0"/>
        <w:jc w:val="center"/>
        <w:rPr>
          <w:rFonts w:ascii="黑体" w:hAnsi="黑体" w:eastAsia="黑体" w:cs="黑体"/>
        </w:rPr>
      </w:pPr>
      <w:r>
        <w:rPr>
          <w:rFonts w:hint="eastAsia" w:ascii="黑体" w:hAnsi="黑体" w:eastAsia="黑体" w:cs="黑体"/>
        </w:rPr>
        <w:t>肉牛场防疫档案记录表</w:t>
      </w:r>
    </w:p>
    <w:tbl>
      <w:tblPr>
        <w:tblStyle w:val="34"/>
        <w:tblW w:w="943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24"/>
        <w:gridCol w:w="1069"/>
        <w:gridCol w:w="170"/>
        <w:gridCol w:w="200"/>
        <w:gridCol w:w="290"/>
        <w:gridCol w:w="429"/>
        <w:gridCol w:w="310"/>
        <w:gridCol w:w="410"/>
        <w:gridCol w:w="349"/>
        <w:gridCol w:w="230"/>
        <w:gridCol w:w="249"/>
        <w:gridCol w:w="599"/>
        <w:gridCol w:w="599"/>
        <w:gridCol w:w="240"/>
        <w:gridCol w:w="200"/>
        <w:gridCol w:w="349"/>
        <w:gridCol w:w="389"/>
        <w:gridCol w:w="300"/>
        <w:gridCol w:w="429"/>
        <w:gridCol w:w="280"/>
        <w:gridCol w:w="200"/>
        <w:gridCol w:w="160"/>
        <w:gridCol w:w="9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335" w:hRule="atLeast"/>
          <w:jc w:val="center"/>
        </w:trPr>
        <w:tc>
          <w:tcPr>
            <w:tcW w:w="9432" w:type="dxa"/>
            <w:gridSpan w:val="23"/>
          </w:tcPr>
          <w:p>
            <w:pPr>
              <w:pStyle w:val="239"/>
              <w:spacing w:before="71" w:line="219" w:lineRule="auto"/>
              <w:ind w:left="4124"/>
              <w:rPr>
                <w:sz w:val="21"/>
                <w:szCs w:val="21"/>
              </w:rPr>
            </w:pPr>
            <w:r>
              <w:rPr>
                <w:rFonts w:hint="eastAsia"/>
                <w:spacing w:val="1"/>
                <w:sz w:val="21"/>
                <w:szCs w:val="21"/>
              </w:rPr>
              <w:t>肉牛场基本情况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300" w:hRule="atLeast"/>
          <w:jc w:val="center"/>
        </w:trPr>
        <w:tc>
          <w:tcPr>
            <w:tcW w:w="1024" w:type="dxa"/>
            <w:vMerge w:val="restart"/>
            <w:tcBorders>
              <w:bottom w:val="nil"/>
            </w:tcBorders>
          </w:tcPr>
          <w:p>
            <w:pPr>
              <w:pStyle w:val="239"/>
              <w:spacing w:before="220" w:line="221" w:lineRule="auto"/>
              <w:ind w:left="314"/>
              <w:rPr>
                <w:sz w:val="21"/>
                <w:szCs w:val="21"/>
              </w:rPr>
            </w:pPr>
            <w:r>
              <w:rPr>
                <w:rFonts w:hint="eastAsia"/>
                <w:spacing w:val="9"/>
                <w:sz w:val="21"/>
                <w:szCs w:val="21"/>
              </w:rPr>
              <w:t>时间</w:t>
            </w:r>
          </w:p>
        </w:tc>
        <w:tc>
          <w:tcPr>
            <w:tcW w:w="5693" w:type="dxa"/>
            <w:gridSpan w:val="15"/>
          </w:tcPr>
          <w:p>
            <w:pPr>
              <w:pStyle w:val="239"/>
              <w:spacing w:before="58" w:line="219" w:lineRule="auto"/>
              <w:ind w:left="2130"/>
              <w:rPr>
                <w:sz w:val="21"/>
                <w:szCs w:val="21"/>
              </w:rPr>
            </w:pPr>
            <w:r>
              <w:rPr>
                <w:rFonts w:hint="eastAsia"/>
                <w:spacing w:val="5"/>
                <w:sz w:val="21"/>
                <w:szCs w:val="21"/>
              </w:rPr>
              <w:t>变动情况</w:t>
            </w:r>
            <w:r>
              <w:rPr>
                <w:spacing w:val="5"/>
                <w:sz w:val="21"/>
                <w:szCs w:val="21"/>
              </w:rPr>
              <w:t>(</w:t>
            </w:r>
            <w:r>
              <w:rPr>
                <w:rFonts w:hint="eastAsia"/>
                <w:spacing w:val="5"/>
                <w:sz w:val="21"/>
                <w:szCs w:val="21"/>
              </w:rPr>
              <w:t>数量</w:t>
            </w:r>
            <w:r>
              <w:rPr>
                <w:spacing w:val="5"/>
                <w:sz w:val="21"/>
                <w:szCs w:val="21"/>
              </w:rPr>
              <w:t>)</w:t>
            </w:r>
          </w:p>
        </w:tc>
        <w:tc>
          <w:tcPr>
            <w:tcW w:w="1398" w:type="dxa"/>
            <w:gridSpan w:val="4"/>
            <w:vMerge w:val="restart"/>
            <w:tcBorders>
              <w:bottom w:val="nil"/>
            </w:tcBorders>
          </w:tcPr>
          <w:p>
            <w:pPr>
              <w:pStyle w:val="239"/>
              <w:spacing w:before="217" w:line="219" w:lineRule="auto"/>
              <w:ind w:left="408"/>
              <w:rPr>
                <w:sz w:val="21"/>
                <w:szCs w:val="21"/>
              </w:rPr>
            </w:pPr>
            <w:r>
              <w:rPr>
                <w:rFonts w:hint="eastAsia"/>
                <w:spacing w:val="-2"/>
                <w:sz w:val="21"/>
                <w:szCs w:val="21"/>
              </w:rPr>
              <w:t>存栏数</w:t>
            </w:r>
          </w:p>
        </w:tc>
        <w:tc>
          <w:tcPr>
            <w:tcW w:w="1317" w:type="dxa"/>
            <w:gridSpan w:val="3"/>
            <w:vMerge w:val="restart"/>
            <w:tcBorders>
              <w:bottom w:val="nil"/>
            </w:tcBorders>
          </w:tcPr>
          <w:p>
            <w:pPr>
              <w:pStyle w:val="239"/>
              <w:spacing w:before="218" w:line="221" w:lineRule="auto"/>
              <w:ind w:left="539"/>
              <w:rPr>
                <w:sz w:val="21"/>
                <w:szCs w:val="21"/>
              </w:rPr>
            </w:pPr>
            <w:r>
              <w:rPr>
                <w:rFonts w:hint="eastAsia"/>
                <w:spacing w:val="-3"/>
                <w:sz w:val="21"/>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9" w:hRule="atLeast"/>
          <w:jc w:val="center"/>
        </w:trPr>
        <w:tc>
          <w:tcPr>
            <w:tcW w:w="1024" w:type="dxa"/>
            <w:vMerge w:val="continue"/>
            <w:tcBorders>
              <w:top w:val="nil"/>
            </w:tcBorders>
          </w:tcPr>
          <w:p/>
        </w:tc>
        <w:tc>
          <w:tcPr>
            <w:tcW w:w="1439" w:type="dxa"/>
            <w:gridSpan w:val="3"/>
          </w:tcPr>
          <w:p>
            <w:pPr>
              <w:pStyle w:val="239"/>
              <w:spacing w:before="61" w:line="223" w:lineRule="auto"/>
              <w:ind w:left="520"/>
              <w:rPr>
                <w:sz w:val="21"/>
                <w:szCs w:val="21"/>
              </w:rPr>
            </w:pPr>
            <w:r>
              <w:rPr>
                <w:rFonts w:hint="eastAsia"/>
                <w:spacing w:val="4"/>
                <w:sz w:val="21"/>
                <w:szCs w:val="21"/>
              </w:rPr>
              <w:t>出生</w:t>
            </w:r>
          </w:p>
        </w:tc>
        <w:tc>
          <w:tcPr>
            <w:tcW w:w="1439" w:type="dxa"/>
            <w:gridSpan w:val="4"/>
          </w:tcPr>
          <w:p>
            <w:pPr>
              <w:pStyle w:val="239"/>
              <w:spacing w:before="60" w:line="221" w:lineRule="auto"/>
              <w:ind w:left="521"/>
              <w:rPr>
                <w:sz w:val="21"/>
                <w:szCs w:val="21"/>
              </w:rPr>
            </w:pPr>
            <w:r>
              <w:rPr>
                <w:rFonts w:hint="eastAsia"/>
                <w:spacing w:val="-3"/>
                <w:sz w:val="21"/>
                <w:szCs w:val="21"/>
              </w:rPr>
              <w:t>调入</w:t>
            </w:r>
          </w:p>
        </w:tc>
        <w:tc>
          <w:tcPr>
            <w:tcW w:w="1427" w:type="dxa"/>
            <w:gridSpan w:val="4"/>
          </w:tcPr>
          <w:p>
            <w:pPr>
              <w:pStyle w:val="239"/>
              <w:spacing w:before="60" w:line="221" w:lineRule="auto"/>
              <w:ind w:left="512"/>
              <w:rPr>
                <w:sz w:val="21"/>
                <w:szCs w:val="21"/>
              </w:rPr>
            </w:pPr>
            <w:r>
              <w:rPr>
                <w:rFonts w:hint="eastAsia"/>
                <w:spacing w:val="11"/>
                <w:sz w:val="21"/>
                <w:szCs w:val="21"/>
              </w:rPr>
              <w:t>调出</w:t>
            </w:r>
          </w:p>
        </w:tc>
        <w:tc>
          <w:tcPr>
            <w:tcW w:w="1388" w:type="dxa"/>
            <w:gridSpan w:val="4"/>
          </w:tcPr>
          <w:p>
            <w:pPr>
              <w:pStyle w:val="239"/>
              <w:spacing w:before="58" w:line="219" w:lineRule="auto"/>
              <w:ind w:left="495"/>
              <w:rPr>
                <w:sz w:val="21"/>
                <w:szCs w:val="21"/>
              </w:rPr>
            </w:pPr>
            <w:r>
              <w:rPr>
                <w:rFonts w:hint="eastAsia"/>
                <w:spacing w:val="7"/>
                <w:sz w:val="21"/>
                <w:szCs w:val="21"/>
              </w:rPr>
              <w:t>死淘</w:t>
            </w:r>
          </w:p>
        </w:tc>
        <w:tc>
          <w:tcPr>
            <w:tcW w:w="1398" w:type="dxa"/>
            <w:gridSpan w:val="4"/>
            <w:vMerge w:val="continue"/>
            <w:tcBorders>
              <w:top w:val="nil"/>
            </w:tcBorders>
          </w:tcPr>
          <w:p/>
        </w:tc>
        <w:tc>
          <w:tcPr>
            <w:tcW w:w="1317" w:type="dxa"/>
            <w:gridSpan w:val="3"/>
            <w:vMerge w:val="continue"/>
            <w:tcBorders>
              <w:top w:val="nil"/>
            </w:tcBorders>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19" w:hRule="atLeast"/>
          <w:jc w:val="center"/>
        </w:trPr>
        <w:tc>
          <w:tcPr>
            <w:tcW w:w="1024" w:type="dxa"/>
          </w:tcPr>
          <w:p/>
        </w:tc>
        <w:tc>
          <w:tcPr>
            <w:tcW w:w="1439" w:type="dxa"/>
            <w:gridSpan w:val="3"/>
          </w:tcPr>
          <w:p/>
        </w:tc>
        <w:tc>
          <w:tcPr>
            <w:tcW w:w="1439" w:type="dxa"/>
            <w:gridSpan w:val="4"/>
          </w:tcPr>
          <w:p/>
        </w:tc>
        <w:tc>
          <w:tcPr>
            <w:tcW w:w="1427" w:type="dxa"/>
            <w:gridSpan w:val="4"/>
          </w:tcPr>
          <w:p/>
        </w:tc>
        <w:tc>
          <w:tcPr>
            <w:tcW w:w="1388" w:type="dxa"/>
            <w:gridSpan w:val="4"/>
          </w:tcPr>
          <w:p/>
        </w:tc>
        <w:tc>
          <w:tcPr>
            <w:tcW w:w="1398" w:type="dxa"/>
            <w:gridSpan w:val="4"/>
          </w:tcPr>
          <w:p/>
        </w:tc>
        <w:tc>
          <w:tcPr>
            <w:tcW w:w="1317" w:type="dxa"/>
            <w:gridSpan w:val="3"/>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9" w:hRule="atLeast"/>
          <w:jc w:val="center"/>
        </w:trPr>
        <w:tc>
          <w:tcPr>
            <w:tcW w:w="9432" w:type="dxa"/>
            <w:gridSpan w:val="23"/>
          </w:tcPr>
          <w:p>
            <w:pPr>
              <w:pStyle w:val="239"/>
              <w:spacing w:before="69" w:line="220" w:lineRule="auto"/>
              <w:ind w:left="4404"/>
              <w:rPr>
                <w:sz w:val="21"/>
                <w:szCs w:val="21"/>
              </w:rPr>
            </w:pPr>
            <w:r>
              <w:rPr>
                <w:rFonts w:hint="eastAsia"/>
                <w:spacing w:val="2"/>
                <w:sz w:val="21"/>
                <w:szCs w:val="21"/>
              </w:rPr>
              <w:t>免疫记录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jc w:val="center"/>
        </w:trPr>
        <w:tc>
          <w:tcPr>
            <w:tcW w:w="1024" w:type="dxa"/>
          </w:tcPr>
          <w:p>
            <w:pPr>
              <w:pStyle w:val="239"/>
              <w:spacing w:before="70" w:line="220" w:lineRule="auto"/>
              <w:jc w:val="center"/>
              <w:rPr>
                <w:sz w:val="21"/>
                <w:szCs w:val="21"/>
              </w:rPr>
            </w:pPr>
            <w:r>
              <w:rPr>
                <w:rFonts w:hint="eastAsia"/>
                <w:spacing w:val="9"/>
                <w:sz w:val="21"/>
                <w:szCs w:val="21"/>
              </w:rPr>
              <w:t>时间</w:t>
            </w:r>
          </w:p>
        </w:tc>
        <w:tc>
          <w:tcPr>
            <w:tcW w:w="1439" w:type="dxa"/>
            <w:gridSpan w:val="3"/>
          </w:tcPr>
          <w:p>
            <w:pPr>
              <w:pStyle w:val="239"/>
              <w:spacing w:before="70" w:line="220" w:lineRule="auto"/>
              <w:ind w:left="330"/>
              <w:rPr>
                <w:sz w:val="21"/>
                <w:szCs w:val="21"/>
              </w:rPr>
            </w:pPr>
            <w:r>
              <w:rPr>
                <w:rFonts w:hint="eastAsia"/>
                <w:spacing w:val="-2"/>
                <w:sz w:val="21"/>
                <w:szCs w:val="21"/>
              </w:rPr>
              <w:t>疫苗名称</w:t>
            </w:r>
          </w:p>
        </w:tc>
        <w:tc>
          <w:tcPr>
            <w:tcW w:w="1439" w:type="dxa"/>
            <w:gridSpan w:val="4"/>
          </w:tcPr>
          <w:p>
            <w:pPr>
              <w:pStyle w:val="239"/>
              <w:spacing w:before="69" w:line="219" w:lineRule="auto"/>
              <w:ind w:left="231"/>
              <w:rPr>
                <w:sz w:val="21"/>
                <w:szCs w:val="21"/>
              </w:rPr>
            </w:pPr>
            <w:r>
              <w:rPr>
                <w:rFonts w:hint="eastAsia"/>
                <w:spacing w:val="-2"/>
                <w:sz w:val="21"/>
                <w:szCs w:val="21"/>
              </w:rPr>
              <w:t>疫苗生产厂</w:t>
            </w:r>
          </w:p>
        </w:tc>
        <w:tc>
          <w:tcPr>
            <w:tcW w:w="1427" w:type="dxa"/>
            <w:gridSpan w:val="4"/>
          </w:tcPr>
          <w:p>
            <w:pPr>
              <w:pStyle w:val="239"/>
              <w:spacing w:before="70" w:line="221" w:lineRule="auto"/>
              <w:ind w:left="512"/>
              <w:rPr>
                <w:sz w:val="21"/>
                <w:szCs w:val="21"/>
              </w:rPr>
            </w:pPr>
            <w:r>
              <w:rPr>
                <w:rFonts w:hint="eastAsia"/>
                <w:spacing w:val="-2"/>
                <w:sz w:val="21"/>
                <w:szCs w:val="21"/>
              </w:rPr>
              <w:t>批号</w:t>
            </w:r>
          </w:p>
        </w:tc>
        <w:tc>
          <w:tcPr>
            <w:tcW w:w="1388" w:type="dxa"/>
            <w:gridSpan w:val="4"/>
          </w:tcPr>
          <w:p>
            <w:pPr>
              <w:pStyle w:val="239"/>
              <w:spacing w:before="68" w:line="219" w:lineRule="auto"/>
              <w:ind w:left="306"/>
              <w:rPr>
                <w:sz w:val="21"/>
                <w:szCs w:val="21"/>
              </w:rPr>
            </w:pPr>
            <w:r>
              <w:rPr>
                <w:rFonts w:hint="eastAsia"/>
                <w:spacing w:val="-3"/>
                <w:sz w:val="21"/>
                <w:szCs w:val="21"/>
              </w:rPr>
              <w:t>免疫剂量</w:t>
            </w:r>
          </w:p>
        </w:tc>
        <w:tc>
          <w:tcPr>
            <w:tcW w:w="1398" w:type="dxa"/>
            <w:gridSpan w:val="4"/>
          </w:tcPr>
          <w:p>
            <w:pPr>
              <w:pStyle w:val="239"/>
              <w:spacing w:before="70" w:line="220" w:lineRule="auto"/>
              <w:ind w:left="317"/>
              <w:rPr>
                <w:sz w:val="21"/>
                <w:szCs w:val="21"/>
              </w:rPr>
            </w:pPr>
            <w:r>
              <w:rPr>
                <w:rFonts w:hint="eastAsia"/>
                <w:spacing w:val="-3"/>
                <w:sz w:val="21"/>
                <w:szCs w:val="21"/>
              </w:rPr>
              <w:t>免疫方法</w:t>
            </w:r>
          </w:p>
        </w:tc>
        <w:tc>
          <w:tcPr>
            <w:tcW w:w="1317" w:type="dxa"/>
            <w:gridSpan w:val="3"/>
          </w:tcPr>
          <w:p>
            <w:pPr>
              <w:pStyle w:val="239"/>
              <w:spacing w:before="70" w:line="220" w:lineRule="auto"/>
              <w:ind w:left="349"/>
              <w:rPr>
                <w:sz w:val="21"/>
                <w:szCs w:val="21"/>
              </w:rPr>
            </w:pPr>
            <w:r>
              <w:rPr>
                <w:rFonts w:hint="eastAsia"/>
                <w:spacing w:val="6"/>
                <w:sz w:val="21"/>
                <w:szCs w:val="21"/>
              </w:rPr>
              <w:t>免疫人员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20" w:hRule="atLeast"/>
          <w:jc w:val="center"/>
        </w:trPr>
        <w:tc>
          <w:tcPr>
            <w:tcW w:w="1024" w:type="dxa"/>
          </w:tcPr>
          <w:p/>
        </w:tc>
        <w:tc>
          <w:tcPr>
            <w:tcW w:w="1439" w:type="dxa"/>
            <w:gridSpan w:val="3"/>
          </w:tcPr>
          <w:p/>
        </w:tc>
        <w:tc>
          <w:tcPr>
            <w:tcW w:w="1439" w:type="dxa"/>
            <w:gridSpan w:val="4"/>
          </w:tcPr>
          <w:p/>
        </w:tc>
        <w:tc>
          <w:tcPr>
            <w:tcW w:w="1427" w:type="dxa"/>
            <w:gridSpan w:val="4"/>
          </w:tcPr>
          <w:p/>
        </w:tc>
        <w:tc>
          <w:tcPr>
            <w:tcW w:w="1388" w:type="dxa"/>
            <w:gridSpan w:val="4"/>
          </w:tcPr>
          <w:p/>
        </w:tc>
        <w:tc>
          <w:tcPr>
            <w:tcW w:w="1398" w:type="dxa"/>
            <w:gridSpan w:val="4"/>
          </w:tcPr>
          <w:p/>
        </w:tc>
        <w:tc>
          <w:tcPr>
            <w:tcW w:w="1317" w:type="dxa"/>
            <w:gridSpan w:val="3"/>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0" w:hRule="atLeast"/>
          <w:jc w:val="center"/>
        </w:trPr>
        <w:tc>
          <w:tcPr>
            <w:tcW w:w="9432" w:type="dxa"/>
            <w:gridSpan w:val="23"/>
          </w:tcPr>
          <w:p>
            <w:pPr>
              <w:pStyle w:val="239"/>
              <w:spacing w:before="59" w:line="219" w:lineRule="auto"/>
              <w:ind w:left="4214"/>
              <w:rPr>
                <w:sz w:val="21"/>
                <w:szCs w:val="21"/>
              </w:rPr>
            </w:pPr>
            <w:r>
              <w:rPr>
                <w:rFonts w:hint="eastAsia"/>
                <w:spacing w:val="-2"/>
                <w:sz w:val="21"/>
                <w:szCs w:val="21"/>
              </w:rPr>
              <w:t>兽药使用记录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0" w:hRule="atLeast"/>
          <w:jc w:val="center"/>
        </w:trPr>
        <w:tc>
          <w:tcPr>
            <w:tcW w:w="1024" w:type="dxa"/>
          </w:tcPr>
          <w:p>
            <w:pPr>
              <w:pStyle w:val="239"/>
              <w:spacing w:before="62" w:line="221" w:lineRule="auto"/>
              <w:jc w:val="center"/>
              <w:rPr>
                <w:sz w:val="21"/>
                <w:szCs w:val="21"/>
              </w:rPr>
            </w:pPr>
            <w:r>
              <w:rPr>
                <w:rFonts w:hint="eastAsia"/>
                <w:spacing w:val="-9"/>
                <w:sz w:val="21"/>
                <w:szCs w:val="21"/>
              </w:rPr>
              <w:t>时间</w:t>
            </w:r>
          </w:p>
        </w:tc>
        <w:tc>
          <w:tcPr>
            <w:tcW w:w="1439" w:type="dxa"/>
            <w:gridSpan w:val="3"/>
          </w:tcPr>
          <w:p>
            <w:pPr>
              <w:pStyle w:val="239"/>
              <w:spacing w:before="60" w:line="220" w:lineRule="auto"/>
              <w:ind w:left="330"/>
              <w:rPr>
                <w:sz w:val="21"/>
                <w:szCs w:val="21"/>
              </w:rPr>
            </w:pPr>
            <w:r>
              <w:rPr>
                <w:rFonts w:hint="eastAsia"/>
                <w:spacing w:val="-2"/>
                <w:sz w:val="21"/>
                <w:szCs w:val="21"/>
              </w:rPr>
              <w:t>兽药名称</w:t>
            </w:r>
          </w:p>
        </w:tc>
        <w:tc>
          <w:tcPr>
            <w:tcW w:w="1439" w:type="dxa"/>
            <w:gridSpan w:val="4"/>
          </w:tcPr>
          <w:p>
            <w:pPr>
              <w:pStyle w:val="239"/>
              <w:spacing w:before="59" w:line="219" w:lineRule="auto"/>
              <w:ind w:left="331"/>
              <w:rPr>
                <w:sz w:val="21"/>
                <w:szCs w:val="21"/>
              </w:rPr>
            </w:pPr>
            <w:r>
              <w:rPr>
                <w:rFonts w:hint="eastAsia"/>
                <w:spacing w:val="2"/>
                <w:sz w:val="21"/>
                <w:szCs w:val="21"/>
              </w:rPr>
              <w:t>生产厂家</w:t>
            </w:r>
          </w:p>
        </w:tc>
        <w:tc>
          <w:tcPr>
            <w:tcW w:w="1427" w:type="dxa"/>
            <w:gridSpan w:val="4"/>
          </w:tcPr>
          <w:p>
            <w:pPr>
              <w:pStyle w:val="239"/>
              <w:spacing w:before="60" w:line="221" w:lineRule="auto"/>
              <w:ind w:left="512"/>
              <w:rPr>
                <w:sz w:val="21"/>
                <w:szCs w:val="21"/>
              </w:rPr>
            </w:pPr>
            <w:r>
              <w:rPr>
                <w:rFonts w:hint="eastAsia"/>
                <w:spacing w:val="-2"/>
                <w:sz w:val="21"/>
                <w:szCs w:val="21"/>
              </w:rPr>
              <w:t>批号</w:t>
            </w:r>
          </w:p>
        </w:tc>
        <w:tc>
          <w:tcPr>
            <w:tcW w:w="1388" w:type="dxa"/>
            <w:gridSpan w:val="4"/>
          </w:tcPr>
          <w:p>
            <w:pPr>
              <w:pStyle w:val="239"/>
              <w:spacing w:before="60" w:line="221" w:lineRule="auto"/>
              <w:ind w:left="495"/>
              <w:rPr>
                <w:sz w:val="21"/>
                <w:szCs w:val="21"/>
              </w:rPr>
            </w:pPr>
            <w:r>
              <w:rPr>
                <w:rFonts w:hint="eastAsia"/>
                <w:spacing w:val="-3"/>
                <w:sz w:val="21"/>
                <w:szCs w:val="21"/>
              </w:rPr>
              <w:t>用量</w:t>
            </w:r>
          </w:p>
        </w:tc>
        <w:tc>
          <w:tcPr>
            <w:tcW w:w="1398" w:type="dxa"/>
            <w:gridSpan w:val="4"/>
          </w:tcPr>
          <w:p>
            <w:pPr>
              <w:pStyle w:val="239"/>
              <w:spacing w:before="60" w:line="220" w:lineRule="auto"/>
              <w:ind w:left="317"/>
              <w:rPr>
                <w:sz w:val="21"/>
                <w:szCs w:val="21"/>
              </w:rPr>
            </w:pPr>
            <w:r>
              <w:rPr>
                <w:rFonts w:hint="eastAsia"/>
                <w:spacing w:val="4"/>
                <w:sz w:val="21"/>
                <w:szCs w:val="21"/>
              </w:rPr>
              <w:t>停药时间</w:t>
            </w:r>
          </w:p>
        </w:tc>
        <w:tc>
          <w:tcPr>
            <w:tcW w:w="1317" w:type="dxa"/>
            <w:gridSpan w:val="3"/>
          </w:tcPr>
          <w:p>
            <w:pPr>
              <w:pStyle w:val="239"/>
              <w:spacing w:before="60" w:line="221" w:lineRule="auto"/>
              <w:ind w:left="539"/>
              <w:rPr>
                <w:sz w:val="21"/>
                <w:szCs w:val="21"/>
              </w:rPr>
            </w:pPr>
            <w:r>
              <w:rPr>
                <w:rFonts w:hint="eastAsia"/>
                <w:spacing w:val="-3"/>
                <w:sz w:val="21"/>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20" w:hRule="atLeast"/>
          <w:jc w:val="center"/>
        </w:trPr>
        <w:tc>
          <w:tcPr>
            <w:tcW w:w="1024" w:type="dxa"/>
          </w:tcPr>
          <w:p/>
        </w:tc>
        <w:tc>
          <w:tcPr>
            <w:tcW w:w="1439" w:type="dxa"/>
            <w:gridSpan w:val="3"/>
          </w:tcPr>
          <w:p/>
        </w:tc>
        <w:tc>
          <w:tcPr>
            <w:tcW w:w="1439" w:type="dxa"/>
            <w:gridSpan w:val="4"/>
          </w:tcPr>
          <w:p/>
        </w:tc>
        <w:tc>
          <w:tcPr>
            <w:tcW w:w="1427" w:type="dxa"/>
            <w:gridSpan w:val="4"/>
          </w:tcPr>
          <w:p/>
        </w:tc>
        <w:tc>
          <w:tcPr>
            <w:tcW w:w="1388" w:type="dxa"/>
            <w:gridSpan w:val="4"/>
          </w:tcPr>
          <w:p/>
        </w:tc>
        <w:tc>
          <w:tcPr>
            <w:tcW w:w="1398" w:type="dxa"/>
            <w:gridSpan w:val="4"/>
          </w:tcPr>
          <w:p/>
        </w:tc>
        <w:tc>
          <w:tcPr>
            <w:tcW w:w="1317" w:type="dxa"/>
            <w:gridSpan w:val="3"/>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9" w:hRule="atLeast"/>
          <w:jc w:val="center"/>
        </w:trPr>
        <w:tc>
          <w:tcPr>
            <w:tcW w:w="9432" w:type="dxa"/>
            <w:gridSpan w:val="23"/>
          </w:tcPr>
          <w:p>
            <w:pPr>
              <w:pStyle w:val="239"/>
              <w:spacing w:before="89" w:line="219" w:lineRule="auto"/>
              <w:ind w:left="4404"/>
              <w:rPr>
                <w:sz w:val="21"/>
                <w:szCs w:val="21"/>
              </w:rPr>
            </w:pPr>
            <w:r>
              <w:rPr>
                <w:rFonts w:hint="eastAsia"/>
                <w:spacing w:val="2"/>
                <w:sz w:val="21"/>
                <w:szCs w:val="21"/>
              </w:rPr>
              <w:t>消毒记录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0" w:hRule="atLeast"/>
          <w:jc w:val="center"/>
        </w:trPr>
        <w:tc>
          <w:tcPr>
            <w:tcW w:w="1024" w:type="dxa"/>
          </w:tcPr>
          <w:p>
            <w:pPr>
              <w:pStyle w:val="239"/>
              <w:spacing w:before="81" w:line="220" w:lineRule="auto"/>
              <w:jc w:val="center"/>
              <w:rPr>
                <w:sz w:val="21"/>
                <w:szCs w:val="21"/>
              </w:rPr>
            </w:pPr>
            <w:r>
              <w:rPr>
                <w:rFonts w:hint="eastAsia"/>
                <w:spacing w:val="9"/>
                <w:sz w:val="21"/>
                <w:szCs w:val="21"/>
              </w:rPr>
              <w:t>时间</w:t>
            </w:r>
          </w:p>
        </w:tc>
        <w:tc>
          <w:tcPr>
            <w:tcW w:w="1729" w:type="dxa"/>
            <w:gridSpan w:val="4"/>
          </w:tcPr>
          <w:p>
            <w:pPr>
              <w:pStyle w:val="239"/>
              <w:spacing w:before="80" w:line="219" w:lineRule="auto"/>
              <w:ind w:left="490"/>
              <w:rPr>
                <w:sz w:val="21"/>
                <w:szCs w:val="21"/>
              </w:rPr>
            </w:pPr>
            <w:r>
              <w:rPr>
                <w:rFonts w:hint="eastAsia"/>
                <w:spacing w:val="-3"/>
                <w:sz w:val="21"/>
                <w:szCs w:val="21"/>
              </w:rPr>
              <w:t>消毒场所</w:t>
            </w:r>
          </w:p>
        </w:tc>
        <w:tc>
          <w:tcPr>
            <w:tcW w:w="1728" w:type="dxa"/>
            <w:gridSpan w:val="5"/>
          </w:tcPr>
          <w:p>
            <w:pPr>
              <w:pStyle w:val="239"/>
              <w:spacing w:before="80" w:line="219" w:lineRule="auto"/>
              <w:ind w:left="411"/>
              <w:rPr>
                <w:sz w:val="21"/>
                <w:szCs w:val="21"/>
              </w:rPr>
            </w:pPr>
            <w:r>
              <w:rPr>
                <w:rFonts w:hint="eastAsia"/>
                <w:spacing w:val="1"/>
                <w:sz w:val="21"/>
                <w:szCs w:val="21"/>
              </w:rPr>
              <w:t>消毒药名称</w:t>
            </w:r>
          </w:p>
        </w:tc>
        <w:tc>
          <w:tcPr>
            <w:tcW w:w="1687" w:type="dxa"/>
            <w:gridSpan w:val="4"/>
          </w:tcPr>
          <w:p>
            <w:pPr>
              <w:pStyle w:val="239"/>
              <w:spacing w:before="79" w:line="219" w:lineRule="auto"/>
              <w:ind w:left="453"/>
              <w:rPr>
                <w:sz w:val="21"/>
                <w:szCs w:val="21"/>
              </w:rPr>
            </w:pPr>
            <w:r>
              <w:rPr>
                <w:rFonts w:hint="eastAsia"/>
                <w:spacing w:val="-2"/>
                <w:sz w:val="21"/>
                <w:szCs w:val="21"/>
              </w:rPr>
              <w:t>用药剂量</w:t>
            </w:r>
          </w:p>
        </w:tc>
        <w:tc>
          <w:tcPr>
            <w:tcW w:w="1667" w:type="dxa"/>
            <w:gridSpan w:val="5"/>
          </w:tcPr>
          <w:p>
            <w:pPr>
              <w:pStyle w:val="239"/>
              <w:spacing w:before="80" w:line="219" w:lineRule="auto"/>
              <w:ind w:left="476"/>
              <w:rPr>
                <w:sz w:val="21"/>
                <w:szCs w:val="21"/>
              </w:rPr>
            </w:pPr>
            <w:r>
              <w:rPr>
                <w:rFonts w:hint="eastAsia"/>
                <w:spacing w:val="-3"/>
                <w:sz w:val="21"/>
                <w:szCs w:val="21"/>
              </w:rPr>
              <w:t>消毒方法</w:t>
            </w:r>
          </w:p>
        </w:tc>
        <w:tc>
          <w:tcPr>
            <w:tcW w:w="1597" w:type="dxa"/>
            <w:gridSpan w:val="4"/>
          </w:tcPr>
          <w:p>
            <w:pPr>
              <w:pStyle w:val="239"/>
              <w:spacing w:before="80" w:line="219" w:lineRule="auto"/>
              <w:ind w:left="489"/>
              <w:rPr>
                <w:sz w:val="21"/>
                <w:szCs w:val="21"/>
              </w:rPr>
            </w:pPr>
            <w:r>
              <w:rPr>
                <w:rFonts w:hint="eastAsia"/>
                <w:spacing w:val="6"/>
                <w:sz w:val="21"/>
                <w:szCs w:val="21"/>
              </w:rPr>
              <w:t>消毒人员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9" w:hRule="atLeast"/>
          <w:jc w:val="center"/>
        </w:trPr>
        <w:tc>
          <w:tcPr>
            <w:tcW w:w="1024" w:type="dxa"/>
          </w:tcPr>
          <w:p/>
        </w:tc>
        <w:tc>
          <w:tcPr>
            <w:tcW w:w="1729" w:type="dxa"/>
            <w:gridSpan w:val="4"/>
          </w:tcPr>
          <w:p/>
        </w:tc>
        <w:tc>
          <w:tcPr>
            <w:tcW w:w="1728" w:type="dxa"/>
            <w:gridSpan w:val="5"/>
          </w:tcPr>
          <w:p/>
        </w:tc>
        <w:tc>
          <w:tcPr>
            <w:tcW w:w="1687" w:type="dxa"/>
            <w:gridSpan w:val="4"/>
          </w:tcPr>
          <w:p/>
        </w:tc>
        <w:tc>
          <w:tcPr>
            <w:tcW w:w="1667" w:type="dxa"/>
            <w:gridSpan w:val="5"/>
          </w:tcPr>
          <w:p/>
        </w:tc>
        <w:tc>
          <w:tcPr>
            <w:tcW w:w="1597" w:type="dxa"/>
            <w:gridSpan w:val="4"/>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9" w:hRule="atLeast"/>
          <w:jc w:val="center"/>
        </w:trPr>
        <w:tc>
          <w:tcPr>
            <w:tcW w:w="9432" w:type="dxa"/>
            <w:gridSpan w:val="23"/>
          </w:tcPr>
          <w:p>
            <w:pPr>
              <w:pStyle w:val="239"/>
              <w:spacing w:before="83" w:line="220" w:lineRule="auto"/>
              <w:ind w:left="4214"/>
              <w:rPr>
                <w:sz w:val="21"/>
                <w:szCs w:val="21"/>
              </w:rPr>
            </w:pPr>
            <w:r>
              <w:rPr>
                <w:rFonts w:hint="eastAsia"/>
                <w:spacing w:val="-2"/>
                <w:sz w:val="21"/>
                <w:szCs w:val="21"/>
              </w:rPr>
              <w:t>疫病监测记录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37" w:hRule="atLeast"/>
          <w:jc w:val="center"/>
        </w:trPr>
        <w:tc>
          <w:tcPr>
            <w:tcW w:w="1024" w:type="dxa"/>
            <w:vAlign w:val="center"/>
          </w:tcPr>
          <w:p>
            <w:pPr>
              <w:pStyle w:val="239"/>
              <w:spacing w:before="61" w:line="219" w:lineRule="auto"/>
              <w:ind w:left="124"/>
              <w:jc w:val="center"/>
              <w:rPr>
                <w:sz w:val="21"/>
                <w:szCs w:val="21"/>
              </w:rPr>
            </w:pPr>
            <w:r>
              <w:rPr>
                <w:rFonts w:hint="eastAsia"/>
                <w:spacing w:val="-2"/>
                <w:sz w:val="21"/>
                <w:szCs w:val="21"/>
              </w:rPr>
              <w:t>采样日期</w:t>
            </w:r>
          </w:p>
        </w:tc>
        <w:tc>
          <w:tcPr>
            <w:tcW w:w="1239" w:type="dxa"/>
            <w:gridSpan w:val="2"/>
            <w:vAlign w:val="center"/>
          </w:tcPr>
          <w:p>
            <w:pPr>
              <w:pStyle w:val="239"/>
              <w:spacing w:before="62" w:line="219" w:lineRule="auto"/>
              <w:jc w:val="center"/>
              <w:rPr>
                <w:sz w:val="21"/>
                <w:szCs w:val="21"/>
              </w:rPr>
            </w:pPr>
            <w:r>
              <w:rPr>
                <w:rFonts w:hint="eastAsia"/>
                <w:spacing w:val="3"/>
                <w:sz w:val="21"/>
                <w:szCs w:val="21"/>
              </w:rPr>
              <w:t>牛编码</w:t>
            </w:r>
          </w:p>
        </w:tc>
        <w:tc>
          <w:tcPr>
            <w:tcW w:w="1229" w:type="dxa"/>
            <w:gridSpan w:val="4"/>
            <w:vAlign w:val="center"/>
          </w:tcPr>
          <w:p>
            <w:pPr>
              <w:pStyle w:val="239"/>
              <w:spacing w:before="61" w:line="219" w:lineRule="auto"/>
              <w:ind w:left="251"/>
              <w:jc w:val="center"/>
              <w:rPr>
                <w:sz w:val="21"/>
                <w:szCs w:val="21"/>
              </w:rPr>
            </w:pPr>
            <w:r>
              <w:rPr>
                <w:rFonts w:hint="eastAsia"/>
                <w:spacing w:val="-2"/>
                <w:sz w:val="21"/>
                <w:szCs w:val="21"/>
              </w:rPr>
              <w:t>采样数量</w:t>
            </w:r>
          </w:p>
        </w:tc>
        <w:tc>
          <w:tcPr>
            <w:tcW w:w="1238" w:type="dxa"/>
            <w:gridSpan w:val="4"/>
            <w:vAlign w:val="center"/>
          </w:tcPr>
          <w:p>
            <w:pPr>
              <w:pStyle w:val="239"/>
              <w:spacing w:before="62" w:line="220" w:lineRule="auto"/>
              <w:ind w:left="222"/>
              <w:jc w:val="center"/>
              <w:rPr>
                <w:sz w:val="21"/>
                <w:szCs w:val="21"/>
              </w:rPr>
            </w:pPr>
            <w:r>
              <w:rPr>
                <w:rFonts w:hint="eastAsia"/>
                <w:spacing w:val="9"/>
                <w:sz w:val="21"/>
                <w:szCs w:val="21"/>
              </w:rPr>
              <w:t>监测项目</w:t>
            </w:r>
          </w:p>
        </w:tc>
        <w:tc>
          <w:tcPr>
            <w:tcW w:w="1198" w:type="dxa"/>
            <w:gridSpan w:val="2"/>
            <w:vAlign w:val="center"/>
          </w:tcPr>
          <w:p>
            <w:pPr>
              <w:pStyle w:val="239"/>
              <w:spacing w:before="62" w:line="220" w:lineRule="auto"/>
              <w:ind w:left="234"/>
              <w:jc w:val="center"/>
              <w:rPr>
                <w:sz w:val="21"/>
                <w:szCs w:val="21"/>
              </w:rPr>
            </w:pPr>
            <w:r>
              <w:rPr>
                <w:rFonts w:hint="eastAsia"/>
                <w:spacing w:val="-2"/>
                <w:sz w:val="21"/>
                <w:szCs w:val="21"/>
              </w:rPr>
              <w:t>监测单位</w:t>
            </w:r>
          </w:p>
        </w:tc>
        <w:tc>
          <w:tcPr>
            <w:tcW w:w="1178" w:type="dxa"/>
            <w:gridSpan w:val="4"/>
            <w:vAlign w:val="center"/>
          </w:tcPr>
          <w:p>
            <w:pPr>
              <w:pStyle w:val="239"/>
              <w:spacing w:before="62" w:line="220" w:lineRule="auto"/>
              <w:ind w:left="246"/>
              <w:jc w:val="center"/>
              <w:rPr>
                <w:sz w:val="21"/>
                <w:szCs w:val="21"/>
              </w:rPr>
            </w:pPr>
            <w:r>
              <w:rPr>
                <w:rFonts w:hint="eastAsia"/>
                <w:spacing w:val="-2"/>
                <w:sz w:val="21"/>
                <w:szCs w:val="21"/>
              </w:rPr>
              <w:t>监测结果</w:t>
            </w:r>
          </w:p>
        </w:tc>
        <w:tc>
          <w:tcPr>
            <w:tcW w:w="1209" w:type="dxa"/>
            <w:gridSpan w:val="4"/>
            <w:vAlign w:val="center"/>
          </w:tcPr>
          <w:p>
            <w:pPr>
              <w:pStyle w:val="239"/>
              <w:spacing w:before="62" w:line="220" w:lineRule="auto"/>
              <w:ind w:left="248"/>
              <w:jc w:val="center"/>
              <w:rPr>
                <w:sz w:val="21"/>
                <w:szCs w:val="21"/>
              </w:rPr>
            </w:pPr>
            <w:r>
              <w:rPr>
                <w:rFonts w:hint="eastAsia"/>
                <w:spacing w:val="-3"/>
                <w:sz w:val="21"/>
                <w:szCs w:val="21"/>
              </w:rPr>
              <w:t>处理情况</w:t>
            </w:r>
          </w:p>
        </w:tc>
        <w:tc>
          <w:tcPr>
            <w:tcW w:w="1117" w:type="dxa"/>
            <w:gridSpan w:val="2"/>
            <w:vAlign w:val="center"/>
          </w:tcPr>
          <w:p>
            <w:pPr>
              <w:pStyle w:val="239"/>
              <w:spacing w:before="62" w:line="221" w:lineRule="auto"/>
              <w:ind w:firstLine="408" w:firstLineChars="200"/>
              <w:jc w:val="both"/>
              <w:rPr>
                <w:sz w:val="21"/>
                <w:szCs w:val="21"/>
              </w:rPr>
            </w:pPr>
            <w:r>
              <w:rPr>
                <w:rFonts w:hint="eastAsia"/>
                <w:spacing w:val="-3"/>
                <w:sz w:val="21"/>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9" w:hRule="atLeast"/>
          <w:jc w:val="center"/>
        </w:trPr>
        <w:tc>
          <w:tcPr>
            <w:tcW w:w="1024" w:type="dxa"/>
          </w:tcPr>
          <w:p/>
        </w:tc>
        <w:tc>
          <w:tcPr>
            <w:tcW w:w="1239" w:type="dxa"/>
            <w:gridSpan w:val="2"/>
          </w:tcPr>
          <w:p/>
        </w:tc>
        <w:tc>
          <w:tcPr>
            <w:tcW w:w="1229" w:type="dxa"/>
            <w:gridSpan w:val="4"/>
          </w:tcPr>
          <w:p/>
        </w:tc>
        <w:tc>
          <w:tcPr>
            <w:tcW w:w="1238" w:type="dxa"/>
            <w:gridSpan w:val="4"/>
          </w:tcPr>
          <w:p/>
        </w:tc>
        <w:tc>
          <w:tcPr>
            <w:tcW w:w="1198" w:type="dxa"/>
            <w:gridSpan w:val="2"/>
          </w:tcPr>
          <w:p/>
        </w:tc>
        <w:tc>
          <w:tcPr>
            <w:tcW w:w="1178" w:type="dxa"/>
            <w:gridSpan w:val="4"/>
          </w:tcPr>
          <w:p/>
        </w:tc>
        <w:tc>
          <w:tcPr>
            <w:tcW w:w="1209" w:type="dxa"/>
            <w:gridSpan w:val="4"/>
          </w:tcPr>
          <w:p/>
        </w:tc>
        <w:tc>
          <w:tcPr>
            <w:tcW w:w="1117" w:type="dxa"/>
            <w:gridSpan w:val="2"/>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19" w:hRule="atLeast"/>
          <w:jc w:val="center"/>
        </w:trPr>
        <w:tc>
          <w:tcPr>
            <w:tcW w:w="9432" w:type="dxa"/>
            <w:gridSpan w:val="23"/>
          </w:tcPr>
          <w:p>
            <w:pPr>
              <w:pStyle w:val="239"/>
              <w:spacing w:before="126" w:line="220" w:lineRule="auto"/>
              <w:ind w:left="4214"/>
              <w:rPr>
                <w:sz w:val="21"/>
                <w:szCs w:val="21"/>
              </w:rPr>
            </w:pPr>
            <w:r>
              <w:rPr>
                <w:rFonts w:hint="eastAsia"/>
                <w:spacing w:val="1"/>
                <w:sz w:val="21"/>
                <w:szCs w:val="21"/>
              </w:rPr>
              <w:t>肉牛诊疗记录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0" w:hRule="atLeast"/>
          <w:jc w:val="center"/>
        </w:trPr>
        <w:tc>
          <w:tcPr>
            <w:tcW w:w="1024" w:type="dxa"/>
          </w:tcPr>
          <w:p>
            <w:pPr>
              <w:pStyle w:val="239"/>
              <w:spacing w:before="68" w:line="215" w:lineRule="auto"/>
              <w:ind w:left="314"/>
              <w:rPr>
                <w:sz w:val="21"/>
                <w:szCs w:val="21"/>
              </w:rPr>
            </w:pPr>
            <w:r>
              <w:rPr>
                <w:rFonts w:hint="eastAsia"/>
                <w:spacing w:val="9"/>
                <w:sz w:val="21"/>
                <w:szCs w:val="21"/>
              </w:rPr>
              <w:t>时间</w:t>
            </w:r>
          </w:p>
        </w:tc>
        <w:tc>
          <w:tcPr>
            <w:tcW w:w="1069" w:type="dxa"/>
          </w:tcPr>
          <w:p>
            <w:pPr>
              <w:pStyle w:val="239"/>
              <w:spacing w:before="66" w:line="217" w:lineRule="auto"/>
              <w:ind w:left="240"/>
              <w:rPr>
                <w:sz w:val="21"/>
                <w:szCs w:val="21"/>
              </w:rPr>
            </w:pPr>
            <w:r>
              <w:rPr>
                <w:rFonts w:hint="eastAsia"/>
                <w:spacing w:val="3"/>
                <w:sz w:val="21"/>
                <w:szCs w:val="21"/>
              </w:rPr>
              <w:t>牛编码</w:t>
            </w:r>
          </w:p>
        </w:tc>
        <w:tc>
          <w:tcPr>
            <w:tcW w:w="1089" w:type="dxa"/>
            <w:gridSpan w:val="4"/>
          </w:tcPr>
          <w:p>
            <w:pPr>
              <w:pStyle w:val="239"/>
              <w:spacing w:before="69" w:line="214" w:lineRule="auto"/>
              <w:ind w:left="371"/>
              <w:rPr>
                <w:sz w:val="21"/>
                <w:szCs w:val="21"/>
              </w:rPr>
            </w:pPr>
            <w:r>
              <w:rPr>
                <w:rFonts w:hint="eastAsia"/>
                <w:spacing w:val="7"/>
                <w:sz w:val="21"/>
                <w:szCs w:val="21"/>
              </w:rPr>
              <w:t>日龄</w:t>
            </w:r>
          </w:p>
        </w:tc>
        <w:tc>
          <w:tcPr>
            <w:tcW w:w="1069" w:type="dxa"/>
            <w:gridSpan w:val="3"/>
          </w:tcPr>
          <w:p>
            <w:pPr>
              <w:pStyle w:val="239"/>
              <w:spacing w:before="66" w:line="217" w:lineRule="auto"/>
              <w:ind w:left="262"/>
              <w:rPr>
                <w:sz w:val="21"/>
                <w:szCs w:val="21"/>
              </w:rPr>
            </w:pPr>
            <w:r>
              <w:rPr>
                <w:rFonts w:hint="eastAsia"/>
                <w:spacing w:val="-3"/>
                <w:sz w:val="21"/>
                <w:szCs w:val="21"/>
              </w:rPr>
              <w:t>发病数</w:t>
            </w:r>
          </w:p>
        </w:tc>
        <w:tc>
          <w:tcPr>
            <w:tcW w:w="1078" w:type="dxa"/>
            <w:gridSpan w:val="3"/>
          </w:tcPr>
          <w:p>
            <w:pPr>
              <w:pStyle w:val="239"/>
              <w:spacing w:before="67" w:line="216" w:lineRule="auto"/>
              <w:ind w:left="343"/>
              <w:rPr>
                <w:sz w:val="21"/>
                <w:szCs w:val="21"/>
              </w:rPr>
            </w:pPr>
            <w:r>
              <w:rPr>
                <w:rFonts w:hint="eastAsia"/>
                <w:spacing w:val="9"/>
                <w:sz w:val="21"/>
                <w:szCs w:val="21"/>
              </w:rPr>
              <w:t>病因</w:t>
            </w:r>
          </w:p>
        </w:tc>
        <w:tc>
          <w:tcPr>
            <w:tcW w:w="1039" w:type="dxa"/>
            <w:gridSpan w:val="3"/>
          </w:tcPr>
          <w:p>
            <w:pPr>
              <w:pStyle w:val="239"/>
              <w:spacing w:before="67" w:line="216" w:lineRule="auto"/>
              <w:rPr>
                <w:sz w:val="21"/>
                <w:szCs w:val="21"/>
              </w:rPr>
            </w:pPr>
            <w:r>
              <w:rPr>
                <w:rFonts w:hint="eastAsia"/>
                <w:spacing w:val="6"/>
                <w:sz w:val="21"/>
                <w:szCs w:val="21"/>
              </w:rPr>
              <w:t>诊疗人员</w:t>
            </w:r>
          </w:p>
        </w:tc>
        <w:tc>
          <w:tcPr>
            <w:tcW w:w="1038" w:type="dxa"/>
            <w:gridSpan w:val="3"/>
          </w:tcPr>
          <w:p>
            <w:pPr>
              <w:pStyle w:val="239"/>
              <w:spacing w:before="67" w:line="216" w:lineRule="auto"/>
              <w:ind w:left="167"/>
              <w:rPr>
                <w:sz w:val="21"/>
                <w:szCs w:val="21"/>
              </w:rPr>
            </w:pPr>
            <w:r>
              <w:rPr>
                <w:rFonts w:hint="eastAsia"/>
                <w:spacing w:val="-2"/>
                <w:sz w:val="21"/>
                <w:szCs w:val="21"/>
              </w:rPr>
              <w:t>用药名称</w:t>
            </w:r>
          </w:p>
        </w:tc>
        <w:tc>
          <w:tcPr>
            <w:tcW w:w="1069" w:type="dxa"/>
            <w:gridSpan w:val="4"/>
          </w:tcPr>
          <w:p>
            <w:pPr>
              <w:pStyle w:val="239"/>
              <w:spacing w:before="67" w:line="216" w:lineRule="auto"/>
              <w:ind w:left="178"/>
              <w:rPr>
                <w:sz w:val="21"/>
                <w:szCs w:val="21"/>
              </w:rPr>
            </w:pPr>
            <w:r>
              <w:rPr>
                <w:rFonts w:hint="eastAsia"/>
                <w:spacing w:val="-2"/>
                <w:sz w:val="21"/>
                <w:szCs w:val="21"/>
              </w:rPr>
              <w:t>用药方法</w:t>
            </w:r>
          </w:p>
        </w:tc>
        <w:tc>
          <w:tcPr>
            <w:tcW w:w="957" w:type="dxa"/>
          </w:tcPr>
          <w:p>
            <w:pPr>
              <w:pStyle w:val="239"/>
              <w:spacing w:before="67" w:line="216" w:lineRule="auto"/>
              <w:ind w:left="359"/>
              <w:rPr>
                <w:sz w:val="21"/>
                <w:szCs w:val="21"/>
              </w:rPr>
            </w:pPr>
            <w:r>
              <w:rPr>
                <w:rFonts w:hint="eastAsia"/>
                <w:spacing w:val="5"/>
                <w:sz w:val="21"/>
                <w:szCs w:val="21"/>
              </w:rPr>
              <w:t>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20" w:hRule="atLeast"/>
          <w:jc w:val="center"/>
        </w:trPr>
        <w:tc>
          <w:tcPr>
            <w:tcW w:w="1024" w:type="dxa"/>
          </w:tcPr>
          <w:p/>
        </w:tc>
        <w:tc>
          <w:tcPr>
            <w:tcW w:w="1069" w:type="dxa"/>
          </w:tcPr>
          <w:p/>
        </w:tc>
        <w:tc>
          <w:tcPr>
            <w:tcW w:w="1089" w:type="dxa"/>
            <w:gridSpan w:val="4"/>
          </w:tcPr>
          <w:p/>
        </w:tc>
        <w:tc>
          <w:tcPr>
            <w:tcW w:w="1069" w:type="dxa"/>
            <w:gridSpan w:val="3"/>
          </w:tcPr>
          <w:p/>
        </w:tc>
        <w:tc>
          <w:tcPr>
            <w:tcW w:w="1078" w:type="dxa"/>
            <w:gridSpan w:val="3"/>
          </w:tcPr>
          <w:p/>
        </w:tc>
        <w:tc>
          <w:tcPr>
            <w:tcW w:w="1039" w:type="dxa"/>
            <w:gridSpan w:val="3"/>
          </w:tcPr>
          <w:p/>
        </w:tc>
        <w:tc>
          <w:tcPr>
            <w:tcW w:w="1038" w:type="dxa"/>
            <w:gridSpan w:val="3"/>
          </w:tcPr>
          <w:p/>
        </w:tc>
        <w:tc>
          <w:tcPr>
            <w:tcW w:w="1069" w:type="dxa"/>
            <w:gridSpan w:val="4"/>
          </w:tcPr>
          <w:p/>
        </w:tc>
        <w:tc>
          <w:tcPr>
            <w:tcW w:w="957" w:type="dxa"/>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9" w:hRule="atLeast"/>
          <w:jc w:val="center"/>
        </w:trPr>
        <w:tc>
          <w:tcPr>
            <w:tcW w:w="9432" w:type="dxa"/>
            <w:gridSpan w:val="23"/>
          </w:tcPr>
          <w:p>
            <w:pPr>
              <w:pStyle w:val="239"/>
              <w:spacing w:before="77" w:line="220" w:lineRule="auto"/>
              <w:ind w:left="4124"/>
              <w:rPr>
                <w:sz w:val="21"/>
                <w:szCs w:val="21"/>
              </w:rPr>
            </w:pPr>
            <w:r>
              <w:rPr>
                <w:rFonts w:hint="eastAsia"/>
                <w:spacing w:val="-2"/>
                <w:sz w:val="21"/>
                <w:szCs w:val="21"/>
              </w:rPr>
              <w:t>无害化处理记录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0" w:hRule="atLeast"/>
          <w:jc w:val="center"/>
        </w:trPr>
        <w:tc>
          <w:tcPr>
            <w:tcW w:w="1024" w:type="dxa"/>
          </w:tcPr>
          <w:p>
            <w:pPr>
              <w:pStyle w:val="239"/>
              <w:spacing w:before="68" w:line="220" w:lineRule="auto"/>
              <w:ind w:left="314"/>
              <w:rPr>
                <w:sz w:val="21"/>
                <w:szCs w:val="21"/>
              </w:rPr>
            </w:pPr>
            <w:r>
              <w:rPr>
                <w:rFonts w:hint="eastAsia"/>
                <w:spacing w:val="9"/>
                <w:sz w:val="21"/>
                <w:szCs w:val="21"/>
              </w:rPr>
              <w:t>时间</w:t>
            </w:r>
          </w:p>
        </w:tc>
        <w:tc>
          <w:tcPr>
            <w:tcW w:w="1069" w:type="dxa"/>
          </w:tcPr>
          <w:p>
            <w:pPr>
              <w:pStyle w:val="239"/>
              <w:spacing w:before="65" w:line="219" w:lineRule="auto"/>
              <w:ind w:left="243"/>
              <w:rPr>
                <w:sz w:val="21"/>
                <w:szCs w:val="21"/>
              </w:rPr>
            </w:pPr>
            <w:r>
              <w:rPr>
                <w:rFonts w:hint="eastAsia"/>
                <w:spacing w:val="3"/>
                <w:sz w:val="21"/>
                <w:szCs w:val="21"/>
              </w:rPr>
              <w:t>牛编码</w:t>
            </w:r>
          </w:p>
        </w:tc>
        <w:tc>
          <w:tcPr>
            <w:tcW w:w="1399" w:type="dxa"/>
            <w:gridSpan w:val="5"/>
          </w:tcPr>
          <w:p>
            <w:pPr>
              <w:pStyle w:val="239"/>
              <w:spacing w:before="67" w:line="219" w:lineRule="auto"/>
              <w:ind w:left="521"/>
              <w:rPr>
                <w:sz w:val="21"/>
                <w:szCs w:val="21"/>
              </w:rPr>
            </w:pPr>
            <w:r>
              <w:rPr>
                <w:rFonts w:hint="eastAsia"/>
                <w:spacing w:val="-3"/>
                <w:sz w:val="21"/>
                <w:szCs w:val="21"/>
              </w:rPr>
              <w:t>数量</w:t>
            </w:r>
          </w:p>
        </w:tc>
        <w:tc>
          <w:tcPr>
            <w:tcW w:w="2436" w:type="dxa"/>
            <w:gridSpan w:val="6"/>
          </w:tcPr>
          <w:p>
            <w:pPr>
              <w:pStyle w:val="239"/>
              <w:spacing w:before="68" w:line="221" w:lineRule="auto"/>
              <w:ind w:left="592"/>
              <w:rPr>
                <w:sz w:val="21"/>
                <w:szCs w:val="21"/>
              </w:rPr>
            </w:pPr>
            <w:r>
              <w:rPr>
                <w:rFonts w:hint="eastAsia"/>
                <w:spacing w:val="2"/>
                <w:sz w:val="21"/>
                <w:szCs w:val="21"/>
              </w:rPr>
              <w:t>处理或死亡原因</w:t>
            </w:r>
          </w:p>
        </w:tc>
        <w:tc>
          <w:tcPr>
            <w:tcW w:w="1907" w:type="dxa"/>
            <w:gridSpan w:val="6"/>
          </w:tcPr>
          <w:p>
            <w:pPr>
              <w:pStyle w:val="239"/>
              <w:spacing w:before="68" w:line="221" w:lineRule="auto"/>
              <w:ind w:left="607"/>
              <w:rPr>
                <w:sz w:val="21"/>
                <w:szCs w:val="21"/>
              </w:rPr>
            </w:pPr>
            <w:r>
              <w:rPr>
                <w:rFonts w:hint="eastAsia"/>
                <w:spacing w:val="-3"/>
                <w:sz w:val="21"/>
                <w:szCs w:val="21"/>
              </w:rPr>
              <w:t>处理方法</w:t>
            </w:r>
          </w:p>
        </w:tc>
        <w:tc>
          <w:tcPr>
            <w:tcW w:w="1597" w:type="dxa"/>
            <w:gridSpan w:val="4"/>
          </w:tcPr>
          <w:p>
            <w:pPr>
              <w:pStyle w:val="239"/>
              <w:spacing w:before="68" w:line="221" w:lineRule="auto"/>
              <w:ind w:left="489"/>
              <w:rPr>
                <w:sz w:val="21"/>
                <w:szCs w:val="21"/>
              </w:rPr>
            </w:pPr>
            <w:r>
              <w:rPr>
                <w:rFonts w:hint="eastAsia"/>
                <w:spacing w:val="6"/>
                <w:sz w:val="21"/>
                <w:szCs w:val="21"/>
              </w:rPr>
              <w:t>处理人员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5" w:hRule="atLeast"/>
          <w:jc w:val="center"/>
        </w:trPr>
        <w:tc>
          <w:tcPr>
            <w:tcW w:w="1024" w:type="dxa"/>
          </w:tcPr>
          <w:p/>
        </w:tc>
        <w:tc>
          <w:tcPr>
            <w:tcW w:w="1069" w:type="dxa"/>
          </w:tcPr>
          <w:p/>
        </w:tc>
        <w:tc>
          <w:tcPr>
            <w:tcW w:w="1399" w:type="dxa"/>
            <w:gridSpan w:val="5"/>
          </w:tcPr>
          <w:p/>
        </w:tc>
        <w:tc>
          <w:tcPr>
            <w:tcW w:w="2436" w:type="dxa"/>
            <w:gridSpan w:val="6"/>
          </w:tcPr>
          <w:p/>
        </w:tc>
        <w:tc>
          <w:tcPr>
            <w:tcW w:w="1907" w:type="dxa"/>
            <w:gridSpan w:val="6"/>
          </w:tcPr>
          <w:p/>
        </w:tc>
        <w:tc>
          <w:tcPr>
            <w:tcW w:w="1597" w:type="dxa"/>
            <w:gridSpan w:val="4"/>
          </w:tcPr>
          <w:p/>
        </w:tc>
      </w:tr>
      <w:bookmarkEnd w:id="119"/>
    </w:tbl>
    <w:p>
      <w:pPr>
        <w:pStyle w:val="65"/>
        <w:spacing w:after="156"/>
        <w:jc w:val="both"/>
        <w:rPr>
          <w:spacing w:val="105"/>
        </w:rPr>
        <w:sectPr>
          <w:pgSz w:w="11906" w:h="16838"/>
          <w:pgMar w:top="1928" w:right="1134" w:bottom="1134" w:left="1134" w:header="1418" w:footer="1134" w:gutter="284"/>
          <w:cols w:space="425" w:num="1"/>
          <w:formProt w:val="0"/>
          <w:docGrid w:type="lines" w:linePitch="312" w:charSpace="0"/>
        </w:sectPr>
      </w:pPr>
      <w:bookmarkStart w:id="132" w:name="_Toc183422540"/>
      <w:bookmarkEnd w:id="132"/>
      <w:bookmarkStart w:id="133" w:name="_Toc183424414"/>
      <w:bookmarkEnd w:id="133"/>
      <w:bookmarkStart w:id="134" w:name="_Toc183423049"/>
      <w:bookmarkEnd w:id="134"/>
      <w:bookmarkStart w:id="135" w:name="_Toc183423040"/>
      <w:bookmarkEnd w:id="135"/>
      <w:bookmarkStart w:id="136" w:name="_Toc185926487"/>
      <w:bookmarkStart w:id="137" w:name="_Toc183424415"/>
      <w:bookmarkStart w:id="138" w:name="_Toc185926500"/>
      <w:bookmarkStart w:id="139" w:name="_Toc185923990"/>
      <w:bookmarkStart w:id="140" w:name="_Toc183532094"/>
      <w:bookmarkStart w:id="141" w:name="_Toc185926644"/>
      <w:bookmarkStart w:id="142" w:name="_Toc183425300"/>
      <w:bookmarkStart w:id="143" w:name="_Toc183438634"/>
      <w:bookmarkStart w:id="144" w:name="_Toc186016565"/>
      <w:bookmarkStart w:id="145" w:name="_Toc184019722"/>
      <w:bookmarkStart w:id="146" w:name="BookMark6"/>
    </w:p>
    <w:p>
      <w:pPr>
        <w:pStyle w:val="65"/>
        <w:spacing w:after="156"/>
        <w:jc w:val="both"/>
        <w:rPr>
          <w:spacing w:val="105"/>
        </w:rPr>
      </w:pPr>
    </w:p>
    <w:p>
      <w:pPr>
        <w:pStyle w:val="65"/>
        <w:spacing w:after="156"/>
      </w:pPr>
      <w:bookmarkStart w:id="147" w:name="_Toc190848172"/>
      <w:r>
        <w:rPr>
          <w:rFonts w:hint="eastAsia"/>
          <w:spacing w:val="105"/>
        </w:rPr>
        <w:t>参考文</w:t>
      </w:r>
      <w:r>
        <w:rPr>
          <w:rFonts w:hint="eastAsia"/>
        </w:rPr>
        <w:t>献</w:t>
      </w:r>
      <w:bookmarkEnd w:id="136"/>
      <w:bookmarkEnd w:id="137"/>
      <w:bookmarkEnd w:id="138"/>
      <w:bookmarkEnd w:id="139"/>
      <w:bookmarkEnd w:id="140"/>
      <w:bookmarkEnd w:id="141"/>
      <w:bookmarkEnd w:id="142"/>
      <w:bookmarkEnd w:id="143"/>
      <w:bookmarkEnd w:id="144"/>
      <w:bookmarkEnd w:id="145"/>
      <w:bookmarkEnd w:id="147"/>
    </w:p>
    <w:p>
      <w:pPr>
        <w:pStyle w:val="58"/>
        <w:numPr>
          <w:ilvl w:val="0"/>
          <w:numId w:val="32"/>
        </w:numPr>
        <w:ind w:firstLine="420"/>
      </w:pPr>
      <w:r>
        <w:rPr>
          <w:rFonts w:hint="eastAsia"/>
        </w:rPr>
        <w:t>全国人大.《中华人民共和国动物防疫法》主席令第69号[D].（2021-5-1）.</w:t>
      </w:r>
    </w:p>
    <w:p>
      <w:pPr>
        <w:pStyle w:val="58"/>
        <w:numPr>
          <w:ilvl w:val="0"/>
          <w:numId w:val="32"/>
        </w:numPr>
        <w:ind w:firstLine="420"/>
      </w:pPr>
      <w:r>
        <w:rPr>
          <w:rFonts w:hint="eastAsia"/>
        </w:rPr>
        <w:t>农业农村部.《动物检疫管理办法》农业农村部令2022年第7号[D].（2022-12-1）.</w:t>
      </w:r>
    </w:p>
    <w:p>
      <w:pPr>
        <w:pStyle w:val="58"/>
        <w:numPr>
          <w:ilvl w:val="0"/>
          <w:numId w:val="32"/>
        </w:numPr>
        <w:ind w:firstLine="420"/>
      </w:pPr>
      <w:r>
        <w:rPr>
          <w:rFonts w:hint="eastAsia"/>
        </w:rPr>
        <w:t>国务院.《重大动物疫情应急条例》国务院令第450号[D].（2015-11-18）.</w:t>
      </w:r>
    </w:p>
    <w:p>
      <w:pPr>
        <w:pStyle w:val="58"/>
        <w:numPr>
          <w:ilvl w:val="0"/>
          <w:numId w:val="32"/>
        </w:numPr>
        <w:ind w:firstLine="420"/>
      </w:pPr>
      <w:r>
        <w:rPr>
          <w:rFonts w:hint="eastAsia"/>
        </w:rPr>
        <w:t>省人大常委会.《湖南省实施&lt;中华人民共和国动物防疫法&gt;办法》湖南省第十四届人大常委会公</w:t>
      </w:r>
    </w:p>
    <w:p>
      <w:pPr>
        <w:pStyle w:val="58"/>
        <w:ind w:firstLine="0" w:firstLineChars="0"/>
      </w:pPr>
      <w:r>
        <w:rPr>
          <w:rFonts w:hint="eastAsia"/>
        </w:rPr>
        <w:t>告第6号[D].（2023-12-1）.</w:t>
      </w:r>
    </w:p>
    <w:bookmarkEnd w:id="146"/>
    <w:p>
      <w:pPr>
        <w:pStyle w:val="58"/>
        <w:numPr>
          <w:ilvl w:val="0"/>
          <w:numId w:val="32"/>
        </w:numPr>
        <w:ind w:firstLine="420"/>
      </w:pPr>
      <w:r>
        <w:rPr>
          <w:rFonts w:hint="eastAsia"/>
        </w:rPr>
        <w:t>农业农村部.《病死及病害动物无害化处理技术规范》农医发[2017]25号[D].（2017-7-3）.</w:t>
      </w:r>
    </w:p>
    <w:p>
      <w:pPr>
        <w:pStyle w:val="58"/>
        <w:numPr>
          <w:ilvl w:val="0"/>
          <w:numId w:val="32"/>
        </w:numPr>
        <w:ind w:firstLine="420"/>
        <w:rPr>
          <w:color w:val="000000" w:themeColor="text1"/>
        </w:rPr>
      </w:pPr>
      <w:r>
        <w:rPr>
          <w:rFonts w:hint="eastAsia" w:hAnsi="宋体"/>
          <w:color w:val="000000" w:themeColor="text1"/>
          <w:szCs w:val="21"/>
        </w:rPr>
        <w:t>农业农村部.《反刍动物产地检疫规程》农牧发[2023]16号[D].（2023-4-1）.</w:t>
      </w:r>
    </w:p>
    <w:p>
      <w:pPr>
        <w:pStyle w:val="58"/>
        <w:numPr>
          <w:ilvl w:val="0"/>
          <w:numId w:val="32"/>
        </w:numPr>
        <w:ind w:firstLine="420"/>
        <w:rPr>
          <w:color w:val="000000" w:themeColor="text1"/>
        </w:rPr>
      </w:pPr>
      <w:r>
        <w:rPr>
          <w:rFonts w:hint="eastAsia" w:hAnsi="宋体" w:cs="宋体"/>
          <w:bCs/>
          <w:color w:val="000000" w:themeColor="text1"/>
          <w:kern w:val="2"/>
          <w:szCs w:val="24"/>
        </w:rPr>
        <w:t>农业农村部.《兽用生物制品经营管理办法》农业农村部令2021年第2号[D].（2021-5-15）.</w:t>
      </w:r>
    </w:p>
    <w:p>
      <w:pPr>
        <w:pStyle w:val="58"/>
        <w:ind w:firstLine="0" w:firstLineChars="0"/>
      </w:pPr>
    </w:p>
    <w:p>
      <w:pPr>
        <w:pStyle w:val="58"/>
        <w:ind w:firstLine="0" w:firstLineChars="0"/>
      </w:pPr>
    </w:p>
    <w:p>
      <w:pPr>
        <w:pStyle w:val="58"/>
        <w:ind w:firstLine="0" w:firstLineChars="0"/>
      </w:pPr>
    </w:p>
    <w:p>
      <w:pPr>
        <w:pStyle w:val="26"/>
        <w:spacing w:line="360" w:lineRule="auto"/>
        <w:ind w:right="400"/>
        <w:jc w:val="center"/>
        <w:rPr>
          <w:rFonts w:ascii="Times New Roman" w:hAnsi="Times New Roman" w:eastAsia="宋体"/>
        </w:rPr>
      </w:pPr>
      <w:r>
        <w:rPr>
          <w:rFonts w:ascii="Times New Roman" w:hAnsi="Times New Roman" w:eastAsia="宋体"/>
        </w:rPr>
        <w:t>————————————</w:t>
      </w:r>
    </w:p>
    <w:p>
      <w:pPr>
        <w:pStyle w:val="58"/>
        <w:ind w:firstLine="0" w:firstLineChars="0"/>
      </w:pPr>
    </w:p>
    <w:sectPr>
      <w:pgSz w:w="11906" w:h="16838"/>
      <w:pgMar w:top="1928" w:right="1134" w:bottom="1134" w:left="1134" w:header="1418" w:footer="1134" w:gutter="284"/>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Arial Unicode MS">
    <w:altName w:val="Arial"/>
    <w:panose1 w:val="020B0604020202020204"/>
    <w:charset w:val="00"/>
    <w:family w:val="roman"/>
    <w:pitch w:val="default"/>
    <w:sig w:usb0="00000000" w:usb1="00000000" w:usb2="00000000" w:usb3="00000000" w:csb0="00000001" w:csb1="00000000"/>
  </w:font>
  <w:font w:name="等线">
    <w:altName w:val="宋体"/>
    <w:panose1 w:val="00000000000000000000"/>
    <w:charset w:val="86"/>
    <w:family w:val="auto"/>
    <w:pitch w:val="default"/>
    <w:sig w:usb0="00000000" w:usb1="00000000" w:usb2="00000016" w:usb3="00000000" w:csb0="0004000F" w:csb1="00000000"/>
  </w:font>
  <w:font w:name="等线 Light">
    <w:altName w:val="宋体"/>
    <w:panose1 w:val="00000000000000000000"/>
    <w:charset w:val="86"/>
    <w:family w:val="roma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方正书宋_GBK">
    <w:altName w:val="微软雅黑"/>
    <w:panose1 w:val="02000000000000000000"/>
    <w:charset w:val="86"/>
    <w:family w:val="auto"/>
    <w:pitch w:val="default"/>
    <w:sig w:usb0="00000000" w:usb1="00000000" w:usb2="00000000" w:usb3="00000000" w:csb0="00040000" w:csb1="00000000"/>
  </w:font>
  <w:font w:name="Nimbus Roman No9 L">
    <w:altName w:val="Segoe Print"/>
    <w:panose1 w:val="00000000000000000000"/>
    <w:charset w:val="00"/>
    <w:family w:val="auto"/>
    <w:pitch w:val="default"/>
    <w:sig w:usb0="00000000" w:usb1="00000000" w:usb2="00000000" w:usb3="00000000" w:csb0="00000000" w:csb1="00000000"/>
  </w:font>
  <w:font w:name="DejaVu Sans">
    <w:altName w:val="Segoe Print"/>
    <w:panose1 w:val="020B0603030804020204"/>
    <w:charset w:val="00"/>
    <w:family w:val="auto"/>
    <w:pitch w:val="default"/>
    <w:sig w:usb0="00000000" w:usb1="00000000" w:usb2="0A246029" w:usb3="0400200C" w:csb0="600001FF" w:csb1="DFFF0000"/>
  </w:font>
  <w:font w:name="DejaVu Math TeX Gyre">
    <w:altName w:val="Mangal"/>
    <w:panose1 w:val="02000503000000000000"/>
    <w:charset w:val="00"/>
    <w:family w:val="auto"/>
    <w:pitch w:val="default"/>
    <w:sig w:usb0="00000000" w:usb1="00000000" w:usb2="02000000" w:usb3="00000000" w:csb0="60000193" w:csb1="0DD40000"/>
  </w:font>
  <w:font w:name="等线">
    <w:altName w:val="Segoe Print"/>
    <w:panose1 w:val="00000000000000000000"/>
    <w:charset w:val="00"/>
    <w:family w:val="auto"/>
    <w:pitch w:val="default"/>
    <w:sig w:usb0="00000000" w:usb1="00000000" w:usb2="00000000" w:usb3="00000000" w:csb0="00000000" w:csb1="00000000"/>
  </w:font>
  <w:font w:name="汉仪仿宋S">
    <w:altName w:val="仿宋"/>
    <w:panose1 w:val="00020600040101000101"/>
    <w:charset w:val="86"/>
    <w:family w:val="auto"/>
    <w:pitch w:val="default"/>
    <w:sig w:usb0="00000000" w:usb1="00000000" w:usb2="00000016" w:usb3="00000000" w:csb0="0004009F" w:csb1="00000000"/>
  </w:font>
  <w:font w:name="Liberation Serif">
    <w:altName w:val="Traditional Arabic"/>
    <w:panose1 w:val="02020603050405020304"/>
    <w:charset w:val="00"/>
    <w:family w:val="auto"/>
    <w:pitch w:val="default"/>
    <w:sig w:usb0="00000000" w:usb1="00000000" w:usb2="00000000" w:usb3="00000000" w:csb0="6000009F" w:csb1="DFD7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Mangal">
    <w:panose1 w:val="02040503050203030202"/>
    <w:charset w:val="00"/>
    <w:family w:val="auto"/>
    <w:pitch w:val="default"/>
    <w:sig w:usb0="00008003"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Traditional Arabic">
    <w:panose1 w:val="02020603050405020304"/>
    <w:charset w:val="00"/>
    <w:family w:val="auto"/>
    <w:pitch w:val="default"/>
    <w:sig w:usb0="00006003" w:usb1="80000000" w:usb2="00000008" w:usb3="00000000" w:csb0="00000041" w:csb1="200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3</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43/T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lang w:val="fr-FR"/>
      </w:rPr>
    </w:pPr>
    <w:r>
      <w:fldChar w:fldCharType="begin"/>
    </w:r>
    <w:r>
      <w:instrText xml:space="preserve"> STYLEREF  标准文件_文件编号  \* MERGEFORMAT </w:instrText>
    </w:r>
    <w:r>
      <w:fldChar w:fldCharType="separate"/>
    </w:r>
    <w:r>
      <w:t>DB 43/T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B63A33B"/>
    <w:multiLevelType w:val="singleLevel"/>
    <w:tmpl w:val="9B63A33B"/>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2410" w:firstLine="0"/>
      </w:pPr>
      <w:rPr>
        <w:rFonts w:hint="eastAsia" w:ascii="黑体" w:eastAsia="黑体"/>
        <w:sz w:val="21"/>
        <w:lang w:val="en-US"/>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1276"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color w:val="auto"/>
        <w:sz w:val="21"/>
      </w:rPr>
    </w:lvl>
    <w:lvl w:ilvl="2" w:tentative="0">
      <w:start w:val="1"/>
      <w:numFmt w:val="decimal"/>
      <w:pStyle w:val="107"/>
      <w:suff w:val="nothing"/>
      <w:lvlText w:val="%1%2.%3　"/>
      <w:lvlJc w:val="left"/>
      <w:pPr>
        <w:ind w:left="1134"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7"/>
      <w:suff w:val="nothing"/>
      <w:lvlText w:val="%1%2.%3.%4　"/>
      <w:lvlJc w:val="left"/>
      <w:pPr>
        <w:ind w:left="851"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dit="forms" w:enforcement="1" w:cryptProviderType="rsaAES" w:cryptAlgorithmClass="hash" w:cryptAlgorithmType="typeAny" w:cryptAlgorithmSid="14" w:cryptSpinCount="100000" w:hash="RdWoYYiGDrywrkpyCEFOR9Zh3oQyB1h96KjMtqINWnOQuuEiHaZ97UndLvMHb1LwTM4e/A3pETY8&#10;ByZsNYcmGw==" w:salt="+1RE4Kp/eTG2YN0HcnZSLQ=="/>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Y2OTc0ODNlOTUzOTQ5YzM2ZmM3OTVmZWUwODUxM2YifQ=="/>
  </w:docVars>
  <w:rsids>
    <w:rsidRoot w:val="00172A27"/>
    <w:rsid w:val="0000040A"/>
    <w:rsid w:val="00000A94"/>
    <w:rsid w:val="00001972"/>
    <w:rsid w:val="00001D9A"/>
    <w:rsid w:val="00007B3A"/>
    <w:rsid w:val="000107E0"/>
    <w:rsid w:val="00011FDE"/>
    <w:rsid w:val="00012FFD"/>
    <w:rsid w:val="00014162"/>
    <w:rsid w:val="00014340"/>
    <w:rsid w:val="000146D3"/>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6115"/>
    <w:rsid w:val="00067F1E"/>
    <w:rsid w:val="00071CC0"/>
    <w:rsid w:val="000722BC"/>
    <w:rsid w:val="00073C8C"/>
    <w:rsid w:val="00077B64"/>
    <w:rsid w:val="00080A1C"/>
    <w:rsid w:val="00082317"/>
    <w:rsid w:val="00083D2C"/>
    <w:rsid w:val="000854B6"/>
    <w:rsid w:val="00086AA1"/>
    <w:rsid w:val="00087A77"/>
    <w:rsid w:val="00090CA6"/>
    <w:rsid w:val="000916A2"/>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1962"/>
    <w:rsid w:val="000C2FBD"/>
    <w:rsid w:val="000C4B41"/>
    <w:rsid w:val="000C57D6"/>
    <w:rsid w:val="000C6362"/>
    <w:rsid w:val="000C7666"/>
    <w:rsid w:val="000D0A9C"/>
    <w:rsid w:val="000D1795"/>
    <w:rsid w:val="000D329A"/>
    <w:rsid w:val="000D4B9C"/>
    <w:rsid w:val="000D4EB6"/>
    <w:rsid w:val="000D753B"/>
    <w:rsid w:val="000E4C9E"/>
    <w:rsid w:val="000E6FD7"/>
    <w:rsid w:val="000E7293"/>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369AD"/>
    <w:rsid w:val="00141114"/>
    <w:rsid w:val="00142969"/>
    <w:rsid w:val="001446C2"/>
    <w:rsid w:val="001457E7"/>
    <w:rsid w:val="00145D9D"/>
    <w:rsid w:val="00146388"/>
    <w:rsid w:val="001529E5"/>
    <w:rsid w:val="00153C7E"/>
    <w:rsid w:val="00156B25"/>
    <w:rsid w:val="00156E1A"/>
    <w:rsid w:val="00157894"/>
    <w:rsid w:val="00157B55"/>
    <w:rsid w:val="001608AE"/>
    <w:rsid w:val="001642FA"/>
    <w:rsid w:val="001649EB"/>
    <w:rsid w:val="00164A6A"/>
    <w:rsid w:val="00164BAF"/>
    <w:rsid w:val="00164FA8"/>
    <w:rsid w:val="00165065"/>
    <w:rsid w:val="00165434"/>
    <w:rsid w:val="0016580B"/>
    <w:rsid w:val="00165F49"/>
    <w:rsid w:val="00166B88"/>
    <w:rsid w:val="0016770A"/>
    <w:rsid w:val="00170804"/>
    <w:rsid w:val="001708E9"/>
    <w:rsid w:val="00172A27"/>
    <w:rsid w:val="0017340B"/>
    <w:rsid w:val="00173FB1"/>
    <w:rsid w:val="00176DFD"/>
    <w:rsid w:val="00181147"/>
    <w:rsid w:val="001852C9"/>
    <w:rsid w:val="00185DAC"/>
    <w:rsid w:val="00186A71"/>
    <w:rsid w:val="00190087"/>
    <w:rsid w:val="001913C4"/>
    <w:rsid w:val="0019348F"/>
    <w:rsid w:val="00193A07"/>
    <w:rsid w:val="00194C95"/>
    <w:rsid w:val="00195C34"/>
    <w:rsid w:val="00196EF5"/>
    <w:rsid w:val="001A1A53"/>
    <w:rsid w:val="001A234A"/>
    <w:rsid w:val="001A4CF3"/>
    <w:rsid w:val="001A5C94"/>
    <w:rsid w:val="001B06E8"/>
    <w:rsid w:val="001B1CA9"/>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2780"/>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6A2A"/>
    <w:rsid w:val="00247F52"/>
    <w:rsid w:val="00250B25"/>
    <w:rsid w:val="00250BBE"/>
    <w:rsid w:val="002515C2"/>
    <w:rsid w:val="0025194F"/>
    <w:rsid w:val="0026148A"/>
    <w:rsid w:val="00262696"/>
    <w:rsid w:val="00263D25"/>
    <w:rsid w:val="002643C3"/>
    <w:rsid w:val="00264A0C"/>
    <w:rsid w:val="00265FD8"/>
    <w:rsid w:val="00266EEB"/>
    <w:rsid w:val="00267EF4"/>
    <w:rsid w:val="00270BCD"/>
    <w:rsid w:val="00270CB8"/>
    <w:rsid w:val="00272B08"/>
    <w:rsid w:val="0027684F"/>
    <w:rsid w:val="002771AC"/>
    <w:rsid w:val="00281BB8"/>
    <w:rsid w:val="00281E9E"/>
    <w:rsid w:val="00282405"/>
    <w:rsid w:val="00282815"/>
    <w:rsid w:val="00285170"/>
    <w:rsid w:val="00285361"/>
    <w:rsid w:val="00286A0A"/>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45BC"/>
    <w:rsid w:val="002C5278"/>
    <w:rsid w:val="002C7EBB"/>
    <w:rsid w:val="002D06C1"/>
    <w:rsid w:val="002D1827"/>
    <w:rsid w:val="002D4212"/>
    <w:rsid w:val="002D42B5"/>
    <w:rsid w:val="002D4F1A"/>
    <w:rsid w:val="002D6EC6"/>
    <w:rsid w:val="002D79AC"/>
    <w:rsid w:val="002E039D"/>
    <w:rsid w:val="002E4D5A"/>
    <w:rsid w:val="002E6326"/>
    <w:rsid w:val="002F1976"/>
    <w:rsid w:val="002F30E0"/>
    <w:rsid w:val="002F35E4"/>
    <w:rsid w:val="002F3730"/>
    <w:rsid w:val="002F38E1"/>
    <w:rsid w:val="002F7AF6"/>
    <w:rsid w:val="00300E63"/>
    <w:rsid w:val="00302F5F"/>
    <w:rsid w:val="0030441D"/>
    <w:rsid w:val="00306063"/>
    <w:rsid w:val="00313B85"/>
    <w:rsid w:val="00317988"/>
    <w:rsid w:val="003221B4"/>
    <w:rsid w:val="0032258D"/>
    <w:rsid w:val="00322A03"/>
    <w:rsid w:val="00322E62"/>
    <w:rsid w:val="00324D13"/>
    <w:rsid w:val="00324D2A"/>
    <w:rsid w:val="00324EDD"/>
    <w:rsid w:val="003331E4"/>
    <w:rsid w:val="00336C64"/>
    <w:rsid w:val="00337162"/>
    <w:rsid w:val="0034194F"/>
    <w:rsid w:val="00344605"/>
    <w:rsid w:val="003474AA"/>
    <w:rsid w:val="00350D1D"/>
    <w:rsid w:val="00352C83"/>
    <w:rsid w:val="00357AF5"/>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078"/>
    <w:rsid w:val="00384FFC"/>
    <w:rsid w:val="003872FC"/>
    <w:rsid w:val="003878F1"/>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4702"/>
    <w:rsid w:val="003B5BF0"/>
    <w:rsid w:val="003B60BF"/>
    <w:rsid w:val="003B6AD9"/>
    <w:rsid w:val="003B6BE3"/>
    <w:rsid w:val="003C010C"/>
    <w:rsid w:val="003C0A6C"/>
    <w:rsid w:val="003C14F8"/>
    <w:rsid w:val="003C5A43"/>
    <w:rsid w:val="003D0519"/>
    <w:rsid w:val="003D0FF6"/>
    <w:rsid w:val="003D262C"/>
    <w:rsid w:val="003D3B62"/>
    <w:rsid w:val="003D6D61"/>
    <w:rsid w:val="003D79C6"/>
    <w:rsid w:val="003E091D"/>
    <w:rsid w:val="003E0B83"/>
    <w:rsid w:val="003E1C53"/>
    <w:rsid w:val="003E215E"/>
    <w:rsid w:val="003E2A69"/>
    <w:rsid w:val="003E2D49"/>
    <w:rsid w:val="003E2FD4"/>
    <w:rsid w:val="003E49F6"/>
    <w:rsid w:val="003E660F"/>
    <w:rsid w:val="003E7E0B"/>
    <w:rsid w:val="003F06B5"/>
    <w:rsid w:val="003F0841"/>
    <w:rsid w:val="003F23D3"/>
    <w:rsid w:val="003F3F08"/>
    <w:rsid w:val="003F49F1"/>
    <w:rsid w:val="003F6272"/>
    <w:rsid w:val="00400E72"/>
    <w:rsid w:val="00401400"/>
    <w:rsid w:val="00401470"/>
    <w:rsid w:val="00404869"/>
    <w:rsid w:val="00405884"/>
    <w:rsid w:val="00407D39"/>
    <w:rsid w:val="0041477A"/>
    <w:rsid w:val="004167A3"/>
    <w:rsid w:val="00421AB0"/>
    <w:rsid w:val="0042500B"/>
    <w:rsid w:val="00431FDC"/>
    <w:rsid w:val="00432DAA"/>
    <w:rsid w:val="00434305"/>
    <w:rsid w:val="00435DF7"/>
    <w:rsid w:val="00435EE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5A6D"/>
    <w:rsid w:val="004A63FA"/>
    <w:rsid w:val="004B0272"/>
    <w:rsid w:val="004B2701"/>
    <w:rsid w:val="004B2E1B"/>
    <w:rsid w:val="004B3AA8"/>
    <w:rsid w:val="004B3E93"/>
    <w:rsid w:val="004C1FBC"/>
    <w:rsid w:val="004C3F1D"/>
    <w:rsid w:val="004C458D"/>
    <w:rsid w:val="004C58B0"/>
    <w:rsid w:val="004C7556"/>
    <w:rsid w:val="004C7E8B"/>
    <w:rsid w:val="004C7E9D"/>
    <w:rsid w:val="004C7F67"/>
    <w:rsid w:val="004D076D"/>
    <w:rsid w:val="004D0EF1"/>
    <w:rsid w:val="004D2253"/>
    <w:rsid w:val="004D4406"/>
    <w:rsid w:val="004D7C42"/>
    <w:rsid w:val="004E0465"/>
    <w:rsid w:val="004E127B"/>
    <w:rsid w:val="004E1C0A"/>
    <w:rsid w:val="004E2B06"/>
    <w:rsid w:val="004E30BA"/>
    <w:rsid w:val="004E30C5"/>
    <w:rsid w:val="004E4AA5"/>
    <w:rsid w:val="004E4AEE"/>
    <w:rsid w:val="004E4C2D"/>
    <w:rsid w:val="004E59E3"/>
    <w:rsid w:val="004E67C0"/>
    <w:rsid w:val="004F0046"/>
    <w:rsid w:val="004F391A"/>
    <w:rsid w:val="004F3CFB"/>
    <w:rsid w:val="004F6456"/>
    <w:rsid w:val="004F696E"/>
    <w:rsid w:val="004F6C71"/>
    <w:rsid w:val="00501139"/>
    <w:rsid w:val="0050363E"/>
    <w:rsid w:val="005039BC"/>
    <w:rsid w:val="005043BB"/>
    <w:rsid w:val="00504A3D"/>
    <w:rsid w:val="00505767"/>
    <w:rsid w:val="005073F0"/>
    <w:rsid w:val="00510A7B"/>
    <w:rsid w:val="005118D8"/>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74C5"/>
    <w:rsid w:val="00541853"/>
    <w:rsid w:val="00543BDA"/>
    <w:rsid w:val="005441CC"/>
    <w:rsid w:val="005479DA"/>
    <w:rsid w:val="00547BCC"/>
    <w:rsid w:val="0055013B"/>
    <w:rsid w:val="00551F6F"/>
    <w:rsid w:val="00555044"/>
    <w:rsid w:val="005578DA"/>
    <w:rsid w:val="00561475"/>
    <w:rsid w:val="00561F0E"/>
    <w:rsid w:val="005625B6"/>
    <w:rsid w:val="00562765"/>
    <w:rsid w:val="0056487B"/>
    <w:rsid w:val="00564FB9"/>
    <w:rsid w:val="0056781B"/>
    <w:rsid w:val="00573D9E"/>
    <w:rsid w:val="005801E3"/>
    <w:rsid w:val="00581802"/>
    <w:rsid w:val="005836A8"/>
    <w:rsid w:val="0058409C"/>
    <w:rsid w:val="00584262"/>
    <w:rsid w:val="005843B9"/>
    <w:rsid w:val="00586630"/>
    <w:rsid w:val="005874D6"/>
    <w:rsid w:val="00587ADD"/>
    <w:rsid w:val="00591E27"/>
    <w:rsid w:val="00596160"/>
    <w:rsid w:val="005966E2"/>
    <w:rsid w:val="00596D8B"/>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0BC2"/>
    <w:rsid w:val="005C29B8"/>
    <w:rsid w:val="005C5F21"/>
    <w:rsid w:val="005C7156"/>
    <w:rsid w:val="005D0C75"/>
    <w:rsid w:val="005D38FA"/>
    <w:rsid w:val="005D4171"/>
    <w:rsid w:val="005D51CF"/>
    <w:rsid w:val="005D6A95"/>
    <w:rsid w:val="005D6B2C"/>
    <w:rsid w:val="005D6D9C"/>
    <w:rsid w:val="005E0F77"/>
    <w:rsid w:val="005E2335"/>
    <w:rsid w:val="005E34CA"/>
    <w:rsid w:val="005E3C18"/>
    <w:rsid w:val="005E6812"/>
    <w:rsid w:val="005E7881"/>
    <w:rsid w:val="005E78E0"/>
    <w:rsid w:val="005F0D9C"/>
    <w:rsid w:val="005F284E"/>
    <w:rsid w:val="005F3EBB"/>
    <w:rsid w:val="005F4205"/>
    <w:rsid w:val="005F4712"/>
    <w:rsid w:val="005F4EE1"/>
    <w:rsid w:val="006015CE"/>
    <w:rsid w:val="00604784"/>
    <w:rsid w:val="00606419"/>
    <w:rsid w:val="006065F0"/>
    <w:rsid w:val="00607D29"/>
    <w:rsid w:val="00612952"/>
    <w:rsid w:val="00614CC1"/>
    <w:rsid w:val="00615A9D"/>
    <w:rsid w:val="00617387"/>
    <w:rsid w:val="006205D6"/>
    <w:rsid w:val="006252D8"/>
    <w:rsid w:val="006259BC"/>
    <w:rsid w:val="0062636B"/>
    <w:rsid w:val="006308D8"/>
    <w:rsid w:val="00632182"/>
    <w:rsid w:val="00632AE0"/>
    <w:rsid w:val="00633C17"/>
    <w:rsid w:val="00634D9E"/>
    <w:rsid w:val="00636E3E"/>
    <w:rsid w:val="006379F7"/>
    <w:rsid w:val="00637E4D"/>
    <w:rsid w:val="00640620"/>
    <w:rsid w:val="00641A1F"/>
    <w:rsid w:val="00645904"/>
    <w:rsid w:val="00651332"/>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38B0"/>
    <w:rsid w:val="006770F4"/>
    <w:rsid w:val="00677A84"/>
    <w:rsid w:val="0068026D"/>
    <w:rsid w:val="00680A27"/>
    <w:rsid w:val="006816A4"/>
    <w:rsid w:val="006819B8"/>
    <w:rsid w:val="006840A6"/>
    <w:rsid w:val="006850CD"/>
    <w:rsid w:val="00685AAB"/>
    <w:rsid w:val="0068773F"/>
    <w:rsid w:val="00695D22"/>
    <w:rsid w:val="00696311"/>
    <w:rsid w:val="006A07AA"/>
    <w:rsid w:val="006A25E5"/>
    <w:rsid w:val="006A2B46"/>
    <w:rsid w:val="006A336D"/>
    <w:rsid w:val="006A37B9"/>
    <w:rsid w:val="006B2672"/>
    <w:rsid w:val="006B54BF"/>
    <w:rsid w:val="006B5F44"/>
    <w:rsid w:val="006B5F90"/>
    <w:rsid w:val="006B62E4"/>
    <w:rsid w:val="006C19E4"/>
    <w:rsid w:val="006C1BBA"/>
    <w:rsid w:val="006C2079"/>
    <w:rsid w:val="006C5A62"/>
    <w:rsid w:val="006C5D68"/>
    <w:rsid w:val="006C6976"/>
    <w:rsid w:val="006C6DD0"/>
    <w:rsid w:val="006C7AF2"/>
    <w:rsid w:val="006D04EA"/>
    <w:rsid w:val="006D0AB7"/>
    <w:rsid w:val="006D16C4"/>
    <w:rsid w:val="006D3E96"/>
    <w:rsid w:val="006D4515"/>
    <w:rsid w:val="006D4BB1"/>
    <w:rsid w:val="006D6593"/>
    <w:rsid w:val="006E229B"/>
    <w:rsid w:val="006E23EA"/>
    <w:rsid w:val="006E4842"/>
    <w:rsid w:val="006E68A9"/>
    <w:rsid w:val="006F03A8"/>
    <w:rsid w:val="006F1373"/>
    <w:rsid w:val="006F2ACA"/>
    <w:rsid w:val="006F2ADC"/>
    <w:rsid w:val="006F2BFE"/>
    <w:rsid w:val="006F31E9"/>
    <w:rsid w:val="006F6284"/>
    <w:rsid w:val="006F76CC"/>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31C"/>
    <w:rsid w:val="0074165C"/>
    <w:rsid w:val="0074232E"/>
    <w:rsid w:val="007423C5"/>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578B5"/>
    <w:rsid w:val="007600E3"/>
    <w:rsid w:val="00765C43"/>
    <w:rsid w:val="00765EFB"/>
    <w:rsid w:val="007671CA"/>
    <w:rsid w:val="00767C61"/>
    <w:rsid w:val="0077008A"/>
    <w:rsid w:val="00773C1F"/>
    <w:rsid w:val="00774DA4"/>
    <w:rsid w:val="00776599"/>
    <w:rsid w:val="0078114B"/>
    <w:rsid w:val="00781DD2"/>
    <w:rsid w:val="00783ECF"/>
    <w:rsid w:val="0078413A"/>
    <w:rsid w:val="00790017"/>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2701"/>
    <w:rsid w:val="007E3BC2"/>
    <w:rsid w:val="007E5551"/>
    <w:rsid w:val="007F0ED8"/>
    <w:rsid w:val="007F0F63"/>
    <w:rsid w:val="007F75CE"/>
    <w:rsid w:val="008013A4"/>
    <w:rsid w:val="008027CE"/>
    <w:rsid w:val="00802F42"/>
    <w:rsid w:val="00804383"/>
    <w:rsid w:val="00804BB7"/>
    <w:rsid w:val="00804D41"/>
    <w:rsid w:val="00810257"/>
    <w:rsid w:val="008104F5"/>
    <w:rsid w:val="00811072"/>
    <w:rsid w:val="00811369"/>
    <w:rsid w:val="00811BCD"/>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55D1"/>
    <w:rsid w:val="008504F5"/>
    <w:rsid w:val="0085173A"/>
    <w:rsid w:val="00856316"/>
    <w:rsid w:val="008603CE"/>
    <w:rsid w:val="0086077C"/>
    <w:rsid w:val="008620FC"/>
    <w:rsid w:val="008627A5"/>
    <w:rsid w:val="00863E05"/>
    <w:rsid w:val="00865ACA"/>
    <w:rsid w:val="00865D28"/>
    <w:rsid w:val="00865F85"/>
    <w:rsid w:val="00866B9B"/>
    <w:rsid w:val="00867C10"/>
    <w:rsid w:val="00870439"/>
    <w:rsid w:val="00870DA1"/>
    <w:rsid w:val="00871653"/>
    <w:rsid w:val="00876E60"/>
    <w:rsid w:val="00882743"/>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4EC4"/>
    <w:rsid w:val="008A57E6"/>
    <w:rsid w:val="008A6F81"/>
    <w:rsid w:val="008A769A"/>
    <w:rsid w:val="008B0C9C"/>
    <w:rsid w:val="008B166D"/>
    <w:rsid w:val="008B17F4"/>
    <w:rsid w:val="008B3615"/>
    <w:rsid w:val="008B4AC4"/>
    <w:rsid w:val="008B50C8"/>
    <w:rsid w:val="008B5281"/>
    <w:rsid w:val="008B6B14"/>
    <w:rsid w:val="008B7E05"/>
    <w:rsid w:val="008C1797"/>
    <w:rsid w:val="008C219C"/>
    <w:rsid w:val="008C475E"/>
    <w:rsid w:val="008C619A"/>
    <w:rsid w:val="008D0CE8"/>
    <w:rsid w:val="008D2A60"/>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7C82"/>
    <w:rsid w:val="008F0CDC"/>
    <w:rsid w:val="008F17A3"/>
    <w:rsid w:val="008F1ED3"/>
    <w:rsid w:val="008F23A5"/>
    <w:rsid w:val="008F4C29"/>
    <w:rsid w:val="008F6B37"/>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281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62A"/>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3DD1"/>
    <w:rsid w:val="009D47FA"/>
    <w:rsid w:val="009D4C5B"/>
    <w:rsid w:val="009D50D2"/>
    <w:rsid w:val="009D6BCA"/>
    <w:rsid w:val="009E0F62"/>
    <w:rsid w:val="009E4A58"/>
    <w:rsid w:val="009E4AAA"/>
    <w:rsid w:val="009E5A2D"/>
    <w:rsid w:val="009E5AB2"/>
    <w:rsid w:val="009E6219"/>
    <w:rsid w:val="009F03B3"/>
    <w:rsid w:val="009F6F30"/>
    <w:rsid w:val="00A0096C"/>
    <w:rsid w:val="00A01757"/>
    <w:rsid w:val="00A028C0"/>
    <w:rsid w:val="00A02BAE"/>
    <w:rsid w:val="00A06A6B"/>
    <w:rsid w:val="00A07A66"/>
    <w:rsid w:val="00A07E47"/>
    <w:rsid w:val="00A129D0"/>
    <w:rsid w:val="00A12C33"/>
    <w:rsid w:val="00A138BA"/>
    <w:rsid w:val="00A14C8E"/>
    <w:rsid w:val="00A153D9"/>
    <w:rsid w:val="00A15F09"/>
    <w:rsid w:val="00A169B6"/>
    <w:rsid w:val="00A20D4B"/>
    <w:rsid w:val="00A2271D"/>
    <w:rsid w:val="00A237D5"/>
    <w:rsid w:val="00A23DAF"/>
    <w:rsid w:val="00A30EFC"/>
    <w:rsid w:val="00A31984"/>
    <w:rsid w:val="00A32D73"/>
    <w:rsid w:val="00A3367B"/>
    <w:rsid w:val="00A3597D"/>
    <w:rsid w:val="00A36DD1"/>
    <w:rsid w:val="00A4006C"/>
    <w:rsid w:val="00A40091"/>
    <w:rsid w:val="00A4030F"/>
    <w:rsid w:val="00A41C79"/>
    <w:rsid w:val="00A41CB5"/>
    <w:rsid w:val="00A41F3A"/>
    <w:rsid w:val="00A42381"/>
    <w:rsid w:val="00A42CDF"/>
    <w:rsid w:val="00A43503"/>
    <w:rsid w:val="00A4374B"/>
    <w:rsid w:val="00A4452E"/>
    <w:rsid w:val="00A4472C"/>
    <w:rsid w:val="00A44E69"/>
    <w:rsid w:val="00A4661E"/>
    <w:rsid w:val="00A47B5B"/>
    <w:rsid w:val="00A5587F"/>
    <w:rsid w:val="00A55BD6"/>
    <w:rsid w:val="00A55D50"/>
    <w:rsid w:val="00A57142"/>
    <w:rsid w:val="00A648CD"/>
    <w:rsid w:val="00A6537A"/>
    <w:rsid w:val="00A67866"/>
    <w:rsid w:val="00A70B07"/>
    <w:rsid w:val="00A723F8"/>
    <w:rsid w:val="00A74D83"/>
    <w:rsid w:val="00A77CCB"/>
    <w:rsid w:val="00A8310F"/>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398"/>
    <w:rsid w:val="00AE070A"/>
    <w:rsid w:val="00AE101C"/>
    <w:rsid w:val="00AE36FD"/>
    <w:rsid w:val="00AE37E5"/>
    <w:rsid w:val="00AE4971"/>
    <w:rsid w:val="00AE5EB4"/>
    <w:rsid w:val="00AF0C18"/>
    <w:rsid w:val="00AF47C5"/>
    <w:rsid w:val="00AF5398"/>
    <w:rsid w:val="00B049AF"/>
    <w:rsid w:val="00B07242"/>
    <w:rsid w:val="00B10534"/>
    <w:rsid w:val="00B113DB"/>
    <w:rsid w:val="00B11D8A"/>
    <w:rsid w:val="00B12981"/>
    <w:rsid w:val="00B13855"/>
    <w:rsid w:val="00B147DD"/>
    <w:rsid w:val="00B156FD"/>
    <w:rsid w:val="00B21F61"/>
    <w:rsid w:val="00B22933"/>
    <w:rsid w:val="00B23E55"/>
    <w:rsid w:val="00B261F1"/>
    <w:rsid w:val="00B265BC"/>
    <w:rsid w:val="00B27C36"/>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5AB"/>
    <w:rsid w:val="00B72880"/>
    <w:rsid w:val="00B73342"/>
    <w:rsid w:val="00B758BF"/>
    <w:rsid w:val="00B77EC8"/>
    <w:rsid w:val="00B827A6"/>
    <w:rsid w:val="00B831CE"/>
    <w:rsid w:val="00B83E5C"/>
    <w:rsid w:val="00B86677"/>
    <w:rsid w:val="00B87131"/>
    <w:rsid w:val="00B939B1"/>
    <w:rsid w:val="00B96D40"/>
    <w:rsid w:val="00B97386"/>
    <w:rsid w:val="00BA263B"/>
    <w:rsid w:val="00BA42B2"/>
    <w:rsid w:val="00BA58D4"/>
    <w:rsid w:val="00BA5B9E"/>
    <w:rsid w:val="00BA7C9A"/>
    <w:rsid w:val="00BB203B"/>
    <w:rsid w:val="00BB5F8F"/>
    <w:rsid w:val="00BB657A"/>
    <w:rsid w:val="00BB7997"/>
    <w:rsid w:val="00BC1A4E"/>
    <w:rsid w:val="00BC4790"/>
    <w:rsid w:val="00BC5DC7"/>
    <w:rsid w:val="00BC6B8B"/>
    <w:rsid w:val="00BC73D8"/>
    <w:rsid w:val="00BD52D7"/>
    <w:rsid w:val="00BD5AD2"/>
    <w:rsid w:val="00BE22F3"/>
    <w:rsid w:val="00BE265B"/>
    <w:rsid w:val="00BE5B52"/>
    <w:rsid w:val="00BE7B8D"/>
    <w:rsid w:val="00BF0993"/>
    <w:rsid w:val="00BF10A9"/>
    <w:rsid w:val="00BF1703"/>
    <w:rsid w:val="00BF231C"/>
    <w:rsid w:val="00BF51E5"/>
    <w:rsid w:val="00BF74A6"/>
    <w:rsid w:val="00C013AD"/>
    <w:rsid w:val="00C04904"/>
    <w:rsid w:val="00C056B3"/>
    <w:rsid w:val="00C103E5"/>
    <w:rsid w:val="00C106E1"/>
    <w:rsid w:val="00C13319"/>
    <w:rsid w:val="00C13EE9"/>
    <w:rsid w:val="00C20C2A"/>
    <w:rsid w:val="00C21540"/>
    <w:rsid w:val="00C21906"/>
    <w:rsid w:val="00C21BFA"/>
    <w:rsid w:val="00C22148"/>
    <w:rsid w:val="00C24C8D"/>
    <w:rsid w:val="00C25FE2"/>
    <w:rsid w:val="00C26B53"/>
    <w:rsid w:val="00C279B2"/>
    <w:rsid w:val="00C33E50"/>
    <w:rsid w:val="00C34C20"/>
    <w:rsid w:val="00C35A3E"/>
    <w:rsid w:val="00C42130"/>
    <w:rsid w:val="00C423A4"/>
    <w:rsid w:val="00C43A78"/>
    <w:rsid w:val="00C44435"/>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19FB"/>
    <w:rsid w:val="00C8248C"/>
    <w:rsid w:val="00C8316C"/>
    <w:rsid w:val="00C84E33"/>
    <w:rsid w:val="00C86863"/>
    <w:rsid w:val="00C86D6F"/>
    <w:rsid w:val="00C905FC"/>
    <w:rsid w:val="00C92D03"/>
    <w:rsid w:val="00C9319C"/>
    <w:rsid w:val="00C9435D"/>
    <w:rsid w:val="00C94DF2"/>
    <w:rsid w:val="00C96741"/>
    <w:rsid w:val="00C970BC"/>
    <w:rsid w:val="00CA2D1B"/>
    <w:rsid w:val="00CA375D"/>
    <w:rsid w:val="00CA662A"/>
    <w:rsid w:val="00CA7AFD"/>
    <w:rsid w:val="00CA7C3C"/>
    <w:rsid w:val="00CB0189"/>
    <w:rsid w:val="00CB0BA2"/>
    <w:rsid w:val="00CB0E1B"/>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2053"/>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3E16"/>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2B98"/>
    <w:rsid w:val="00DD4FE5"/>
    <w:rsid w:val="00DD54B0"/>
    <w:rsid w:val="00DD57EE"/>
    <w:rsid w:val="00DD6BCC"/>
    <w:rsid w:val="00DE0A4B"/>
    <w:rsid w:val="00DE2410"/>
    <w:rsid w:val="00DE2939"/>
    <w:rsid w:val="00DE6E81"/>
    <w:rsid w:val="00DE703F"/>
    <w:rsid w:val="00DE7595"/>
    <w:rsid w:val="00DF0334"/>
    <w:rsid w:val="00DF1961"/>
    <w:rsid w:val="00DF44DE"/>
    <w:rsid w:val="00DF5F11"/>
    <w:rsid w:val="00DF79D9"/>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36D00"/>
    <w:rsid w:val="00E44A83"/>
    <w:rsid w:val="00E502C1"/>
    <w:rsid w:val="00E502DD"/>
    <w:rsid w:val="00E50D3A"/>
    <w:rsid w:val="00E51387"/>
    <w:rsid w:val="00E51E68"/>
    <w:rsid w:val="00E524F1"/>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0F9E"/>
    <w:rsid w:val="00E91CE5"/>
    <w:rsid w:val="00E9311F"/>
    <w:rsid w:val="00E934D1"/>
    <w:rsid w:val="00E94AF0"/>
    <w:rsid w:val="00E94F0D"/>
    <w:rsid w:val="00E95D13"/>
    <w:rsid w:val="00E95DD3"/>
    <w:rsid w:val="00E969D5"/>
    <w:rsid w:val="00E978D1"/>
    <w:rsid w:val="00EA231A"/>
    <w:rsid w:val="00EA58D1"/>
    <w:rsid w:val="00EA61BC"/>
    <w:rsid w:val="00EA681A"/>
    <w:rsid w:val="00EA735B"/>
    <w:rsid w:val="00EB0158"/>
    <w:rsid w:val="00EB17DE"/>
    <w:rsid w:val="00EB1E69"/>
    <w:rsid w:val="00EB2086"/>
    <w:rsid w:val="00EB5EDF"/>
    <w:rsid w:val="00EB60FE"/>
    <w:rsid w:val="00EB74DB"/>
    <w:rsid w:val="00EC5359"/>
    <w:rsid w:val="00EC562A"/>
    <w:rsid w:val="00EC7CDF"/>
    <w:rsid w:val="00ED067A"/>
    <w:rsid w:val="00ED2B50"/>
    <w:rsid w:val="00EE00D9"/>
    <w:rsid w:val="00EE0350"/>
    <w:rsid w:val="00EE0719"/>
    <w:rsid w:val="00EE0E80"/>
    <w:rsid w:val="00EE54A6"/>
    <w:rsid w:val="00EE613F"/>
    <w:rsid w:val="00EE7295"/>
    <w:rsid w:val="00EE7869"/>
    <w:rsid w:val="00EF054A"/>
    <w:rsid w:val="00EF3235"/>
    <w:rsid w:val="00EF612D"/>
    <w:rsid w:val="00EF7E72"/>
    <w:rsid w:val="00F044A8"/>
    <w:rsid w:val="00F06D37"/>
    <w:rsid w:val="00F07B9D"/>
    <w:rsid w:val="00F11586"/>
    <w:rsid w:val="00F1183B"/>
    <w:rsid w:val="00F11C9F"/>
    <w:rsid w:val="00F12263"/>
    <w:rsid w:val="00F1409D"/>
    <w:rsid w:val="00F14214"/>
    <w:rsid w:val="00F157A9"/>
    <w:rsid w:val="00F25BB6"/>
    <w:rsid w:val="00F26B7E"/>
    <w:rsid w:val="00F27A3B"/>
    <w:rsid w:val="00F317F9"/>
    <w:rsid w:val="00F322FB"/>
    <w:rsid w:val="00F33817"/>
    <w:rsid w:val="00F420D5"/>
    <w:rsid w:val="00F451EA"/>
    <w:rsid w:val="00F45447"/>
    <w:rsid w:val="00F456C6"/>
    <w:rsid w:val="00F4577B"/>
    <w:rsid w:val="00F46496"/>
    <w:rsid w:val="00F474D0"/>
    <w:rsid w:val="00F50179"/>
    <w:rsid w:val="00F515EE"/>
    <w:rsid w:val="00F56511"/>
    <w:rsid w:val="00F6194E"/>
    <w:rsid w:val="00F623AC"/>
    <w:rsid w:val="00F62CA0"/>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A794A"/>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01B8"/>
    <w:rsid w:val="00FF3E7D"/>
    <w:rsid w:val="00FF5B99"/>
    <w:rsid w:val="00FF730C"/>
    <w:rsid w:val="00FF73F4"/>
    <w:rsid w:val="00FF7CE4"/>
    <w:rsid w:val="00FF7E39"/>
    <w:rsid w:val="022A29BF"/>
    <w:rsid w:val="050F525C"/>
    <w:rsid w:val="05EC3993"/>
    <w:rsid w:val="0AC30B7B"/>
    <w:rsid w:val="0FA7BAA8"/>
    <w:rsid w:val="113F7BB0"/>
    <w:rsid w:val="15F01D49"/>
    <w:rsid w:val="1DA026D8"/>
    <w:rsid w:val="20D20F7F"/>
    <w:rsid w:val="26A01B2A"/>
    <w:rsid w:val="2F5E7EF5"/>
    <w:rsid w:val="2FCF49AE"/>
    <w:rsid w:val="36B94938"/>
    <w:rsid w:val="38C745C2"/>
    <w:rsid w:val="3C240E73"/>
    <w:rsid w:val="3C9B0413"/>
    <w:rsid w:val="3DB836F3"/>
    <w:rsid w:val="3DCE6A15"/>
    <w:rsid w:val="3EEF11D6"/>
    <w:rsid w:val="3F0726B8"/>
    <w:rsid w:val="3F281440"/>
    <w:rsid w:val="3F971929"/>
    <w:rsid w:val="3FDF3821"/>
    <w:rsid w:val="3FE63F53"/>
    <w:rsid w:val="439F3222"/>
    <w:rsid w:val="443C5EB3"/>
    <w:rsid w:val="47BB1E8F"/>
    <w:rsid w:val="4B97C032"/>
    <w:rsid w:val="4FF75579"/>
    <w:rsid w:val="4FFED30B"/>
    <w:rsid w:val="570AA908"/>
    <w:rsid w:val="57AF6F1B"/>
    <w:rsid w:val="57E24D17"/>
    <w:rsid w:val="585A3283"/>
    <w:rsid w:val="5A572253"/>
    <w:rsid w:val="5DDDE9DA"/>
    <w:rsid w:val="5DF7A68C"/>
    <w:rsid w:val="5EFEDC98"/>
    <w:rsid w:val="5EFFFDA7"/>
    <w:rsid w:val="5FFF2A65"/>
    <w:rsid w:val="60FD4568"/>
    <w:rsid w:val="68B31941"/>
    <w:rsid w:val="6BDE0D5A"/>
    <w:rsid w:val="6BF024C6"/>
    <w:rsid w:val="6D7D4F48"/>
    <w:rsid w:val="6D8049B5"/>
    <w:rsid w:val="6DB27550"/>
    <w:rsid w:val="6FFDA2F4"/>
    <w:rsid w:val="70144CCE"/>
    <w:rsid w:val="74714086"/>
    <w:rsid w:val="74DB2A35"/>
    <w:rsid w:val="757E060C"/>
    <w:rsid w:val="776DF9B5"/>
    <w:rsid w:val="7781388D"/>
    <w:rsid w:val="77EFE597"/>
    <w:rsid w:val="78EC7D25"/>
    <w:rsid w:val="7A13373D"/>
    <w:rsid w:val="7B9E96DF"/>
    <w:rsid w:val="7BDB6FC9"/>
    <w:rsid w:val="7CC75B6C"/>
    <w:rsid w:val="7D2BFCF7"/>
    <w:rsid w:val="7DF5573B"/>
    <w:rsid w:val="7DFC4294"/>
    <w:rsid w:val="7EA42B5C"/>
    <w:rsid w:val="7EFFA86C"/>
    <w:rsid w:val="7F3FD8B5"/>
    <w:rsid w:val="7F5FA373"/>
    <w:rsid w:val="7F6D4C21"/>
    <w:rsid w:val="7F7FB03F"/>
    <w:rsid w:val="7FED762E"/>
    <w:rsid w:val="7FEDB082"/>
    <w:rsid w:val="9DBE9AA9"/>
    <w:rsid w:val="9EFD5493"/>
    <w:rsid w:val="ADE55308"/>
    <w:rsid w:val="B3DF2676"/>
    <w:rsid w:val="B57EFFD0"/>
    <w:rsid w:val="B6FF9375"/>
    <w:rsid w:val="BBE74689"/>
    <w:rsid w:val="BDDBB6EC"/>
    <w:rsid w:val="BFF59F7E"/>
    <w:rsid w:val="C9F76864"/>
    <w:rsid w:val="CFFFF9F7"/>
    <w:rsid w:val="D57E1F68"/>
    <w:rsid w:val="D6876F87"/>
    <w:rsid w:val="D8FBC546"/>
    <w:rsid w:val="DDF95677"/>
    <w:rsid w:val="DEFF38E2"/>
    <w:rsid w:val="DFBDA9DA"/>
    <w:rsid w:val="DFF94422"/>
    <w:rsid w:val="E5BFFA20"/>
    <w:rsid w:val="E6FE89BF"/>
    <w:rsid w:val="EBF9C910"/>
    <w:rsid w:val="EDE71682"/>
    <w:rsid w:val="EFEF9379"/>
    <w:rsid w:val="F0F635E5"/>
    <w:rsid w:val="F19F67C5"/>
    <w:rsid w:val="F5D692F9"/>
    <w:rsid w:val="F73CED8C"/>
    <w:rsid w:val="F92F54F8"/>
    <w:rsid w:val="F95460A1"/>
    <w:rsid w:val="F986BAA3"/>
    <w:rsid w:val="FBBDAA96"/>
    <w:rsid w:val="FBBFBA16"/>
    <w:rsid w:val="FBDDE295"/>
    <w:rsid w:val="FE7F2F0F"/>
    <w:rsid w:val="FEFB4C97"/>
    <w:rsid w:val="FF1FF245"/>
    <w:rsid w:val="FF76A357"/>
    <w:rsid w:val="FF774B8B"/>
    <w:rsid w:val="FFBFB1F6"/>
    <w:rsid w:val="FFD7546F"/>
    <w:rsid w:val="FFDDE66E"/>
    <w:rsid w:val="FFDF73C2"/>
    <w:rsid w:val="FFDF7DBD"/>
    <w:rsid w:val="FFE7B66F"/>
    <w:rsid w:val="FFED8979"/>
    <w:rsid w:val="FFFC47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unhideWhenUsed/>
    <w:qFormat/>
    <w:uiPriority w:val="1"/>
  </w:style>
  <w:style w:type="table" w:default="1" w:styleId="34">
    <w:name w:val="Normal Table"/>
    <w:unhideWhenUsed/>
    <w:qFormat/>
    <w:uiPriority w:val="99"/>
    <w:tblPr>
      <w:tblLayout w:type="fixed"/>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Document Map"/>
    <w:basedOn w:val="1"/>
    <w:link w:val="232"/>
    <w:unhideWhenUsed/>
    <w:qFormat/>
    <w:uiPriority w:val="99"/>
    <w:rPr>
      <w:rFonts w:ascii="宋体"/>
      <w:sz w:val="18"/>
      <w:szCs w:val="18"/>
    </w:rPr>
  </w:style>
  <w:style w:type="paragraph" w:styleId="14">
    <w:name w:val="Body Text"/>
    <w:basedOn w:val="1"/>
    <w:link w:val="88"/>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7"/>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HTML Preformatted"/>
    <w:basedOn w:val="1"/>
    <w:link w:val="24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pPr>
    <w:rPr>
      <w:rFonts w:ascii="Arial Unicode MS" w:hAnsi="Arial Unicode MS" w:eastAsia="Arial Unicode MS"/>
      <w:kern w:val="0"/>
      <w:sz w:val="20"/>
      <w:szCs w:val="20"/>
    </w:rPr>
  </w:style>
  <w:style w:type="paragraph" w:styleId="27">
    <w:name w:val="Title"/>
    <w:basedOn w:val="1"/>
    <w:link w:val="50"/>
    <w:qFormat/>
    <w:uiPriority w:val="0"/>
    <w:pPr>
      <w:spacing w:before="240" w:after="60"/>
      <w:jc w:val="center"/>
      <w:outlineLvl w:val="0"/>
    </w:pPr>
    <w:rPr>
      <w:rFonts w:ascii="Arial" w:hAnsi="Arial" w:cs="Arial"/>
      <w:b/>
      <w:bCs/>
      <w:sz w:val="32"/>
      <w:szCs w:val="32"/>
    </w:r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table" w:styleId="35">
    <w:name w:val="Table Grid"/>
    <w:basedOn w:val="3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6">
    <w:name w:val="标题 2 Char"/>
    <w:link w:val="3"/>
    <w:qFormat/>
    <w:uiPriority w:val="0"/>
    <w:rPr>
      <w:rFonts w:ascii="Arial" w:hAnsi="Arial" w:eastAsia="黑体"/>
      <w:b/>
      <w:bCs/>
      <w:kern w:val="2"/>
      <w:sz w:val="32"/>
      <w:szCs w:val="32"/>
    </w:rPr>
  </w:style>
  <w:style w:type="character" w:customStyle="1" w:styleId="37">
    <w:name w:val="标题 1 Char"/>
    <w:link w:val="2"/>
    <w:qFormat/>
    <w:uiPriority w:val="0"/>
    <w:rPr>
      <w:b/>
      <w:bCs/>
      <w:kern w:val="44"/>
      <w:sz w:val="44"/>
      <w:szCs w:val="44"/>
    </w:rPr>
  </w:style>
  <w:style w:type="character" w:customStyle="1" w:styleId="38">
    <w:name w:val="标题 3 Char"/>
    <w:link w:val="4"/>
    <w:qFormat/>
    <w:uiPriority w:val="0"/>
    <w:rPr>
      <w:b/>
      <w:bCs/>
      <w:kern w:val="2"/>
      <w:sz w:val="32"/>
      <w:szCs w:val="32"/>
    </w:rPr>
  </w:style>
  <w:style w:type="character" w:customStyle="1" w:styleId="39">
    <w:name w:val="标题 4 Char"/>
    <w:link w:val="5"/>
    <w:qFormat/>
    <w:uiPriority w:val="0"/>
    <w:rPr>
      <w:rFonts w:ascii="Arial" w:hAnsi="Arial" w:eastAsia="黑体"/>
      <w:b/>
      <w:bCs/>
      <w:kern w:val="2"/>
      <w:sz w:val="28"/>
      <w:szCs w:val="28"/>
    </w:rPr>
  </w:style>
  <w:style w:type="character" w:customStyle="1" w:styleId="40">
    <w:name w:val="标题 5 Char"/>
    <w:link w:val="6"/>
    <w:qFormat/>
    <w:uiPriority w:val="0"/>
    <w:rPr>
      <w:b/>
      <w:bCs/>
      <w:kern w:val="2"/>
      <w:sz w:val="28"/>
      <w:szCs w:val="28"/>
    </w:rPr>
  </w:style>
  <w:style w:type="character" w:customStyle="1" w:styleId="41">
    <w:name w:val="标题 6 Char"/>
    <w:link w:val="7"/>
    <w:qFormat/>
    <w:uiPriority w:val="0"/>
    <w:rPr>
      <w:rFonts w:ascii="Arial" w:hAnsi="Arial" w:eastAsia="黑体"/>
      <w:b/>
      <w:bCs/>
      <w:kern w:val="2"/>
      <w:sz w:val="24"/>
      <w:szCs w:val="24"/>
    </w:rPr>
  </w:style>
  <w:style w:type="character" w:customStyle="1" w:styleId="42">
    <w:name w:val="标题 7 Char"/>
    <w:link w:val="8"/>
    <w:qFormat/>
    <w:uiPriority w:val="0"/>
    <w:rPr>
      <w:b/>
      <w:bCs/>
      <w:kern w:val="2"/>
      <w:sz w:val="24"/>
      <w:szCs w:val="24"/>
    </w:rPr>
  </w:style>
  <w:style w:type="character" w:customStyle="1" w:styleId="43">
    <w:name w:val="标题 8 Char"/>
    <w:link w:val="9"/>
    <w:qFormat/>
    <w:uiPriority w:val="0"/>
    <w:rPr>
      <w:rFonts w:ascii="Arial" w:hAnsi="Arial" w:eastAsia="黑体"/>
      <w:kern w:val="2"/>
      <w:sz w:val="24"/>
      <w:szCs w:val="24"/>
    </w:rPr>
  </w:style>
  <w:style w:type="character" w:customStyle="1" w:styleId="44">
    <w:name w:val="标题 9 Char"/>
    <w:link w:val="10"/>
    <w:qFormat/>
    <w:uiPriority w:val="0"/>
    <w:rPr>
      <w:rFonts w:ascii="Arial" w:hAnsi="Arial" w:eastAsia="黑体"/>
      <w:kern w:val="2"/>
      <w:sz w:val="21"/>
      <w:szCs w:val="21"/>
    </w:rPr>
  </w:style>
  <w:style w:type="character" w:customStyle="1" w:styleId="45">
    <w:name w:val="页眉 Char"/>
    <w:link w:val="19"/>
    <w:qFormat/>
    <w:uiPriority w:val="99"/>
    <w:rPr>
      <w:kern w:val="2"/>
      <w:sz w:val="18"/>
      <w:szCs w:val="18"/>
    </w:rPr>
  </w:style>
  <w:style w:type="character" w:customStyle="1" w:styleId="46">
    <w:name w:val="页脚 Char"/>
    <w:link w:val="18"/>
    <w:qFormat/>
    <w:uiPriority w:val="99"/>
    <w:rPr>
      <w:rFonts w:ascii="宋体"/>
      <w:kern w:val="2"/>
      <w:sz w:val="18"/>
      <w:szCs w:val="18"/>
    </w:rPr>
  </w:style>
  <w:style w:type="character" w:customStyle="1" w:styleId="47">
    <w:name w:val="批注框文本 Char"/>
    <w:link w:val="17"/>
    <w:semiHidden/>
    <w:qFormat/>
    <w:uiPriority w:val="99"/>
    <w:rPr>
      <w:kern w:val="2"/>
      <w:sz w:val="18"/>
      <w:szCs w:val="18"/>
    </w:rPr>
  </w:style>
  <w:style w:type="paragraph" w:customStyle="1" w:styleId="48">
    <w:name w:val="Quote"/>
    <w:basedOn w:val="1"/>
    <w:next w:val="1"/>
    <w:link w:val="49"/>
    <w:qFormat/>
    <w:uiPriority w:val="29"/>
    <w:rPr>
      <w:i/>
      <w:iCs/>
      <w:color w:val="000000"/>
    </w:rPr>
  </w:style>
  <w:style w:type="character" w:customStyle="1" w:styleId="49">
    <w:name w:val="引用 Char"/>
    <w:link w:val="48"/>
    <w:qFormat/>
    <w:uiPriority w:val="29"/>
    <w:rPr>
      <w:i/>
      <w:iCs/>
      <w:color w:val="000000"/>
      <w:kern w:val="2"/>
      <w:sz w:val="21"/>
      <w:szCs w:val="21"/>
    </w:rPr>
  </w:style>
  <w:style w:type="character" w:customStyle="1" w:styleId="50">
    <w:name w:val="标题 Char"/>
    <w:link w:val="27"/>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Lines="50" w:afterLines="50"/>
      <w:ind w:left="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Lines="50" w:afterLines="50"/>
      <w:ind w:left="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Char"/>
    <w:link w:val="14"/>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1">
    <w:name w:val="脚注文本 Char"/>
    <w:link w:val="22"/>
    <w:semiHidden/>
    <w:qFormat/>
    <w:uiPriority w:val="0"/>
    <w:rPr>
      <w:rFonts w:ascii="宋体"/>
      <w:kern w:val="2"/>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Lines="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Lines="0" w:afterLines="0"/>
      <w:outlineLvl w:val="9"/>
    </w:pPr>
    <w:rPr>
      <w:rFonts w:ascii="宋体" w:eastAsia="宋体"/>
    </w:rPr>
  </w:style>
  <w:style w:type="paragraph" w:customStyle="1" w:styleId="165">
    <w:name w:val="标准文件_五级无标题"/>
    <w:basedOn w:val="105"/>
    <w:qFormat/>
    <w:uiPriority w:val="0"/>
    <w:pPr>
      <w:spacing w:beforeLines="0" w:afterLines="0"/>
      <w:outlineLvl w:val="9"/>
    </w:pPr>
    <w:rPr>
      <w:rFonts w:ascii="宋体" w:eastAsia="宋体"/>
    </w:rPr>
  </w:style>
  <w:style w:type="paragraph" w:customStyle="1" w:styleId="166">
    <w:name w:val="标准文件_三级无标题"/>
    <w:basedOn w:val="96"/>
    <w:qFormat/>
    <w:uiPriority w:val="0"/>
    <w:pPr>
      <w:spacing w:beforeLines="0" w:afterLines="0"/>
      <w:outlineLvl w:val="9"/>
    </w:pPr>
    <w:rPr>
      <w:rFonts w:ascii="宋体" w:eastAsia="宋体"/>
    </w:rPr>
  </w:style>
  <w:style w:type="paragraph" w:customStyle="1" w:styleId="167">
    <w:name w:val="标准文件_二级无标题"/>
    <w:basedOn w:val="67"/>
    <w:qFormat/>
    <w:uiPriority w:val="0"/>
    <w:pPr>
      <w:spacing w:beforeLines="0" w:afterLines="0"/>
      <w:ind w:left="851"/>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Lines="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Times New Roman" w:hAnsi="Times New Roman" w:eastAsia="宋体"/>
      <w:sz w:val="21"/>
    </w:rPr>
  </w:style>
  <w:style w:type="paragraph" w:customStyle="1" w:styleId="187">
    <w:name w:val="标准文件_表格续"/>
    <w:basedOn w:val="58"/>
    <w:next w:val="58"/>
    <w:qFormat/>
    <w:uiPriority w:val="0"/>
    <w:pPr>
      <w:jc w:val="center"/>
    </w:pPr>
    <w:rPr>
      <w:rFonts w:ascii="黑体" w:hAnsi="黑体" w:eastAsia="黑体"/>
    </w:rPr>
  </w:style>
  <w:style w:type="character" w:customStyle="1" w:styleId="188">
    <w:name w:val="Placeholder Text"/>
    <w:basedOn w:val="28"/>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style>
  <w:style w:type="paragraph" w:customStyle="1" w:styleId="191">
    <w:name w:val="标准文件_一级项2"/>
    <w:basedOn w:val="58"/>
    <w:qFormat/>
    <w:uiPriority w:val="0"/>
    <w:pPr>
      <w:numPr>
        <w:ilvl w:val="0"/>
        <w:numId w:val="31"/>
      </w:numPr>
      <w:spacing w:line="300" w:lineRule="exact"/>
      <w:ind w:firstLineChars="0"/>
    </w:p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28"/>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vAnchor="page" w:hAnchor="page" w:x="1419" w:y="14097"/>
    </w:pPr>
  </w:style>
  <w:style w:type="paragraph" w:customStyle="1" w:styleId="196">
    <w:name w:val="其他实施日期"/>
    <w:basedOn w:val="156"/>
    <w:qFormat/>
    <w:uiPriority w:val="0"/>
    <w:pPr>
      <w:framePr w:w="3997" w:h="471" w:hRule="exact" w:vSpace="181" w:vAnchor="page" w:hAnchor="page" w:x="7089" w:y="14097"/>
    </w:pPr>
  </w:style>
  <w:style w:type="paragraph" w:customStyle="1" w:styleId="197">
    <w:name w:val="标准文件_文件编号"/>
    <w:basedOn w:val="58"/>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Lines="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Lines="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Lines="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Lines="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Lines="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eastAsia="宋体"/>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Lines="0" w:afterLines="0" w:line="276" w:lineRule="auto"/>
      <w:outlineLvl w:val="9"/>
    </w:pPr>
    <w:rPr>
      <w:rFonts w:ascii="宋体" w:eastAsia="宋体"/>
    </w:rPr>
  </w:style>
  <w:style w:type="paragraph" w:customStyle="1" w:styleId="214">
    <w:name w:val="标准文件_附录二级无标题"/>
    <w:basedOn w:val="81"/>
    <w:qFormat/>
    <w:uiPriority w:val="0"/>
    <w:pPr>
      <w:spacing w:beforeLines="0" w:afterLines="0" w:line="276" w:lineRule="auto"/>
      <w:outlineLvl w:val="9"/>
    </w:pPr>
    <w:rPr>
      <w:rFonts w:ascii="宋体" w:eastAsia="宋体"/>
    </w:rPr>
  </w:style>
  <w:style w:type="paragraph" w:customStyle="1" w:styleId="215">
    <w:name w:val="标准文件_附录三级无标题"/>
    <w:basedOn w:val="83"/>
    <w:qFormat/>
    <w:uiPriority w:val="0"/>
    <w:pPr>
      <w:spacing w:beforeLines="0" w:afterLines="0" w:line="276" w:lineRule="auto"/>
      <w:outlineLvl w:val="9"/>
    </w:pPr>
    <w:rPr>
      <w:rFonts w:ascii="宋体" w:eastAsia="宋体"/>
    </w:rPr>
  </w:style>
  <w:style w:type="paragraph" w:customStyle="1" w:styleId="216">
    <w:name w:val="标准文件_附录四级无标题"/>
    <w:basedOn w:val="84"/>
    <w:qFormat/>
    <w:uiPriority w:val="0"/>
    <w:pPr>
      <w:spacing w:beforeLines="0" w:afterLines="0" w:line="276" w:lineRule="auto"/>
      <w:outlineLvl w:val="9"/>
    </w:pPr>
    <w:rPr>
      <w:rFonts w:ascii="宋体" w:eastAsia="宋体"/>
    </w:rPr>
  </w:style>
  <w:style w:type="paragraph" w:customStyle="1" w:styleId="217">
    <w:name w:val="标准文件_附录五级无标题"/>
    <w:basedOn w:val="86"/>
    <w:qFormat/>
    <w:uiPriority w:val="0"/>
    <w:pPr>
      <w:spacing w:beforeLines="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Lines="0" w:afterLines="0" w:line="276" w:lineRule="auto"/>
    </w:pPr>
    <w:rPr>
      <w:rFonts w:ascii="宋体" w:eastAsia="宋体"/>
    </w:rPr>
  </w:style>
  <w:style w:type="paragraph" w:customStyle="1" w:styleId="219">
    <w:name w:val="标准文件_引言二级无标题"/>
    <w:basedOn w:val="203"/>
    <w:next w:val="58"/>
    <w:qFormat/>
    <w:uiPriority w:val="0"/>
    <w:pPr>
      <w:spacing w:beforeLines="0" w:afterLines="0" w:line="276" w:lineRule="auto"/>
    </w:pPr>
    <w:rPr>
      <w:rFonts w:ascii="宋体" w:eastAsia="宋体"/>
    </w:rPr>
  </w:style>
  <w:style w:type="paragraph" w:customStyle="1" w:styleId="220">
    <w:name w:val="标准文件_引言三级无标题"/>
    <w:basedOn w:val="204"/>
    <w:qFormat/>
    <w:uiPriority w:val="0"/>
    <w:pPr>
      <w:spacing w:beforeLines="0" w:afterLines="0" w:line="276" w:lineRule="auto"/>
    </w:pPr>
    <w:rPr>
      <w:rFonts w:ascii="宋体" w:eastAsia="宋体"/>
    </w:rPr>
  </w:style>
  <w:style w:type="paragraph" w:customStyle="1" w:styleId="221">
    <w:name w:val="标准文件_引言四级无标题"/>
    <w:basedOn w:val="205"/>
    <w:next w:val="58"/>
    <w:qFormat/>
    <w:uiPriority w:val="0"/>
    <w:pPr>
      <w:spacing w:beforeLines="0" w:afterLines="0" w:line="276" w:lineRule="auto"/>
    </w:pPr>
    <w:rPr>
      <w:rFonts w:ascii="宋体" w:eastAsia="宋体"/>
    </w:rPr>
  </w:style>
  <w:style w:type="paragraph" w:customStyle="1" w:styleId="222">
    <w:name w:val="标准文件_引言五级无标题"/>
    <w:basedOn w:val="206"/>
    <w:next w:val="58"/>
    <w:qFormat/>
    <w:uiPriority w:val="0"/>
    <w:pPr>
      <w:spacing w:beforeLines="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28"/>
    <w:qFormat/>
    <w:uiPriority w:val="0"/>
    <w:rPr>
      <w:rFonts w:ascii="黑体" w:eastAsia="黑体"/>
      <w:spacing w:val="85"/>
      <w:w w:val="100"/>
      <w:position w:val="3"/>
      <w:sz w:val="28"/>
      <w:szCs w:val="28"/>
    </w:rPr>
  </w:style>
  <w:style w:type="character" w:customStyle="1" w:styleId="232">
    <w:name w:val="文档结构图 Char"/>
    <w:basedOn w:val="28"/>
    <w:link w:val="13"/>
    <w:semiHidden/>
    <w:qFormat/>
    <w:uiPriority w:val="99"/>
    <w:rPr>
      <w:rFonts w:ascii="宋体"/>
      <w:kern w:val="2"/>
      <w:sz w:val="18"/>
      <w:szCs w:val="18"/>
    </w:rPr>
  </w:style>
  <w:style w:type="paragraph" w:customStyle="1" w:styleId="233">
    <w:name w:val="段"/>
    <w:basedOn w:val="1"/>
    <w:qFormat/>
    <w:uiPriority w:val="0"/>
    <w:pPr>
      <w:widowControl/>
      <w:autoSpaceDE w:val="0"/>
      <w:autoSpaceDN w:val="0"/>
      <w:adjustRightInd/>
      <w:spacing w:line="240" w:lineRule="auto"/>
      <w:ind w:firstLine="420" w:firstLineChars="200"/>
    </w:pPr>
    <w:rPr>
      <w:rFonts w:ascii="宋体" w:hAnsi="宋体" w:cs="宋体"/>
      <w:kern w:val="0"/>
    </w:rPr>
  </w:style>
  <w:style w:type="paragraph" w:customStyle="1" w:styleId="234">
    <w:name w:val="一级条标题"/>
    <w:basedOn w:val="1"/>
    <w:next w:val="233"/>
    <w:qFormat/>
    <w:uiPriority w:val="0"/>
    <w:pPr>
      <w:widowControl/>
      <w:adjustRightInd/>
      <w:spacing w:beforeLines="50" w:afterLines="50" w:line="240" w:lineRule="auto"/>
      <w:ind w:left="142"/>
      <w:jc w:val="left"/>
      <w:outlineLvl w:val="2"/>
    </w:pPr>
    <w:rPr>
      <w:rFonts w:ascii="黑体" w:hAnsi="黑体" w:eastAsia="黑体" w:cs="宋体"/>
      <w:kern w:val="0"/>
    </w:rPr>
  </w:style>
  <w:style w:type="paragraph" w:customStyle="1" w:styleId="235">
    <w:name w:val="二级条标题"/>
    <w:basedOn w:val="234"/>
    <w:next w:val="233"/>
    <w:qFormat/>
    <w:uiPriority w:val="0"/>
    <w:pPr>
      <w:ind w:left="0"/>
      <w:outlineLvl w:val="3"/>
    </w:pPr>
  </w:style>
  <w:style w:type="paragraph" w:customStyle="1" w:styleId="236">
    <w:name w:val="章标题"/>
    <w:basedOn w:val="1"/>
    <w:next w:val="233"/>
    <w:qFormat/>
    <w:uiPriority w:val="0"/>
    <w:pPr>
      <w:widowControl/>
      <w:adjustRightInd/>
      <w:spacing w:beforeLines="100" w:afterLines="100" w:line="240" w:lineRule="auto"/>
      <w:ind w:left="142"/>
      <w:outlineLvl w:val="1"/>
    </w:pPr>
    <w:rPr>
      <w:rFonts w:ascii="黑体" w:hAnsi="黑体" w:eastAsia="黑体" w:cs="宋体"/>
      <w:kern w:val="0"/>
    </w:rPr>
  </w:style>
  <w:style w:type="paragraph" w:customStyle="1" w:styleId="237">
    <w:name w:val="三级条标题"/>
    <w:basedOn w:val="235"/>
    <w:next w:val="233"/>
    <w:qFormat/>
    <w:uiPriority w:val="0"/>
    <w:pPr>
      <w:outlineLvl w:val="4"/>
    </w:pPr>
  </w:style>
  <w:style w:type="paragraph" w:customStyle="1" w:styleId="238">
    <w:name w:val="附录表标号"/>
    <w:basedOn w:val="1"/>
    <w:next w:val="233"/>
    <w:qFormat/>
    <w:uiPriority w:val="0"/>
    <w:pPr>
      <w:adjustRightInd/>
      <w:spacing w:before="100" w:beforeAutospacing="1" w:after="100" w:afterAutospacing="1" w:line="14" w:lineRule="exact"/>
      <w:ind w:left="811" w:hanging="448"/>
      <w:jc w:val="center"/>
      <w:outlineLvl w:val="0"/>
    </w:pPr>
    <w:rPr>
      <w:rFonts w:ascii="Times New Roman" w:hAnsi="Times New Roman"/>
      <w:color w:val="FFFFFF"/>
    </w:rPr>
  </w:style>
  <w:style w:type="paragraph" w:customStyle="1" w:styleId="239">
    <w:name w:val="Table Text"/>
    <w:basedOn w:val="1"/>
    <w:semiHidden/>
    <w:qFormat/>
    <w:uiPriority w:val="0"/>
    <w:pPr>
      <w:widowControl/>
      <w:kinsoku w:val="0"/>
      <w:autoSpaceDE w:val="0"/>
      <w:autoSpaceDN w:val="0"/>
      <w:snapToGrid w:val="0"/>
      <w:spacing w:line="240" w:lineRule="auto"/>
      <w:jc w:val="left"/>
      <w:textAlignment w:val="baseline"/>
    </w:pPr>
    <w:rPr>
      <w:rFonts w:ascii="宋体" w:hAnsi="宋体" w:cs="宋体"/>
      <w:color w:val="000000"/>
      <w:kern w:val="0"/>
      <w:sz w:val="20"/>
      <w:szCs w:val="20"/>
    </w:rPr>
  </w:style>
  <w:style w:type="paragraph" w:customStyle="1" w:styleId="240">
    <w:name w:val="表格(张曦)"/>
    <w:basedOn w:val="1"/>
    <w:qFormat/>
    <w:uiPriority w:val="0"/>
    <w:pPr>
      <w:adjustRightInd/>
      <w:snapToGrid w:val="0"/>
      <w:spacing w:line="240" w:lineRule="auto"/>
      <w:jc w:val="center"/>
    </w:pPr>
    <w:rPr>
      <w:rFonts w:ascii="Arial" w:hAnsi="Arial"/>
    </w:rPr>
  </w:style>
  <w:style w:type="table" w:customStyle="1" w:styleId="241">
    <w:name w:val="Table Normal"/>
    <w:basedOn w:val="34"/>
    <w:qFormat/>
    <w:uiPriority w:val="0"/>
    <w:rPr>
      <w:rFonts w:eastAsia="Times New Roman"/>
    </w:rPr>
    <w:tblPr>
      <w:tblLayout w:type="fixed"/>
      <w:tblCellMar>
        <w:top w:w="0" w:type="dxa"/>
        <w:left w:w="0" w:type="dxa"/>
        <w:bottom w:w="0" w:type="dxa"/>
        <w:right w:w="0" w:type="dxa"/>
      </w:tblCellMar>
    </w:tblPr>
  </w:style>
  <w:style w:type="character" w:customStyle="1" w:styleId="242">
    <w:name w:val="HTML 预设格式 Char"/>
    <w:link w:val="26"/>
    <w:qFormat/>
    <w:uiPriority w:val="0"/>
    <w:rPr>
      <w:rFonts w:ascii="Arial Unicode MS" w:hAnsi="Arial Unicode MS" w:eastAsia="Arial Unicode MS"/>
    </w:rPr>
  </w:style>
  <w:style w:type="character" w:customStyle="1" w:styleId="243">
    <w:name w:val="HTML 预设格式 Char1"/>
    <w:basedOn w:val="28"/>
    <w:semiHidden/>
    <w:qFormat/>
    <w:uiPriority w:val="99"/>
    <w:rPr>
      <w:rFonts w:ascii="Courier New" w:hAnsi="Courier New" w:cs="Courier New"/>
      <w:kern w:val="2"/>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glossaryDocument" Target="glossary/document.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78560AF44E14B0B98EDB620B5B23949"/>
        <w:style w:val=""/>
        <w:category>
          <w:name w:val="常规"/>
          <w:gallery w:val="placeholder"/>
        </w:category>
        <w:types>
          <w:type w:val="bbPlcHdr"/>
        </w:types>
        <w:behaviors>
          <w:behavior w:val="content"/>
        </w:behaviors>
        <w:description w:val=""/>
        <w:guid w:val="{0F936524-5574-4508-9DC9-E93FE036C7B5}"/>
      </w:docPartPr>
      <w:docPartBody>
        <w:p>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0000000000000000000"/>
    <w:charset w:val="86"/>
    <w:family w:val="auto"/>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20DC6"/>
    <w:rsid w:val="000B3490"/>
    <w:rsid w:val="000E08A3"/>
    <w:rsid w:val="002D5EC6"/>
    <w:rsid w:val="00320DC6"/>
    <w:rsid w:val="003B27A4"/>
    <w:rsid w:val="004F3217"/>
    <w:rsid w:val="00500E46"/>
    <w:rsid w:val="005D305A"/>
    <w:rsid w:val="00740552"/>
    <w:rsid w:val="007629F2"/>
    <w:rsid w:val="00771B1A"/>
    <w:rsid w:val="00863A8A"/>
    <w:rsid w:val="00892BA4"/>
    <w:rsid w:val="008A03C0"/>
    <w:rsid w:val="008F62BA"/>
    <w:rsid w:val="00923FBB"/>
    <w:rsid w:val="00A120F7"/>
    <w:rsid w:val="00DC0B66"/>
    <w:rsid w:val="00E20884"/>
    <w:rsid w:val="00EF39C5"/>
    <w:rsid w:val="00F44F34"/>
    <w:rsid w:val="00FF04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qFormat/>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character" w:customStyle="1" w:styleId="4">
    <w:name w:val="Placeholder Text"/>
    <w:basedOn w:val="2"/>
    <w:semiHidden/>
    <w:qFormat/>
    <w:uiPriority w:val="99"/>
    <w:rPr>
      <w:color w:val="808080"/>
    </w:rPr>
  </w:style>
  <w:style w:type="paragraph" w:customStyle="1" w:styleId="5">
    <w:name w:val="778560AF44E14B0B98EDB620B5B2394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88EE80088C5741B48EB732D0A68F9F7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7FD649749C249A889C0FD1BF76232D3"/>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10</Pages>
  <Words>983</Words>
  <Characters>5609</Characters>
  <Lines>46</Lines>
  <Paragraphs>13</Paragraphs>
  <TotalTime>0</TotalTime>
  <ScaleCrop>false</ScaleCrop>
  <LinksUpToDate>false</LinksUpToDate>
  <CharactersWithSpaces>6579</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2025-02-26T08:41:00Z</dcterms:created>
  <dc:creator>张亚飞</dc:creator>
  <dc:description>&lt;config cover="true" show_menu="true" version="1.0.0" doctype="SDKXY"&gt;_x000d_
&lt;/config&gt;</dc:description>
  <cp:lastModifiedBy>admin</cp:lastModifiedBy>
  <cp:lastPrinted>2025-01-04T21:17:00Z</cp:lastPrinted>
  <dcterms:modified xsi:type="dcterms:W3CDTF">2025-02-27T00:51:02Z</dcterms:modified>
  <dc:title>地方标准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2052-10.8.0.6423</vt:lpwstr>
  </property>
  <property fmtid="{D5CDD505-2E9C-101B-9397-08002B2CF9AE}" pid="15" name="ICV">
    <vt:lpwstr>FC2B41C9BB3696937D24BD6789E3494B_43</vt:lpwstr>
  </property>
</Properties>
</file>