
<file path=[Content_Types].xml><?xml version="1.0" encoding="utf-8"?>
<Types xmlns="http://schemas.openxmlformats.org/package/2006/content-types">
  <Default Extension="xml" ContentType="application/xml"/>
  <Default Extension="png" ContentType="image/png"/>
  <Default Extension="tiff" ContentType="image/tif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t>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0"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XXX</w:t>
            </w:r>
            <w:r>
              <w:rPr>
                <w:rFonts w:ascii="黑体" w:hAnsi="黑体" w:eastAsia="黑体"/>
                <w:sz w:val="21"/>
                <w:szCs w:val="21"/>
              </w:rPr>
              <w:fldChar w:fldCharType="end"/>
            </w:r>
            <w:bookmarkEnd w:id="0"/>
          </w:p>
        </w:tc>
      </w:tr>
    </w:tbl>
    <w:tbl>
      <w:tblPr>
        <w:tblStyle w:val="33"/>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49"/>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XX</w:t>
            </w:r>
            <w:r>
              <w:fldChar w:fldCharType="end"/>
            </w:r>
            <w:bookmarkEnd w:id="2"/>
          </w:p>
        </w:tc>
      </w:tr>
    </w:tbl>
    <w:p>
      <w:pPr>
        <w:pStyle w:val="50"/>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pPr>
        <w:pStyle w:val="195"/>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XX/T</w:t>
      </w:r>
      <w:r>
        <w:fldChar w:fldCharType="end"/>
      </w:r>
      <w:bookmarkEnd w:id="4"/>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rPr>
          <w:rFonts w:hint="eastAsia"/>
        </w:rPr>
        <w:t>5</w:t>
      </w:r>
      <w:r>
        <w:fldChar w:fldCharType="end"/>
      </w:r>
      <w:bookmarkEnd w:id="6"/>
    </w:p>
    <w:p>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2700020</wp:posOffset>
                </wp:positionV>
                <wp:extent cx="6120130" cy="0"/>
                <wp:effectExtent l="0" t="0" r="0" b="0"/>
                <wp:wrapNone/>
                <wp:docPr id="1245653983"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7" o:spid="_x0000_s1026" o:spt="20" style="position:absolute;left:0pt;margin-left:70.9pt;margin-top:212.6pt;height:0pt;width:481.9pt;mso-position-horizontal-relative:page;mso-position-vertical-relative:page;z-index:251660288;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ROByfNEBAABlAwAADgAAAGRycy9lMm9Eb2MueG1srVNL&#10;jhMxEN0jcQfLe9L5kDDTSmcWGQ2bASLNcICK291tYbss20knl+ACSOxgxZI9t2E4BmXnwwA7RC9K&#10;Xa6q53qvyvOrndFsK31QaCs+Ggw5k1ZgrWxb8bf3N88uOAsRbA0araz4XgZ+tXj6ZN67Uo6xQ11L&#10;zwjEhrJ3Fe9idGVRBNFJA2GATloKNugNRHJ9W9QeekI3uhgPh7OiR187j0KGQKfXhyBfZPymkSK+&#10;aZogI9MVp95itj7bdbLFYg5l68F1ShzbgH/owoCydOkZ6hoisI1Xf0EZJTwGbOJAoCmwaZSQmQOx&#10;GQ3/YHPXgZOZC4kT3Fmm8P9gxevtyjNV0+zGz6ez6eTyYsKZBUOzevjw9fv7Tz++fST78OUze5HU&#10;6l0oqWhpVz7xFTt7525RvAvM4rID28rc9f3eEcIoVRS/lSQnOLpz3b/CmnJgEzFLt2u8SZAkCtvl&#10;Ce3PE5K7yAQdzkYk04QGKU6xAspTofMhvpRoWPqpuFY2iQclbG9DTI1AeUpJxxZvlNZ5AbRlfcUv&#10;p+NpLgioVZ2CKS34dr3Unm0hrVD+MiuKPE7zuLH14RJtj6QTz4Nia6z3K38Sg2aZuznuXVqWx36u&#10;/vU6F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f4jzNgAAAAMAQAADwAAAAAAAAABACAAAAAi&#10;AAAAZHJzL2Rvd25yZXYueG1sUEsBAhQAFAAAAAgAh07iQETgcnzRAQAAZQMAAA4AAAAAAAAAAQAg&#10;AAAAJwEAAGRycy9lMm9Eb2MueG1sUEsFBgAAAAAGAAYAWQEAAGoFAA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hint="eastAsia" w:ascii="黑体" w:hAnsi="黑体" w:eastAsia="黑体"/>
          <w:b w:val="0"/>
          <w:bCs w:val="0"/>
          <w:w w:val="100"/>
        </w:rPr>
      </w:pPr>
    </w:p>
    <w:p>
      <w:pPr>
        <w:pStyle w:val="197"/>
        <w:framePr w:h="6974" w:hRule="exact"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湿热地区路基</w:t>
      </w:r>
      <w:r>
        <w:rPr>
          <w:rFonts w:hint="eastAsia"/>
        </w:rPr>
        <w:t>拓宽</w:t>
      </w:r>
      <w:r>
        <w:t>技术规范</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specification for subgrade </w:t>
      </w:r>
      <w:r>
        <w:rPr>
          <w:rFonts w:hint="eastAsia" w:ascii="黑体" w:hAnsi="黑体" w:eastAsia="黑体"/>
          <w:szCs w:val="28"/>
        </w:rPr>
        <w:t>widening</w:t>
      </w:r>
      <w:r>
        <w:rPr>
          <w:rFonts w:ascii="黑体" w:hAnsi="黑体" w:eastAsia="黑体"/>
          <w:szCs w:val="28"/>
        </w:rPr>
        <w:t xml:space="preserve"> in humid and hot areas </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5）</w:t>
      </w:r>
      <w:r>
        <w:rPr>
          <w:sz w:val="21"/>
          <w:szCs w:val="28"/>
        </w:rPr>
        <w:fldChar w:fldCharType="end"/>
      </w:r>
      <w:bookmarkEnd w:id="10"/>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hint="eastAsia" w:ascii="黑体"/>
        </w:rPr>
        <w:t>5</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202</w:t>
      </w:r>
      <w:r>
        <w:rPr>
          <w:rFonts w:hint="eastAsia" w:ascii="黑体"/>
        </w:rPr>
        <w:t>5</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9252585</wp:posOffset>
                </wp:positionV>
                <wp:extent cx="6120130" cy="0"/>
                <wp:effectExtent l="0" t="0" r="0" b="0"/>
                <wp:wrapNone/>
                <wp:docPr id="1579011753"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6" o:spid="_x0000_s1026" o:spt="20" style="position:absolute;left:0pt;margin-left:70.85pt;margin-top:728.55pt;height:0pt;width:481.9pt;mso-position-horizontal-relative:page;mso-position-vertical-relative:page;z-index:251663360;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8m2ff0QEAAGUDAAAOAAAAZHJzL2Uyb0RvYy54bWytU81u&#10;EzEQviPxDpbvZHdTJaWrbHpIVS4FIrU8gGN7sxa2x7Kd7OYleAEkbnDiyL1vQ3kMxs5PW7gh9jDa&#10;8cx8nu+b8exyMJpspQ8KbEOrUUmJtByEsuuGfri7fvWakhCZFUyDlQ3dyUAv5y9fzHpXyzF0oIX0&#10;BEFsqHvX0C5GVxdF4J00LIzASYvBFrxhEV2/LoRnPaIbXYzLclr04IXzwGUIeHq1D9J5xm9byeP7&#10;tg0yEt1Q7C1m67NdJVvMZ6xee+Y6xQ9tsH/owjBl8dIT1BWLjGy8+gvKKO4hQBtHHEwBbau4zByQ&#10;TVX+wea2Y05mLihOcCeZwv+D5e+2S0+UwNlNzi/KqjqfnFFimcFZPXz+8fPT11/3X9A+fP9Gpkmt&#10;3oUaixZ26RNfPthbdwP8YyAWFh2za5m7vts5RKhSRfGsJDnB4Z2r/i0IzGGbCFm6ofUmQaIoZMgT&#10;2p0mJIdIOB5OK5TpDAfJj7GC1cdC50N8I8GQ9NNQrWwSj9VsexNiaoTVx5R0bOFaaZ0XQFvSN/Ri&#10;Mp7kggBaiRRMacGvVwvtyZalFcpfZoWRp2keNlbsL9H2QDrx3Cu2ArFb+qMYOMvczWHv0rI89XP1&#10;4+uY/w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qdGL1wAAAA4BAAAPAAAAAAAAAAEAIAAAACIA&#10;AABkcnMvZG93bnJldi54bWxQSwECFAAUAAAACACHTuJA/Jtn39EBAABlAwAADgAAAAAAAAABACAA&#10;AAAmAQAAZHJzL2Uyb0RvYy54bWxQSwUGAAAAAAYABgBZAQAAaQUAAAAA&#10;">
                <v:fill on="f" focussize="0,0"/>
                <v:stroke color="#000000" joinstyle="round"/>
                <v:imagedata o:title=""/>
                <o:lock v:ext="edit" aspectratio="f"/>
                <w10:anchorlock/>
              </v:line>
            </w:pict>
          </mc:Fallback>
        </mc:AlternateContent>
      </w:r>
    </w:p>
    <w:p>
      <w:pPr>
        <w:pStyle w:val="91"/>
        <w:spacing w:after="468"/>
      </w:pPr>
      <w:bookmarkStart w:id="19" w:name="BookMark1"/>
      <w:r>
        <w:rPr>
          <w:rFonts w:hint="eastAsia"/>
          <w:spacing w:val="320"/>
        </w:rPr>
        <w:t>目</w:t>
      </w:r>
      <w:r>
        <w:rPr>
          <w:rFonts w:hint="eastAsia"/>
        </w:rPr>
        <w:t>次</w:t>
      </w:r>
    </w:p>
    <w:p>
      <w:pPr>
        <w:pStyle w:val="19"/>
        <w:rPr>
          <w:rFonts w:hint="eastAsia" w:asciiTheme="minorHAnsi" w:hAnsiTheme="minorHAnsi" w:eastAsiaTheme="minorEastAsia" w:cstheme="minorBidi"/>
          <w:szCs w:val="22"/>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"_Toc134989312" </w:instrText>
      </w:r>
      <w:r>
        <w:fldChar w:fldCharType="separate"/>
      </w:r>
      <w:r>
        <w:rPr>
          <w:rStyle w:val="30"/>
          <w:spacing w:val="320"/>
        </w:rPr>
        <w:t>前</w:t>
      </w:r>
      <w:r>
        <w:rPr>
          <w:rStyle w:val="30"/>
        </w:rPr>
        <w:t>言</w:t>
      </w:r>
      <w:r>
        <w:tab/>
      </w:r>
      <w:r>
        <w:fldChar w:fldCharType="begin"/>
      </w:r>
      <w:r>
        <w:instrText xml:space="preserve"> PAGEREF _Toc134989312 \h </w:instrText>
      </w:r>
      <w:r>
        <w:fldChar w:fldCharType="separate"/>
      </w:r>
      <w:r>
        <w:t>II</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"_Toc134989313" </w:instrText>
      </w:r>
      <w:r>
        <w:fldChar w:fldCharType="separate"/>
      </w:r>
      <w:r>
        <w:rPr>
          <w:rStyle w:val="30"/>
          <w:spacing w:val="320"/>
        </w:rPr>
        <w:t>引</w:t>
      </w:r>
      <w:r>
        <w:rPr>
          <w:rStyle w:val="30"/>
        </w:rPr>
        <w:t>言</w:t>
      </w:r>
      <w:r>
        <w:tab/>
      </w:r>
      <w:r>
        <w:fldChar w:fldCharType="begin"/>
      </w:r>
      <w:r>
        <w:instrText xml:space="preserve"> PAGEREF _Toc134989313 \h </w:instrText>
      </w:r>
      <w:r>
        <w:fldChar w:fldCharType="separate"/>
      </w:r>
      <w:r>
        <w:t>III</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"_Toc134989314" </w:instrText>
      </w:r>
      <w:r>
        <w:fldChar w:fldCharType="separate"/>
      </w:r>
      <w:r>
        <w:rPr>
          <w:rStyle w:val="30"/>
        </w:rPr>
        <w:t>1 范围</w:t>
      </w:r>
      <w:r>
        <w:tab/>
      </w:r>
      <w:r>
        <w:fldChar w:fldCharType="begin"/>
      </w:r>
      <w:r>
        <w:instrText xml:space="preserve"> PAGEREF _Toc134989314 \h </w:instrText>
      </w:r>
      <w:r>
        <w:fldChar w:fldCharType="separate"/>
      </w:r>
      <w:r>
        <w:t>1</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"_Toc134989315" </w:instrText>
      </w:r>
      <w:r>
        <w:fldChar w:fldCharType="separate"/>
      </w:r>
      <w:r>
        <w:rPr>
          <w:rStyle w:val="30"/>
        </w:rPr>
        <w:t>2 规范性引用文件</w:t>
      </w:r>
      <w:r>
        <w:tab/>
      </w:r>
      <w:r>
        <w:fldChar w:fldCharType="begin"/>
      </w:r>
      <w:r>
        <w:instrText xml:space="preserve"> PAGEREF _Toc134989315 \h </w:instrText>
      </w:r>
      <w:r>
        <w:fldChar w:fldCharType="separate"/>
      </w:r>
      <w:r>
        <w:t>1</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"_Toc134989316" </w:instrText>
      </w:r>
      <w:r>
        <w:fldChar w:fldCharType="separate"/>
      </w:r>
      <w:r>
        <w:rPr>
          <w:rStyle w:val="30"/>
        </w:rPr>
        <w:t>3 术语和定义</w:t>
      </w:r>
      <w:r>
        <w:tab/>
      </w:r>
      <w:r>
        <w:fldChar w:fldCharType="begin"/>
      </w:r>
      <w:r>
        <w:instrText xml:space="preserve"> PAGEREF _Toc134989316 \h </w:instrText>
      </w:r>
      <w:r>
        <w:fldChar w:fldCharType="separate"/>
      </w:r>
      <w:r>
        <w:t>1</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"_Toc134989324" </w:instrText>
      </w:r>
      <w:r>
        <w:fldChar w:fldCharType="separate"/>
      </w:r>
      <w:r>
        <w:rPr>
          <w:rStyle w:val="30"/>
        </w:rPr>
        <w:t>4 符号和缩略语</w:t>
      </w:r>
      <w:r>
        <w:tab/>
      </w:r>
      <w:r>
        <w:fldChar w:fldCharType="begin"/>
      </w:r>
      <w:r>
        <w:instrText xml:space="preserve"> PAGEREF _Toc134989324 \h </w:instrText>
      </w:r>
      <w:r>
        <w:fldChar w:fldCharType="separate"/>
      </w:r>
      <w:r>
        <w:t>2</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"_Toc134989325" </w:instrText>
      </w:r>
      <w:r>
        <w:fldChar w:fldCharType="separate"/>
      </w:r>
      <w:r>
        <w:rPr>
          <w:rStyle w:val="30"/>
        </w:rPr>
        <w:t>5 基本规定</w:t>
      </w:r>
      <w:r>
        <w:tab/>
      </w:r>
      <w:r>
        <w:fldChar w:fldCharType="begin"/>
      </w:r>
      <w:r>
        <w:instrText xml:space="preserve"> PAGEREF _Toc134989325 \h </w:instrText>
      </w:r>
      <w:r>
        <w:fldChar w:fldCharType="separate"/>
      </w:r>
      <w:r>
        <w:t>2</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"_Toc134989326" </w:instrText>
      </w:r>
      <w:r>
        <w:fldChar w:fldCharType="separate"/>
      </w:r>
      <w:r>
        <w:rPr>
          <w:rStyle w:val="30"/>
        </w:rPr>
        <w:t>6 既有路基调查、评价与病害处治</w:t>
      </w:r>
      <w:r>
        <w:tab/>
      </w:r>
      <w:r>
        <w:fldChar w:fldCharType="begin"/>
      </w:r>
      <w:r>
        <w:instrText xml:space="preserve"> PAGEREF _Toc134989326 \h </w:instrText>
      </w:r>
      <w:r>
        <w:fldChar w:fldCharType="separate"/>
      </w:r>
      <w:r>
        <w:t>3</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"_Toc134989327" </w:instrText>
      </w:r>
      <w:r>
        <w:fldChar w:fldCharType="separate"/>
      </w:r>
      <w:r>
        <w:rPr>
          <w:rStyle w:val="30"/>
        </w:rPr>
        <w:t>6.1 路基及周边环境调查</w:t>
      </w:r>
      <w:r>
        <w:tab/>
      </w:r>
      <w:r>
        <w:fldChar w:fldCharType="begin"/>
      </w:r>
      <w:r>
        <w:instrText xml:space="preserve"> PAGEREF _Toc134989327 \h </w:instrText>
      </w:r>
      <w:r>
        <w:fldChar w:fldCharType="separate"/>
      </w:r>
      <w:r>
        <w:t>3</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"_Toc134989328" </w:instrText>
      </w:r>
      <w:r>
        <w:fldChar w:fldCharType="separate"/>
      </w:r>
      <w:r>
        <w:rPr>
          <w:rStyle w:val="30"/>
        </w:rPr>
        <w:t>6.2 既有路基评价</w:t>
      </w:r>
      <w:r>
        <w:tab/>
      </w:r>
      <w:r>
        <w:fldChar w:fldCharType="begin"/>
      </w:r>
      <w:r>
        <w:instrText xml:space="preserve"> PAGEREF _Toc134989328 \h </w:instrText>
      </w:r>
      <w:r>
        <w:fldChar w:fldCharType="separate"/>
      </w:r>
      <w:r>
        <w:t>3</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"_Toc134989329" </w:instrText>
      </w:r>
      <w:r>
        <w:fldChar w:fldCharType="separate"/>
      </w:r>
      <w:r>
        <w:rPr>
          <w:rStyle w:val="30"/>
        </w:rPr>
        <w:t>6.3 既有路基病害处治</w:t>
      </w:r>
      <w:r>
        <w:tab/>
      </w:r>
      <w:r>
        <w:fldChar w:fldCharType="begin"/>
      </w:r>
      <w:r>
        <w:instrText xml:space="preserve"> PAGEREF _Toc134989329 \h </w:instrText>
      </w:r>
      <w:r>
        <w:fldChar w:fldCharType="separate"/>
      </w:r>
      <w:r>
        <w:t>4</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"_Toc134989330" </w:instrText>
      </w:r>
      <w:r>
        <w:fldChar w:fldCharType="separate"/>
      </w:r>
      <w:r>
        <w:rPr>
          <w:rStyle w:val="30"/>
        </w:rPr>
        <w:t>7 路基拓宽设计与施工</w:t>
      </w:r>
      <w:r>
        <w:tab/>
      </w:r>
      <w:r>
        <w:fldChar w:fldCharType="begin"/>
      </w:r>
      <w:r>
        <w:instrText xml:space="preserve"> PAGEREF _Toc134989330 \h </w:instrText>
      </w:r>
      <w:r>
        <w:fldChar w:fldCharType="separate"/>
      </w:r>
      <w:r>
        <w:t>5</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"_Toc134989331" </w:instrText>
      </w:r>
      <w:r>
        <w:fldChar w:fldCharType="separate"/>
      </w:r>
      <w:r>
        <w:rPr>
          <w:rStyle w:val="30"/>
        </w:rPr>
        <w:t>7.1 一般规定</w:t>
      </w:r>
      <w:r>
        <w:tab/>
      </w:r>
      <w:r>
        <w:fldChar w:fldCharType="begin"/>
      </w:r>
      <w:r>
        <w:instrText xml:space="preserve"> PAGEREF _Toc134989331 \h </w:instrText>
      </w:r>
      <w:r>
        <w:fldChar w:fldCharType="separate"/>
      </w:r>
      <w:r>
        <w:t>5</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"_Toc134989332" </w:instrText>
      </w:r>
      <w:r>
        <w:fldChar w:fldCharType="separate"/>
      </w:r>
      <w:r>
        <w:rPr>
          <w:rStyle w:val="30"/>
        </w:rPr>
        <w:t>7.2</w:t>
      </w:r>
      <w:r>
        <w:rPr>
          <w:rStyle w:val="30"/>
          <w:rFonts w:ascii="Times New Roman"/>
        </w:rPr>
        <w:t xml:space="preserve"> 准备工作</w:t>
      </w:r>
      <w:r>
        <w:tab/>
      </w:r>
      <w:r>
        <w:fldChar w:fldCharType="begin"/>
      </w:r>
      <w:r>
        <w:instrText xml:space="preserve"> PAGEREF _Toc134989332 \h </w:instrText>
      </w:r>
      <w:r>
        <w:fldChar w:fldCharType="separate"/>
      </w:r>
      <w:r>
        <w:t>5</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"_Toc134989333" </w:instrText>
      </w:r>
      <w:r>
        <w:fldChar w:fldCharType="separate"/>
      </w:r>
      <w:r>
        <w:rPr>
          <w:rStyle w:val="30"/>
        </w:rPr>
        <w:t>7.3</w:t>
      </w:r>
      <w:r>
        <w:rPr>
          <w:rStyle w:val="30"/>
          <w:rFonts w:ascii="Times New Roman"/>
        </w:rPr>
        <w:t xml:space="preserve"> 地表处理</w:t>
      </w:r>
      <w:r>
        <w:tab/>
      </w:r>
      <w:r>
        <w:fldChar w:fldCharType="begin"/>
      </w:r>
      <w:r>
        <w:instrText xml:space="preserve"> PAGEREF _Toc134989333 \h </w:instrText>
      </w:r>
      <w:r>
        <w:fldChar w:fldCharType="separate"/>
      </w:r>
      <w:r>
        <w:t>5</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"_Toc134989334" </w:instrText>
      </w:r>
      <w:r>
        <w:fldChar w:fldCharType="separate"/>
      </w:r>
      <w:r>
        <w:rPr>
          <w:rStyle w:val="30"/>
        </w:rPr>
        <w:t>7.4</w:t>
      </w:r>
      <w:r>
        <w:rPr>
          <w:rStyle w:val="30"/>
          <w:rFonts w:ascii="Times New Roman"/>
        </w:rPr>
        <w:t xml:space="preserve"> 坡面处理</w:t>
      </w:r>
      <w:r>
        <w:tab/>
      </w:r>
      <w:r>
        <w:fldChar w:fldCharType="begin"/>
      </w:r>
      <w:r>
        <w:instrText xml:space="preserve"> PAGEREF _Toc134989334 \h </w:instrText>
      </w:r>
      <w:r>
        <w:fldChar w:fldCharType="separate"/>
      </w:r>
      <w:r>
        <w:t>6</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"_Toc134989335" </w:instrText>
      </w:r>
      <w:r>
        <w:fldChar w:fldCharType="separate"/>
      </w:r>
      <w:r>
        <w:rPr>
          <w:rStyle w:val="30"/>
        </w:rPr>
        <w:t>7.5</w:t>
      </w:r>
      <w:r>
        <w:rPr>
          <w:rStyle w:val="30"/>
          <w:rFonts w:ascii="Times New Roman"/>
        </w:rPr>
        <w:t xml:space="preserve"> 一般填方路基拼宽</w:t>
      </w:r>
      <w:r>
        <w:tab/>
      </w:r>
      <w:r>
        <w:fldChar w:fldCharType="begin"/>
      </w:r>
      <w:r>
        <w:instrText xml:space="preserve"> PAGEREF _Toc134989335 \h </w:instrText>
      </w:r>
      <w:r>
        <w:fldChar w:fldCharType="separate"/>
      </w:r>
      <w:r>
        <w:t>6</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"_Toc134989336" </w:instrText>
      </w:r>
      <w:r>
        <w:fldChar w:fldCharType="separate"/>
      </w:r>
      <w:r>
        <w:rPr>
          <w:rStyle w:val="30"/>
        </w:rPr>
        <w:t>7.6 高路堤与陡坡路堤拼宽</w:t>
      </w:r>
      <w:r>
        <w:tab/>
      </w:r>
      <w:r>
        <w:fldChar w:fldCharType="begin"/>
      </w:r>
      <w:r>
        <w:instrText xml:space="preserve"> PAGEREF _Toc134989336 \h </w:instrText>
      </w:r>
      <w:r>
        <w:fldChar w:fldCharType="separate"/>
      </w:r>
      <w:r>
        <w:t>9</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"_Toc134989337" </w:instrText>
      </w:r>
      <w:r>
        <w:fldChar w:fldCharType="separate"/>
      </w:r>
      <w:r>
        <w:rPr>
          <w:rStyle w:val="30"/>
        </w:rPr>
        <w:t>7.7 软土地基上的路基拼宽</w:t>
      </w:r>
      <w:r>
        <w:tab/>
      </w:r>
      <w:r>
        <w:fldChar w:fldCharType="begin"/>
      </w:r>
      <w:r>
        <w:instrText xml:space="preserve"> PAGEREF _Toc134989337 \h </w:instrText>
      </w:r>
      <w:r>
        <w:fldChar w:fldCharType="separate"/>
      </w:r>
      <w:r>
        <w:t>9</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"_Toc134989338" </w:instrText>
      </w:r>
      <w:r>
        <w:fldChar w:fldCharType="separate"/>
      </w:r>
      <w:r>
        <w:rPr>
          <w:rStyle w:val="30"/>
        </w:rPr>
        <w:t>7.8</w:t>
      </w:r>
      <w:r>
        <w:rPr>
          <w:rStyle w:val="30"/>
          <w:rFonts w:ascii="Times New Roman"/>
        </w:rPr>
        <w:t xml:space="preserve"> 特殊路基拼宽</w:t>
      </w:r>
      <w:r>
        <w:tab/>
      </w:r>
      <w:r>
        <w:fldChar w:fldCharType="begin"/>
      </w:r>
      <w:r>
        <w:instrText xml:space="preserve"> PAGEREF _Toc134989338 \h </w:instrText>
      </w:r>
      <w:r>
        <w:fldChar w:fldCharType="separate"/>
      </w:r>
      <w:r>
        <w:t>10</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"_Toc134989339" </w:instrText>
      </w:r>
      <w:r>
        <w:fldChar w:fldCharType="separate"/>
      </w:r>
      <w:r>
        <w:rPr>
          <w:rStyle w:val="30"/>
        </w:rPr>
        <w:t>7.9</w:t>
      </w:r>
      <w:r>
        <w:rPr>
          <w:rStyle w:val="30"/>
          <w:rFonts w:ascii="Times New Roman"/>
        </w:rPr>
        <w:t xml:space="preserve"> 挖方路基拼宽</w:t>
      </w:r>
      <w:r>
        <w:tab/>
      </w:r>
      <w:r>
        <w:fldChar w:fldCharType="begin"/>
      </w:r>
      <w:r>
        <w:instrText xml:space="preserve"> PAGEREF _Toc134989339 \h </w:instrText>
      </w:r>
      <w:r>
        <w:fldChar w:fldCharType="separate"/>
      </w:r>
      <w:r>
        <w:t>11</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"_Toc134989340" </w:instrText>
      </w:r>
      <w:r>
        <w:fldChar w:fldCharType="separate"/>
      </w:r>
      <w:r>
        <w:rPr>
          <w:rStyle w:val="30"/>
        </w:rPr>
        <w:t>7.10 路床拼宽</w:t>
      </w:r>
      <w:r>
        <w:tab/>
      </w:r>
      <w:r>
        <w:fldChar w:fldCharType="begin"/>
      </w:r>
      <w:r>
        <w:instrText xml:space="preserve"> PAGEREF _Toc134989340 \h </w:instrText>
      </w:r>
      <w:r>
        <w:fldChar w:fldCharType="separate"/>
      </w:r>
      <w:r>
        <w:t>11</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"_Toc134989341" </w:instrText>
      </w:r>
      <w:r>
        <w:fldChar w:fldCharType="separate"/>
      </w:r>
      <w:r>
        <w:rPr>
          <w:rStyle w:val="30"/>
        </w:rPr>
        <w:t>7.11</w:t>
      </w:r>
      <w:r>
        <w:rPr>
          <w:rStyle w:val="30"/>
          <w:rFonts w:ascii="Times New Roman"/>
        </w:rPr>
        <w:t xml:space="preserve"> 土工合成材料铺设</w:t>
      </w:r>
      <w:r>
        <w:tab/>
      </w:r>
      <w:r>
        <w:fldChar w:fldCharType="begin"/>
      </w:r>
      <w:r>
        <w:instrText xml:space="preserve"> PAGEREF _Toc134989341 \h </w:instrText>
      </w:r>
      <w:r>
        <w:fldChar w:fldCharType="separate"/>
      </w:r>
      <w:r>
        <w:t>11</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"_Toc134989342" </w:instrText>
      </w:r>
      <w:r>
        <w:fldChar w:fldCharType="separate"/>
      </w:r>
      <w:r>
        <w:rPr>
          <w:rStyle w:val="30"/>
        </w:rPr>
        <w:t>8 支挡、防护与防排水</w:t>
      </w:r>
      <w:r>
        <w:tab/>
      </w:r>
      <w:r>
        <w:fldChar w:fldCharType="begin"/>
      </w:r>
      <w:r>
        <w:instrText xml:space="preserve"> PAGEREF _Toc134989342 \h </w:instrText>
      </w:r>
      <w:r>
        <w:fldChar w:fldCharType="separate"/>
      </w:r>
      <w:r>
        <w:t>12</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"_Toc134989343" </w:instrText>
      </w:r>
      <w:r>
        <w:fldChar w:fldCharType="separate"/>
      </w:r>
      <w:r>
        <w:rPr>
          <w:rStyle w:val="30"/>
        </w:rPr>
        <w:t>8.1 支挡结构物</w:t>
      </w:r>
      <w:r>
        <w:tab/>
      </w:r>
      <w:r>
        <w:fldChar w:fldCharType="begin"/>
      </w:r>
      <w:r>
        <w:instrText xml:space="preserve"> PAGEREF _Toc134989343 \h </w:instrText>
      </w:r>
      <w:r>
        <w:fldChar w:fldCharType="separate"/>
      </w:r>
      <w:r>
        <w:t>12</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"_Toc134989344" </w:instrText>
      </w:r>
      <w:r>
        <w:fldChar w:fldCharType="separate"/>
      </w:r>
      <w:r>
        <w:rPr>
          <w:rStyle w:val="30"/>
        </w:rPr>
        <w:t>8.2 路基防护</w:t>
      </w:r>
      <w:r>
        <w:tab/>
      </w:r>
      <w:r>
        <w:fldChar w:fldCharType="begin"/>
      </w:r>
      <w:r>
        <w:instrText xml:space="preserve"> PAGEREF _Toc134989344 \h </w:instrText>
      </w:r>
      <w:r>
        <w:fldChar w:fldCharType="separate"/>
      </w:r>
      <w:r>
        <w:t>12</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"_Toc134989345" </w:instrText>
      </w:r>
      <w:r>
        <w:fldChar w:fldCharType="separate"/>
      </w:r>
      <w:r>
        <w:rPr>
          <w:rStyle w:val="30"/>
        </w:rPr>
        <w:t>8.3 改扩建路基防排水</w:t>
      </w:r>
      <w:r>
        <w:tab/>
      </w:r>
      <w:r>
        <w:fldChar w:fldCharType="begin"/>
      </w:r>
      <w:r>
        <w:instrText xml:space="preserve"> PAGEREF _Toc134989345 \h </w:instrText>
      </w:r>
      <w:r>
        <w:fldChar w:fldCharType="separate"/>
      </w:r>
      <w:r>
        <w:t>13</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"_Toc134989346" </w:instrText>
      </w:r>
      <w:r>
        <w:fldChar w:fldCharType="separate"/>
      </w:r>
      <w:r>
        <w:rPr>
          <w:rStyle w:val="30"/>
        </w:rPr>
        <w:t>9 环保与水土保持</w:t>
      </w:r>
      <w:r>
        <w:tab/>
      </w:r>
      <w:r>
        <w:fldChar w:fldCharType="begin"/>
      </w:r>
      <w:r>
        <w:instrText xml:space="preserve"> PAGEREF _Toc134989346 \h </w:instrText>
      </w:r>
      <w:r>
        <w:fldChar w:fldCharType="separate"/>
      </w:r>
      <w:r>
        <w:t>15</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"_Toc134989347" </w:instrText>
      </w:r>
      <w:r>
        <w:fldChar w:fldCharType="separate"/>
      </w:r>
      <w:r>
        <w:rPr>
          <w:rStyle w:val="30"/>
        </w:rPr>
        <w:t>10 路基变形监测</w:t>
      </w:r>
      <w:r>
        <w:tab/>
      </w:r>
      <w:r>
        <w:fldChar w:fldCharType="begin"/>
      </w:r>
      <w:r>
        <w:instrText xml:space="preserve"> PAGEREF _Toc134989347 \h </w:instrText>
      </w:r>
      <w:r>
        <w:fldChar w:fldCharType="separate"/>
      </w:r>
      <w:r>
        <w:t>15</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"_Toc134989348" </w:instrText>
      </w:r>
      <w:r>
        <w:fldChar w:fldCharType="separate"/>
      </w:r>
      <w:r>
        <w:rPr>
          <w:rStyle w:val="30"/>
          <w:spacing w:val="100"/>
        </w:rPr>
        <w:t>附录A</w:t>
      </w:r>
      <w:r>
        <w:rPr>
          <w:rStyle w:val="30"/>
        </w:rPr>
        <w:t xml:space="preserve"> （资料性） 既有路基检测评价方法及评价表</w:t>
      </w:r>
      <w:r>
        <w:tab/>
      </w:r>
      <w:r>
        <w:fldChar w:fldCharType="begin"/>
      </w:r>
      <w:r>
        <w:instrText xml:space="preserve"> PAGEREF _Toc134989348 \h </w:instrText>
      </w:r>
      <w:r>
        <w:fldChar w:fldCharType="separate"/>
      </w:r>
      <w:r>
        <w:t>18</w:t>
      </w:r>
      <w:r>
        <w:fldChar w:fldCharType="end"/>
      </w:r>
      <w:r>
        <w:fldChar w:fldCharType="end"/>
      </w:r>
    </w:p>
    <w:p>
      <w:pPr>
        <w:pStyle w:val="24"/>
        <w:rPr>
          <w:rFonts w:hint="eastAsia" w:asciiTheme="minorHAnsi" w:hAnsiTheme="minorHAnsi" w:eastAsiaTheme="minorEastAsia" w:cstheme="minorBidi"/>
          <w:szCs w:val="22"/>
          <w14:ligatures w14:val="standardContextual"/>
        </w:rPr>
      </w:pPr>
      <w:r>
        <w:fldChar w:fldCharType="begin"/>
      </w:r>
      <w:r>
        <w:instrText xml:space="preserve"> HYPERLINK \l "_Toc134989349" </w:instrText>
      </w:r>
      <w:r>
        <w:fldChar w:fldCharType="separate"/>
      </w:r>
      <w:r>
        <w:rPr>
          <w:rStyle w:val="30"/>
        </w:rPr>
        <w:t>A.1 既有路基检测评价方法及评价表</w:t>
      </w:r>
      <w:r>
        <w:tab/>
      </w:r>
      <w:r>
        <w:fldChar w:fldCharType="begin"/>
      </w:r>
      <w:r>
        <w:instrText xml:space="preserve"> PAGEREF _Toc134989349 \h </w:instrText>
      </w:r>
      <w:r>
        <w:fldChar w:fldCharType="separate"/>
      </w:r>
      <w:r>
        <w:t>18</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"_Toc134989350" </w:instrText>
      </w:r>
      <w:r>
        <w:fldChar w:fldCharType="separate"/>
      </w:r>
      <w:r>
        <w:rPr>
          <w:rStyle w:val="30"/>
          <w:spacing w:val="100"/>
        </w:rPr>
        <w:t>附录B</w:t>
      </w:r>
      <w:r>
        <w:rPr>
          <w:rStyle w:val="30"/>
        </w:rPr>
        <w:t xml:space="preserve"> （资料性） 沉降观测记录表</w:t>
      </w:r>
      <w:r>
        <w:tab/>
      </w:r>
      <w:r>
        <w:fldChar w:fldCharType="begin"/>
      </w:r>
      <w:r>
        <w:instrText xml:space="preserve"> PAGEREF _Toc134989350 \h </w:instrText>
      </w:r>
      <w:r>
        <w:fldChar w:fldCharType="separate"/>
      </w:r>
      <w:r>
        <w:t>19</w:t>
      </w:r>
      <w:r>
        <w:fldChar w:fldCharType="end"/>
      </w:r>
      <w:r>
        <w:fldChar w:fldCharType="end"/>
      </w:r>
    </w:p>
    <w:p>
      <w:pPr>
        <w:pStyle w:val="19"/>
        <w:rPr>
          <w:rFonts w:hint="eastAsia" w:asciiTheme="minorHAnsi" w:hAnsiTheme="minorHAnsi" w:eastAsiaTheme="minorEastAsia" w:cstheme="minorBidi"/>
          <w:szCs w:val="22"/>
          <w14:ligatures w14:val="standardContextual"/>
        </w:rPr>
      </w:pPr>
      <w:r>
        <w:fldChar w:fldCharType="begin"/>
      </w:r>
      <w:r>
        <w:instrText xml:space="preserve"> HYPERLINK \l "_Toc134989351" </w:instrText>
      </w:r>
      <w:r>
        <w:fldChar w:fldCharType="separate"/>
      </w:r>
      <w:r>
        <w:rPr>
          <w:rStyle w:val="30"/>
          <w:spacing w:val="100"/>
        </w:rPr>
        <w:t>附录C</w:t>
      </w:r>
      <w:r>
        <w:rPr>
          <w:rStyle w:val="30"/>
        </w:rPr>
        <w:t xml:space="preserve"> （资料性） 剖面沉降观测记录表</w:t>
      </w:r>
      <w:r>
        <w:tab/>
      </w:r>
      <w:r>
        <w:fldChar w:fldCharType="begin"/>
      </w:r>
      <w:r>
        <w:instrText xml:space="preserve"> PAGEREF _Toc134989351 \h </w:instrText>
      </w:r>
      <w:r>
        <w:fldChar w:fldCharType="separate"/>
      </w:r>
      <w:r>
        <w:t>20</w:t>
      </w:r>
      <w:r>
        <w:fldChar w:fldCharType="end"/>
      </w:r>
      <w:r>
        <w:fldChar w:fldCharType="end"/>
      </w:r>
    </w:p>
    <w:p>
      <w:pPr>
        <w:pStyle w:val="91"/>
        <w:spacing w:after="468"/>
        <w:sectPr>
          <w:headerReference r:id="rId7" w:type="default"/>
          <w:footerReference r:id="rId9" w:type="default"/>
          <w:headerReference r:id="rId8" w:type="even"/>
          <w:foot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pPr>
        <w:pStyle w:val="89"/>
        <w:spacing w:before="900" w:after="468"/>
      </w:pPr>
      <w:bookmarkStart w:id="20" w:name="_Toc134989312"/>
      <w:bookmarkStart w:id="21" w:name="BookMark2"/>
      <w:r>
        <w:rPr>
          <w:rFonts w:hint="eastAsia"/>
          <w:spacing w:val="320"/>
        </w:rPr>
        <w:t>前</w:t>
      </w:r>
      <w:r>
        <w:rPr>
          <w:rFonts w:hint="eastAsia"/>
        </w:rPr>
        <w:t>言</w:t>
      </w:r>
      <w:bookmarkEnd w:id="20"/>
    </w:p>
    <w:p>
      <w:pPr>
        <w:pStyle w:val="56"/>
        <w:autoSpaceDE/>
        <w:autoSpaceDN/>
        <w:ind w:firstLine="420"/>
      </w:pPr>
      <w:r>
        <w:rPr>
          <w:rFonts w:hint="eastAsia"/>
        </w:rPr>
        <w:t>本文件按照GB/T 1.1—2020《标准化工作导则  第1部分：标准化文件的结构和起草规则》的规定起草。</w:t>
      </w:r>
    </w:p>
    <w:p>
      <w:pPr>
        <w:pStyle w:val="56"/>
        <w:autoSpaceDE/>
        <w:autoSpaceDN/>
        <w:ind w:firstLine="420"/>
      </w:pPr>
      <w:r>
        <w:rPr>
          <w:rFonts w:hint="eastAsia"/>
        </w:rPr>
        <w:t>请注意本文件的某些内容可能涉及专利。本文件的发布机构不承担识别专利的责任。</w:t>
      </w:r>
    </w:p>
    <w:p>
      <w:pPr>
        <w:pStyle w:val="56"/>
        <w:autoSpaceDE/>
        <w:autoSpaceDN/>
        <w:ind w:firstLine="420"/>
      </w:pPr>
      <w:r>
        <w:rPr>
          <w:rFonts w:hint="eastAsia"/>
        </w:rPr>
        <w:t>本文件适用于气候潮湿多雨、土体天然含水率较高的湿热地区路基拓宽。</w:t>
      </w:r>
    </w:p>
    <w:p>
      <w:pPr>
        <w:pStyle w:val="56"/>
        <w:autoSpaceDE/>
        <w:autoSpaceDN/>
        <w:ind w:firstLine="420"/>
      </w:pPr>
      <w:r>
        <w:rPr>
          <w:rFonts w:hint="eastAsia"/>
        </w:rPr>
        <w:t>本文件由湖南省交通运输厅提出</w:t>
      </w:r>
      <w:r>
        <w:rPr>
          <w:rFonts w:hint="eastAsia"/>
          <w:lang w:eastAsia="zh-CN"/>
        </w:rPr>
        <w:t>并归口</w:t>
      </w:r>
      <w:r>
        <w:rPr>
          <w:rFonts w:hint="eastAsia"/>
        </w:rPr>
        <w:t>。</w:t>
      </w:r>
      <w:bookmarkStart w:id="159" w:name="_GoBack"/>
      <w:bookmarkEnd w:id="159"/>
    </w:p>
    <w:p>
      <w:pPr>
        <w:pStyle w:val="56"/>
        <w:autoSpaceDE/>
        <w:autoSpaceDN/>
        <w:ind w:firstLine="420"/>
      </w:pPr>
      <w:r>
        <w:rPr>
          <w:rFonts w:hint="eastAsia"/>
        </w:rPr>
        <w:t>本文件起草单位：长沙理工大学、湖南省交通科学研究院有限公司、创辉达设计股份有限公司、中交路桥建设有限公司、湖南长理设计咨询有限公司、中交路桥华南工程有限公司。</w:t>
      </w:r>
    </w:p>
    <w:p>
      <w:pPr>
        <w:pStyle w:val="56"/>
        <w:autoSpaceDE/>
        <w:autoSpaceDN/>
        <w:ind w:firstLine="420"/>
      </w:pPr>
      <w:r>
        <w:rPr>
          <w:rFonts w:hint="eastAsia"/>
        </w:rPr>
        <w:t>本文件主要起草人：张军辉、张石平、李志勇、顾凡、杨相展、陶坡、黄向群、彭俊辉、夏晖、王颖、丁乐、李享平、张锐、杨豪、高峰、徐海燕。</w:t>
      </w:r>
    </w:p>
    <w:p>
      <w:pPr>
        <w:pStyle w:val="56"/>
        <w:autoSpaceDE/>
        <w:autoSpaceDN/>
        <w:ind w:firstLine="420"/>
      </w:pPr>
      <w:r>
        <w:rPr>
          <w:rFonts w:hint="eastAsia"/>
        </w:rPr>
        <w:t>本文件为首次发布。</w:t>
      </w:r>
    </w:p>
    <w:p>
      <w:pPr>
        <w:pStyle w:val="56"/>
        <w:ind w:firstLine="420"/>
      </w:pP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cols w:space="425" w:num="1"/>
          <w:formProt w:val="0"/>
          <w:docGrid w:type="lines" w:linePitch="312" w:charSpace="0"/>
        </w:sectPr>
      </w:pPr>
    </w:p>
    <w:bookmarkEnd w:id="21"/>
    <w:p>
      <w:pPr>
        <w:pStyle w:val="89"/>
        <w:spacing w:after="468" w:line="360" w:lineRule="auto"/>
      </w:pPr>
      <w:bookmarkStart w:id="22" w:name="_Toc134989313"/>
      <w:bookmarkStart w:id="23" w:name="BookMark3"/>
      <w:r>
        <w:rPr>
          <w:spacing w:val="320"/>
        </w:rPr>
        <w:t>引</w:t>
      </w:r>
      <w:r>
        <w:t>言</w:t>
      </w:r>
      <w:bookmarkEnd w:id="22"/>
    </w:p>
    <w:p>
      <w:pPr>
        <w:pStyle w:val="56"/>
        <w:ind w:firstLine="420"/>
      </w:pPr>
      <w:r>
        <w:rPr>
          <w:rFonts w:hint="eastAsia"/>
        </w:rPr>
        <w:t>为指导湿热地区路基拓宽工程的设计与施工，保证工程质量，节约资源，保护环境，制定本文件。</w:t>
      </w:r>
    </w:p>
    <w:p>
      <w:pPr>
        <w:pStyle w:val="56"/>
        <w:autoSpaceDE/>
        <w:autoSpaceDN/>
        <w:ind w:firstLine="420"/>
        <w:rPr>
          <w:rFonts w:ascii="Times New Roman"/>
        </w:rPr>
      </w:pPr>
      <w:r>
        <w:rPr>
          <w:rFonts w:hint="eastAsia" w:ascii="Times New Roman"/>
        </w:rPr>
        <w:t>本文件制定的指导思想：突出安全、耐久、环保、节约等要求，积极吸收成熟可靠的新技术、新工艺、新材料，力求技术先进、指标合理、可操作性强，体现湿热地区路基拓宽工程设计与施工技术的进步，并适度超前。</w:t>
      </w:r>
    </w:p>
    <w:p>
      <w:pPr>
        <w:pStyle w:val="56"/>
        <w:autoSpaceDE/>
        <w:autoSpaceDN/>
        <w:ind w:firstLine="420"/>
      </w:pPr>
      <w:r>
        <w:rPr>
          <w:rFonts w:hint="eastAsia" w:ascii="Times New Roman"/>
        </w:rPr>
        <w:t>本文件的主要技术内容涵盖了湿热地区路基拓宽工程的设计与施工全过程，分为</w:t>
      </w:r>
      <w:r>
        <w:rPr>
          <w:rFonts w:ascii="Times New Roman"/>
        </w:rPr>
        <w:t>10</w:t>
      </w:r>
      <w:r>
        <w:rPr>
          <w:rFonts w:hint="eastAsia" w:ascii="Times New Roman"/>
        </w:rPr>
        <w:t>章：1范围，2规范性引用文件，3术语和定义，4符号和缩略语，</w:t>
      </w:r>
      <w:r>
        <w:rPr>
          <w:rFonts w:ascii="Times New Roman"/>
        </w:rPr>
        <w:t>5</w:t>
      </w:r>
      <w:r>
        <w:rPr>
          <w:rFonts w:hint="eastAsia" w:ascii="Times New Roman"/>
        </w:rPr>
        <w:t>基本规定，</w:t>
      </w:r>
      <w:r>
        <w:rPr>
          <w:rFonts w:ascii="Times New Roman"/>
        </w:rPr>
        <w:t>6</w:t>
      </w:r>
      <w:r>
        <w:rPr>
          <w:rFonts w:hint="eastAsia" w:ascii="Times New Roman"/>
        </w:rPr>
        <w:t>既有路基调查、评价与病害处治，</w:t>
      </w:r>
      <w:r>
        <w:rPr>
          <w:rFonts w:ascii="Times New Roman"/>
        </w:rPr>
        <w:t>7</w:t>
      </w:r>
      <w:r>
        <w:rPr>
          <w:rFonts w:hint="eastAsia" w:ascii="Times New Roman"/>
        </w:rPr>
        <w:t>路基拓宽的设计与施工，</w:t>
      </w:r>
      <w:r>
        <w:rPr>
          <w:rFonts w:ascii="Times New Roman"/>
        </w:rPr>
        <w:t>8</w:t>
      </w:r>
      <w:r>
        <w:rPr>
          <w:rFonts w:hint="eastAsia" w:ascii="Times New Roman"/>
        </w:rPr>
        <w:t>支挡、防护与防排水，</w:t>
      </w:r>
      <w:r>
        <w:rPr>
          <w:rFonts w:ascii="Times New Roman"/>
        </w:rPr>
        <w:t>9</w:t>
      </w:r>
      <w:r>
        <w:rPr>
          <w:rFonts w:hint="eastAsia" w:ascii="Times New Roman"/>
        </w:rPr>
        <w:t>环保与水土保持，</w:t>
      </w:r>
      <w:r>
        <w:rPr>
          <w:rFonts w:ascii="Times New Roman"/>
        </w:rPr>
        <w:t>10</w:t>
      </w:r>
      <w:r>
        <w:rPr>
          <w:rFonts w:hint="eastAsia" w:ascii="Times New Roman"/>
        </w:rPr>
        <w:t>路基变形监测；3个附录：附录A既有路基检测评价方法及评价表、附录B沉降观测记录表、附录C剖面沉降观测记录表。</w:t>
      </w:r>
    </w:p>
    <w:p>
      <w:pPr>
        <w:pStyle w:val="56"/>
        <w:ind w:firstLine="420"/>
      </w:pP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38FF25E4FD83413E8849C94401119383"/>
        </w:placeholder>
      </w:sdtPr>
      <w:sdtContent>
        <w:p>
          <w:pPr>
            <w:pStyle w:val="177"/>
            <w:spacing w:before="3" w:beforeLines="1" w:after="686" w:afterLines="220"/>
            <w:rPr>
              <w:rFonts w:hint="eastAsia"/>
            </w:rPr>
          </w:pPr>
          <w:bookmarkStart w:id="25" w:name="NEW_STAND_NAME"/>
          <w:r>
            <w:rPr>
              <w:rFonts w:hint="eastAsia"/>
            </w:rPr>
            <w:t>湿热地区路基拓宽技术规范</w:t>
          </w:r>
        </w:p>
      </w:sdtContent>
    </w:sdt>
    <w:bookmarkEnd w:id="25"/>
    <w:p>
      <w:pPr>
        <w:pStyle w:val="104"/>
        <w:spacing w:before="312" w:after="312"/>
      </w:pPr>
      <w:bookmarkStart w:id="26" w:name="_Toc24884211"/>
      <w:bookmarkStart w:id="27" w:name="_Toc24884218"/>
      <w:bookmarkStart w:id="28" w:name="_Toc26648465"/>
      <w:bookmarkStart w:id="29" w:name="_Toc26718930"/>
      <w:bookmarkStart w:id="30" w:name="_Toc17233325"/>
      <w:bookmarkStart w:id="31" w:name="_Toc26986530"/>
      <w:bookmarkStart w:id="32" w:name="_Toc17233333"/>
      <w:bookmarkStart w:id="33" w:name="_Toc26986771"/>
      <w:bookmarkStart w:id="34" w:name="_Toc97191423"/>
      <w:bookmarkStart w:id="35" w:name="_Toc134989314"/>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pPr>
      <w:bookmarkStart w:id="36" w:name="_Toc26648466"/>
      <w:bookmarkStart w:id="37" w:name="_Toc17233326"/>
      <w:bookmarkStart w:id="38" w:name="_Toc24884219"/>
      <w:bookmarkStart w:id="39" w:name="_Toc17233334"/>
      <w:bookmarkStart w:id="40" w:name="_Toc24884212"/>
      <w:r>
        <w:rPr>
          <w:rFonts w:hint="eastAsia"/>
        </w:rPr>
        <w:t>本文件界定了湿热地区公路路基拓宽技术涉及的术语和定义，规定了湿热地区公路路基拓宽的既有路基调查、评价与病害处治，新老路基拼接的设计与施工，支挡、防护与防排水，环保与水土保持，路基变形监测等内容。</w:t>
      </w:r>
    </w:p>
    <w:p>
      <w:pPr>
        <w:pStyle w:val="56"/>
        <w:ind w:firstLine="420"/>
      </w:pPr>
      <w:r>
        <w:rPr>
          <w:rFonts w:hint="eastAsia"/>
        </w:rPr>
        <w:t>本文件适用于湿热地区二级及以上公路路基拓宽工程的设计与施工，二级以下公路及其它地区可参照执行。</w:t>
      </w:r>
    </w:p>
    <w:p>
      <w:pPr>
        <w:pStyle w:val="104"/>
        <w:spacing w:before="312" w:after="312"/>
      </w:pPr>
      <w:bookmarkStart w:id="41" w:name="_Toc26986772"/>
      <w:bookmarkStart w:id="42" w:name="_Toc97191424"/>
      <w:bookmarkStart w:id="43" w:name="_Toc26986531"/>
      <w:bookmarkStart w:id="44" w:name="_Toc26718931"/>
      <w:bookmarkStart w:id="45" w:name="_Toc13498931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7AB5BE5C6BE64752B4187D016B5191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adjustRightInd/>
        <w:spacing w:line="240" w:lineRule="auto"/>
        <w:ind w:firstLine="420" w:firstLineChars="200"/>
        <w:rPr>
          <w:rFonts w:ascii="Times New Roman" w:hAnsi="Times New Roman"/>
          <w:kern w:val="0"/>
          <w:szCs w:val="20"/>
        </w:rPr>
      </w:pPr>
      <w:bookmarkStart w:id="46" w:name="_Hlk119420154"/>
      <w:r>
        <w:rPr>
          <w:rFonts w:hint="eastAsia" w:ascii="Times New Roman" w:hAnsi="Times New Roman"/>
          <w:kern w:val="0"/>
          <w:szCs w:val="20"/>
        </w:rPr>
        <w:t>GB 6722  爆破安全规程</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GB 50433  生产建设项目水土保持技术标准</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3450  公路路基路面现场测试规程</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JTG/T 3610  公路路基施工技术规范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C10  公路勘测规范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C20  公路工程地质勘察规范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D30  公路路基设计规范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3430  公路土工试验规程</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JTG/T D31-02  公路软土地基路堤设计与施工技术细则</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w:t>
      </w:r>
      <w:r>
        <w:rPr>
          <w:rFonts w:ascii="Times New Roman" w:hAnsi="Times New Roman"/>
          <w:kern w:val="0"/>
          <w:szCs w:val="20"/>
        </w:rPr>
        <w:t xml:space="preserve"> </w:t>
      </w:r>
      <w:r>
        <w:rPr>
          <w:rFonts w:hint="eastAsia" w:ascii="Times New Roman" w:hAnsi="Times New Roman"/>
          <w:kern w:val="0"/>
          <w:szCs w:val="20"/>
        </w:rPr>
        <w:t>F80  公路工程质量检验评定标准</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GB/T</w:t>
      </w:r>
      <w:r>
        <w:rPr>
          <w:rFonts w:ascii="Times New Roman" w:hAnsi="Times New Roman"/>
          <w:kern w:val="0"/>
          <w:szCs w:val="20"/>
        </w:rPr>
        <w:t xml:space="preserve"> </w:t>
      </w:r>
      <w:r>
        <w:rPr>
          <w:rFonts w:hint="eastAsia" w:ascii="Times New Roman" w:hAnsi="Times New Roman"/>
          <w:kern w:val="0"/>
          <w:szCs w:val="20"/>
        </w:rPr>
        <w:t>51240  生产建设项目水土保持监测与评价标准</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JTG/T D32  公路土工合成材料应用技术规范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E50  公路工程土工合成材料试验规程</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 F90  公路工程施工安全技术规范</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JTG/L 11  高速公路改扩建设计细则</w:t>
      </w:r>
    </w:p>
    <w:p>
      <w:pPr>
        <w:adjustRightInd/>
        <w:spacing w:line="240" w:lineRule="auto"/>
        <w:ind w:firstLine="420" w:firstLineChars="200"/>
        <w:rPr>
          <w:rFonts w:ascii="Times New Roman" w:hAnsi="Times New Roman"/>
          <w:kern w:val="0"/>
          <w:szCs w:val="20"/>
        </w:rPr>
      </w:pPr>
      <w:r>
        <w:rPr>
          <w:rFonts w:hint="eastAsia" w:ascii="Times New Roman" w:hAnsi="Times New Roman"/>
          <w:kern w:val="0"/>
          <w:szCs w:val="20"/>
        </w:rPr>
        <w:t>JG/T</w:t>
      </w:r>
      <w:r>
        <w:rPr>
          <w:rFonts w:ascii="Times New Roman" w:hAnsi="Times New Roman"/>
          <w:kern w:val="0"/>
          <w:szCs w:val="20"/>
        </w:rPr>
        <w:t xml:space="preserve"> </w:t>
      </w:r>
      <w:r>
        <w:rPr>
          <w:rFonts w:hint="eastAsia" w:ascii="Times New Roman" w:hAnsi="Times New Roman"/>
          <w:kern w:val="0"/>
          <w:szCs w:val="20"/>
        </w:rPr>
        <w:t>266  泡沫混凝土</w:t>
      </w:r>
    </w:p>
    <w:bookmarkEnd w:id="46"/>
    <w:p>
      <w:pPr>
        <w:pStyle w:val="104"/>
        <w:spacing w:before="312" w:after="312"/>
      </w:pPr>
      <w:bookmarkStart w:id="47" w:name="_Toc97191425"/>
      <w:bookmarkStart w:id="48" w:name="_Toc134989316"/>
      <w:r>
        <w:rPr>
          <w:rFonts w:hint="eastAsia"/>
          <w:szCs w:val="21"/>
        </w:rPr>
        <w:t>术语和定义</w:t>
      </w:r>
      <w:bookmarkEnd w:id="47"/>
      <w:bookmarkEnd w:id="48"/>
    </w:p>
    <w:sdt>
      <w:sdtPr>
        <w:id w:val="-1909835108"/>
        <w:placeholder>
          <w:docPart w:val="7C35DAF75BEB4F00829827F5049044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9" w:name="_Toc26986532"/>
          <w:bookmarkEnd w:id="49"/>
          <w:r>
            <w:t>下列术语和定义适用于本文件。</w:t>
          </w:r>
        </w:p>
      </w:sdtContent>
    </w:sdt>
    <w:p>
      <w:pPr>
        <w:pStyle w:val="105"/>
        <w:spacing w:before="156" w:after="156"/>
      </w:pPr>
      <w:bookmarkStart w:id="50" w:name="_Toc119484823"/>
      <w:bookmarkStart w:id="51" w:name="_Toc134989317"/>
      <w:r>
        <w:rPr>
          <w:rFonts w:hint="eastAsia"/>
        </w:rPr>
        <w:t>路基改扩建Reconstruction and extension</w:t>
      </w:r>
      <w:bookmarkEnd w:id="50"/>
      <w:bookmarkEnd w:id="51"/>
      <w:r>
        <w:t xml:space="preserve"> of subgrade</w:t>
      </w:r>
    </w:p>
    <w:p>
      <w:pPr>
        <w:pStyle w:val="56"/>
        <w:ind w:firstLine="420"/>
      </w:pPr>
      <w:r>
        <w:rPr>
          <w:rFonts w:hint="eastAsia"/>
        </w:rPr>
        <w:t>对既有路基实施加宽或改造的工程建设行为。</w:t>
      </w:r>
    </w:p>
    <w:p>
      <w:pPr>
        <w:pStyle w:val="105"/>
        <w:spacing w:before="156" w:after="156"/>
      </w:pPr>
      <w:bookmarkStart w:id="52" w:name="_Toc119484824"/>
      <w:bookmarkStart w:id="53" w:name="_Toc134989318"/>
      <w:r>
        <w:rPr>
          <w:rFonts w:hint="eastAsia"/>
        </w:rPr>
        <w:t>拼接S</w:t>
      </w:r>
      <w:r>
        <w:t>plicing</w:t>
      </w:r>
      <w:bookmarkEnd w:id="52"/>
      <w:bookmarkEnd w:id="53"/>
    </w:p>
    <w:p>
      <w:pPr>
        <w:pStyle w:val="56"/>
        <w:ind w:firstLine="420"/>
      </w:pPr>
      <w:r>
        <w:rPr>
          <w:rFonts w:hint="eastAsia"/>
        </w:rPr>
        <w:t>将公路构造物或其构件的加宽新建部分与既有部分进行连接。</w:t>
      </w:r>
    </w:p>
    <w:p>
      <w:pPr>
        <w:pStyle w:val="105"/>
        <w:spacing w:before="156" w:after="156"/>
      </w:pPr>
      <w:bookmarkStart w:id="54" w:name="_Toc119484825"/>
      <w:bookmarkStart w:id="55" w:name="_Toc134989319"/>
      <w:r>
        <w:rPr>
          <w:rFonts w:hint="eastAsia"/>
        </w:rPr>
        <w:t>增强补压Reinforcement and compaction</w:t>
      </w:r>
      <w:bookmarkEnd w:id="54"/>
      <w:bookmarkEnd w:id="55"/>
    </w:p>
    <w:p>
      <w:pPr>
        <w:pStyle w:val="56"/>
        <w:ind w:firstLine="420"/>
      </w:pPr>
      <w:r>
        <w:rPr>
          <w:rFonts w:hint="eastAsia"/>
        </w:rPr>
        <w:t>采用碾压、冲击、夯实等技术提高路基压实度的措施。</w:t>
      </w:r>
    </w:p>
    <w:p>
      <w:pPr>
        <w:pStyle w:val="105"/>
        <w:spacing w:before="156" w:after="156"/>
      </w:pPr>
      <w:bookmarkStart w:id="56" w:name="_Toc134989320"/>
      <w:bookmarkStart w:id="57" w:name="_Toc119484826"/>
      <w:r>
        <w:rPr>
          <w:rFonts w:hint="eastAsia"/>
        </w:rPr>
        <w:t>泡沫轻质土</w:t>
      </w:r>
      <w:r>
        <w:t>F</w:t>
      </w:r>
      <w:r>
        <w:rPr>
          <w:rFonts w:hint="eastAsia"/>
        </w:rPr>
        <w:t xml:space="preserve">oamed </w:t>
      </w:r>
      <w:r>
        <w:t>mixture lightweight soil</w:t>
      </w:r>
      <w:bookmarkEnd w:id="56"/>
      <w:bookmarkEnd w:id="57"/>
    </w:p>
    <w:p>
      <w:pPr>
        <w:pStyle w:val="56"/>
        <w:ind w:firstLine="420"/>
      </w:pPr>
      <w:r>
        <w:rPr>
          <w:rFonts w:hint="eastAsia"/>
        </w:rPr>
        <w:t>采用物理方法将发泡剂制备成泡沫，再将泡沫按特定比例混人到搅拌均匀的由水泥浆料及外加剂或细集料组成的混合料浆中，浇注成型，养护固结而形成的一种含有大量均匀封闭微气孔的轻质固态材料。</w:t>
      </w:r>
    </w:p>
    <w:p>
      <w:pPr>
        <w:pStyle w:val="105"/>
        <w:spacing w:before="156" w:after="156"/>
      </w:pPr>
      <w:bookmarkStart w:id="58" w:name="_Toc134989321"/>
      <w:bookmarkEnd w:id="58"/>
      <w:bookmarkStart w:id="59" w:name="_Toc119484827"/>
      <w:bookmarkStart w:id="60" w:name="_Toc134989322"/>
      <w:r>
        <w:rPr>
          <w:rFonts w:hint="eastAsia"/>
        </w:rPr>
        <w:t xml:space="preserve">湿热地区 </w:t>
      </w:r>
      <w:r>
        <w:t>H</w:t>
      </w:r>
      <w:r>
        <w:rPr>
          <w:rFonts w:hint="eastAsia"/>
        </w:rPr>
        <w:t>umid and hot areas</w:t>
      </w:r>
      <w:bookmarkEnd w:id="59"/>
      <w:bookmarkEnd w:id="60"/>
    </w:p>
    <w:p>
      <w:pPr>
        <w:pStyle w:val="56"/>
        <w:autoSpaceDN/>
        <w:ind w:firstLine="420"/>
        <w:rPr>
          <w:rFonts w:ascii="Times New Roman"/>
        </w:rPr>
      </w:pPr>
      <w:r>
        <w:rPr>
          <w:rFonts w:hint="eastAsia" w:ascii="Times New Roman"/>
        </w:rPr>
        <w:t>气候特征为夏季高温多雨、冬季阴冷，每年6月份、7月份持续天阴多雨且土体天然含水率较高的地区。</w:t>
      </w:r>
    </w:p>
    <w:p>
      <w:pPr>
        <w:pStyle w:val="105"/>
        <w:spacing w:before="156" w:after="156"/>
      </w:pPr>
      <w:bookmarkStart w:id="61" w:name="_Toc119484828"/>
      <w:bookmarkStart w:id="62" w:name="_Toc134989323"/>
      <w:r>
        <w:rPr>
          <w:rFonts w:hint="eastAsia"/>
        </w:rPr>
        <w:t>高路堤High embankment</w:t>
      </w:r>
      <w:bookmarkEnd w:id="61"/>
      <w:bookmarkEnd w:id="62"/>
    </w:p>
    <w:p>
      <w:pPr>
        <w:pStyle w:val="56"/>
        <w:autoSpaceDE/>
        <w:autoSpaceDN/>
        <w:ind w:firstLine="420"/>
      </w:pPr>
      <w:r>
        <w:rPr>
          <w:rFonts w:hint="eastAsia"/>
        </w:rPr>
        <w:t>路基填土边坡高度</w:t>
      </w:r>
      <w:r>
        <w:rPr>
          <w:rFonts w:hint="eastAsia" w:ascii="Times New Roman"/>
        </w:rPr>
        <w:t>大于20</w:t>
      </w:r>
      <w:r>
        <w:rPr>
          <w:rFonts w:ascii="Times New Roman"/>
        </w:rPr>
        <w:t xml:space="preserve"> </w:t>
      </w:r>
      <w:r>
        <w:rPr>
          <w:rFonts w:hint="eastAsia" w:ascii="Times New Roman"/>
        </w:rPr>
        <w:t>m的</w:t>
      </w:r>
      <w:r>
        <w:rPr>
          <w:rFonts w:hint="eastAsia"/>
        </w:rPr>
        <w:t>路堤。</w:t>
      </w:r>
    </w:p>
    <w:p>
      <w:pPr>
        <w:pStyle w:val="104"/>
        <w:spacing w:before="312" w:after="312"/>
      </w:pPr>
      <w:bookmarkStart w:id="63" w:name="_Toc134989324"/>
      <w:r>
        <w:rPr>
          <w:rFonts w:hint="eastAsia"/>
        </w:rPr>
        <w:t>符号和缩略语</w:t>
      </w:r>
      <w:bookmarkEnd w:id="63"/>
    </w:p>
    <w:p>
      <w:pPr>
        <w:pStyle w:val="56"/>
        <w:ind w:firstLine="420"/>
        <w:rPr>
          <w:rFonts w:ascii="Times New Roman"/>
        </w:rPr>
      </w:pPr>
      <w:r>
        <w:rPr>
          <w:rFonts w:hint="eastAsia" w:ascii="Times New Roman"/>
        </w:rPr>
        <w:t>下列符号和缩略语适用于本文件。</w:t>
      </w:r>
    </w:p>
    <w:p>
      <w:pPr>
        <w:pStyle w:val="56"/>
        <w:ind w:firstLine="420"/>
        <w:rPr>
          <w:rFonts w:ascii="Times New Roman"/>
        </w:rPr>
      </w:pPr>
      <w:r>
        <w:rPr>
          <w:rFonts w:ascii="Times New Roman"/>
        </w:rPr>
        <w:t>CBR</w:t>
      </w:r>
      <w:r>
        <w:rPr>
          <w:rFonts w:hint="eastAsia" w:ascii="Times New Roman"/>
        </w:rPr>
        <w:t>：加州承载比（</w:t>
      </w:r>
      <w:r>
        <w:rPr>
          <w:rFonts w:ascii="Times New Roman"/>
        </w:rPr>
        <w:t>%</w:t>
      </w:r>
      <w:r>
        <w:rPr>
          <w:rFonts w:hint="eastAsia" w:ascii="Times New Roman"/>
        </w:rPr>
        <w:t>）；</w:t>
      </w:r>
    </w:p>
    <w:p>
      <w:pPr>
        <w:pStyle w:val="56"/>
        <w:ind w:firstLine="420"/>
        <w:rPr>
          <w:rFonts w:ascii="Times New Roman"/>
        </w:rPr>
      </w:pPr>
      <w:r>
        <w:rPr>
          <w:rFonts w:ascii="Times New Roman"/>
        </w:rPr>
        <w:t>CFG</w:t>
      </w:r>
      <w:r>
        <w:rPr>
          <w:rFonts w:hint="eastAsia" w:ascii="Times New Roman"/>
        </w:rPr>
        <w:t>：水泥粉煤灰碎石；</w:t>
      </w:r>
    </w:p>
    <w:p>
      <w:pPr>
        <w:pStyle w:val="56"/>
        <w:ind w:firstLine="420"/>
        <w:rPr>
          <w:rFonts w:ascii="Times New Roman"/>
        </w:rPr>
      </w:pPr>
      <w:r>
        <w:rPr>
          <w:rFonts w:ascii="Times New Roman"/>
        </w:rPr>
        <w:t>EPS</w:t>
      </w:r>
      <w:r>
        <w:rPr>
          <w:rFonts w:hint="eastAsia" w:ascii="Times New Roman"/>
        </w:rPr>
        <w:t>：聚苯乙烯泡沫塑料。</w:t>
      </w:r>
    </w:p>
    <w:p>
      <w:pPr>
        <w:pStyle w:val="104"/>
        <w:spacing w:before="312" w:after="312"/>
      </w:pPr>
      <w:bookmarkStart w:id="64" w:name="_Toc134989325"/>
      <w:r>
        <w:rPr>
          <w:rFonts w:hint="eastAsia"/>
        </w:rPr>
        <w:t>基本规定</w:t>
      </w:r>
      <w:bookmarkEnd w:id="64"/>
    </w:p>
    <w:p>
      <w:pPr>
        <w:pStyle w:val="162"/>
      </w:pPr>
      <w:r>
        <w:rPr>
          <w:rFonts w:hint="eastAsia"/>
        </w:rPr>
        <w:t>公路路基拓宽应贯彻环境保护、耕地保护和资源节约的基本国策，遵循“利用与改扩建充分结合、建设与运营相互协调”的原则。</w:t>
      </w:r>
    </w:p>
    <w:p>
      <w:pPr>
        <w:pStyle w:val="162"/>
      </w:pPr>
      <w:r>
        <w:rPr>
          <w:rFonts w:hint="eastAsia"/>
        </w:rPr>
        <w:t>公路路基拓宽改建设计前，应充分收集沿线地质、水文、地形、地貌、气象、环保等资料；对既有路基和拓宽场地进行调查、勘探和测试，查明既有路基的填料性质、含水率、密度、压实度、强度，以及路基的养护和稳定情况，分析评价新拓宽路基或增建路基对既有路基沉降变形和边坡稳定的影响程度。</w:t>
      </w:r>
    </w:p>
    <w:p>
      <w:pPr>
        <w:pStyle w:val="162"/>
      </w:pPr>
      <w:r>
        <w:rPr>
          <w:rFonts w:hint="eastAsia"/>
        </w:rPr>
        <w:t>路基拓宽调查与勘察应采用资料分析和现场勘查相结合的方式，加强深路堑、高陡路堤、浸水路堤、软土路堤、支挡结构、桥头、涵洞、汇水及排水不畅路段、膨胀性岩土、岩溶发育路段等特殊拓宽路段的调查与勘察。</w:t>
      </w:r>
    </w:p>
    <w:p>
      <w:pPr>
        <w:pStyle w:val="162"/>
      </w:pPr>
      <w:r>
        <w:rPr>
          <w:rFonts w:hint="eastAsia"/>
        </w:rPr>
        <w:t>对既有工程，应在调查与评价的基础上，在满足要求的前提下结合路基拓宽工程需求，予以充分利用；对于不满足要求的，合理处治后可使用。</w:t>
      </w:r>
    </w:p>
    <w:p>
      <w:pPr>
        <w:pStyle w:val="162"/>
      </w:pPr>
      <w:r>
        <w:rPr>
          <w:rFonts w:hint="eastAsia"/>
        </w:rPr>
        <w:t>应形成完整排水系统，尽量利用既有排水设施。</w:t>
      </w:r>
    </w:p>
    <w:p>
      <w:pPr>
        <w:pStyle w:val="162"/>
      </w:pPr>
      <w:r>
        <w:rPr>
          <w:rFonts w:hint="eastAsia"/>
        </w:rPr>
        <w:t>拓宽设计应充分利用既有路基路面，采取基底处理、边坡清表、挖台阶、设置土工织物、增强补压等综合处治措施做好新旧路基拼接。路基拓宽后应具有足够的承载力且变形协调。</w:t>
      </w:r>
    </w:p>
    <w:p>
      <w:pPr>
        <w:pStyle w:val="162"/>
      </w:pPr>
      <w:r>
        <w:rPr>
          <w:rFonts w:hint="eastAsia"/>
        </w:rPr>
        <w:t>应根据公路路基拓宽工程特点，结合试验研究或案例分析，积极稳妥地采用新技术、新材料、新设备、新工艺。</w:t>
      </w:r>
    </w:p>
    <w:p>
      <w:pPr>
        <w:pStyle w:val="162"/>
      </w:pPr>
      <w:r>
        <w:rPr>
          <w:rFonts w:hint="eastAsia"/>
        </w:rPr>
        <w:t>宜考虑不同地形、地质、水文、筑路材料等条件，进行路基拓宽方案比选。</w:t>
      </w:r>
    </w:p>
    <w:p>
      <w:pPr>
        <w:pStyle w:val="162"/>
      </w:pPr>
      <w:r>
        <w:rPr>
          <w:rFonts w:hint="eastAsia"/>
        </w:rPr>
        <w:t>路基拓宽勘察设计除应执行本文件外，尚应符合国家、行业现行有关标准的规定。</w:t>
      </w:r>
    </w:p>
    <w:p>
      <w:pPr>
        <w:pStyle w:val="104"/>
        <w:spacing w:before="312" w:after="312"/>
      </w:pPr>
      <w:bookmarkStart w:id="65" w:name="_Toc134989326"/>
      <w:r>
        <w:rPr>
          <w:rFonts w:hint="eastAsia"/>
        </w:rPr>
        <w:t>既有路基调查、评价与病害处治</w:t>
      </w:r>
      <w:bookmarkEnd w:id="65"/>
    </w:p>
    <w:p>
      <w:pPr>
        <w:pStyle w:val="105"/>
        <w:spacing w:before="156" w:after="156"/>
      </w:pPr>
      <w:bookmarkStart w:id="66" w:name="_Toc134989327"/>
      <w:r>
        <w:rPr>
          <w:rFonts w:hint="eastAsia"/>
        </w:rPr>
        <w:t>路基及周边环境调查</w:t>
      </w:r>
      <w:bookmarkEnd w:id="66"/>
    </w:p>
    <w:p>
      <w:pPr>
        <w:pStyle w:val="165"/>
      </w:pPr>
      <w:r>
        <w:rPr>
          <w:rFonts w:hint="eastAsia"/>
        </w:rPr>
        <w:t>湿热地区具有地下水丰富、特殊岩土多、岩溶发育等特点，应收集建设期和运营期的设计、施工、养护、维修加固等相关资料，查明既有路基变形、稳定状况及水损害情况、原地基处理措施及其效果等。</w:t>
      </w:r>
    </w:p>
    <w:p>
      <w:pPr>
        <w:pStyle w:val="165"/>
        <w:rPr>
          <w:rFonts w:ascii="Times New Roman"/>
        </w:rPr>
      </w:pPr>
      <w:r>
        <w:rPr>
          <w:rFonts w:hint="eastAsia" w:ascii="Times New Roman"/>
        </w:rPr>
        <w:t>根据现行标准评价既有路基承载力、稳定性和技术状况，对既有路基的可利用程度进行评价，对沿线路基填料不合格、压实度不满足要求路段进行统计，提出病害处治措施。</w:t>
      </w:r>
    </w:p>
    <w:p>
      <w:pPr>
        <w:pStyle w:val="165"/>
        <w:rPr>
          <w:rFonts w:ascii="Times New Roman"/>
        </w:rPr>
      </w:pPr>
      <w:r>
        <w:rPr>
          <w:rFonts w:hint="eastAsia" w:ascii="Times New Roman"/>
        </w:rPr>
        <w:t>公路路基拓宽工程中应注重水系的调查，收集沿线水系和水文资料，对天然水沟、河道的位置、走向、断面面积、水流方向、地下水位变化、地面水的滞留时间等进行调查，若存在翻浆、沉陷情况，应查明导致翻浆的水源，作为排水系统设计的依据。</w:t>
      </w:r>
    </w:p>
    <w:p>
      <w:pPr>
        <w:pStyle w:val="165"/>
        <w:rPr>
          <w:rFonts w:ascii="Times New Roman"/>
        </w:rPr>
      </w:pPr>
      <w:r>
        <w:rPr>
          <w:rFonts w:hint="eastAsia" w:ascii="Times New Roman"/>
        </w:rPr>
        <w:t>应收集沉陷路段的地基状况、路基填料、构造物台身渗水情况，对沉陷过大的路段路基进行处治。</w:t>
      </w:r>
    </w:p>
    <w:p>
      <w:pPr>
        <w:pStyle w:val="165"/>
        <w:rPr>
          <w:rFonts w:ascii="Times New Roman"/>
        </w:rPr>
      </w:pPr>
      <w:r>
        <w:rPr>
          <w:rFonts w:hint="eastAsia" w:ascii="Times New Roman"/>
        </w:rPr>
        <w:t>对既有支挡结构进行评价，合理利用。</w:t>
      </w:r>
    </w:p>
    <w:p>
      <w:pPr>
        <w:pStyle w:val="165"/>
        <w:rPr>
          <w:rFonts w:ascii="Times New Roman"/>
        </w:rPr>
      </w:pPr>
      <w:r>
        <w:rPr>
          <w:rFonts w:hint="eastAsia" w:ascii="Times New Roman"/>
        </w:rPr>
        <w:t>拓宽工程地质勘察相关技术要求应满足《公路工程地质勘察规范》（JTG C20）规定；应在既有公路工程勘察、设计、施工和运营期各项资料的基础上，采用工程地质调绘、钻探、物探、原位测试、室内试验等手段进行综合勘察。</w:t>
      </w:r>
    </w:p>
    <w:p>
      <w:pPr>
        <w:pStyle w:val="165"/>
        <w:rPr>
          <w:rFonts w:ascii="Times New Roman"/>
        </w:rPr>
      </w:pPr>
      <w:r>
        <w:rPr>
          <w:rFonts w:hint="eastAsia" w:ascii="Times New Roman"/>
        </w:rPr>
        <w:t>拓宽工程地质勘察应采用查阅既有公路资料结合现场钻探等方式查明弃石、土石混合料等老路弃渣范围、深度、填料类型及方量，综合考虑可利用性。</w:t>
      </w:r>
    </w:p>
    <w:p>
      <w:pPr>
        <w:pStyle w:val="165"/>
        <w:rPr>
          <w:rFonts w:ascii="Times New Roman"/>
        </w:rPr>
      </w:pPr>
      <w:r>
        <w:rPr>
          <w:rFonts w:hint="eastAsia" w:ascii="Times New Roman"/>
        </w:rPr>
        <w:t>既有深挖路堑边坡应重点调查边坡坡率、边坡支挡、防护和排水情况，评价边坡及支挡结构物的安全性，以及拆除对既有道路通行安全的影响。</w:t>
      </w:r>
    </w:p>
    <w:p>
      <w:pPr>
        <w:pStyle w:val="165"/>
        <w:rPr>
          <w:rFonts w:ascii="Times New Roman"/>
        </w:rPr>
      </w:pPr>
      <w:r>
        <w:rPr>
          <w:rFonts w:hint="eastAsia" w:ascii="Times New Roman"/>
        </w:rPr>
        <w:t>既有高填方路堤应重点调查基底处理、坡脚加固、路基分层填筑、边坡防护、路床和填挖交界处治、路基内部和坡面防排水情况，对基底承载能力、路基强度、变形和稳定性进行分析评价。</w:t>
      </w:r>
    </w:p>
    <w:p>
      <w:pPr>
        <w:pStyle w:val="165"/>
        <w:rPr>
          <w:rFonts w:ascii="Times New Roman"/>
        </w:rPr>
      </w:pPr>
      <w:r>
        <w:rPr>
          <w:rFonts w:hint="eastAsia" w:ascii="Times New Roman"/>
        </w:rPr>
        <w:t>应采用钻探、物探等有效方法对岩溶、红黏土、红砂岩、花岗岩残积土、高液限土、膨胀土等湿热地区常见典型特殊性岩土进行综合勘察，查明相应特殊土地区地貌形态、发育发展程度、工程与水文地质条件等。</w:t>
      </w:r>
    </w:p>
    <w:p>
      <w:pPr>
        <w:pStyle w:val="105"/>
        <w:spacing w:before="156" w:after="156"/>
      </w:pPr>
      <w:bookmarkStart w:id="67" w:name="_Hlk119421513"/>
      <w:bookmarkStart w:id="68" w:name="_Toc134989328"/>
      <w:r>
        <w:rPr>
          <w:rFonts w:hint="eastAsia"/>
        </w:rPr>
        <w:t>既有路基评价</w:t>
      </w:r>
      <w:bookmarkEnd w:id="67"/>
      <w:bookmarkEnd w:id="68"/>
    </w:p>
    <w:p>
      <w:pPr>
        <w:pStyle w:val="165"/>
        <w:rPr>
          <w:rFonts w:ascii="Times New Roman"/>
        </w:rPr>
      </w:pPr>
      <w:r>
        <w:rPr>
          <w:rFonts w:hint="eastAsia" w:ascii="Times New Roman"/>
        </w:rPr>
        <w:t>既有路基评价应依据勘察资料、现行技术标准和规范，结合改扩建总体方案进行；并应结合路面评价工作开展综合评价。</w:t>
      </w:r>
    </w:p>
    <w:p>
      <w:pPr>
        <w:pStyle w:val="165"/>
        <w:rPr>
          <w:rFonts w:ascii="Times New Roman"/>
        </w:rPr>
      </w:pPr>
      <w:r>
        <w:rPr>
          <w:rFonts w:hint="eastAsia" w:ascii="Times New Roman"/>
        </w:rPr>
        <w:t>收集分析既有公路建设期与运营期的勘察、设计、建设、养护、运营管理等相关资料，对既有路基状况进行评价。</w:t>
      </w:r>
    </w:p>
    <w:p>
      <w:pPr>
        <w:pStyle w:val="165"/>
        <w:rPr>
          <w:rFonts w:ascii="Times New Roman"/>
        </w:rPr>
      </w:pPr>
      <w:r>
        <w:rPr>
          <w:rFonts w:hint="eastAsia" w:ascii="Times New Roman"/>
        </w:rPr>
        <w:t>一般路段既有路基评价应包括以下内容：</w:t>
      </w:r>
    </w:p>
    <w:p>
      <w:pPr>
        <w:pStyle w:val="174"/>
        <w:numPr>
          <w:ilvl w:val="0"/>
          <w:numId w:val="32"/>
        </w:numPr>
        <w:rPr>
          <w:rFonts w:ascii="Times New Roman"/>
        </w:rPr>
      </w:pPr>
      <w:r>
        <w:rPr>
          <w:rFonts w:hint="eastAsia" w:ascii="Times New Roman"/>
        </w:rPr>
        <w:t>根据调查、测量、试验和水文分析资料，确定既有路基高程能否满足《公路路基设计规范》（J</w:t>
      </w:r>
      <w:r>
        <w:rPr>
          <w:rFonts w:ascii="Times New Roman"/>
        </w:rPr>
        <w:t>TGD 30</w:t>
      </w:r>
      <w:r>
        <w:rPr>
          <w:rFonts w:hint="eastAsia" w:ascii="Times New Roman"/>
        </w:rPr>
        <w:t>）第3.1.3条路基设计洪水频率规定；</w:t>
      </w:r>
    </w:p>
    <w:p>
      <w:pPr>
        <w:pStyle w:val="174"/>
        <w:numPr>
          <w:ilvl w:val="0"/>
          <w:numId w:val="32"/>
        </w:numPr>
        <w:rPr>
          <w:rFonts w:ascii="Times New Roman"/>
        </w:rPr>
      </w:pPr>
      <w:r>
        <w:rPr>
          <w:rFonts w:hint="eastAsia" w:ascii="Times New Roman"/>
        </w:rPr>
        <w:t>确定既有路基填料能否满足路基土最小CBR值、路基压实度的要求；</w:t>
      </w:r>
    </w:p>
    <w:p>
      <w:pPr>
        <w:pStyle w:val="174"/>
        <w:numPr>
          <w:ilvl w:val="0"/>
          <w:numId w:val="32"/>
        </w:numPr>
        <w:rPr>
          <w:rFonts w:ascii="Times New Roman"/>
        </w:rPr>
      </w:pPr>
      <w:r>
        <w:rPr>
          <w:rFonts w:hint="eastAsia" w:ascii="Times New Roman"/>
        </w:rPr>
        <w:t>确定路基的平衡湿度，分析评价路基相对高度的合理性；</w:t>
      </w:r>
    </w:p>
    <w:p>
      <w:pPr>
        <w:pStyle w:val="174"/>
        <w:numPr>
          <w:ilvl w:val="0"/>
          <w:numId w:val="32"/>
        </w:numPr>
        <w:rPr>
          <w:rFonts w:ascii="Times New Roman"/>
        </w:rPr>
      </w:pPr>
      <w:r>
        <w:rPr>
          <w:rFonts w:hint="eastAsia" w:ascii="Times New Roman"/>
        </w:rPr>
        <w:t>分析评价路基边坡的稳定状态、各种防护排水设施的有效性及改进措施；</w:t>
      </w:r>
    </w:p>
    <w:p>
      <w:pPr>
        <w:pStyle w:val="174"/>
        <w:numPr>
          <w:ilvl w:val="0"/>
          <w:numId w:val="32"/>
        </w:numPr>
        <w:rPr>
          <w:rFonts w:ascii="Times New Roman"/>
        </w:rPr>
      </w:pPr>
      <w:r>
        <w:rPr>
          <w:rFonts w:hint="eastAsia" w:ascii="Times New Roman"/>
        </w:rPr>
        <w:t>分析评价既有路基病害的类型、分布范围、规模、成因，以及既有路基病害整治工程设施的效果，并提出路基病害整治措施。</w:t>
      </w:r>
    </w:p>
    <w:p>
      <w:pPr>
        <w:pStyle w:val="165"/>
        <w:rPr>
          <w:rFonts w:ascii="Times New Roman"/>
        </w:rPr>
      </w:pPr>
      <w:r>
        <w:rPr>
          <w:rFonts w:hint="eastAsia" w:ascii="Times New Roman"/>
        </w:rPr>
        <w:t>膨胀土地区既有路基的状况评价应包括下列内容：</w:t>
      </w:r>
    </w:p>
    <w:p>
      <w:pPr>
        <w:pStyle w:val="174"/>
        <w:numPr>
          <w:ilvl w:val="0"/>
          <w:numId w:val="33"/>
        </w:numPr>
        <w:rPr>
          <w:rFonts w:ascii="Times New Roman"/>
        </w:rPr>
      </w:pPr>
      <w:r>
        <w:rPr>
          <w:rFonts w:hint="eastAsia" w:ascii="Times New Roman"/>
        </w:rPr>
        <w:t>确定路基填料的膨胀特性及其埋深和厚度，分析评价路基是否符合《公路路基设计规范》（JTG D30）的有关规定；</w:t>
      </w:r>
    </w:p>
    <w:p>
      <w:pPr>
        <w:pStyle w:val="174"/>
        <w:numPr>
          <w:ilvl w:val="0"/>
          <w:numId w:val="33"/>
        </w:numPr>
        <w:rPr>
          <w:rFonts w:ascii="Times New Roman"/>
        </w:rPr>
      </w:pPr>
      <w:r>
        <w:rPr>
          <w:rFonts w:hint="eastAsia" w:ascii="Times New Roman"/>
        </w:rPr>
        <w:t>分析评价既有路基的稳定与变形状态、各种膨胀土处治措施的有效性及改进措施。</w:t>
      </w:r>
    </w:p>
    <w:p>
      <w:pPr>
        <w:pStyle w:val="165"/>
        <w:rPr>
          <w:rFonts w:ascii="Times New Roman"/>
        </w:rPr>
      </w:pPr>
      <w:r>
        <w:rPr>
          <w:rFonts w:hint="eastAsia" w:ascii="Times New Roman"/>
        </w:rPr>
        <w:t>岩溶地区既有路基的状况评价应包含下列内容：</w:t>
      </w:r>
    </w:p>
    <w:p>
      <w:pPr>
        <w:pStyle w:val="174"/>
        <w:numPr>
          <w:ilvl w:val="0"/>
          <w:numId w:val="34"/>
        </w:numPr>
        <w:rPr>
          <w:rFonts w:ascii="Times New Roman"/>
        </w:rPr>
      </w:pPr>
      <w:r>
        <w:rPr>
          <w:rFonts w:hint="eastAsia" w:ascii="Times New Roman"/>
        </w:rPr>
        <w:t>分析岩溶的特点和分布、溶洞顶板的安全厚度及溶洞距路基的距离是否满足《公路路基设计规范》（JTG D30）的要求；</w:t>
      </w:r>
    </w:p>
    <w:p>
      <w:pPr>
        <w:pStyle w:val="174"/>
        <w:numPr>
          <w:ilvl w:val="0"/>
          <w:numId w:val="34"/>
        </w:numPr>
        <w:rPr>
          <w:rFonts w:ascii="Times New Roman"/>
        </w:rPr>
      </w:pPr>
      <w:r>
        <w:rPr>
          <w:rFonts w:hint="eastAsia" w:ascii="Times New Roman"/>
        </w:rPr>
        <w:t>评价既有路基稳定与变形状态、各种岩溶处理措施的有效性及其改进措施；</w:t>
      </w:r>
    </w:p>
    <w:p>
      <w:pPr>
        <w:pStyle w:val="174"/>
        <w:numPr>
          <w:ilvl w:val="0"/>
          <w:numId w:val="34"/>
        </w:numPr>
        <w:spacing w:line="276" w:lineRule="auto"/>
        <w:rPr>
          <w:rFonts w:ascii="Times New Roman"/>
        </w:rPr>
      </w:pPr>
      <w:r>
        <w:rPr>
          <w:rFonts w:hint="eastAsia" w:ascii="Times New Roman"/>
        </w:rPr>
        <w:t>判别改扩建路基对既有路基稳定性的影响程度。</w:t>
      </w:r>
    </w:p>
    <w:p>
      <w:pPr>
        <w:pStyle w:val="165"/>
        <w:spacing w:line="276" w:lineRule="auto"/>
        <w:rPr>
          <w:rFonts w:ascii="Times New Roman"/>
        </w:rPr>
      </w:pPr>
      <w:r>
        <w:rPr>
          <w:rFonts w:hint="eastAsia" w:ascii="Times New Roman"/>
        </w:rPr>
        <w:t>不良地质路段和原路地基特殊处治路段、特殊填料路段、特殊断面形式路段、病害多发路段的既有路基评价在一般路段要求的基础上增加以下分析：</w:t>
      </w:r>
    </w:p>
    <w:p>
      <w:pPr>
        <w:pStyle w:val="174"/>
        <w:numPr>
          <w:ilvl w:val="0"/>
          <w:numId w:val="35"/>
        </w:numPr>
        <w:spacing w:line="276" w:lineRule="auto"/>
        <w:rPr>
          <w:rFonts w:ascii="Times New Roman"/>
        </w:rPr>
      </w:pPr>
      <w:r>
        <w:rPr>
          <w:rFonts w:hint="eastAsia" w:ascii="Times New Roman"/>
        </w:rPr>
        <w:t>对工程建设前后路段地质条件的变化进行分析；</w:t>
      </w:r>
    </w:p>
    <w:p>
      <w:pPr>
        <w:pStyle w:val="174"/>
        <w:numPr>
          <w:ilvl w:val="0"/>
          <w:numId w:val="35"/>
        </w:numPr>
        <w:spacing w:line="276" w:lineRule="auto"/>
        <w:rPr>
          <w:rFonts w:ascii="Times New Roman"/>
        </w:rPr>
      </w:pPr>
      <w:r>
        <w:rPr>
          <w:rFonts w:hint="eastAsia" w:ascii="Times New Roman"/>
        </w:rPr>
        <w:t>对既有路基边坡稳定性、既有路基工后沉降稳定性及发展趋势进行分析；</w:t>
      </w:r>
    </w:p>
    <w:p>
      <w:pPr>
        <w:pStyle w:val="174"/>
        <w:numPr>
          <w:ilvl w:val="0"/>
          <w:numId w:val="35"/>
        </w:numPr>
        <w:spacing w:line="276" w:lineRule="auto"/>
        <w:rPr>
          <w:rFonts w:ascii="Times New Roman"/>
        </w:rPr>
      </w:pPr>
      <w:r>
        <w:rPr>
          <w:rFonts w:hint="eastAsia" w:ascii="Times New Roman"/>
        </w:rPr>
        <w:t>提出适合特殊路段扩建工程的路基设计与施工控制标准。</w:t>
      </w:r>
    </w:p>
    <w:p>
      <w:pPr>
        <w:pStyle w:val="165"/>
        <w:spacing w:line="276" w:lineRule="auto"/>
        <w:rPr>
          <w:rFonts w:ascii="Times New Roman"/>
        </w:rPr>
      </w:pPr>
      <w:r>
        <w:rPr>
          <w:rFonts w:hint="eastAsia" w:ascii="Times New Roman"/>
        </w:rPr>
        <w:t>拼宽路段的路堤支挡结构物应进行利用和拆除重建方案对比评价；拓宽路段路堑支挡结构物应进行拆除重建和预加固方案对比评价；沿河路基防护工程应结合水文地质调查和冲刷防护要求综合确定利用方案或拆除重建方案；坡面植物防护宜对移植方案、废弃方案进行对比评价；应对防护、排水、路面工程等拆除材料的利用及表土利用进行评价。</w:t>
      </w:r>
    </w:p>
    <w:p>
      <w:pPr>
        <w:pStyle w:val="165"/>
        <w:spacing w:line="276" w:lineRule="auto"/>
        <w:rPr>
          <w:rFonts w:ascii="Times New Roman"/>
        </w:rPr>
      </w:pPr>
      <w:r>
        <w:rPr>
          <w:rFonts w:hint="eastAsia" w:ascii="Times New Roman"/>
        </w:rPr>
        <w:t>既有路基检测评价方法及评价可采用附录A，既有路基检测评价指标参考A1.1。</w:t>
      </w:r>
    </w:p>
    <w:p>
      <w:pPr>
        <w:pStyle w:val="105"/>
        <w:spacing w:before="156" w:after="156" w:line="276" w:lineRule="auto"/>
      </w:pPr>
      <w:bookmarkStart w:id="69" w:name="_Toc134989329"/>
      <w:r>
        <w:rPr>
          <w:rFonts w:hint="eastAsia"/>
        </w:rPr>
        <w:t>既有路基病害处治</w:t>
      </w:r>
      <w:bookmarkEnd w:id="69"/>
    </w:p>
    <w:p>
      <w:pPr>
        <w:pStyle w:val="165"/>
        <w:spacing w:line="276" w:lineRule="auto"/>
        <w:rPr>
          <w:rFonts w:ascii="Times New Roman"/>
        </w:rPr>
      </w:pPr>
      <w:r>
        <w:rPr>
          <w:rFonts w:ascii="Times New Roman"/>
        </w:rPr>
        <w:t>应根据路基病害</w:t>
      </w:r>
      <w:r>
        <w:rPr>
          <w:rFonts w:hint="eastAsia" w:ascii="Times New Roman"/>
        </w:rPr>
        <w:t>成因</w:t>
      </w:r>
      <w:r>
        <w:rPr>
          <w:rFonts w:ascii="Times New Roman"/>
        </w:rPr>
        <w:t>和对拼宽结构的影响程度，采取下列处治措施：</w:t>
      </w:r>
    </w:p>
    <w:p>
      <w:pPr>
        <w:pStyle w:val="174"/>
        <w:numPr>
          <w:ilvl w:val="0"/>
          <w:numId w:val="36"/>
        </w:numPr>
        <w:spacing w:line="276" w:lineRule="auto"/>
        <w:rPr>
          <w:rFonts w:ascii="Times New Roman"/>
        </w:rPr>
      </w:pPr>
      <w:r>
        <w:rPr>
          <w:rFonts w:hint="eastAsia" w:ascii="Times New Roman"/>
        </w:rPr>
        <w:t>当既有路基顶面回弹模量（交通荷载等级极重＜70 MPa，特重＜60 MPa，重＜50 MPa，中等、轻＜40 MPa）不满足新建路基的要求，但既有路面未出现破损，且拓宽后通过加铺设计可满足路面设计要求时，宜对既有路基进行注浆补强处治后，充分利用既有路基；</w:t>
      </w:r>
    </w:p>
    <w:p>
      <w:pPr>
        <w:pStyle w:val="174"/>
        <w:numPr>
          <w:ilvl w:val="0"/>
          <w:numId w:val="36"/>
        </w:numPr>
        <w:spacing w:line="276" w:lineRule="auto"/>
        <w:rPr>
          <w:rFonts w:ascii="Times New Roman"/>
        </w:rPr>
      </w:pPr>
      <w:r>
        <w:rPr>
          <w:rFonts w:hint="eastAsia" w:ascii="Times New Roman"/>
        </w:rPr>
        <w:t>当既有路基顶面回弹模量不满足新建路基的要求，且路面出现严重破损时，可破除路面后对路床部分进行换填；换填厚度不应超过路床厚度，并根据处治层顶面对弯沉的提升程度确定换填厚度；当条件受限不能翻挖既有路基时，可采取干拌碎石桩、注浆等处理措施。</w:t>
      </w:r>
    </w:p>
    <w:p>
      <w:pPr>
        <w:pStyle w:val="165"/>
        <w:spacing w:line="276" w:lineRule="auto"/>
        <w:rPr>
          <w:rFonts w:ascii="Times New Roman"/>
        </w:rPr>
      </w:pPr>
      <w:r>
        <w:rPr>
          <w:rFonts w:hint="eastAsia" w:ascii="Times New Roman"/>
        </w:rPr>
        <w:t>对于水泥路面板未损坏但存在板下脱空病害时，应采用注浆处理；当路面出现开裂时，挖开后测试路基顶面回弹模量，若不满足要求应进行补强压实。</w:t>
      </w:r>
    </w:p>
    <w:p>
      <w:pPr>
        <w:pStyle w:val="165"/>
        <w:spacing w:line="276" w:lineRule="auto"/>
        <w:rPr>
          <w:rFonts w:ascii="Times New Roman"/>
        </w:rPr>
      </w:pPr>
      <w:r>
        <w:rPr>
          <w:rFonts w:hint="eastAsia" w:ascii="Times New Roman"/>
        </w:rPr>
        <w:t>当既有路基的路床因地下水、降雨、渗水等因素导致潮湿时，应采取有效措施降低地下水高度，保证路床处于干燥状态或中湿状态，符合设计对路基工作区及路床的要求。</w:t>
      </w:r>
    </w:p>
    <w:p>
      <w:pPr>
        <w:pStyle w:val="165"/>
        <w:spacing w:line="276" w:lineRule="auto"/>
        <w:rPr>
          <w:rFonts w:ascii="Times New Roman"/>
        </w:rPr>
      </w:pPr>
      <w:r>
        <w:rPr>
          <w:rFonts w:hint="eastAsia" w:ascii="Times New Roman"/>
        </w:rPr>
        <w:t>软土路基段拼宽应进行地基处理，并预留足够的施工沉降期，避免新老路基间沉降差过大。</w:t>
      </w:r>
    </w:p>
    <w:p>
      <w:pPr>
        <w:pStyle w:val="165"/>
        <w:spacing w:line="276" w:lineRule="auto"/>
        <w:rPr>
          <w:rFonts w:ascii="Times New Roman"/>
        </w:rPr>
      </w:pPr>
      <w:r>
        <w:rPr>
          <w:rFonts w:hint="eastAsia" w:ascii="Times New Roman"/>
        </w:rPr>
        <w:t>既有高填、陡坡路基应进行稳定性验算，存在滑动趋势的路基应采用挡土墙、反压坡脚等方式对老路基进行防护，并在新路基施工时采用必要的抗滑措施。</w:t>
      </w:r>
    </w:p>
    <w:p>
      <w:pPr>
        <w:pStyle w:val="165"/>
        <w:spacing w:line="276" w:lineRule="auto"/>
        <w:rPr>
          <w:rFonts w:ascii="Times New Roman"/>
        </w:rPr>
      </w:pPr>
      <w:r>
        <w:rPr>
          <w:rFonts w:hint="eastAsia" w:ascii="Times New Roman"/>
        </w:rPr>
        <w:t>对有淘刷趋势沿河路基，应采用抛填石笼、喷浆护面等方法进行防护，以避免对路基坡脚淘刷。</w:t>
      </w:r>
    </w:p>
    <w:p>
      <w:pPr>
        <w:pStyle w:val="165"/>
        <w:spacing w:line="276" w:lineRule="auto"/>
        <w:rPr>
          <w:rFonts w:ascii="Times New Roman"/>
        </w:rPr>
      </w:pPr>
      <w:r>
        <w:rPr>
          <w:rFonts w:hint="eastAsia" w:ascii="Times New Roman"/>
        </w:rPr>
        <w:t>行车道路基局部轻微塌陷，或局部出现不均匀下沉时，宜先采用三维雷达和弯沉检测仪查明路堤和路床的病害类型和位置，确定加固方案，因地制宜地选择注浆、干拌碎石桩等方案进行处治。</w:t>
      </w:r>
    </w:p>
    <w:p>
      <w:pPr>
        <w:pStyle w:val="165"/>
        <w:spacing w:line="276" w:lineRule="auto"/>
        <w:rPr>
          <w:rFonts w:ascii="Times New Roman"/>
        </w:rPr>
      </w:pPr>
      <w:r>
        <w:rPr>
          <w:rFonts w:hint="eastAsia" w:ascii="Times New Roman"/>
        </w:rPr>
        <w:t>针对桥台锥坡出现下沉，难以压实情况，宜采取挖开调平的方法，逐级分层回填，填土不宜过密，预留充分的固结沉降期，宜参照《公路路基设计规范》（JTG</w:t>
      </w:r>
      <w:r>
        <w:rPr>
          <w:rFonts w:ascii="Times New Roman"/>
        </w:rPr>
        <w:t xml:space="preserve"> </w:t>
      </w:r>
      <w:r>
        <w:rPr>
          <w:rFonts w:hint="eastAsia" w:ascii="Times New Roman"/>
        </w:rPr>
        <w:t>D30）执行，通车半年后调平一次，并尽量减小锥坡高度，减小地基附加应力。</w:t>
      </w:r>
    </w:p>
    <w:p>
      <w:pPr>
        <w:pStyle w:val="104"/>
        <w:spacing w:before="312" w:after="312"/>
      </w:pPr>
      <w:bookmarkStart w:id="70" w:name="_Toc134989330"/>
      <w:r>
        <w:rPr>
          <w:rFonts w:hint="eastAsia"/>
        </w:rPr>
        <w:t>路基拓宽设计与施工</w:t>
      </w:r>
      <w:bookmarkEnd w:id="70"/>
    </w:p>
    <w:p>
      <w:pPr>
        <w:pStyle w:val="105"/>
        <w:spacing w:before="156" w:after="156"/>
      </w:pPr>
      <w:bookmarkStart w:id="71" w:name="_Toc134989331"/>
      <w:r>
        <w:rPr>
          <w:rFonts w:hint="eastAsia"/>
        </w:rPr>
        <w:t>一般规定</w:t>
      </w:r>
      <w:bookmarkEnd w:id="71"/>
    </w:p>
    <w:p>
      <w:pPr>
        <w:pStyle w:val="165"/>
        <w:rPr>
          <w:rFonts w:ascii="Times New Roman"/>
        </w:rPr>
      </w:pPr>
      <w:r>
        <w:rPr>
          <w:rFonts w:hint="eastAsia"/>
        </w:rPr>
        <w:t>宜采用激光雷达提取既有路基标高数据并进行新老路基标高拟合。</w:t>
      </w:r>
    </w:p>
    <w:p>
      <w:pPr>
        <w:pStyle w:val="165"/>
        <w:rPr>
          <w:rFonts w:ascii="Times New Roman"/>
        </w:rPr>
      </w:pPr>
      <w:r>
        <w:rPr>
          <w:rFonts w:hint="eastAsia" w:ascii="Times New Roman"/>
        </w:rPr>
        <w:t>公路的平直段、纵向、横向三方面进行综合设计，需横面合理、纵向均衡，平段顺适。</w:t>
      </w:r>
    </w:p>
    <w:p>
      <w:pPr>
        <w:pStyle w:val="165"/>
        <w:rPr>
          <w:rFonts w:ascii="Times New Roman"/>
        </w:rPr>
      </w:pPr>
      <w:r>
        <w:rPr>
          <w:rFonts w:hint="eastAsia" w:ascii="Times New Roman"/>
        </w:rPr>
        <w:t>应清除既有路堤外侧的平台及边沟表面的杂草、树根、种植土、垃圾杂物，坡脚虚土应清除至硬地，按照再利用的要求提前移植路基用地范围内的乔木。</w:t>
      </w:r>
    </w:p>
    <w:p>
      <w:pPr>
        <w:pStyle w:val="165"/>
        <w:rPr>
          <w:rFonts w:ascii="Times New Roman"/>
        </w:rPr>
      </w:pPr>
      <w:r>
        <w:rPr>
          <w:rFonts w:hint="eastAsia" w:ascii="Times New Roman"/>
        </w:rPr>
        <w:t>填方路基拓宽应重视新老路基间的相互影响，通过地基处理、优选填料、开挖台阶、补强压实和铺设土工合成材料等方式控制新老路基沉降变形，减小新老路基间的差异沉降；对于高填方路基的拓宽，可进一步采用改善路基填料、提高压实要求或局部加强等措施。</w:t>
      </w:r>
    </w:p>
    <w:p>
      <w:pPr>
        <w:pStyle w:val="165"/>
        <w:rPr>
          <w:rFonts w:ascii="Times New Roman"/>
        </w:rPr>
      </w:pPr>
      <w:r>
        <w:rPr>
          <w:rFonts w:hint="eastAsia" w:ascii="Times New Roman"/>
        </w:rPr>
        <w:t>拼宽路基宜采用与既有路基填料性质相近或承载比及透水性不低于既有路基的填料，当为不良土质时，经技术论证后方可使用。</w:t>
      </w:r>
    </w:p>
    <w:p>
      <w:pPr>
        <w:pStyle w:val="165"/>
        <w:rPr>
          <w:rFonts w:ascii="Times New Roman"/>
        </w:rPr>
      </w:pPr>
      <w:r>
        <w:rPr>
          <w:rFonts w:hint="eastAsia" w:ascii="Times New Roman"/>
        </w:rPr>
        <w:t>沿河、池塘路段路基拓宽应根据软土地基的厚度和性质、路堤高度、施工环境及工期要求，可采用换填、柔性桩、刚性桩等处理方案。</w:t>
      </w:r>
    </w:p>
    <w:p>
      <w:pPr>
        <w:pStyle w:val="165"/>
        <w:rPr>
          <w:rFonts w:ascii="Times New Roman"/>
        </w:rPr>
      </w:pPr>
      <w:r>
        <w:rPr>
          <w:rFonts w:hint="eastAsia" w:ascii="Times New Roman"/>
        </w:rPr>
        <w:t>路基土石方的调配宜采用单边调配的方式。</w:t>
      </w:r>
    </w:p>
    <w:p>
      <w:pPr>
        <w:pStyle w:val="165"/>
        <w:rPr>
          <w:rFonts w:ascii="Times New Roman"/>
        </w:rPr>
      </w:pPr>
      <w:r>
        <w:rPr>
          <w:rFonts w:hint="eastAsia" w:ascii="Times New Roman"/>
        </w:rPr>
        <w:t>对于施工中作为临时U转道口的路基段，应在工程结束时，对临时路基段做一次全面的维修保养，因施工过程中临时增加的非必要设施均应拆除，宜参照《高速公路改扩建设计细则》（JTG/L 11）。</w:t>
      </w:r>
    </w:p>
    <w:p>
      <w:pPr>
        <w:pStyle w:val="165"/>
        <w:rPr>
          <w:rFonts w:ascii="Times New Roman"/>
        </w:rPr>
      </w:pPr>
      <w:r>
        <w:rPr>
          <w:rFonts w:hint="eastAsia" w:ascii="Times New Roman"/>
        </w:rPr>
        <w:t>路基拓宽应采用合理拼宽形式。当拓宽路段处于空间相对开阔时，优先采用双侧拼宽；当处于地形受限、或双侧拼宽施工难度大、经济性低的路段时，可采用单侧拼宽、分离分幅的路基形式。</w:t>
      </w:r>
    </w:p>
    <w:p>
      <w:pPr>
        <w:pStyle w:val="165"/>
        <w:rPr>
          <w:rFonts w:ascii="Times New Roman"/>
        </w:rPr>
      </w:pPr>
      <w:r>
        <w:rPr>
          <w:rFonts w:hint="eastAsia" w:ascii="Times New Roman"/>
        </w:rPr>
        <w:t>在满足边坡稳定的前提下，经论证可采取调陡坡率并加强支护等措施，减少挖方路基开挖量及对运营的影响。</w:t>
      </w:r>
    </w:p>
    <w:p>
      <w:pPr>
        <w:pStyle w:val="165"/>
        <w:rPr>
          <w:rFonts w:ascii="Times New Roman"/>
        </w:rPr>
      </w:pPr>
      <w:r>
        <w:rPr>
          <w:rFonts w:hint="eastAsia" w:ascii="Times New Roman"/>
        </w:rPr>
        <w:t>拓宽路堤宜选用透水性好、强度好、具有良好级配的砾类土、砂类土等粗粒土作为填料，以减少路堤工后沉降量。若粗粒土填料缺乏时，也可采用与既有路基填料性质相近或更利于拼接的填料。</w:t>
      </w:r>
    </w:p>
    <w:p>
      <w:pPr>
        <w:pStyle w:val="165"/>
        <w:rPr>
          <w:rFonts w:ascii="Times New Roman"/>
        </w:rPr>
      </w:pPr>
      <w:r>
        <w:rPr>
          <w:rFonts w:hint="eastAsia" w:ascii="Times New Roman"/>
        </w:rPr>
        <w:t>新路基的设计与施工应符合现行规范的要求，如较原道路设计存在差异，需验证设计方案的可行性。</w:t>
      </w:r>
    </w:p>
    <w:p>
      <w:pPr>
        <w:pStyle w:val="105"/>
        <w:spacing w:before="156" w:after="156"/>
        <w:rPr>
          <w:rFonts w:ascii="Times New Roman"/>
        </w:rPr>
      </w:pPr>
      <w:bookmarkStart w:id="72" w:name="_Toc134989332"/>
      <w:r>
        <w:rPr>
          <w:rFonts w:hint="eastAsia" w:ascii="Times New Roman"/>
        </w:rPr>
        <w:t>准备工作</w:t>
      </w:r>
      <w:bookmarkEnd w:id="72"/>
    </w:p>
    <w:p>
      <w:pPr>
        <w:pStyle w:val="165"/>
        <w:rPr>
          <w:rFonts w:ascii="Times New Roman"/>
        </w:rPr>
      </w:pPr>
      <w:r>
        <w:rPr>
          <w:rFonts w:hint="eastAsia" w:ascii="Times New Roman"/>
        </w:rPr>
        <w:t>施工前，施工单位应全面熟悉设计文件，在设计交底的基础上，每隔20</w:t>
      </w:r>
      <w:r>
        <w:rPr>
          <w:rFonts w:ascii="Times New Roman"/>
        </w:rPr>
        <w:t xml:space="preserve"> </w:t>
      </w:r>
      <w:r>
        <w:rPr>
          <w:rFonts w:hint="eastAsia" w:ascii="Times New Roman"/>
        </w:rPr>
        <w:t>m对既有路基和拓宽路基原地面进行复测，必要时加密补充测量横断面，做好施工准备。</w:t>
      </w:r>
    </w:p>
    <w:p>
      <w:pPr>
        <w:pStyle w:val="165"/>
        <w:rPr>
          <w:rFonts w:ascii="Times New Roman"/>
        </w:rPr>
      </w:pPr>
      <w:r>
        <w:rPr>
          <w:rFonts w:hint="eastAsia" w:ascii="Times New Roman"/>
        </w:rPr>
        <w:t>路基开工前应做好施工测量工作，其内容包括导线、中线、水准点复测，横断面检查与补测，增设水准点等。两侧拼接加宽时，应在既有路基两侧各布设一条附合导线，并且两条附合导线应闭合，施工测量的精度应符合《公路勘测规范》（JTG C10）的规定。</w:t>
      </w:r>
    </w:p>
    <w:p>
      <w:pPr>
        <w:pStyle w:val="165"/>
        <w:rPr>
          <w:rFonts w:ascii="Times New Roman"/>
        </w:rPr>
      </w:pPr>
      <w:r>
        <w:rPr>
          <w:rFonts w:hint="eastAsia" w:ascii="Times New Roman"/>
        </w:rPr>
        <w:t>路基开工前每隔100</w:t>
      </w:r>
      <w:r>
        <w:rPr>
          <w:rFonts w:ascii="Times New Roman"/>
        </w:rPr>
        <w:t xml:space="preserve"> </w:t>
      </w:r>
      <w:r>
        <w:rPr>
          <w:rFonts w:hint="eastAsia" w:ascii="Times New Roman"/>
        </w:rPr>
        <w:t>m放出既有路基外边缘点，在既有路基边坡上设置桩号牌，在拓宽路基边缘放出路基边线，边线为设计坡脚线向外0.5</w:t>
      </w:r>
      <w:r>
        <w:rPr>
          <w:rFonts w:ascii="Times New Roman"/>
        </w:rPr>
        <w:t xml:space="preserve"> </w:t>
      </w:r>
      <w:r>
        <w:rPr>
          <w:rFonts w:hint="eastAsia" w:ascii="Times New Roman"/>
        </w:rPr>
        <w:t>m。</w:t>
      </w:r>
    </w:p>
    <w:p>
      <w:pPr>
        <w:pStyle w:val="165"/>
        <w:rPr>
          <w:rFonts w:ascii="Times New Roman"/>
        </w:rPr>
      </w:pPr>
      <w:r>
        <w:rPr>
          <w:rFonts w:hint="eastAsia" w:ascii="Times New Roman"/>
        </w:rPr>
        <w:t>施工前应根据设计文件提供的资料，对取自挖方、借土场、料场的路堤填料进行复查和取样试验，土工相关试验项目参照《公路土工试验规程》（JTG 3430）。</w:t>
      </w:r>
    </w:p>
    <w:p>
      <w:pPr>
        <w:pStyle w:val="105"/>
        <w:spacing w:before="156" w:after="156"/>
        <w:rPr>
          <w:rFonts w:ascii="Times New Roman"/>
        </w:rPr>
      </w:pPr>
      <w:bookmarkStart w:id="73" w:name="_Toc134989333"/>
      <w:r>
        <w:rPr>
          <w:rFonts w:hint="eastAsia" w:ascii="Times New Roman"/>
        </w:rPr>
        <w:t>地表处理</w:t>
      </w:r>
      <w:bookmarkEnd w:id="73"/>
    </w:p>
    <w:p>
      <w:pPr>
        <w:pStyle w:val="165"/>
        <w:rPr>
          <w:rFonts w:ascii="Times New Roman"/>
        </w:rPr>
      </w:pPr>
      <w:r>
        <w:rPr>
          <w:rFonts w:hint="eastAsia" w:ascii="Times New Roman"/>
        </w:rPr>
        <w:t>应清除既有路堤外侧的平台及边沟表面的杂物垃圾，坡脚虚土应清除至硬地。</w:t>
      </w:r>
    </w:p>
    <w:p>
      <w:pPr>
        <w:pStyle w:val="165"/>
        <w:rPr>
          <w:rFonts w:ascii="Times New Roman"/>
        </w:rPr>
      </w:pPr>
      <w:r>
        <w:rPr>
          <w:rFonts w:hint="eastAsia" w:ascii="Times New Roman"/>
        </w:rPr>
        <w:t>对于需要两侧拼宽的老路两侧成林路段，因成林树木根系发达、埋藏深，清表后应挖至树坑底再进行回填压实，清表深度宜大于50</w:t>
      </w:r>
      <w:r>
        <w:rPr>
          <w:rFonts w:ascii="Times New Roman"/>
        </w:rPr>
        <w:t xml:space="preserve"> </w:t>
      </w:r>
      <w:r>
        <w:rPr>
          <w:rFonts w:hint="eastAsia" w:ascii="Times New Roman"/>
        </w:rPr>
        <w:t>cm。</w:t>
      </w:r>
    </w:p>
    <w:p>
      <w:pPr>
        <w:pStyle w:val="165"/>
        <w:rPr>
          <w:rFonts w:ascii="Times New Roman"/>
        </w:rPr>
      </w:pPr>
      <w:r>
        <w:rPr>
          <w:rFonts w:hint="eastAsia" w:ascii="Times New Roman"/>
        </w:rPr>
        <w:t>路基跨越河、塘、湖地段时，应采取措施修筑围堰，排除积水，清除不满足承载力要求的软弱土层，并对基底进行填前处理。</w:t>
      </w:r>
    </w:p>
    <w:p>
      <w:pPr>
        <w:pStyle w:val="165"/>
        <w:rPr>
          <w:rFonts w:ascii="Times New Roman"/>
        </w:rPr>
      </w:pPr>
      <w:r>
        <w:rPr>
          <w:rFonts w:hint="eastAsia" w:ascii="Times New Roman"/>
        </w:rPr>
        <w:t>应对取土坑的原地面进行清理，清理深度不低于30</w:t>
      </w:r>
      <w:r>
        <w:rPr>
          <w:rFonts w:ascii="Times New Roman"/>
        </w:rPr>
        <w:t xml:space="preserve"> </w:t>
      </w:r>
      <w:r>
        <w:rPr>
          <w:rFonts w:hint="eastAsia" w:ascii="Times New Roman"/>
        </w:rPr>
        <w:t>cm；填方地段还应按设计要求整平压实，压实度应不低于90</w:t>
      </w:r>
      <w:bookmarkStart w:id="74" w:name="_Hlk135730853"/>
      <w:r>
        <w:rPr>
          <w:rFonts w:hint="eastAsia" w:ascii="Times New Roman"/>
        </w:rPr>
        <w:t>%</w:t>
      </w:r>
      <w:bookmarkEnd w:id="74"/>
      <w:r>
        <w:rPr>
          <w:rFonts w:hint="eastAsia" w:ascii="Times New Roman"/>
        </w:rPr>
        <w:t>以上；清除的表层土应充分利用。</w:t>
      </w:r>
    </w:p>
    <w:p>
      <w:pPr>
        <w:pStyle w:val="165"/>
        <w:rPr>
          <w:rFonts w:ascii="Times New Roman"/>
        </w:rPr>
      </w:pPr>
      <w:r>
        <w:rPr>
          <w:rFonts w:hint="eastAsia" w:ascii="Times New Roman"/>
        </w:rPr>
        <w:t>原路设置排水沟路段，当排水沟低于地表时，应将表层挖除，挖除宽度应至少保证压路机的碾压宽度，开挖深度原则为清除原排水沟下的淤泥质、淤泥质粘土层，开挖后应尽快分层回填至原地表，回填压实度不小于90%。</w:t>
      </w:r>
    </w:p>
    <w:p>
      <w:pPr>
        <w:pStyle w:val="165"/>
        <w:rPr>
          <w:rFonts w:ascii="Times New Roman"/>
        </w:rPr>
      </w:pPr>
      <w:r>
        <w:rPr>
          <w:rFonts w:hint="eastAsia" w:ascii="Times New Roman"/>
        </w:rPr>
        <w:t>清表处理开挖回填过程中应及时做好排水工作，将地下渗水或地表降水及时通过排水或抽水的方式排出路基影响范围，当排水沟高于地表时，高出部分的填土应清除至原地面高度，不应作为路基填料。</w:t>
      </w:r>
    </w:p>
    <w:p>
      <w:pPr>
        <w:pStyle w:val="165"/>
        <w:rPr>
          <w:rFonts w:ascii="Times New Roman"/>
        </w:rPr>
      </w:pPr>
      <w:r>
        <w:rPr>
          <w:rFonts w:hint="eastAsia" w:ascii="Times New Roman"/>
        </w:rPr>
        <w:t>填前碾压应符合以下要求：</w:t>
      </w:r>
    </w:p>
    <w:p>
      <w:pPr>
        <w:pStyle w:val="174"/>
        <w:numPr>
          <w:ilvl w:val="0"/>
          <w:numId w:val="37"/>
        </w:numPr>
        <w:rPr>
          <w:rFonts w:ascii="Times New Roman"/>
        </w:rPr>
      </w:pPr>
      <w:r>
        <w:rPr>
          <w:rFonts w:hint="eastAsia" w:ascii="Times New Roman"/>
        </w:rPr>
        <w:t>原地面清表后，对填前碾压段取土样进行标准击实试验，以确定土的最大干密度和最佳含水率等指标，当地基土含水率接近最佳含水率时（地基土含水率与最佳含水率之间的差值控制在±2%）可以进行填前碾压；</w:t>
      </w:r>
    </w:p>
    <w:p>
      <w:pPr>
        <w:pStyle w:val="174"/>
        <w:numPr>
          <w:ilvl w:val="0"/>
          <w:numId w:val="37"/>
        </w:numPr>
        <w:rPr>
          <w:rFonts w:ascii="Times New Roman"/>
        </w:rPr>
      </w:pPr>
      <w:r>
        <w:rPr>
          <w:rFonts w:hint="eastAsia" w:ascii="Times New Roman"/>
        </w:rPr>
        <w:t>地基土含水率高于最佳含水率但不超过5%的路段，经过翻拌晾晒达到碾压标准后，方可进行压实；</w:t>
      </w:r>
    </w:p>
    <w:p>
      <w:pPr>
        <w:pStyle w:val="174"/>
        <w:numPr>
          <w:ilvl w:val="0"/>
          <w:numId w:val="37"/>
        </w:numPr>
        <w:rPr>
          <w:rFonts w:ascii="Times New Roman"/>
        </w:rPr>
      </w:pPr>
      <w:r>
        <w:rPr>
          <w:rFonts w:hint="eastAsia" w:ascii="Times New Roman"/>
        </w:rPr>
        <w:t>地基土含水率高于最佳含水率5%以上的路段，经过翻拌晾晒仍然达不到碾压标准时，按设计要求进行地基处理后方可进行压实；</w:t>
      </w:r>
    </w:p>
    <w:p>
      <w:pPr>
        <w:pStyle w:val="174"/>
        <w:numPr>
          <w:ilvl w:val="0"/>
          <w:numId w:val="37"/>
        </w:numPr>
        <w:rPr>
          <w:rFonts w:ascii="Times New Roman"/>
        </w:rPr>
      </w:pPr>
      <w:r>
        <w:rPr>
          <w:rFonts w:hint="eastAsia" w:ascii="Times New Roman"/>
        </w:rPr>
        <w:t>地基土含水率低于最佳含水率2%的路段，经过洒水达到碾压标准后，方可进行压实；</w:t>
      </w:r>
    </w:p>
    <w:p>
      <w:pPr>
        <w:pStyle w:val="174"/>
        <w:numPr>
          <w:ilvl w:val="0"/>
          <w:numId w:val="37"/>
        </w:numPr>
        <w:rPr>
          <w:rFonts w:ascii="Times New Roman"/>
        </w:rPr>
      </w:pPr>
      <w:r>
        <w:rPr>
          <w:rFonts w:hint="eastAsia" w:ascii="Times New Roman"/>
        </w:rPr>
        <w:t>地表处理后的压实度应不小于90%。</w:t>
      </w:r>
    </w:p>
    <w:p>
      <w:pPr>
        <w:pStyle w:val="105"/>
        <w:spacing w:before="156" w:after="156"/>
        <w:rPr>
          <w:rFonts w:ascii="Times New Roman"/>
        </w:rPr>
      </w:pPr>
      <w:bookmarkStart w:id="75" w:name="_Toc134989334"/>
      <w:r>
        <w:rPr>
          <w:rFonts w:hint="eastAsia" w:ascii="Times New Roman"/>
        </w:rPr>
        <w:t>坡面处理</w:t>
      </w:r>
      <w:bookmarkEnd w:id="75"/>
    </w:p>
    <w:p>
      <w:pPr>
        <w:pStyle w:val="165"/>
        <w:rPr>
          <w:rFonts w:ascii="Times New Roman"/>
        </w:rPr>
      </w:pPr>
      <w:r>
        <w:rPr>
          <w:rFonts w:hint="eastAsia" w:ascii="Times New Roman"/>
        </w:rPr>
        <w:t>路基拓宽前应对既有路基边坡进行清表，并对不满足设计要求的浅层土进行清除，拆除的防护片石集中在路线外堆放，可用于其它分项工程，拓宽坡面处理需要挖台阶清除至相应压实度层位，不得将土（或边坡清表土）和石块混合后作为路堤填料。</w:t>
      </w:r>
    </w:p>
    <w:p>
      <w:pPr>
        <w:pStyle w:val="165"/>
        <w:rPr>
          <w:rFonts w:ascii="Times New Roman"/>
        </w:rPr>
      </w:pPr>
      <w:r>
        <w:rPr>
          <w:rFonts w:hint="eastAsia" w:ascii="Times New Roman"/>
        </w:rPr>
        <w:t>伸入既有硬路肩以下路基内的树根在清表至要求位置时进行切断处理，硬路肩范围内的土体清表和切除树根时应注意不得扰动既有路基，硬路肩范围外的树根可直接切除。</w:t>
      </w:r>
    </w:p>
    <w:p>
      <w:pPr>
        <w:pStyle w:val="165"/>
        <w:rPr>
          <w:rFonts w:ascii="Times New Roman"/>
        </w:rPr>
      </w:pPr>
      <w:r>
        <w:rPr>
          <w:rFonts w:hint="eastAsia" w:ascii="Times New Roman"/>
        </w:rPr>
        <w:t>对于路堑路段的边坡开挖线至截水沟范围内的原生植被，应予以保留。</w:t>
      </w:r>
    </w:p>
    <w:p>
      <w:pPr>
        <w:pStyle w:val="165"/>
        <w:rPr>
          <w:rFonts w:ascii="Times New Roman"/>
        </w:rPr>
      </w:pPr>
      <w:r>
        <w:rPr>
          <w:rFonts w:hint="eastAsia" w:ascii="Times New Roman"/>
        </w:rPr>
        <w:t>对既有排水沟及边沟的拆除应分段落，逐段完成，尚未进入施工阶段时，应尽量保留原有排水系统，进入拼宽施工阶段后，应优先施作排水系统。</w:t>
      </w:r>
    </w:p>
    <w:p>
      <w:pPr>
        <w:pStyle w:val="165"/>
        <w:rPr>
          <w:rFonts w:ascii="Times New Roman"/>
        </w:rPr>
      </w:pPr>
      <w:r>
        <w:rPr>
          <w:rFonts w:hint="eastAsia" w:ascii="Times New Roman"/>
        </w:rPr>
        <w:t>既有支挡结构物拆除前及拆除过程中应进行稳定性评价，针对不同结构物分别进行拆除设计，改扩建中新建支挡结构的设计与施工应符合《公路路基设计规范》（JTG D30）和《公路路基施工技术规范》（JTG/T 3610）相关规定。</w:t>
      </w:r>
    </w:p>
    <w:p>
      <w:pPr>
        <w:pStyle w:val="105"/>
        <w:spacing w:before="156" w:after="156"/>
        <w:rPr>
          <w:rFonts w:ascii="Times New Roman"/>
        </w:rPr>
      </w:pPr>
      <w:bookmarkStart w:id="76" w:name="_Toc134989335"/>
      <w:r>
        <w:rPr>
          <w:rFonts w:hint="eastAsia" w:ascii="Times New Roman"/>
        </w:rPr>
        <w:t>一般填方路基拼宽</w:t>
      </w:r>
      <w:bookmarkEnd w:id="76"/>
    </w:p>
    <w:p>
      <w:pPr>
        <w:pStyle w:val="165"/>
      </w:pPr>
      <w:r>
        <w:rPr>
          <w:rFonts w:hint="eastAsia"/>
        </w:rPr>
        <w:t>路基拓宽应符合下列规定：</w:t>
      </w:r>
    </w:p>
    <w:p>
      <w:pPr>
        <w:pStyle w:val="174"/>
        <w:numPr>
          <w:ilvl w:val="0"/>
          <w:numId w:val="38"/>
        </w:numPr>
        <w:rPr>
          <w:rFonts w:ascii="Times New Roman"/>
        </w:rPr>
      </w:pPr>
      <w:r>
        <w:rPr>
          <w:rFonts w:hint="eastAsia" w:ascii="Times New Roman"/>
        </w:rPr>
        <w:t>拼宽部分路基与既有路基宜采用开挖台阶拼接；台阶宽度不宜小于</w:t>
      </w:r>
      <w:r>
        <w:rPr>
          <w:rFonts w:ascii="Times New Roman"/>
        </w:rPr>
        <w:t>1.0 m</w:t>
      </w:r>
      <w:r>
        <w:rPr>
          <w:rFonts w:hint="eastAsia" w:ascii="Times New Roman"/>
        </w:rPr>
        <w:t>，台阶开挖、填筑方式如图</w:t>
      </w:r>
      <w:r>
        <w:rPr>
          <w:rFonts w:ascii="Times New Roman"/>
        </w:rPr>
        <w:t>1</w:t>
      </w:r>
      <w:r>
        <w:rPr>
          <w:rFonts w:hint="eastAsia" w:ascii="Times New Roman"/>
        </w:rPr>
        <w:t>所示；</w:t>
      </w:r>
    </w:p>
    <w:p>
      <w:pPr>
        <w:pStyle w:val="174"/>
        <w:numPr>
          <w:ilvl w:val="0"/>
          <w:numId w:val="38"/>
        </w:numPr>
        <w:rPr>
          <w:rFonts w:ascii="Times New Roman"/>
        </w:rPr>
      </w:pPr>
      <w:r>
        <w:rPr>
          <w:rFonts w:hint="eastAsia" w:ascii="Times New Roman"/>
        </w:rPr>
        <w:t>台阶做成内倾斜斜坡，宜将斜坡倾斜度控制在</w:t>
      </w:r>
      <w:r>
        <w:rPr>
          <w:rFonts w:ascii="Times New Roman"/>
        </w:rPr>
        <w:t>2%</w:t>
      </w:r>
      <w:bookmarkStart w:id="77" w:name="_Hlk119575373"/>
      <w:r>
        <w:rPr>
          <w:rFonts w:hint="eastAsia" w:ascii="Times New Roman"/>
        </w:rPr>
        <w:t>～</w:t>
      </w:r>
      <w:bookmarkEnd w:id="77"/>
      <w:r>
        <w:rPr>
          <w:rFonts w:ascii="Times New Roman"/>
        </w:rPr>
        <w:t>4%</w:t>
      </w:r>
      <w:r>
        <w:rPr>
          <w:rFonts w:hint="eastAsia" w:ascii="Times New Roman"/>
        </w:rPr>
        <w:t>；</w:t>
      </w:r>
    </w:p>
    <w:p>
      <w:pPr>
        <w:pStyle w:val="174"/>
        <w:numPr>
          <w:ilvl w:val="0"/>
          <w:numId w:val="38"/>
        </w:numPr>
      </w:pPr>
      <w:r>
        <w:rPr>
          <w:rFonts w:hint="eastAsia" w:ascii="Times New Roman"/>
        </w:rPr>
        <w:t>当拼宽宽度过小时，可釆用超宽填筑、翻挖既有路</w:t>
      </w:r>
      <w:r>
        <w:rPr>
          <w:rFonts w:hint="eastAsia"/>
        </w:rPr>
        <w:t>基、胶结材料、轻质泡沫混凝土土、挡墙等措施；</w:t>
      </w:r>
    </w:p>
    <w:tbl>
      <w:tblPr>
        <w:tblStyle w:val="33"/>
        <w:tblW w:w="933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67"/>
        <w:gridCol w:w="4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Header/>
          <w:jc w:val="center"/>
        </w:trPr>
        <w:tc>
          <w:tcPr>
            <w:tcW w:w="9334" w:type="dxa"/>
            <w:gridSpan w:val="2"/>
            <w:shd w:val="clear" w:color="auto" w:fill="auto"/>
            <w:vAlign w:val="center"/>
          </w:tcPr>
          <w:p>
            <w:pPr>
              <w:pStyle w:val="178"/>
            </w:pPr>
            <w:r>
              <w:rPr>
                <w:rFonts w:ascii="Times New Roman" w:eastAsiaTheme="minorEastAsia"/>
                <w:color w:val="000000" w:themeColor="text1"/>
                <w14:textFill>
                  <w14:solidFill>
                    <w14:schemeClr w14:val="tx1"/>
                  </w14:solidFill>
                </w14:textFill>
              </w:rPr>
              <w:drawing>
                <wp:inline distT="0" distB="0" distL="114300" distR="114300">
                  <wp:extent cx="3397250" cy="1743710"/>
                  <wp:effectExtent l="0" t="0" r="0" b="8890"/>
                  <wp:docPr id="4" name="图片 4" descr="16650643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65064351765"/>
                          <pic:cNvPicPr>
                            <a:picLocks noChangeAspect="1"/>
                          </pic:cNvPicPr>
                        </pic:nvPicPr>
                        <pic:blipFill>
                          <a:blip r:embed="rId33">
                            <a:clrChange>
                              <a:clrFrom>
                                <a:srgbClr val="63B6F1">
                                  <a:alpha val="100000"/>
                                </a:srgbClr>
                              </a:clrFrom>
                              <a:clrTo>
                                <a:srgbClr val="63B6F1">
                                  <a:alpha val="100000"/>
                                  <a:alpha val="0"/>
                                </a:srgbClr>
                              </a:clrTo>
                            </a:clrChange>
                          </a:blip>
                          <a:srcRect b="10204"/>
                          <a:stretch>
                            <a:fillRect/>
                          </a:stretch>
                        </pic:blipFill>
                        <pic:spPr>
                          <a:xfrm>
                            <a:off x="0" y="0"/>
                            <a:ext cx="3425913" cy="1758805"/>
                          </a:xfrm>
                          <a:prstGeom prst="rect">
                            <a:avLst/>
                          </a:prstGeom>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4667" w:type="dxa"/>
            <w:shd w:val="clear" w:color="auto" w:fill="auto"/>
            <w:vAlign w:val="center"/>
          </w:tcPr>
          <w:p>
            <w:pPr>
              <w:pStyle w:val="178"/>
              <w:rPr>
                <w:rFonts w:hint="eastAsia" w:ascii="黑体" w:hAnsi="黑体" w:eastAsia="黑体"/>
              </w:rPr>
            </w:pPr>
            <w:r>
              <w:rPr>
                <w:rFonts w:ascii="黑体" w:hAnsi="黑体" w:eastAsia="黑体"/>
              </w:rPr>
              <w:t xml:space="preserve">                    </w:t>
            </w:r>
            <w:r>
              <w:rPr>
                <w:rFonts w:hint="eastAsia" w:ascii="黑体" w:hAnsi="黑体" w:eastAsia="黑体"/>
              </w:rPr>
              <w:t>a.无需超挖</w:t>
            </w:r>
          </w:p>
        </w:tc>
        <w:tc>
          <w:tcPr>
            <w:tcW w:w="4667" w:type="dxa"/>
            <w:shd w:val="clear" w:color="auto" w:fill="auto"/>
            <w:vAlign w:val="center"/>
          </w:tcPr>
          <w:p>
            <w:pPr>
              <w:pStyle w:val="178"/>
              <w:ind w:firstLine="1080" w:firstLineChars="600"/>
              <w:jc w:val="both"/>
              <w:rPr>
                <w:rFonts w:hint="eastAsia" w:ascii="黑体" w:hAnsi="黑体" w:eastAsia="黑体"/>
              </w:rPr>
            </w:pPr>
            <w:r>
              <w:rPr>
                <w:rFonts w:hint="eastAsia" w:ascii="黑体" w:hAnsi="黑体" w:eastAsia="黑体"/>
              </w:rPr>
              <w:t>b.需超挖</w:t>
            </w:r>
          </w:p>
        </w:tc>
      </w:tr>
    </w:tbl>
    <w:p>
      <w:pPr>
        <w:pStyle w:val="174"/>
        <w:numPr>
          <w:ilvl w:val="0"/>
          <w:numId w:val="0"/>
        </w:numPr>
        <w:rPr>
          <w:rFonts w:ascii="Times New Roman"/>
        </w:rPr>
      </w:pPr>
      <w:r>
        <w:rPr>
          <w:rFonts w:hint="eastAsia" w:ascii="Times New Roman"/>
        </w:rPr>
        <w:t>标引序号说明：</w:t>
      </w:r>
    </w:p>
    <w:p>
      <w:pPr>
        <w:pStyle w:val="174"/>
        <w:numPr>
          <w:ilvl w:val="0"/>
          <w:numId w:val="0"/>
        </w:numPr>
        <w:rPr>
          <w:rFonts w:ascii="Times New Roman"/>
        </w:rPr>
      </w:pPr>
      <w:r>
        <w:rPr>
          <w:rFonts w:ascii="Times New Roman"/>
        </w:rPr>
        <w:t>1</w:t>
      </w:r>
      <w:r>
        <w:rPr>
          <w:rFonts w:hint="eastAsia" w:ascii="Times New Roman"/>
        </w:rPr>
        <w:t>——既有路面；</w:t>
      </w:r>
    </w:p>
    <w:p>
      <w:pPr>
        <w:pStyle w:val="174"/>
        <w:numPr>
          <w:ilvl w:val="0"/>
          <w:numId w:val="0"/>
        </w:numPr>
        <w:rPr>
          <w:rFonts w:ascii="Times New Roman"/>
        </w:rPr>
      </w:pPr>
      <w:r>
        <w:rPr>
          <w:rFonts w:ascii="Times New Roman"/>
        </w:rPr>
        <w:t>2</w:t>
      </w:r>
      <w:r>
        <w:rPr>
          <w:rFonts w:hint="eastAsia" w:ascii="Times New Roman"/>
        </w:rPr>
        <w:t>——既有路基；</w:t>
      </w:r>
    </w:p>
    <w:p>
      <w:pPr>
        <w:pStyle w:val="174"/>
        <w:numPr>
          <w:ilvl w:val="0"/>
          <w:numId w:val="0"/>
        </w:numPr>
        <w:rPr>
          <w:rFonts w:ascii="Times New Roman"/>
        </w:rPr>
      </w:pPr>
      <w:r>
        <w:rPr>
          <w:rFonts w:ascii="Times New Roman"/>
        </w:rPr>
        <w:t>3</w:t>
      </w:r>
      <w:r>
        <w:rPr>
          <w:rFonts w:hint="eastAsia" w:ascii="Times New Roman"/>
        </w:rPr>
        <w:t>——本次填的部分；</w:t>
      </w:r>
    </w:p>
    <w:p>
      <w:pPr>
        <w:pStyle w:val="174"/>
        <w:numPr>
          <w:ilvl w:val="0"/>
          <w:numId w:val="0"/>
        </w:numPr>
        <w:rPr>
          <w:rFonts w:ascii="Times New Roman"/>
        </w:rPr>
      </w:pPr>
      <w:r>
        <w:rPr>
          <w:rFonts w:ascii="Times New Roman"/>
        </w:rPr>
        <w:t>4</w:t>
      </w:r>
      <w:r>
        <w:rPr>
          <w:rFonts w:hint="eastAsia" w:ascii="Times New Roman"/>
        </w:rPr>
        <w:t>——超挖部分。</w:t>
      </w:r>
    </w:p>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路基拼接台阶开挖方式</w:t>
      </w:r>
    </w:p>
    <w:p>
      <w:pPr>
        <w:pStyle w:val="56"/>
        <w:autoSpaceDE/>
        <w:autoSpaceDN/>
        <w:spacing w:line="480" w:lineRule="auto"/>
        <w:ind w:firstLine="0" w:firstLineChars="0"/>
        <w:rPr>
          <w:rFonts w:ascii="Times New Roman" w:eastAsia="楷体"/>
        </w:rPr>
      </w:pPr>
      <w:r>
        <w:rPr>
          <w:rFonts w:hint="eastAsia" w:ascii="Times New Roman" w:eastAsia="楷体"/>
        </w:rPr>
        <w:t>条文说明</w:t>
      </w:r>
    </w:p>
    <w:p>
      <w:pPr>
        <w:pStyle w:val="56"/>
        <w:autoSpaceDE/>
        <w:autoSpaceDN/>
        <w:ind w:firstLine="420"/>
        <w:rPr>
          <w:rFonts w:ascii="Times New Roman" w:eastAsia="楷体"/>
        </w:rPr>
      </w:pPr>
      <w:r>
        <w:rPr>
          <w:rFonts w:hint="eastAsia" w:ascii="Times New Roman" w:eastAsia="楷体"/>
        </w:rPr>
        <w:t>采用开挖台阶进行拼宽部分路基与既有路基拼接是实践中常规的做法，有利于结合紧密，减少差异变形。开挖一般采用直接开挖方式，由下至上，开挖与拼宽填筑交替进行。规定开挖台阶宽度不小于</w:t>
      </w:r>
      <w:r>
        <w:rPr>
          <w:rFonts w:ascii="Times New Roman" w:eastAsia="楷体"/>
        </w:rPr>
        <w:t>1 m</w:t>
      </w:r>
      <w:r>
        <w:rPr>
          <w:rFonts w:hint="eastAsia" w:ascii="Times New Roman" w:eastAsia="楷体"/>
        </w:rPr>
        <w:t>，是考虑消除既有路基边部压实可能施工不到位等隐患。</w:t>
      </w:r>
    </w:p>
    <w:p>
      <w:pPr>
        <w:pStyle w:val="56"/>
        <w:autoSpaceDE/>
        <w:autoSpaceDN/>
        <w:ind w:firstLine="420"/>
        <w:rPr>
          <w:rFonts w:ascii="Times New Roman"/>
        </w:rPr>
      </w:pPr>
    </w:p>
    <w:p>
      <w:pPr>
        <w:pStyle w:val="165"/>
        <w:rPr>
          <w:rFonts w:ascii="Times New Roman"/>
        </w:rPr>
      </w:pPr>
      <w:r>
        <w:rPr>
          <w:rFonts w:hint="eastAsia" w:ascii="Times New Roman"/>
        </w:rPr>
        <w:t>对于既有路基边坡松散严重、台阶立面难以自稳的路段，可将台阶面最上层土翻松20</w:t>
      </w:r>
      <w:r>
        <w:rPr>
          <w:rFonts w:ascii="Times New Roman"/>
        </w:rPr>
        <w:t xml:space="preserve"> </w:t>
      </w:r>
      <w:r>
        <w:rPr>
          <w:rFonts w:hint="eastAsia" w:ascii="Times New Roman"/>
        </w:rPr>
        <w:t>cm晾晒或进行改良处理，并和新路堤同步整平压实；或对既有路基台阶面进行液压夯实，在夯坑内填碎石，推土机推平后，用压路机碾压至符合压实度要求。</w:t>
      </w:r>
    </w:p>
    <w:p>
      <w:pPr>
        <w:pStyle w:val="165"/>
        <w:rPr>
          <w:rFonts w:ascii="Times New Roman"/>
        </w:rPr>
      </w:pPr>
      <w:r>
        <w:rPr>
          <w:rFonts w:hint="eastAsia" w:ascii="Times New Roman"/>
        </w:rPr>
        <w:t>新路基与每层既有路基台阶填平时，应采用压路机对拼接缝两侧不小于2</w:t>
      </w:r>
      <w:r>
        <w:rPr>
          <w:rFonts w:ascii="Times New Roman"/>
        </w:rPr>
        <w:t xml:space="preserve"> </w:t>
      </w:r>
      <w:r>
        <w:rPr>
          <w:rFonts w:hint="eastAsia" w:ascii="Times New Roman"/>
        </w:rPr>
        <w:t>m的范围进行增强补压，确保拼接密实，并对拼接部位加强检测。</w:t>
      </w:r>
    </w:p>
    <w:p>
      <w:pPr>
        <w:pStyle w:val="165"/>
        <w:rPr>
          <w:rFonts w:ascii="Times New Roman"/>
        </w:rPr>
      </w:pPr>
      <w:r>
        <w:rPr>
          <w:rFonts w:hint="eastAsia" w:ascii="Times New Roman"/>
        </w:rPr>
        <w:t>应在上路床、下路床及上路堤采用压路机对既有路基台阶面和新填路基部分进行增强补压；若路堤较高，应对每两个台阶高度的路基增强补压，增强补压界面竖向距离土工合成材料表面不少于30</w:t>
      </w:r>
      <w:r>
        <w:rPr>
          <w:rFonts w:ascii="Times New Roman"/>
        </w:rPr>
        <w:t xml:space="preserve"> </w:t>
      </w:r>
      <w:r>
        <w:rPr>
          <w:rFonts w:hint="eastAsia" w:ascii="Times New Roman"/>
        </w:rPr>
        <w:t>cm。</w:t>
      </w:r>
    </w:p>
    <w:p>
      <w:pPr>
        <w:pStyle w:val="165"/>
        <w:rPr>
          <w:rFonts w:ascii="Times New Roman"/>
        </w:rPr>
      </w:pPr>
      <w:r>
        <w:rPr>
          <w:rFonts w:hint="eastAsia" w:ascii="Times New Roman"/>
        </w:rPr>
        <w:t>碾压完成后的结合部位不得有松散、软弹、翻浆及表面不平整现象；如不满足要求，应重新进行碾压，重型压路机碾压不到的边角部位，应采用小型振动压路机碾压或用小型振动夯夯压密实，拼宽路基相应层位压实度应较新建高速公路压实度提高1%。</w:t>
      </w:r>
    </w:p>
    <w:p>
      <w:pPr>
        <w:pStyle w:val="165"/>
        <w:rPr>
          <w:rFonts w:ascii="Times New Roman"/>
        </w:rPr>
      </w:pPr>
      <w:r>
        <w:rPr>
          <w:rFonts w:hint="eastAsia" w:ascii="Times New Roman"/>
        </w:rPr>
        <w:t>既有路基边坡台阶开挖注意事项如下：</w:t>
      </w:r>
    </w:p>
    <w:p>
      <w:pPr>
        <w:pStyle w:val="174"/>
        <w:numPr>
          <w:ilvl w:val="0"/>
          <w:numId w:val="39"/>
        </w:numPr>
        <w:rPr>
          <w:rFonts w:ascii="Times New Roman"/>
        </w:rPr>
      </w:pPr>
      <w:r>
        <w:rPr>
          <w:rFonts w:hint="eastAsia" w:ascii="Times New Roman"/>
        </w:rPr>
        <w:t>应结合实际进行设置，按照每填筑一个台阶开挖一级，并把台阶开挖验收纳入质检程序中；</w:t>
      </w:r>
    </w:p>
    <w:p>
      <w:pPr>
        <w:pStyle w:val="174"/>
        <w:numPr>
          <w:ilvl w:val="0"/>
          <w:numId w:val="39"/>
        </w:numPr>
        <w:rPr>
          <w:rFonts w:ascii="Times New Roman"/>
        </w:rPr>
      </w:pPr>
      <w:r>
        <w:rPr>
          <w:rFonts w:hint="eastAsia" w:ascii="Times New Roman"/>
        </w:rPr>
        <w:t>在挖掘机开挖前，用白石灰在老路边坡上沿行车方向划线，以标记本次台阶开挖的位置；挖掘机的挖斗沿着白石灰线往下垂直切，形成粗糙的台阶，然后进行修整，形成尺寸基本准确、垂直平整、无松散土的台阶，填筑一层台阶高度的路基再开挖上一层台阶；</w:t>
      </w:r>
    </w:p>
    <w:p>
      <w:pPr>
        <w:pStyle w:val="174"/>
        <w:numPr>
          <w:ilvl w:val="0"/>
          <w:numId w:val="39"/>
        </w:numPr>
        <w:rPr>
          <w:rFonts w:ascii="Times New Roman"/>
        </w:rPr>
      </w:pPr>
      <w:r>
        <w:rPr>
          <w:rFonts w:hint="eastAsia" w:ascii="Times New Roman"/>
        </w:rPr>
        <w:t>通车条件下台阶开挖施工时，应设引导标志和保通人员，引导车辆靠内侧车道行驶；</w:t>
      </w:r>
    </w:p>
    <w:p>
      <w:pPr>
        <w:pStyle w:val="174"/>
        <w:numPr>
          <w:ilvl w:val="0"/>
          <w:numId w:val="39"/>
        </w:numPr>
        <w:rPr>
          <w:rFonts w:ascii="Times New Roman"/>
        </w:rPr>
      </w:pPr>
      <w:r>
        <w:rPr>
          <w:rFonts w:hint="eastAsia" w:ascii="Times New Roman"/>
        </w:rPr>
        <w:t>边坡台阶开挖前应在既有路肩设置位移观测点，对路基稳定状态进行监测和预警，及时采取相应的保护措施。</w:t>
      </w:r>
    </w:p>
    <w:p>
      <w:pPr>
        <w:pStyle w:val="165"/>
        <w:rPr>
          <w:rFonts w:ascii="Times New Roman"/>
        </w:rPr>
      </w:pPr>
      <w:r>
        <w:rPr>
          <w:rFonts w:hint="eastAsia" w:ascii="Times New Roman"/>
        </w:rPr>
        <w:t>半填半挖路段，应将原地面设置成向内倾斜的台阶，台阶内倾坡度宜为2%～4%，再进行分层填筑，台阶宽度应按照设计要求进行开挖；在挖方一侧，台阶应与行车道方向一致，位置重合。</w:t>
      </w:r>
    </w:p>
    <w:p>
      <w:pPr>
        <w:pStyle w:val="165"/>
        <w:rPr>
          <w:rFonts w:ascii="Times New Roman"/>
        </w:rPr>
      </w:pPr>
      <w:r>
        <w:rPr>
          <w:rFonts w:hint="eastAsia" w:ascii="Times New Roman"/>
        </w:rPr>
        <w:t>以下种类路基拓宽应符合下列规定：</w:t>
      </w:r>
    </w:p>
    <w:p>
      <w:pPr>
        <w:pStyle w:val="174"/>
        <w:numPr>
          <w:ilvl w:val="0"/>
          <w:numId w:val="40"/>
        </w:numPr>
        <w:rPr>
          <w:rFonts w:ascii="Times New Roman"/>
        </w:rPr>
      </w:pPr>
      <w:r>
        <w:rPr>
          <w:rFonts w:hint="eastAsia" w:ascii="Times New Roman"/>
        </w:rPr>
        <w:t>采用台阶法拼接填石路基、粉煤灰路基等可采用单坡填筑拼接，并设置必要的防排水措施；</w:t>
      </w:r>
    </w:p>
    <w:p>
      <w:pPr>
        <w:pStyle w:val="174"/>
        <w:numPr>
          <w:ilvl w:val="0"/>
          <w:numId w:val="40"/>
        </w:numPr>
        <w:rPr>
          <w:rFonts w:ascii="Times New Roman"/>
        </w:rPr>
      </w:pPr>
      <w:r>
        <w:rPr>
          <w:rFonts w:hint="eastAsia" w:ascii="Times New Roman"/>
        </w:rPr>
        <w:t>采用轻质泡沫混凝土进行路基拓宽时，应根据使用目的、荷载等级、地形地质条件、环境条件及路基几何参数，经过技术经济综合论证，合理选择轻质材料类型、路基结构与断面形式，确定材料设计参数，材料应符合《公路路基设计规范》（JTG D30）要求；轻质泡沫混凝土底部应考虑既有公路的排水通道；施工时单层填筑厚度宜控制在0.3</w:t>
      </w:r>
      <w:r>
        <w:rPr>
          <w:rFonts w:ascii="Times New Roman"/>
        </w:rPr>
        <w:t xml:space="preserve"> </w:t>
      </w:r>
      <w:r>
        <w:rPr>
          <w:rFonts w:hint="eastAsia" w:ascii="Times New Roman"/>
        </w:rPr>
        <w:t>m～1.0</w:t>
      </w:r>
      <w:r>
        <w:rPr>
          <w:rFonts w:ascii="Times New Roman"/>
        </w:rPr>
        <w:t xml:space="preserve"> </w:t>
      </w:r>
      <w:r>
        <w:rPr>
          <w:rFonts w:hint="eastAsia" w:ascii="Times New Roman"/>
        </w:rPr>
        <w:t>m的范围，最大厚度不宜超过1.5</w:t>
      </w:r>
      <w:r>
        <w:rPr>
          <w:rFonts w:ascii="Times New Roman"/>
        </w:rPr>
        <w:t xml:space="preserve"> </w:t>
      </w:r>
      <w:r>
        <w:rPr>
          <w:rFonts w:hint="eastAsia" w:ascii="Times New Roman"/>
        </w:rPr>
        <w:t>m，单层填筑厚度超过1.0</w:t>
      </w:r>
      <w:r>
        <w:rPr>
          <w:rFonts w:ascii="Times New Roman"/>
        </w:rPr>
        <w:t xml:space="preserve"> </w:t>
      </w:r>
      <w:r>
        <w:rPr>
          <w:rFonts w:hint="eastAsia" w:ascii="Times New Roman"/>
        </w:rPr>
        <w:t>m时，应先施工厚度1.0</w:t>
      </w:r>
      <w:r>
        <w:rPr>
          <w:rFonts w:ascii="Times New Roman"/>
        </w:rPr>
        <w:t xml:space="preserve"> </w:t>
      </w:r>
      <w:r>
        <w:rPr>
          <w:rFonts w:hint="eastAsia" w:ascii="Times New Roman"/>
        </w:rPr>
        <w:t>m，不小于30</w:t>
      </w:r>
      <w:r>
        <w:rPr>
          <w:rFonts w:ascii="Times New Roman"/>
        </w:rPr>
        <w:t xml:space="preserve"> </w:t>
      </w:r>
      <w:r>
        <w:rPr>
          <w:rFonts w:hint="eastAsia" w:ascii="Times New Roman"/>
        </w:rPr>
        <w:t>min后，当轻质泡沫混凝土开始失去塑性，方可继续施工剩余0.5</w:t>
      </w:r>
      <w:r>
        <w:rPr>
          <w:rFonts w:ascii="Times New Roman"/>
        </w:rPr>
        <w:t xml:space="preserve"> </w:t>
      </w:r>
      <w:r>
        <w:rPr>
          <w:rFonts w:hint="eastAsia" w:ascii="Times New Roman"/>
        </w:rPr>
        <w:t>m；注意采取防止分层离析、塌落等质量控制措施；</w:t>
      </w:r>
    </w:p>
    <w:p>
      <w:pPr>
        <w:pStyle w:val="174"/>
        <w:numPr>
          <w:ilvl w:val="0"/>
          <w:numId w:val="40"/>
        </w:numPr>
        <w:rPr>
          <w:rFonts w:ascii="Times New Roman"/>
        </w:rPr>
      </w:pPr>
      <w:r>
        <w:rPr>
          <w:rFonts w:hint="eastAsia" w:ascii="Times New Roman"/>
        </w:rPr>
        <w:t>既有挡土墙路基拓宽时，上部结构物应予以拆除，应将上部结构拆除至路床底面；剩余未拆除的部分不应对新的路面结构层受力变形产生不利影响，并应对下部路基填料和拼接工艺提出相应要求；</w:t>
      </w:r>
    </w:p>
    <w:p>
      <w:pPr>
        <w:pStyle w:val="174"/>
        <w:numPr>
          <w:ilvl w:val="0"/>
          <w:numId w:val="40"/>
        </w:numPr>
        <w:rPr>
          <w:rFonts w:ascii="Times New Roman"/>
        </w:rPr>
      </w:pPr>
      <w:r>
        <w:rPr>
          <w:rFonts w:hint="eastAsia" w:ascii="Times New Roman"/>
        </w:rPr>
        <w:t>加筋土挡墙、锚定板挡墙、桩板式挡墙、抗滑桩等特殊路基拓宽时，应提出合理的拆除工艺，确保路基稳定。</w:t>
      </w:r>
    </w:p>
    <w:p>
      <w:pPr>
        <w:pStyle w:val="165"/>
        <w:rPr>
          <w:rFonts w:ascii="Times New Roman"/>
        </w:rPr>
      </w:pPr>
      <w:r>
        <w:rPr>
          <w:rFonts w:hint="eastAsia" w:ascii="Times New Roman"/>
        </w:rPr>
        <w:t>在较为薄弱和易出现问题的拼接缝位置，采用铺设钢塑土工格栅、土工格室、聚酯玻纤布等过渡性加固措施，提高拼接位置抗剪强度，增强路基、路面的整体和稳定性。</w:t>
      </w:r>
    </w:p>
    <w:p>
      <w:pPr>
        <w:pStyle w:val="165"/>
        <w:rPr>
          <w:rFonts w:ascii="Times New Roman"/>
        </w:rPr>
      </w:pPr>
      <w:r>
        <w:rPr>
          <w:rFonts w:hint="eastAsia" w:ascii="Times New Roman"/>
        </w:rPr>
        <w:t>雨季施工应根据天气和施工段的地质地形条件，制定合理的施工方案，且应做好临时排水，与永久排水设施衔接顺畅，对施工临时挤占的沟渠、河道，应进行排水计算，并采取措施保证不降低原有的排水能力。</w:t>
      </w:r>
    </w:p>
    <w:p>
      <w:pPr>
        <w:pStyle w:val="165"/>
        <w:rPr>
          <w:rFonts w:ascii="Times New Roman"/>
        </w:rPr>
      </w:pPr>
      <w:r>
        <w:rPr>
          <w:rFonts w:hint="eastAsia" w:ascii="Times New Roman"/>
        </w:rPr>
        <w:t>基底处治符合下列要求：</w:t>
      </w:r>
    </w:p>
    <w:p>
      <w:pPr>
        <w:pStyle w:val="174"/>
        <w:numPr>
          <w:ilvl w:val="0"/>
          <w:numId w:val="41"/>
        </w:numPr>
        <w:rPr>
          <w:rFonts w:ascii="Times New Roman"/>
        </w:rPr>
      </w:pPr>
      <w:r>
        <w:rPr>
          <w:rFonts w:hint="eastAsia" w:ascii="Times New Roman"/>
        </w:rPr>
        <w:t>基底处治设计应满足稳定和沉降变形控制等要求，若差异沉降主要由侧向变形引起的，建议在坡脚设置支挡构筑物；</w:t>
      </w:r>
    </w:p>
    <w:p>
      <w:pPr>
        <w:pStyle w:val="174"/>
        <w:numPr>
          <w:ilvl w:val="0"/>
          <w:numId w:val="41"/>
        </w:numPr>
        <w:rPr>
          <w:rFonts w:ascii="Times New Roman"/>
        </w:rPr>
      </w:pPr>
      <w:r>
        <w:rPr>
          <w:rFonts w:hint="eastAsia" w:ascii="Times New Roman"/>
        </w:rPr>
        <w:t>应充分考虑地基土特性、厚度及埋深、地层结构情况、地下水特征、荷载、环境条件等因素，初选可行的地基处理方案；</w:t>
      </w:r>
    </w:p>
    <w:p>
      <w:pPr>
        <w:pStyle w:val="174"/>
        <w:numPr>
          <w:ilvl w:val="0"/>
          <w:numId w:val="41"/>
        </w:numPr>
        <w:rPr>
          <w:rFonts w:ascii="Times New Roman"/>
        </w:rPr>
      </w:pPr>
      <w:r>
        <w:rPr>
          <w:rFonts w:hint="eastAsia" w:ascii="Times New Roman"/>
        </w:rPr>
        <w:t>应对初选的地基处理方案，从预期处理效果、材料、施工机械、工期要求和对环境的影响等方面进行技术经济对比分析，选择最佳处理方法；</w:t>
      </w:r>
    </w:p>
    <w:p>
      <w:pPr>
        <w:pStyle w:val="174"/>
        <w:numPr>
          <w:ilvl w:val="0"/>
          <w:numId w:val="41"/>
        </w:numPr>
        <w:rPr>
          <w:rFonts w:ascii="Times New Roman"/>
        </w:rPr>
      </w:pPr>
      <w:r>
        <w:rPr>
          <w:rFonts w:hint="eastAsia" w:ascii="Times New Roman"/>
        </w:rPr>
        <w:t>基底为软弱土时，处治设计及施工应满足《公路软土地基路堤设计与施工技术细则》（JTG/T D31-02）地基处治相关规定；</w:t>
      </w:r>
    </w:p>
    <w:p>
      <w:pPr>
        <w:pStyle w:val="174"/>
        <w:numPr>
          <w:ilvl w:val="0"/>
          <w:numId w:val="41"/>
        </w:numPr>
        <w:rPr>
          <w:rFonts w:ascii="Times New Roman"/>
        </w:rPr>
      </w:pPr>
      <w:r>
        <w:rPr>
          <w:rFonts w:hint="eastAsia" w:ascii="Times New Roman"/>
        </w:rPr>
        <w:t>基底处治所用材料技术指标应符合设计要求，并按相关规定进行进场检验；</w:t>
      </w:r>
    </w:p>
    <w:p>
      <w:pPr>
        <w:pStyle w:val="174"/>
        <w:numPr>
          <w:ilvl w:val="0"/>
          <w:numId w:val="41"/>
        </w:numPr>
        <w:rPr>
          <w:rFonts w:ascii="Times New Roman"/>
        </w:rPr>
      </w:pPr>
      <w:r>
        <w:rPr>
          <w:rFonts w:hint="eastAsia" w:ascii="Times New Roman"/>
        </w:rPr>
        <w:t>施工前及施工过程中，应对地质情况进行核对，并作好记录；当地质资料与现场不符或地质情况异常时，应及时分析处理；</w:t>
      </w:r>
    </w:p>
    <w:p>
      <w:pPr>
        <w:pStyle w:val="174"/>
        <w:numPr>
          <w:ilvl w:val="0"/>
          <w:numId w:val="41"/>
        </w:numPr>
        <w:rPr>
          <w:rFonts w:ascii="Times New Roman"/>
        </w:rPr>
      </w:pPr>
      <w:r>
        <w:rPr>
          <w:rFonts w:hint="eastAsia" w:ascii="Times New Roman"/>
        </w:rPr>
        <w:t>对处治后的地基应对密实度、承载力等进行质量检验，对处治效果不明确的应进行监测，监测应符合本规范第</w:t>
      </w:r>
      <w:r>
        <w:rPr>
          <w:rFonts w:ascii="Times New Roman"/>
        </w:rPr>
        <w:t>10</w:t>
      </w:r>
      <w:r>
        <w:rPr>
          <w:rFonts w:hint="eastAsia" w:ascii="Times New Roman"/>
        </w:rPr>
        <w:t>章相关要求。</w:t>
      </w:r>
    </w:p>
    <w:p>
      <w:pPr>
        <w:pStyle w:val="165"/>
        <w:rPr>
          <w:rFonts w:ascii="Times New Roman"/>
        </w:rPr>
      </w:pPr>
      <w:r>
        <w:rPr>
          <w:rFonts w:hint="eastAsia" w:ascii="Times New Roman"/>
        </w:rPr>
        <w:t>土方开挖遇到地下水时，按下列规定处理：</w:t>
      </w:r>
    </w:p>
    <w:p>
      <w:pPr>
        <w:pStyle w:val="174"/>
        <w:numPr>
          <w:ilvl w:val="0"/>
          <w:numId w:val="42"/>
        </w:numPr>
        <w:rPr>
          <w:rFonts w:ascii="Times New Roman"/>
        </w:rPr>
      </w:pPr>
      <w:r>
        <w:rPr>
          <w:rFonts w:hint="eastAsia" w:ascii="Times New Roman"/>
        </w:rPr>
        <w:t>采取排导措施，将水引入路基排水系统，不准许随意堵塞泉眼；</w:t>
      </w:r>
    </w:p>
    <w:p>
      <w:pPr>
        <w:pStyle w:val="174"/>
        <w:numPr>
          <w:ilvl w:val="0"/>
          <w:numId w:val="42"/>
        </w:numPr>
        <w:rPr>
          <w:rFonts w:ascii="Times New Roman"/>
        </w:rPr>
      </w:pPr>
      <w:r>
        <w:rPr>
          <w:rFonts w:hint="eastAsia" w:ascii="Times New Roman"/>
        </w:rPr>
        <w:t>路床土含水率高或为含水层时，采取设置渗沟、换填、改良土质等处理措施；</w:t>
      </w:r>
    </w:p>
    <w:p>
      <w:pPr>
        <w:pStyle w:val="174"/>
        <w:numPr>
          <w:ilvl w:val="0"/>
          <w:numId w:val="42"/>
        </w:numPr>
        <w:rPr>
          <w:rFonts w:ascii="Times New Roman"/>
        </w:rPr>
      </w:pPr>
      <w:r>
        <w:rPr>
          <w:rFonts w:hint="eastAsia" w:ascii="Times New Roman"/>
        </w:rPr>
        <w:t>路床填料应符合《公路路基设计规范》（JTG D30）的规定，且具有好的透水性和水稳性。</w:t>
      </w:r>
    </w:p>
    <w:p>
      <w:pPr>
        <w:pStyle w:val="165"/>
        <w:rPr>
          <w:rFonts w:ascii="Times New Roman"/>
        </w:rPr>
      </w:pPr>
      <w:r>
        <w:rPr>
          <w:rFonts w:hint="eastAsia" w:ascii="Times New Roman"/>
        </w:rPr>
        <w:t>路基施工填筑期沉降控制标准，按下列规定：</w:t>
      </w:r>
    </w:p>
    <w:p>
      <w:pPr>
        <w:pStyle w:val="174"/>
        <w:numPr>
          <w:ilvl w:val="0"/>
          <w:numId w:val="43"/>
        </w:numPr>
        <w:rPr>
          <w:rFonts w:ascii="Times New Roman"/>
        </w:rPr>
      </w:pPr>
      <w:r>
        <w:rPr>
          <w:rFonts w:hint="eastAsia" w:ascii="Times New Roman"/>
        </w:rPr>
        <w:t>路堤中心线地面沉降速率每昼夜不大于1.0</w:t>
      </w:r>
      <w:r>
        <w:rPr>
          <w:rFonts w:ascii="Times New Roman"/>
        </w:rPr>
        <w:t xml:space="preserve"> </w:t>
      </w:r>
      <w:r>
        <w:rPr>
          <w:rFonts w:hint="eastAsia" w:ascii="Times New Roman"/>
        </w:rPr>
        <w:t>cm；</w:t>
      </w:r>
    </w:p>
    <w:p>
      <w:pPr>
        <w:pStyle w:val="174"/>
        <w:numPr>
          <w:ilvl w:val="0"/>
          <w:numId w:val="43"/>
        </w:numPr>
        <w:rPr>
          <w:rFonts w:ascii="Times New Roman"/>
        </w:rPr>
      </w:pPr>
      <w:r>
        <w:rPr>
          <w:rFonts w:hint="eastAsia" w:ascii="Times New Roman"/>
        </w:rPr>
        <w:t>坡脚水平位移速率每昼夜不大于0.5</w:t>
      </w:r>
      <w:r>
        <w:rPr>
          <w:rFonts w:ascii="Times New Roman"/>
        </w:rPr>
        <w:t xml:space="preserve"> </w:t>
      </w:r>
      <w:r>
        <w:rPr>
          <w:rFonts w:hint="eastAsia" w:ascii="Times New Roman"/>
        </w:rPr>
        <w:t>cm；</w:t>
      </w:r>
    </w:p>
    <w:p>
      <w:pPr>
        <w:pStyle w:val="174"/>
        <w:numPr>
          <w:ilvl w:val="0"/>
          <w:numId w:val="43"/>
        </w:numPr>
        <w:rPr>
          <w:rFonts w:ascii="Times New Roman"/>
        </w:rPr>
      </w:pPr>
      <w:r>
        <w:rPr>
          <w:rFonts w:hint="eastAsia" w:ascii="Times New Roman"/>
        </w:rPr>
        <w:t>若超出此限，应立即停止填筑，待观测值恢复到限界值以下再进行填筑。</w:t>
      </w:r>
    </w:p>
    <w:p>
      <w:pPr>
        <w:pStyle w:val="165"/>
        <w:rPr>
          <w:rFonts w:ascii="Times New Roman"/>
        </w:rPr>
      </w:pPr>
      <w:r>
        <w:rPr>
          <w:rFonts w:hint="eastAsia" w:ascii="Times New Roman"/>
        </w:rPr>
        <w:t>新老路基拓宽的设计与施工质量检测验收参考现行规范《公路路基设计规范》（JTG D30）。</w:t>
      </w:r>
    </w:p>
    <w:p>
      <w:pPr>
        <w:pStyle w:val="105"/>
        <w:spacing w:before="156" w:after="156"/>
      </w:pPr>
      <w:bookmarkStart w:id="78" w:name="_Toc134989336"/>
      <w:r>
        <w:rPr>
          <w:rFonts w:hint="eastAsia"/>
        </w:rPr>
        <w:t>高路堤与陡坡路堤拼宽</w:t>
      </w:r>
      <w:bookmarkEnd w:id="78"/>
    </w:p>
    <w:p>
      <w:pPr>
        <w:pStyle w:val="165"/>
        <w:spacing w:line="276" w:lineRule="auto"/>
        <w:rPr>
          <w:rFonts w:ascii="Times New Roman"/>
        </w:rPr>
      </w:pPr>
      <w:r>
        <w:rPr>
          <w:rFonts w:hint="eastAsia" w:ascii="Times New Roman"/>
        </w:rPr>
        <w:t>高路堤拼宽受限时，宜结合直接拼接拓宽、桩板式路堤、分离桥梁型式作技术经济比选后，确定合适的改扩建方案。</w:t>
      </w:r>
    </w:p>
    <w:p>
      <w:pPr>
        <w:pStyle w:val="165"/>
        <w:spacing w:line="276" w:lineRule="auto"/>
        <w:rPr>
          <w:rFonts w:ascii="Times New Roman"/>
        </w:rPr>
      </w:pPr>
      <w:r>
        <w:rPr>
          <w:rFonts w:hint="eastAsia" w:ascii="Times New Roman"/>
        </w:rPr>
        <w:t>宜对边坡分级、平台宽度、边坡坡率等作特殊设计，满足路基稳定性要求，并在路基底部增设土工合成材料予以增强。</w:t>
      </w:r>
    </w:p>
    <w:p>
      <w:pPr>
        <w:pStyle w:val="165"/>
        <w:spacing w:line="276" w:lineRule="auto"/>
        <w:rPr>
          <w:rFonts w:ascii="Times New Roman"/>
        </w:rPr>
      </w:pPr>
      <w:r>
        <w:rPr>
          <w:rFonts w:hint="eastAsia" w:ascii="Times New Roman"/>
        </w:rPr>
        <w:t>路堤稳定性要求如下：</w:t>
      </w:r>
    </w:p>
    <w:p>
      <w:pPr>
        <w:pStyle w:val="174"/>
        <w:numPr>
          <w:ilvl w:val="0"/>
          <w:numId w:val="44"/>
        </w:numPr>
        <w:spacing w:line="276" w:lineRule="auto"/>
        <w:rPr>
          <w:rFonts w:ascii="Times New Roman"/>
        </w:rPr>
      </w:pPr>
      <w:r>
        <w:rPr>
          <w:rFonts w:hint="eastAsia" w:ascii="Times New Roman"/>
        </w:rPr>
        <w:t>高路堤及陡坡路堤拓宽，除应对路堤堤身稳定性、路堤和地基的整体稳定性作验算外，还应对路堤沿新老路基结合面及斜坡地基或软弱层带潜在滑动进行稳定性验算，沿新老路基结合面潜在滑动的稳定性验算方法可采用不平衡推力法，安全系数不应小于1.3；</w:t>
      </w:r>
    </w:p>
    <w:p>
      <w:pPr>
        <w:pStyle w:val="174"/>
        <w:numPr>
          <w:ilvl w:val="0"/>
          <w:numId w:val="44"/>
        </w:numPr>
        <w:spacing w:line="276" w:lineRule="auto"/>
        <w:rPr>
          <w:rFonts w:ascii="Times New Roman"/>
        </w:rPr>
      </w:pPr>
      <w:r>
        <w:rPr>
          <w:rFonts w:hint="eastAsia" w:ascii="Times New Roman"/>
        </w:rPr>
        <w:t>高路堤及陡坡路堤拓宽，原坡脚支挡结构物不宜拆除，拼接填筑时临近结构物处填土可采用小型机具薄层夯压密实。</w:t>
      </w:r>
    </w:p>
    <w:p>
      <w:pPr>
        <w:pStyle w:val="165"/>
        <w:spacing w:line="276" w:lineRule="auto"/>
        <w:rPr>
          <w:rFonts w:ascii="Times New Roman"/>
        </w:rPr>
      </w:pPr>
      <w:r>
        <w:rPr>
          <w:rFonts w:hint="eastAsia" w:ascii="Times New Roman"/>
        </w:rPr>
        <w:t>高路堤及陡坡路堤拓宽，应对拓宽路堤和老路堤的变形与稳定实行动态监控，明确观测的路堤段落、观测项目、观测点布置、观测要求及控制标准。</w:t>
      </w:r>
    </w:p>
    <w:p>
      <w:pPr>
        <w:pStyle w:val="165"/>
        <w:spacing w:line="276" w:lineRule="auto"/>
        <w:rPr>
          <w:rFonts w:ascii="Times New Roman"/>
        </w:rPr>
      </w:pPr>
      <w:r>
        <w:rPr>
          <w:rFonts w:hint="eastAsia" w:ascii="Times New Roman"/>
        </w:rPr>
        <w:t>高填方路堤应严格按设计边坡坡率填筑，并保证有30 cm～50 cm的施工加宽值，可增设反压护道或路堤挡土墙。</w:t>
      </w:r>
    </w:p>
    <w:p>
      <w:pPr>
        <w:pStyle w:val="165"/>
        <w:spacing w:line="276" w:lineRule="auto"/>
        <w:rPr>
          <w:rFonts w:ascii="Times New Roman"/>
        </w:rPr>
      </w:pPr>
      <w:r>
        <w:rPr>
          <w:rFonts w:hint="eastAsia" w:ascii="Times New Roman"/>
        </w:rPr>
        <w:t>高路堤应预留至少半年沉降期，且监测的工后沉降应小于设计容许值。</w:t>
      </w:r>
    </w:p>
    <w:p>
      <w:pPr>
        <w:pStyle w:val="165"/>
        <w:spacing w:line="276" w:lineRule="auto"/>
        <w:rPr>
          <w:rFonts w:ascii="Times New Roman"/>
        </w:rPr>
      </w:pPr>
      <w:r>
        <w:rPr>
          <w:rFonts w:hint="eastAsia" w:ascii="Times New Roman"/>
        </w:rPr>
        <w:t>根据差异沉降量控制标准，在特殊岩土地基、路堤较高路段，应在第一层拼接台阶部位施打CFG桩、灰土挤密桩、水泥搅拌桩等半刚性或刚性桩，且桩长应深入原地表下不少于1</w:t>
      </w:r>
      <w:r>
        <w:rPr>
          <w:rFonts w:ascii="Times New Roman"/>
        </w:rPr>
        <w:t xml:space="preserve"> </w:t>
      </w:r>
      <w:r>
        <w:rPr>
          <w:rFonts w:hint="eastAsia" w:ascii="Times New Roman"/>
        </w:rPr>
        <w:t>m。</w:t>
      </w:r>
    </w:p>
    <w:p>
      <w:pPr>
        <w:pStyle w:val="105"/>
        <w:spacing w:before="156" w:after="156" w:line="276" w:lineRule="auto"/>
      </w:pPr>
      <w:bookmarkStart w:id="79" w:name="_Toc134989337"/>
      <w:r>
        <w:t>软土地基上的路基拼宽</w:t>
      </w:r>
      <w:bookmarkEnd w:id="79"/>
    </w:p>
    <w:p>
      <w:pPr>
        <w:pStyle w:val="165"/>
        <w:spacing w:line="276" w:lineRule="auto"/>
        <w:rPr>
          <w:rFonts w:ascii="Times New Roman"/>
        </w:rPr>
      </w:pPr>
      <w:r>
        <w:rPr>
          <w:rFonts w:hint="eastAsia" w:ascii="Times New Roman"/>
        </w:rPr>
        <w:t>拼宽软土地基处理应符合下列规定：</w:t>
      </w:r>
    </w:p>
    <w:p>
      <w:pPr>
        <w:pStyle w:val="174"/>
        <w:numPr>
          <w:ilvl w:val="0"/>
          <w:numId w:val="45"/>
        </w:numPr>
        <w:spacing w:line="276" w:lineRule="auto"/>
        <w:rPr>
          <w:rFonts w:ascii="Times New Roman"/>
        </w:rPr>
      </w:pPr>
      <w:r>
        <w:rPr>
          <w:rFonts w:hint="eastAsia" w:ascii="Times New Roman"/>
        </w:rPr>
        <w:t>既有路基下边坡地基为软土地基，且需要在扩建范围内修建施工便道的，修建施工便道前应按主线软基处理标准对软弱地基进行处理；</w:t>
      </w:r>
    </w:p>
    <w:p>
      <w:pPr>
        <w:pStyle w:val="174"/>
        <w:numPr>
          <w:ilvl w:val="0"/>
          <w:numId w:val="45"/>
        </w:numPr>
        <w:spacing w:line="276" w:lineRule="auto"/>
        <w:rPr>
          <w:rFonts w:ascii="Times New Roman"/>
        </w:rPr>
      </w:pPr>
      <w:r>
        <w:rPr>
          <w:rFonts w:hint="eastAsia" w:ascii="Times New Roman"/>
        </w:rPr>
        <w:t>地基处理措施的选取和设计应综合考虑软土层厚度和埋深、既有地基的固结度和剩余沉降情况、路基高度和拼接形式等因素，控制拓宽路基的沉降对既有路基的影响。</w:t>
      </w:r>
    </w:p>
    <w:p>
      <w:pPr>
        <w:pStyle w:val="174"/>
        <w:numPr>
          <w:ilvl w:val="0"/>
          <w:numId w:val="45"/>
        </w:numPr>
        <w:spacing w:line="276" w:lineRule="auto"/>
        <w:rPr>
          <w:rFonts w:ascii="Times New Roman"/>
        </w:rPr>
      </w:pPr>
      <w:r>
        <w:rPr>
          <w:rFonts w:hint="eastAsia" w:ascii="Times New Roman"/>
        </w:rPr>
        <w:t>宜采用柔性桩、刚性桩、轻质材料路堤等方法控制拼宽路基沉降；</w:t>
      </w:r>
    </w:p>
    <w:p>
      <w:pPr>
        <w:pStyle w:val="174"/>
        <w:numPr>
          <w:ilvl w:val="0"/>
          <w:numId w:val="45"/>
        </w:numPr>
        <w:spacing w:line="276" w:lineRule="auto"/>
        <w:rPr>
          <w:rFonts w:ascii="Times New Roman"/>
        </w:rPr>
      </w:pPr>
      <w:r>
        <w:rPr>
          <w:rFonts w:hint="eastAsia" w:ascii="Times New Roman"/>
        </w:rPr>
        <w:t>选用地基处理方法时，应考虑拼宽处填埋时的挤土、震动效应对既有路堤或临近构筑物的影响；</w:t>
      </w:r>
    </w:p>
    <w:p>
      <w:pPr>
        <w:pStyle w:val="174"/>
        <w:numPr>
          <w:ilvl w:val="0"/>
          <w:numId w:val="45"/>
        </w:numPr>
        <w:spacing w:line="276" w:lineRule="auto"/>
        <w:rPr>
          <w:rFonts w:ascii="Times New Roman"/>
        </w:rPr>
      </w:pPr>
      <w:r>
        <w:rPr>
          <w:rFonts w:hint="eastAsia" w:ascii="Times New Roman"/>
        </w:rPr>
        <w:t>根据软基的深度和厚度，当软土层厚较薄，或拼宽荷载较小时，可采用堆载预压、粒料桩等方法；当拼宽荷载较大，对既有公路影响过大时，可采用设置地基隔离墙的方法；</w:t>
      </w:r>
    </w:p>
    <w:p>
      <w:pPr>
        <w:pStyle w:val="174"/>
        <w:numPr>
          <w:ilvl w:val="0"/>
          <w:numId w:val="45"/>
        </w:numPr>
        <w:spacing w:line="276" w:lineRule="auto"/>
        <w:rPr>
          <w:rFonts w:ascii="Times New Roman"/>
        </w:rPr>
      </w:pPr>
      <w:r>
        <w:rPr>
          <w:rFonts w:hint="eastAsia" w:ascii="Times New Roman"/>
        </w:rPr>
        <w:t>轻质材料路堤宜采用现浇轻质泡沫混凝土、EPS等；</w:t>
      </w:r>
    </w:p>
    <w:p>
      <w:pPr>
        <w:pStyle w:val="165"/>
        <w:spacing w:line="276" w:lineRule="auto"/>
        <w:rPr>
          <w:rFonts w:ascii="Times New Roman"/>
        </w:rPr>
      </w:pPr>
      <w:r>
        <w:rPr>
          <w:rFonts w:hint="eastAsia" w:ascii="Times New Roman"/>
        </w:rPr>
        <w:t>沉降与稳定标准如下：</w:t>
      </w:r>
    </w:p>
    <w:p>
      <w:pPr>
        <w:pStyle w:val="174"/>
        <w:numPr>
          <w:ilvl w:val="0"/>
          <w:numId w:val="46"/>
        </w:numPr>
        <w:spacing w:line="276" w:lineRule="auto"/>
        <w:rPr>
          <w:rFonts w:ascii="Times New Roman"/>
        </w:rPr>
      </w:pPr>
      <w:r>
        <w:rPr>
          <w:rFonts w:hint="eastAsia" w:ascii="Times New Roman"/>
        </w:rPr>
        <w:t>工后沉降控制标准宜满足如下要求：桥头段不大于5</w:t>
      </w:r>
      <w:r>
        <w:rPr>
          <w:rFonts w:ascii="Times New Roman"/>
        </w:rPr>
        <w:t xml:space="preserve"> </w:t>
      </w:r>
      <w:r>
        <w:rPr>
          <w:rFonts w:hint="eastAsia" w:ascii="Times New Roman"/>
        </w:rPr>
        <w:t>cm，箱型通道及涵洞相邻路段不大于10 cm，其它一般路段不大于15</w:t>
      </w:r>
      <w:r>
        <w:rPr>
          <w:rFonts w:ascii="Times New Roman"/>
        </w:rPr>
        <w:t xml:space="preserve"> </w:t>
      </w:r>
      <w:r>
        <w:rPr>
          <w:rFonts w:hint="eastAsia" w:ascii="Times New Roman"/>
        </w:rPr>
        <w:t>cm；</w:t>
      </w:r>
    </w:p>
    <w:p>
      <w:pPr>
        <w:pStyle w:val="174"/>
        <w:numPr>
          <w:ilvl w:val="0"/>
          <w:numId w:val="46"/>
        </w:numPr>
        <w:spacing w:line="276" w:lineRule="auto"/>
        <w:rPr>
          <w:rFonts w:ascii="Times New Roman"/>
        </w:rPr>
      </w:pPr>
      <w:r>
        <w:rPr>
          <w:rFonts w:hint="eastAsia" w:ascii="Times New Roman"/>
        </w:rPr>
        <w:t>差异沉降控制应满足拼宽路基的路拱横坡度增大值不大于0.5%、相邻路段差异沉降引起的纵坡变化不大于</w:t>
      </w:r>
      <w:r>
        <w:rPr>
          <w:rFonts w:ascii="Times New Roman"/>
        </w:rPr>
        <w:t>0.4</w:t>
      </w:r>
      <w:r>
        <w:rPr>
          <w:rFonts w:hint="eastAsia" w:ascii="Times New Roman"/>
        </w:rPr>
        <w:t>%的要求；</w:t>
      </w:r>
    </w:p>
    <w:p>
      <w:pPr>
        <w:pStyle w:val="174"/>
        <w:numPr>
          <w:ilvl w:val="0"/>
          <w:numId w:val="46"/>
        </w:numPr>
        <w:spacing w:line="276" w:lineRule="auto"/>
        <w:rPr>
          <w:rFonts w:ascii="Times New Roman"/>
        </w:rPr>
      </w:pPr>
      <w:r>
        <w:rPr>
          <w:rFonts w:hint="eastAsia" w:ascii="Times New Roman"/>
        </w:rPr>
        <w:t>拓宽路基非均匀沉降控制指标和标准：施工期新老路表面差异沉降≤0.25%；工后新老路基差异沉降≤0.20%；</w:t>
      </w:r>
    </w:p>
    <w:p>
      <w:pPr>
        <w:pStyle w:val="174"/>
        <w:numPr>
          <w:ilvl w:val="0"/>
          <w:numId w:val="46"/>
        </w:numPr>
        <w:spacing w:line="276" w:lineRule="auto"/>
        <w:rPr>
          <w:rFonts w:ascii="Times New Roman"/>
        </w:rPr>
      </w:pPr>
      <w:r>
        <w:rPr>
          <w:rFonts w:hint="eastAsia" w:ascii="Times New Roman"/>
        </w:rPr>
        <w:t>施工期和运营期的路基整体稳定性应满足表1要求，计算方法参照《公路路基设计规范》（JTG D30）。</w:t>
      </w:r>
    </w:p>
    <w:p>
      <w:pPr>
        <w:pStyle w:val="112"/>
        <w:spacing w:before="156" w:after="156"/>
        <w:rPr>
          <w:rFonts w:ascii="Times New Roman"/>
          <w:color w:val="000000" w:themeColor="text1"/>
          <w14:textFill>
            <w14:solidFill>
              <w14:schemeClr w14:val="tx1"/>
            </w14:solidFill>
          </w14:textFill>
        </w:rPr>
      </w:pPr>
      <w:r>
        <w:rPr>
          <w:sz w:val="18"/>
          <w:szCs w:val="18"/>
        </w:rPr>
        <mc:AlternateContent>
          <mc:Choice Requires="wps">
            <w:drawing>
              <wp:anchor distT="0" distB="0" distL="114300" distR="114300" simplePos="0" relativeHeight="251669504" behindDoc="0" locked="0" layoutInCell="1" allowOverlap="1">
                <wp:simplePos x="0" y="0"/>
                <wp:positionH relativeFrom="column">
                  <wp:posOffset>31115</wp:posOffset>
                </wp:positionH>
                <wp:positionV relativeFrom="paragraph">
                  <wp:posOffset>873760</wp:posOffset>
                </wp:positionV>
                <wp:extent cx="869950" cy="245110"/>
                <wp:effectExtent l="0" t="0" r="0" b="0"/>
                <wp:wrapNone/>
                <wp:docPr id="173232720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869950" cy="245110"/>
                        </a:xfrm>
                        <a:prstGeom prst="rect">
                          <a:avLst/>
                        </a:prstGeom>
                        <a:noFill/>
                        <a:ln>
                          <a:noFill/>
                        </a:ln>
                      </wps:spPr>
                      <wps:txbx>
                        <w:txbxContent>
                          <w:p>
                            <w:pPr>
                              <w:jc w:val="center"/>
                              <w:rPr>
                                <w:sz w:val="18"/>
                                <w:szCs w:val="18"/>
                              </w:rPr>
                            </w:pPr>
                            <w:r>
                              <w:rPr>
                                <w:rFonts w:hint="eastAsia"/>
                                <w:sz w:val="18"/>
                                <w:szCs w:val="18"/>
                              </w:rPr>
                              <w:t>采用指标</w:t>
                            </w:r>
                          </w:p>
                        </w:txbxContent>
                      </wps:txbx>
                      <wps:bodyPr rot="0" vert="horz" wrap="square" lIns="0" tIns="0" rIns="0" bIns="0" anchor="t" anchorCtr="0" upright="1">
                        <a:noAutofit/>
                      </wps:bodyPr>
                    </wps:wsp>
                  </a:graphicData>
                </a:graphic>
              </wp:anchor>
            </w:drawing>
          </mc:Choice>
          <mc:Fallback>
            <w:pict>
              <v:shape id="文本框 5" o:spid="_x0000_s1026" o:spt="202" type="#_x0000_t202" style="position:absolute;left:0pt;margin-left:2.45pt;margin-top:68.8pt;height:19.3pt;width:68.5pt;z-index:251669504;mso-width-relative:page;mso-height-relative:page;" filled="f" stroked="f" coordsize="21600,21600" o:gfxdata="UEsDBAoAAAAAAIdO4kAAAAAAAAAAAAAAAAAEAAAAZHJzL1BLAwQUAAAACACHTuJAGSOwStgAAAAJ&#10;AQAADwAAAGRycy9kb3ducmV2LnhtbE2PzU7DMBCE70i8g7VI3KidUqU0xKkQghNS1TQcODrxNoka&#10;r0Ps/vD2bE9w250ZzX6bry9uECecQu9JQzJTIJAab3tqNXxW7w9PIEI0ZM3gCTX8YIB1cXuTm8z6&#10;M5V42sVWcAmFzGjoYhwzKUPToTNh5kck9vZ+cibyOrXSTubM5W6Qc6VS6UxPfKEzI7522Bx2R6fh&#10;5YvKt/57U2/LfdlX1UrRR3rQ+v4uUc8gIl7iXxiu+IwOBTPV/kg2iEHDYsVBlh+XKYirv0hYqXlY&#10;pnOQRS7/f1D8AlBLAwQUAAAACACHTuJA/n+NEvoBAAC/AwAADgAAAGRycy9lMm9Eb2MueG1srVPN&#10;jtMwEL4j8Q6W7zRNSvcnarpadrUIaWGRFh7AdZzEIvGYsdukPAD7Bpy4cN/n6nMwdtqywA1xscZj&#10;z+dvvvm8uBi6lm0UOg2m4OlkypkyEkpt6oJ//HDz4owz54UpRQtGFXyrHL9YPn+26G2uMmigLRUy&#10;AjEu723BG+9tniRONqoTbgJWGTqsADvhaYt1UqLoCb1rk2w6PUl6wNIiSOUcZa/HQ76M+FWlpL+r&#10;Kqc8awtO3HxcMa6rsCbLhchrFLbRck9D/AOLTmhDjx6hroUXbI36L6hOSwQHlZ9I6BKoKi1V7IG6&#10;Sad/dHPfCKtiLySOs0eZ3P+Dle8275HpkmZ3Ostm2Wk2nXFmREez2n172H1/3P34yuZBp966nK7f&#10;WyrwwysYqCb27OwtyE+OGbhqhKnVJSL0jRIl8UxDZfKkdMRxAWTVv4WS3hFrDxFoqLALIpIsjNBp&#10;XtvjjNTgmaTk2cn5+ZxOJB1lL+dpGmeYiPxQbNH51wo6FoKCI1kggovNrfOBjMgPV8JbBm5020Yb&#10;tOa3BF0MmUg+8B2Z+2E17MVYQbmlNhBGV9EvoKAB/MJZT44quPu8Fqg4a98YkiLY7xDgIVgdAmEk&#10;lRbcczaGV3606dqirhtCHsU2cElyVTq2EnQdWex5kktih3tHBxs+3cdbv/7d8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ZI7BK2AAAAAkBAAAPAAAAAAAAAAEAIAAAACIAAABkcnMvZG93bnJldi54&#10;bWxQSwECFAAUAAAACACHTuJA/n+NEvoBAAC/AwAADgAAAAAAAAABACAAAAAnAQAAZHJzL2Uyb0Rv&#10;Yy54bWxQSwUGAAAAAAYABgBZAQAAkwUAAAAA&#10;">
                <v:fill on="f" focussize="0,0"/>
                <v:stroke on="f"/>
                <v:imagedata o:title=""/>
                <o:lock v:ext="edit" aspectratio="f"/>
                <v:textbox inset="0mm,0mm,0mm,0mm">
                  <w:txbxContent>
                    <w:p>
                      <w:pPr>
                        <w:jc w:val="center"/>
                        <w:rPr>
                          <w:sz w:val="18"/>
                          <w:szCs w:val="18"/>
                        </w:rPr>
                      </w:pPr>
                      <w:r>
                        <w:rPr>
                          <w:rFonts w:hint="eastAsia"/>
                          <w:sz w:val="18"/>
                          <w:szCs w:val="18"/>
                        </w:rPr>
                        <w:t>采用指标</w:t>
                      </w:r>
                    </w:p>
                  </w:txbxContent>
                </v:textbox>
              </v:shape>
            </w:pict>
          </mc:Fallback>
        </mc:AlternateContent>
      </w:r>
      <w:r>
        <w:rPr>
          <w:rFonts w:hint="eastAsia" w:ascii="Times New Roman"/>
          <w:color w:val="000000" w:themeColor="text1"/>
          <w14:textFill>
            <w14:solidFill>
              <w14:schemeClr w14:val="tx1"/>
            </w14:solidFill>
          </w14:textFill>
        </w:rPr>
        <w:t>稳定安全系数规定值</w:t>
      </w:r>
    </w:p>
    <w:tbl>
      <w:tblPr>
        <w:tblStyle w:val="32"/>
        <w:tblW w:w="900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58"/>
        <w:gridCol w:w="1308"/>
        <w:gridCol w:w="1168"/>
        <w:gridCol w:w="1386"/>
        <w:gridCol w:w="1166"/>
        <w:gridCol w:w="17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2258" w:type="dxa"/>
            <w:vMerge w:val="restart"/>
            <w:tcBorders>
              <w:top w:val="single" w:color="auto" w:sz="8" w:space="0"/>
              <w:left w:val="single" w:color="auto" w:sz="8" w:space="0"/>
              <w:bottom w:val="single" w:color="auto" w:sz="4" w:space="0"/>
              <w:right w:val="single" w:color="auto" w:sz="4" w:space="0"/>
            </w:tcBorders>
          </w:tcPr>
          <w:p>
            <w:pPr>
              <w:pStyle w:val="56"/>
              <w:ind w:firstLine="171" w:firstLineChars="95"/>
              <w:jc w:val="center"/>
              <w:rPr>
                <w:rFonts w:ascii="Times New Roman"/>
                <w:sz w:val="18"/>
                <w:szCs w:val="18"/>
              </w:rPr>
            </w:pPr>
            <w:r>
              <w:rPr>
                <w:rFonts w:ascii="Times New Roman"/>
                <w:sz w:val="18"/>
                <w:szCs w:val="18"/>
              </w:rPr>
              <mc:AlternateContent>
                <mc:Choice Requires="wps">
                  <w:drawing>
                    <wp:anchor distT="0" distB="0" distL="114300" distR="114300" simplePos="0" relativeHeight="251665408" behindDoc="0" locked="0" layoutInCell="1" allowOverlap="1">
                      <wp:simplePos x="0" y="0"/>
                      <wp:positionH relativeFrom="column">
                        <wp:posOffset>-76200</wp:posOffset>
                      </wp:positionH>
                      <wp:positionV relativeFrom="paragraph">
                        <wp:posOffset>400050</wp:posOffset>
                      </wp:positionV>
                      <wp:extent cx="1438910" cy="306705"/>
                      <wp:effectExtent l="0" t="0" r="27940" b="36195"/>
                      <wp:wrapNone/>
                      <wp:docPr id="595105895" name="直接连接符 4"/>
                      <wp:cNvGraphicFramePr/>
                      <a:graphic xmlns:a="http://schemas.openxmlformats.org/drawingml/2006/main">
                        <a:graphicData uri="http://schemas.microsoft.com/office/word/2010/wordprocessingShape">
                          <wps:wsp>
                            <wps:cNvCnPr/>
                            <wps:spPr bwMode="auto">
                              <a:xfrm>
                                <a:off x="0" y="0"/>
                                <a:ext cx="1438910" cy="306705"/>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6pt;margin-top:31.5pt;height:24.15pt;width:113.3pt;z-index:251665408;mso-width-relative:page;mso-height-relative:page;" filled="f" stroked="t" coordsize="21600,21600" o:gfxdata="UEsDBAoAAAAAAIdO4kAAAAAAAAAAAAAAAAAEAAAAZHJzL1BLAwQUAAAACACHTuJAygSW29gAAAAK&#10;AQAADwAAAGRycy9kb3ducmV2LnhtbE2PTU/DMAyG70j8h8hIXKYtSYsq1DXdAeiNCwPENWu8tqJx&#10;uib7gF+POcHJsvzo9fNWm4sfxQnnOAQyoFcKBFIb3ECdgbfXZnkPIiZLzo6B0MAXRtjU11eVLV04&#10;0wuetqkTHEKxtAb6lKZSytj26G1chQmJb/swe5t4nTvpZnvmcD/KTKlCejsQf+jthA89tp/bozcQ&#10;m3c8NN+LdqE+8i5gdnh8frLG3N5otQaR8JL+YPjVZ3Wo2WkXjuSiGA0sdcZdkoEi58lApu8KEDsm&#10;tc5B1pX8X6H+AVBLAwQUAAAACACHTuJAiEXeUboBAAA3AwAADgAAAGRycy9lMm9Eb2MueG1srVJL&#10;btswEN0X6B0I7mtJTpTaguUsEqSbfgK0OQDNj0WA5BAkbdmX6AUKdNeuuuy+t2l6jA5px+lnV1SL&#10;geb3Zt4bLi531pCtDFGD62kzqSmRjoPQbt3Tu3c3z2aUxMScYAac7OleRnq5fPpkMfpOTmEAI2Qg&#10;COJiN/qeDin5rqoiH6RlcQJeOkwqCJYldMO6EoGNiG5NNa3ri2qEIHwALmPE6PUhSZcFXynJ0xul&#10;okzE9BR3S8WGYlfZVssF69aB+UHz4xrsH7awTDsceoK6ZomRTdB/QVnNA0RQacLBVqCU5rJwQDZN&#10;/QebtwPzsnBBcaI/yRT/Hyx/vb0NRIuetvO2qdvZvKXEMYunuv/w9fv7Tz++fUR7/+UzOc9ijT52&#10;2HPlbsPRix4BVuMrENjDNgmKDjsVbNYDGZJdkXt/klvuEuEYbM7PZvMGr8Ixd1ZfPK/bPKJi3UO3&#10;DzG9kGBJ/ump0S7LwTq2fRnTofShJIcd3GhjMM4648jY03k7bUtDBKNFTuZcDOvVlQlky/KjKN9x&#10;7m9lATZOHIYYh2tl6pnsQYQViH3RoMTxOmXx40vK5//VL92P7335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oEltvYAAAACgEAAA8AAAAAAAAAAQAgAAAAIgAAAGRycy9kb3ducmV2LnhtbFBLAQIU&#10;ABQAAAAIAIdO4kCIRd5RugEAADcDAAAOAAAAAAAAAAEAIAAAACcBAABkcnMvZTJvRG9jLnhtbFBL&#10;BQYAAAAABgAGAFkBAABTBQAAAAA=&#10;">
                      <v:fill on="f" focussize="0,0"/>
                      <v:stroke color="#000000" joinstyle="round"/>
                      <v:imagedata o:title=""/>
                      <o:lock v:ext="edit" aspectratio="f"/>
                    </v:line>
                  </w:pict>
                </mc:Fallback>
              </mc:AlternateContent>
            </w:r>
            <w:r>
              <w:rPr>
                <w:rFonts w:ascii="Times New Roman"/>
                <w:sz w:val="18"/>
                <w:szCs w:val="18"/>
              </w:rPr>
              <mc:AlternateContent>
                <mc:Choice Requires="wps">
                  <w:drawing>
                    <wp:anchor distT="0" distB="0" distL="114300" distR="114300" simplePos="0" relativeHeight="251666432" behindDoc="0" locked="0" layoutInCell="1" allowOverlap="1">
                      <wp:simplePos x="0" y="0"/>
                      <wp:positionH relativeFrom="column">
                        <wp:posOffset>-63500</wp:posOffset>
                      </wp:positionH>
                      <wp:positionV relativeFrom="paragraph">
                        <wp:posOffset>-6350</wp:posOffset>
                      </wp:positionV>
                      <wp:extent cx="1426845" cy="713740"/>
                      <wp:effectExtent l="0" t="0" r="21590" b="29845"/>
                      <wp:wrapNone/>
                      <wp:docPr id="1868586805" name="直接连接符 3"/>
                      <wp:cNvGraphicFramePr/>
                      <a:graphic xmlns:a="http://schemas.openxmlformats.org/drawingml/2006/main">
                        <a:graphicData uri="http://schemas.microsoft.com/office/word/2010/wordprocessingShape">
                          <wps:wsp>
                            <wps:cNvCnPr/>
                            <wps:spPr bwMode="auto">
                              <a:xfrm>
                                <a:off x="0" y="0"/>
                                <a:ext cx="1426633" cy="713724"/>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5pt;margin-top:-0.5pt;height:56.2pt;width:112.35pt;z-index:251666432;mso-width-relative:page;mso-height-relative:page;" filled="f" stroked="t" coordsize="21600,21600" o:gfxdata="UEsDBAoAAAAAAIdO4kAAAAAAAAAAAAAAAAAEAAAAZHJzL1BLAwQUAAAACACHTuJAWVwYVtcAAAAK&#10;AQAADwAAAGRycy9kb3ducmV2LnhtbE2PTU/DMAyG70j8h8hIXKYtSZkAlaY7AL1xYQNx9VrTVjRO&#10;12Qf8OsxXOBmy49eP2+xOvlBHWiKfWAHdmFAEdeh6bl18LKp5regYkJucAhMDj4pwqo8Pyswb8KR&#10;n+mwTq2SEI45OuhSGnOtY92Rx7gII7Hc3sPkMck6tbqZ8CjhftCZMdfaY8/yocOR7juqP9Z77yBW&#10;r7Srvmb1zLxdtYGy3cPTIzp3eWHNHahEp/QHw4++qEMpTtuw5yaqwcHcGumSfgdQAmR2eQNqK6S1&#10;S9Blof9XKL8BUEsDBBQAAAAIAIdO4kC5mXcEugEAADgDAAAOAAAAZHJzL2Uyb0RvYy54bWytUkuO&#10;EzEQ3SNxB8t70klnkgmtdGYxo2HDZyTgABXbnbZkuyzbSSeX4AJI7GDFkj23YTgGZScTfjtES12y&#10;6/Oq3isvr/bWsJ0KUaNr+WQ05kw5gVK7Tcvfvrl9suAsJnASDDrV8oOK/Gr1+NFy8I2qsUcjVWAE&#10;4mIz+Jb3KfmmqqLolYU4Qq8cBTsMFhJdw6aSAQZCt6aqx+N5NWCQPqBQMZL35hjkq4LfdUqkV10X&#10;VWKm5TRbKjYUu862Wi2h2QTwvRanMeAfprCgHTU9Q91AArYN+i8oq0XAiF0aCbQVdp0WqnAgNpPx&#10;H2xe9+BV4ULiRH+WKf4/WPFydxeYlrS7xXwxo38848yBpV3dv//y7d3H718/kL3//IlNs1qDjw0V&#10;Xbu7cLpFTwjr4QVKqoFtwiLEvgs2C0IU2b7ofTjrrfaJCXJOLur5fDrlTFDscjK9rC9yiwqah2of&#10;Ynqm0LJ8aLnRLusBDeyex3RMfUjJboe32hjyQ2McG1r+dFbPSkFEo2UO5lgMm/W1CWwH+VWU79T3&#10;t7SAWyePTYyjsTL1TPYowhrloWhQ/LSeMvjpKeX9/3ov1T8f/Oo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VwYVtcAAAAKAQAADwAAAAAAAAABACAAAAAiAAAAZHJzL2Rvd25yZXYueG1sUEsBAhQA&#10;FAAAAAgAh07iQLmZdwS6AQAAOAMAAA4AAAAAAAAAAQAgAAAAJgEAAGRycy9lMm9Eb2MueG1sUEsF&#10;BgAAAAAGAAYAWQEAAFIFAAAAAA==&#10;">
                      <v:fill on="f" focussize="0,0"/>
                      <v:stroke color="#000000" joinstyle="round"/>
                      <v:imagedata o:title=""/>
                      <o:lock v:ext="edit" aspectratio="f"/>
                    </v:line>
                  </w:pict>
                </mc:Fallback>
              </mc:AlternateContent>
            </w:r>
            <w:r>
              <w:rPr>
                <w:rFonts w:ascii="Times New Roman"/>
                <w:sz w:val="18"/>
                <w:szCs w:val="18"/>
              </w:rPr>
              <mc:AlternateContent>
                <mc:Choice Requires="wps">
                  <w:drawing>
                    <wp:anchor distT="0" distB="0" distL="114300" distR="114300" simplePos="0" relativeHeight="251668480" behindDoc="0" locked="0" layoutInCell="1" allowOverlap="1">
                      <wp:simplePos x="0" y="0"/>
                      <wp:positionH relativeFrom="column">
                        <wp:posOffset>6985</wp:posOffset>
                      </wp:positionH>
                      <wp:positionV relativeFrom="paragraph">
                        <wp:posOffset>179070</wp:posOffset>
                      </wp:positionV>
                      <wp:extent cx="869950" cy="245110"/>
                      <wp:effectExtent l="0" t="0" r="0" b="0"/>
                      <wp:wrapNone/>
                      <wp:docPr id="18171105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869950" cy="245110"/>
                              </a:xfrm>
                              <a:prstGeom prst="rect">
                                <a:avLst/>
                              </a:prstGeom>
                              <a:noFill/>
                              <a:ln>
                                <a:noFill/>
                              </a:ln>
                            </wps:spPr>
                            <wps:txbx>
                              <w:txbxContent>
                                <w:p>
                                  <w:pPr>
                                    <w:snapToGrid w:val="0"/>
                                    <w:rPr>
                                      <w:rFonts w:ascii="Times New Roman" w:hAnsi="Times New Roman"/>
                                      <w:sz w:val="18"/>
                                      <w:szCs w:val="18"/>
                                    </w:rPr>
                                  </w:pPr>
                                  <w:r>
                                    <w:rPr>
                                      <w:rFonts w:ascii="Times New Roman" w:hAnsi="Times New Roman"/>
                                      <w:sz w:val="18"/>
                                      <w:szCs w:val="18"/>
                                    </w:rPr>
                                    <w:t>安全系数</w:t>
                                  </w:r>
                                </w:p>
                                <w:p/>
                              </w:txbxContent>
                            </wps:txbx>
                            <wps:bodyPr rot="0" vert="horz" wrap="square" lIns="0" tIns="0" rIns="0" bIns="0" anchor="t" anchorCtr="0" upright="1">
                              <a:noAutofit/>
                            </wps:bodyPr>
                          </wps:wsp>
                        </a:graphicData>
                      </a:graphic>
                    </wp:anchor>
                  </w:drawing>
                </mc:Choice>
                <mc:Fallback>
                  <w:pict>
                    <v:shape id="文本框 2" o:spid="_x0000_s1026" o:spt="202" type="#_x0000_t202" style="position:absolute;left:0pt;margin-left:0.55pt;margin-top:14.1pt;height:19.3pt;width:68.5pt;z-index:251668480;mso-width-relative:page;mso-height-relative:page;" filled="f" stroked="f" coordsize="21600,21600" o:gfxdata="UEsDBAoAAAAAAIdO4kAAAAAAAAAAAAAAAAAEAAAAZHJzL1BLAwQUAAAACACHTuJAKrWLttQAAAAH&#10;AQAADwAAAGRycy9kb3ducmV2LnhtbE2OS0+EMBSF9yb+h+ZO4s4pYEIQKZOJ0ZWJkcGFy0LvQDP0&#10;Fmnn4b/3zkqX55FzvmpzcZM44RKsJwXpOgGB1HtjaVDw2b7eFyBC1GT05AkV/GCATX17U+nS+DM1&#10;eNrFQfAIhVIrGGOcSylDP6LTYe1nJM72fnE6slwGaRZ95nE3ySxJcum0JX4Y9YzPI/aH3dEp2H5R&#10;82K/37uPZt/Ytn1M6C0/KHW3SpMnEBEv8a8MV3xGh5qZOn8kE8TEOuWigqzIQFzjh4KNTkGeFyDr&#10;Sv7nr38BUEsDBBQAAAAIAIdO4kA9AOC99wEAAL4DAAAOAAAAZHJzL2Uyb0RvYy54bWytU82O0zAQ&#10;viPxDpbvNE1Fl92o6WrZ1SKk5UdaeICp4zQWiceM3SblAeANOHHhznP1ORg7bVnghrhYY3vmm28+&#10;f15cDl0rtpq8QVvKfDKVQluFlbHrUr5/d/vkXAofwFbQotWl3GkvL5ePHy16V+gZNthWmgSDWF/0&#10;rpRNCK7IMq8a3YGfoNOWL2ukDgJvaZ1VBD2jd202m07Psh6pcoRKe8+nN+OlXCb8utYqvKlrr4No&#10;S8ncQloprau4ZssFFGsC1xh1oAH/wKIDY7npCeoGAogNmb+gOqMIPdZhorDLsK6N0mkGniaf/jHN&#10;fQNOp1lYHO9OMvn/B6teb9+SMBW/3Xn+LM+n81wKCx0/1f7rl/23H/vvn8UsytQ7X3D2veP8MDzH&#10;gUvSyN7dofrghcXrBuxaXxFh32iomGYeK7MHpSOOjyCr/hVW3Ac2ARPQUFMXNWRVBKPzc+1OT6SH&#10;IBQfnp9dXMz5RvHV7OmcCacOUByLHfnwQmMnYlBKYgckcNje+RDJQHFMib0s3pq2TS5o7W8HnBhP&#10;EvnId2QehtVwEGOF1Y7HIBxNxZ+AgwbpkxQ9G6qU/uMGSEvRvrQsRXTfMaBjsDoGYBWXljJIMYbX&#10;YXTpxpFZN4w8im3xiuWqTRol6jqyOPBkk6QJD4aOLny4T1m/vt3y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q1i7bUAAAABwEAAA8AAAAAAAAAAQAgAAAAIgAAAGRycy9kb3ducmV2LnhtbFBLAQIU&#10;ABQAAAAIAIdO4kA9AOC99wEAAL4DAAAOAAAAAAAAAAEAIAAAACMBAABkcnMvZTJvRG9jLnhtbFBL&#10;BQYAAAAABgAGAFkBAACMBQAAAAA=&#10;">
                      <v:fill on="f" focussize="0,0"/>
                      <v:stroke on="f"/>
                      <v:imagedata o:title=""/>
                      <o:lock v:ext="edit" aspectratio="f"/>
                      <v:textbox inset="0mm,0mm,0mm,0mm">
                        <w:txbxContent>
                          <w:p>
                            <w:pPr>
                              <w:snapToGrid w:val="0"/>
                              <w:rPr>
                                <w:rFonts w:ascii="Times New Roman" w:hAnsi="Times New Roman"/>
                                <w:sz w:val="18"/>
                                <w:szCs w:val="18"/>
                              </w:rPr>
                            </w:pPr>
                            <w:r>
                              <w:rPr>
                                <w:rFonts w:ascii="Times New Roman" w:hAnsi="Times New Roman"/>
                                <w:sz w:val="18"/>
                                <w:szCs w:val="18"/>
                              </w:rPr>
                              <w:t>安全系数</w:t>
                            </w:r>
                          </w:p>
                          <w:p/>
                        </w:txbxContent>
                      </v:textbox>
                    </v:shape>
                  </w:pict>
                </mc:Fallback>
              </mc:AlternateContent>
            </w:r>
            <w:r>
              <w:rPr>
                <w:rFonts w:ascii="Times New Roman"/>
                <w:sz w:val="18"/>
                <w:szCs w:val="18"/>
              </w:rPr>
              <mc:AlternateContent>
                <mc:Choice Requires="wps">
                  <w:drawing>
                    <wp:anchor distT="0" distB="0" distL="114300" distR="114300" simplePos="0" relativeHeight="251667456" behindDoc="0" locked="0" layoutInCell="1" allowOverlap="1">
                      <wp:simplePos x="0" y="0"/>
                      <wp:positionH relativeFrom="column">
                        <wp:posOffset>419100</wp:posOffset>
                      </wp:positionH>
                      <wp:positionV relativeFrom="paragraph">
                        <wp:posOffset>101600</wp:posOffset>
                      </wp:positionV>
                      <wp:extent cx="869950" cy="245110"/>
                      <wp:effectExtent l="0" t="0" r="0" b="0"/>
                      <wp:wrapNone/>
                      <wp:docPr id="1687458068" name="文本框 1"/>
                      <wp:cNvGraphicFramePr/>
                      <a:graphic xmlns:a="http://schemas.openxmlformats.org/drawingml/2006/main">
                        <a:graphicData uri="http://schemas.microsoft.com/office/word/2010/wordprocessingShape">
                          <wps:wsp>
                            <wps:cNvSpPr txBox="1">
                              <a:spLocks noChangeArrowheads="1"/>
                            </wps:cNvSpPr>
                            <wps:spPr bwMode="auto">
                              <a:xfrm>
                                <a:off x="0" y="0"/>
                                <a:ext cx="869950" cy="245110"/>
                              </a:xfrm>
                              <a:prstGeom prst="rect">
                                <a:avLst/>
                              </a:prstGeom>
                              <a:noFill/>
                              <a:ln>
                                <a:noFill/>
                              </a:ln>
                            </wps:spPr>
                            <wps:txbx>
                              <w:txbxContent>
                                <w:p>
                                  <w:pPr>
                                    <w:jc w:val="center"/>
                                    <w:rPr>
                                      <w:sz w:val="18"/>
                                      <w:szCs w:val="18"/>
                                    </w:rPr>
                                  </w:pPr>
                                  <w:r>
                                    <w:rPr>
                                      <w:rFonts w:hint="eastAsia"/>
                                      <w:sz w:val="18"/>
                                      <w:szCs w:val="18"/>
                                    </w:rPr>
                                    <w:t>采用指标</w:t>
                                  </w:r>
                                </w:p>
                              </w:txbxContent>
                            </wps:txbx>
                            <wps:bodyPr rot="0" vert="horz" wrap="square" lIns="0" tIns="0" rIns="0" bIns="0" anchor="t" anchorCtr="0" upright="1">
                              <a:noAutofit/>
                            </wps:bodyPr>
                          </wps:wsp>
                        </a:graphicData>
                      </a:graphic>
                    </wp:anchor>
                  </w:drawing>
                </mc:Choice>
                <mc:Fallback>
                  <w:pict>
                    <v:shape id="文本框 1" o:spid="_x0000_s1026" o:spt="202" type="#_x0000_t202" style="position:absolute;left:0pt;margin-left:33pt;margin-top:8pt;height:19.3pt;width:68.5pt;z-index:251667456;mso-width-relative:page;mso-height-relative:page;" filled="f" stroked="f" coordsize="21600,21600" o:gfxdata="UEsDBAoAAAAAAIdO4kAAAAAAAAAAAAAAAAAEAAAAZHJzL1BLAwQUAAAACACHTuJAs72bd9YAAAAI&#10;AQAADwAAAGRycy9kb3ducmV2LnhtbE2Py07DMBBF90j8gzVI7KjdAhFN41QIwQoJkYYFSyeeJlbj&#10;cYjdB3/PdFVW87ijO+cW65MfxAGn6AJpmM8UCKQ2WEedhq/67e4JREyGrBkCoYZfjLAur68Kk9tw&#10;pAoPm9QJNqGYGw19SmMuZWx79CbOwojE2jZM3iQep07ayRzZ3A9yoVQmvXHEH3oz4kuP7W6z9xqe&#10;v6l6dT8fzWe1rVxdLxW9Zzutb2/magUi4SldjuGMz+hQMlMT9mSjGDRkGUdJvD9X1hfqnptGw+ND&#10;BrIs5P8A5R9QSwMEFAAAAAgAh07iQLBOhXP5AQAAvwMAAA4AAABkcnMvZTJvRG9jLnhtbK1TwY7T&#10;MBC9I/EPlu80SbUt3ajpatnVIqQFVlr4ANdxGovEY8Zuk/IB8Ad74sKd7+p37NhpygI3xMUa2zPP&#10;8948Ly/6tmE7hU6DKXg2STlTRkKpzabgHz/cvFhw5rwwpWjAqILvleMXq+fPlp3N1RRqaEqFjECM&#10;yztb8Np7myeJk7VqhZuAVYYuK8BWeNriJilRdITeNsk0TedJB1haBKmco9Pr4ZKvIn5VKenfV5VT&#10;njUFp958XDGu67Amq6XINyhsreWxDfEPXbRCG3r0BHUtvGBb1H9BtVoiOKj8REKbQFVpqSIHYpOl&#10;f7C5r4VVkQuJ4+xJJvf/YOW73R0yXdLs5ouXZ7NFOqeJGdHSrA4P3w7ffx5+fGVZ0KmzLqf0e0sF&#10;vn8FPdVEzs7egvzkmIGrWpiNukSErlaipD5jZfKkdMBxAWTdvYWS3hFbDxGor7ANIpIsjNBpXvvT&#10;jFTvmaTDxfz8fEY3kq6mZ7MsizNMRD4WW3T+tYKWhaDgSBaI4GJ36zzRoNQxJbxl4EY3TbRBY347&#10;oMRwEpsP/Q6d+37dH8VYQ7knGgiDq+gXUFADfuGsI0cV3H3eClScNW8MSRHsNwY4BusxEEZSacE9&#10;Z0N45Qebbi3qTU3Ig9gGLkmuSkcqQdehi2Of5JLI8OjoYMOn+5j169+tH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zvZt31gAAAAgBAAAPAAAAAAAAAAEAIAAAACIAAABkcnMvZG93bnJldi54bWxQ&#10;SwECFAAUAAAACACHTuJAsE6Fc/kBAAC/AwAADgAAAAAAAAABACAAAAAlAQAAZHJzL2Uyb0RvYy54&#10;bWxQSwUGAAAAAAYABgBZAQAAkAUAAAAA&#10;">
                      <v:fill on="f" focussize="0,0"/>
                      <v:stroke on="f"/>
                      <v:imagedata o:title=""/>
                      <o:lock v:ext="edit" aspectratio="f"/>
                      <v:textbox inset="0mm,0mm,0mm,0mm">
                        <w:txbxContent>
                          <w:p>
                            <w:pPr>
                              <w:jc w:val="center"/>
                              <w:rPr>
                                <w:sz w:val="18"/>
                                <w:szCs w:val="18"/>
                              </w:rPr>
                            </w:pPr>
                            <w:r>
                              <w:rPr>
                                <w:rFonts w:hint="eastAsia"/>
                                <w:sz w:val="18"/>
                                <w:szCs w:val="18"/>
                              </w:rPr>
                              <w:t>采用指标</w:t>
                            </w:r>
                          </w:p>
                        </w:txbxContent>
                      </v:textbox>
                    </v:shape>
                  </w:pict>
                </mc:Fallback>
              </mc:AlternateContent>
            </w:r>
          </w:p>
        </w:tc>
        <w:tc>
          <w:tcPr>
            <w:tcW w:w="2476" w:type="dxa"/>
            <w:gridSpan w:val="2"/>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有效固结应力</w:t>
            </w:r>
          </w:p>
        </w:tc>
        <w:tc>
          <w:tcPr>
            <w:tcW w:w="2552" w:type="dxa"/>
            <w:gridSpan w:val="2"/>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改进总强度法</w:t>
            </w:r>
          </w:p>
        </w:tc>
        <w:tc>
          <w:tcPr>
            <w:tcW w:w="1723" w:type="dxa"/>
            <w:vMerge w:val="restart"/>
            <w:tcBorders>
              <w:top w:val="single" w:color="auto" w:sz="8" w:space="0"/>
              <w:left w:val="single" w:color="auto" w:sz="4" w:space="0"/>
              <w:bottom w:val="single" w:color="auto" w:sz="4" w:space="0"/>
              <w:right w:val="single" w:color="auto" w:sz="8" w:space="0"/>
            </w:tcBorders>
            <w:vAlign w:val="center"/>
          </w:tcPr>
          <w:p>
            <w:pPr>
              <w:pStyle w:val="56"/>
              <w:ind w:firstLine="171" w:firstLineChars="95"/>
              <w:jc w:val="center"/>
              <w:rPr>
                <w:rFonts w:ascii="Times New Roman"/>
                <w:sz w:val="18"/>
                <w:szCs w:val="18"/>
              </w:rPr>
            </w:pPr>
            <w:r>
              <w:rPr>
                <w:rFonts w:ascii="Times New Roman"/>
                <w:sz w:val="18"/>
                <w:szCs w:val="18"/>
              </w:rPr>
              <w:t>简化Bishop法</w:t>
            </w:r>
          </w:p>
          <w:p>
            <w:pPr>
              <w:pStyle w:val="56"/>
              <w:ind w:firstLine="171" w:firstLineChars="95"/>
              <w:jc w:val="center"/>
              <w:rPr>
                <w:rFonts w:ascii="Times New Roman"/>
                <w:sz w:val="18"/>
                <w:szCs w:val="18"/>
              </w:rPr>
            </w:pPr>
            <w:r>
              <w:rPr>
                <w:rFonts w:ascii="Times New Roman"/>
                <w:sz w:val="18"/>
                <w:szCs w:val="18"/>
              </w:rPr>
              <w:t>Janbu条分法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jc w:val="center"/>
        </w:trPr>
        <w:tc>
          <w:tcPr>
            <w:tcW w:w="2258" w:type="dxa"/>
            <w:vMerge w:val="continue"/>
            <w:tcBorders>
              <w:top w:val="single" w:color="auto" w:sz="8" w:space="0"/>
              <w:left w:val="single" w:color="auto" w:sz="8" w:space="0"/>
              <w:bottom w:val="single" w:color="auto" w:sz="4" w:space="0"/>
              <w:right w:val="single" w:color="auto" w:sz="4" w:space="0"/>
            </w:tcBorders>
            <w:vAlign w:val="center"/>
          </w:tcPr>
          <w:p>
            <w:pPr>
              <w:pStyle w:val="56"/>
              <w:ind w:firstLine="171" w:firstLineChars="95"/>
              <w:jc w:val="center"/>
              <w:rPr>
                <w:rFonts w:ascii="Times New Roman"/>
                <w:sz w:val="18"/>
                <w:szCs w:val="18"/>
              </w:rPr>
            </w:pPr>
          </w:p>
        </w:tc>
        <w:tc>
          <w:tcPr>
            <w:tcW w:w="1308"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不考虑固结</w:t>
            </w:r>
          </w:p>
        </w:tc>
        <w:tc>
          <w:tcPr>
            <w:tcW w:w="1168"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考虑固结</w:t>
            </w:r>
          </w:p>
        </w:tc>
        <w:tc>
          <w:tcPr>
            <w:tcW w:w="1386"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不考虑固结</w:t>
            </w:r>
          </w:p>
        </w:tc>
        <w:tc>
          <w:tcPr>
            <w:tcW w:w="1166"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考虑固结</w:t>
            </w:r>
          </w:p>
        </w:tc>
        <w:tc>
          <w:tcPr>
            <w:tcW w:w="1723" w:type="dxa"/>
            <w:vMerge w:val="continue"/>
            <w:tcBorders>
              <w:top w:val="single" w:color="auto" w:sz="8" w:space="0"/>
              <w:left w:val="single" w:color="auto" w:sz="4" w:space="0"/>
              <w:bottom w:val="single" w:color="auto" w:sz="4" w:space="0"/>
              <w:right w:val="single" w:color="auto" w:sz="8" w:space="0"/>
            </w:tcBorders>
            <w:vAlign w:val="center"/>
          </w:tcPr>
          <w:p>
            <w:pPr>
              <w:pStyle w:val="56"/>
              <w:ind w:firstLine="171" w:firstLineChars="95"/>
              <w:jc w:val="center"/>
              <w:rPr>
                <w:rFonts w:ascii="Times New Roman"/>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53" w:hRule="atLeast"/>
          <w:jc w:val="center"/>
        </w:trPr>
        <w:tc>
          <w:tcPr>
            <w:tcW w:w="2258" w:type="dxa"/>
            <w:tcBorders>
              <w:top w:val="single" w:color="auto" w:sz="8" w:space="0"/>
              <w:left w:val="single" w:color="auto" w:sz="8"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直剪快剪、直剪固结</w:t>
            </w:r>
          </w:p>
        </w:tc>
        <w:tc>
          <w:tcPr>
            <w:tcW w:w="1308" w:type="dxa"/>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1.1</w:t>
            </w:r>
          </w:p>
        </w:tc>
        <w:tc>
          <w:tcPr>
            <w:tcW w:w="1168" w:type="dxa"/>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1.2</w:t>
            </w:r>
          </w:p>
        </w:tc>
        <w:tc>
          <w:tcPr>
            <w:tcW w:w="1386" w:type="dxa"/>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166" w:type="dxa"/>
            <w:tcBorders>
              <w:top w:val="single" w:color="auto" w:sz="8"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723" w:type="dxa"/>
            <w:tcBorders>
              <w:top w:val="single" w:color="auto" w:sz="8" w:space="0"/>
              <w:left w:val="single" w:color="auto" w:sz="4" w:space="0"/>
              <w:bottom w:val="single" w:color="auto" w:sz="4" w:space="0"/>
              <w:right w:val="single" w:color="auto" w:sz="8" w:space="0"/>
            </w:tcBorders>
            <w:vAlign w:val="center"/>
          </w:tcPr>
          <w:p>
            <w:pPr>
              <w:pStyle w:val="56"/>
              <w:ind w:firstLine="171" w:firstLineChars="95"/>
              <w:jc w:val="center"/>
              <w:rPr>
                <w:rFonts w:ascii="Times New Roman"/>
                <w:sz w:val="18"/>
                <w:szCs w:val="18"/>
              </w:rPr>
            </w:pPr>
            <w:r>
              <w:rPr>
                <w:rFonts w:ascii="Times New Roman"/>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jc w:val="center"/>
        </w:trPr>
        <w:tc>
          <w:tcPr>
            <w:tcW w:w="2258" w:type="dxa"/>
            <w:tcBorders>
              <w:top w:val="single" w:color="auto" w:sz="4" w:space="0"/>
              <w:left w:val="single" w:color="auto" w:sz="8"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静力触探、十字板剪切</w:t>
            </w:r>
          </w:p>
        </w:tc>
        <w:tc>
          <w:tcPr>
            <w:tcW w:w="1308" w:type="dxa"/>
            <w:tcBorders>
              <w:top w:val="single" w:color="auto" w:sz="4"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168" w:type="dxa"/>
            <w:tcBorders>
              <w:top w:val="single" w:color="auto" w:sz="4"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386" w:type="dxa"/>
            <w:tcBorders>
              <w:top w:val="single" w:color="auto" w:sz="4"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1.2</w:t>
            </w:r>
          </w:p>
        </w:tc>
        <w:tc>
          <w:tcPr>
            <w:tcW w:w="1166" w:type="dxa"/>
            <w:tcBorders>
              <w:top w:val="single" w:color="auto" w:sz="4" w:space="0"/>
              <w:left w:val="single" w:color="auto" w:sz="4" w:space="0"/>
              <w:bottom w:val="single" w:color="auto" w:sz="4"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1.3</w:t>
            </w:r>
          </w:p>
        </w:tc>
        <w:tc>
          <w:tcPr>
            <w:tcW w:w="1723" w:type="dxa"/>
            <w:tcBorders>
              <w:top w:val="single" w:color="auto" w:sz="4" w:space="0"/>
              <w:left w:val="single" w:color="auto" w:sz="4" w:space="0"/>
              <w:bottom w:val="single" w:color="auto" w:sz="4" w:space="0"/>
              <w:right w:val="single" w:color="auto" w:sz="8" w:space="0"/>
            </w:tcBorders>
            <w:vAlign w:val="center"/>
          </w:tcPr>
          <w:p>
            <w:pPr>
              <w:pStyle w:val="56"/>
              <w:ind w:firstLine="171" w:firstLineChars="95"/>
              <w:jc w:val="center"/>
              <w:rPr>
                <w:rFonts w:ascii="Times New Roman"/>
                <w:sz w:val="18"/>
                <w:szCs w:val="18"/>
              </w:rPr>
            </w:pPr>
            <w:r>
              <w:rPr>
                <w:rFonts w:ascii="Times New Roman"/>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 w:hRule="atLeast"/>
          <w:jc w:val="center"/>
        </w:trPr>
        <w:tc>
          <w:tcPr>
            <w:tcW w:w="2258" w:type="dxa"/>
            <w:tcBorders>
              <w:top w:val="single" w:color="auto" w:sz="4" w:space="0"/>
              <w:left w:val="single" w:color="auto" w:sz="8"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三轴有效剪切指标</w:t>
            </w:r>
          </w:p>
        </w:tc>
        <w:tc>
          <w:tcPr>
            <w:tcW w:w="1308"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168"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386"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p>
        </w:tc>
        <w:tc>
          <w:tcPr>
            <w:tcW w:w="1166" w:type="dxa"/>
            <w:tcBorders>
              <w:top w:val="single" w:color="auto" w:sz="4" w:space="0"/>
              <w:left w:val="single" w:color="auto" w:sz="4" w:space="0"/>
              <w:bottom w:val="single" w:color="auto" w:sz="8" w:space="0"/>
              <w:right w:val="single" w:color="auto" w:sz="4" w:space="0"/>
            </w:tcBorders>
            <w:vAlign w:val="center"/>
          </w:tcPr>
          <w:p>
            <w:pPr>
              <w:pStyle w:val="56"/>
              <w:ind w:firstLine="171" w:firstLineChars="95"/>
              <w:jc w:val="center"/>
              <w:rPr>
                <w:rFonts w:ascii="Times New Roman"/>
                <w:sz w:val="18"/>
                <w:szCs w:val="18"/>
              </w:rPr>
            </w:pPr>
            <w:r>
              <w:rPr>
                <w:rFonts w:ascii="Times New Roman"/>
                <w:sz w:val="18"/>
                <w:szCs w:val="18"/>
              </w:rPr>
              <w:t>-</w:t>
            </w:r>
          </w:p>
        </w:tc>
        <w:tc>
          <w:tcPr>
            <w:tcW w:w="1723" w:type="dxa"/>
            <w:tcBorders>
              <w:top w:val="single" w:color="auto" w:sz="4" w:space="0"/>
              <w:left w:val="single" w:color="auto" w:sz="4" w:space="0"/>
              <w:bottom w:val="single" w:color="auto" w:sz="8" w:space="0"/>
              <w:right w:val="single" w:color="auto" w:sz="8" w:space="0"/>
            </w:tcBorders>
            <w:vAlign w:val="center"/>
          </w:tcPr>
          <w:p>
            <w:pPr>
              <w:pStyle w:val="56"/>
              <w:ind w:firstLine="171" w:firstLineChars="95"/>
              <w:jc w:val="center"/>
              <w:rPr>
                <w:rFonts w:ascii="Times New Roman"/>
                <w:sz w:val="18"/>
                <w:szCs w:val="18"/>
              </w:rPr>
            </w:pPr>
            <w:r>
              <w:rPr>
                <w:rFonts w:ascii="Times New Roman"/>
                <w:sz w:val="18"/>
                <w:szCs w:val="18"/>
              </w:rPr>
              <w:t>1.4</w:t>
            </w:r>
          </w:p>
        </w:tc>
      </w:tr>
    </w:tbl>
    <w:p>
      <w:pPr>
        <w:pStyle w:val="56"/>
        <w:autoSpaceDE/>
        <w:autoSpaceDN/>
        <w:spacing w:line="480" w:lineRule="auto"/>
        <w:ind w:firstLine="0" w:firstLineChars="0"/>
        <w:rPr>
          <w:rFonts w:ascii="Times New Roman" w:eastAsia="楷体"/>
        </w:rPr>
      </w:pPr>
      <w:r>
        <w:rPr>
          <w:rFonts w:hint="eastAsia" w:ascii="Times New Roman" w:eastAsia="楷体"/>
        </w:rPr>
        <w:t>条文说明</w:t>
      </w:r>
    </w:p>
    <w:p>
      <w:pPr>
        <w:pStyle w:val="56"/>
        <w:autoSpaceDE/>
        <w:autoSpaceDN/>
        <w:ind w:firstLine="420"/>
        <w:rPr>
          <w:rFonts w:ascii="Times New Roman" w:eastAsia="楷体"/>
        </w:rPr>
      </w:pPr>
      <w:r>
        <w:rPr>
          <w:rFonts w:hint="eastAsia" w:ascii="Times New Roman" w:eastAsia="楷体"/>
        </w:rPr>
        <w:t>对工后沉降控制标准，《公路路基设计规范》（</w:t>
      </w:r>
      <w:r>
        <w:rPr>
          <w:rFonts w:ascii="Times New Roman" w:eastAsia="楷体"/>
        </w:rPr>
        <w:t>JTGD30-2004</w:t>
      </w:r>
      <w:r>
        <w:rPr>
          <w:rFonts w:hint="eastAsia" w:ascii="Times New Roman" w:eastAsia="楷体"/>
        </w:rPr>
        <w:t>）第</w:t>
      </w:r>
      <w:r>
        <w:rPr>
          <w:rFonts w:ascii="Times New Roman" w:eastAsia="楷体"/>
        </w:rPr>
        <w:t>6.4.3</w:t>
      </w:r>
      <w:r>
        <w:rPr>
          <w:rFonts w:hint="eastAsia" w:ascii="Times New Roman" w:eastAsia="楷体"/>
        </w:rPr>
        <w:t>条条文说明要求“拓宽路基应严格按桥头段路基工后沉降标准，控制其工后沉降”，对应此要求参照《公路路基设计规范》（</w:t>
      </w:r>
      <w:r>
        <w:rPr>
          <w:rFonts w:ascii="Times New Roman" w:eastAsia="楷体"/>
        </w:rPr>
        <w:t>JTGD30-2004</w:t>
      </w:r>
      <w:r>
        <w:rPr>
          <w:rFonts w:hint="eastAsia" w:ascii="Times New Roman" w:eastAsia="楷体"/>
        </w:rPr>
        <w:t>）第</w:t>
      </w:r>
      <w:r>
        <w:rPr>
          <w:rFonts w:ascii="Times New Roman" w:eastAsia="楷体"/>
        </w:rPr>
        <w:t>7.6.4</w:t>
      </w:r>
      <w:r>
        <w:rPr>
          <w:rFonts w:hint="eastAsia" w:ascii="Times New Roman" w:eastAsia="楷体"/>
        </w:rPr>
        <w:t>条关于新建工程的规定，则不区分各路段类型，均按拼宽部分路基工后沉降不大于</w:t>
      </w:r>
      <w:r>
        <w:rPr>
          <w:rFonts w:ascii="Times New Roman" w:eastAsia="楷体"/>
        </w:rPr>
        <w:t>10 cm</w:t>
      </w:r>
      <w:r>
        <w:rPr>
          <w:rFonts w:hint="eastAsia" w:ascii="Times New Roman" w:eastAsia="楷体"/>
        </w:rPr>
        <w:t>控制。根据调研及已实施的经验，认为考虑改扩建工程的特殊性，桥头宜更严，而一般路段则可适当放宽，故此处按不同路段类型对工后沉降的标准作了重新规定。</w:t>
      </w:r>
    </w:p>
    <w:p>
      <w:pPr>
        <w:pStyle w:val="165"/>
        <w:rPr>
          <w:rFonts w:ascii="Times New Roman"/>
        </w:rPr>
      </w:pPr>
      <w:r>
        <w:rPr>
          <w:rFonts w:hint="eastAsia" w:ascii="Times New Roman"/>
        </w:rPr>
        <w:t>浅层软土地基，可采用垫层和浅层处理措施减小拓宽路基的沉降。</w:t>
      </w:r>
    </w:p>
    <w:p>
      <w:pPr>
        <w:pStyle w:val="165"/>
        <w:rPr>
          <w:rFonts w:ascii="Times New Roman"/>
        </w:rPr>
      </w:pPr>
      <w:r>
        <w:rPr>
          <w:rFonts w:hint="eastAsia" w:ascii="Times New Roman"/>
        </w:rPr>
        <w:t>深厚软土地基，可采用复合地基或轻质路堤等处理措施，不宜采用排水固结法或强夯法，对于鱼（水）塘、河流、水库等路段，需要排水清淤时，应采取防渗和隔水措施后方可降水。</w:t>
      </w:r>
    </w:p>
    <w:p>
      <w:pPr>
        <w:pStyle w:val="165"/>
        <w:rPr>
          <w:rFonts w:ascii="Times New Roman"/>
        </w:rPr>
      </w:pPr>
      <w:r>
        <w:rPr>
          <w:rFonts w:hint="eastAsia" w:ascii="Times New Roman"/>
        </w:rPr>
        <w:t>新老路基分离设置，且距离小于20</w:t>
      </w:r>
      <w:r>
        <w:rPr>
          <w:rFonts w:ascii="Times New Roman"/>
        </w:rPr>
        <w:t xml:space="preserve"> </w:t>
      </w:r>
      <w:r>
        <w:rPr>
          <w:rFonts w:hint="eastAsia" w:ascii="Times New Roman"/>
        </w:rPr>
        <w:t>m时，可采用设置隔离措施或对新建路基地基予以处理，减小新建路基对既有路基的沉降影响。</w:t>
      </w:r>
    </w:p>
    <w:p>
      <w:pPr>
        <w:pStyle w:val="165"/>
        <w:rPr>
          <w:rFonts w:ascii="Times New Roman"/>
        </w:rPr>
      </w:pPr>
      <w:r>
        <w:rPr>
          <w:rFonts w:hint="eastAsia" w:ascii="Times New Roman"/>
        </w:rPr>
        <w:t>软弱粉土或粉砂土地基，不宜采用振动成桩工艺，避免液化现象。</w:t>
      </w:r>
    </w:p>
    <w:p>
      <w:pPr>
        <w:pStyle w:val="165"/>
        <w:rPr>
          <w:rFonts w:ascii="Times New Roman"/>
        </w:rPr>
      </w:pPr>
      <w:r>
        <w:rPr>
          <w:rFonts w:hint="eastAsia" w:ascii="Times New Roman"/>
        </w:rPr>
        <w:t>在满足路堤稳定的前提下，有条件时，宜扩宽坡脚处理宽度，尤其是原路地基处理不到位之处。</w:t>
      </w:r>
    </w:p>
    <w:p>
      <w:pPr>
        <w:pStyle w:val="165"/>
        <w:rPr>
          <w:rFonts w:ascii="Times New Roman"/>
        </w:rPr>
      </w:pPr>
      <w:r>
        <w:rPr>
          <w:rFonts w:hint="eastAsia" w:ascii="Times New Roman"/>
        </w:rPr>
        <w:t>拼宽部分路基和既有路基应同时进行沉降观测，并应符合下列规定：</w:t>
      </w:r>
    </w:p>
    <w:p>
      <w:pPr>
        <w:pStyle w:val="174"/>
        <w:numPr>
          <w:ilvl w:val="0"/>
          <w:numId w:val="47"/>
        </w:numPr>
        <w:rPr>
          <w:rFonts w:ascii="Times New Roman"/>
        </w:rPr>
      </w:pPr>
      <w:r>
        <w:rPr>
          <w:rFonts w:hint="eastAsia" w:ascii="Times New Roman"/>
        </w:rPr>
        <w:t>观测点应布置在同一断面上，并设置在既有公路路中、路肩及拼宽部分中部、外侧。既有公路路中、路肩沉降观测可采用在路表埋设观测点的方法，拼宽部分宜采用埋设沉降板的方法；</w:t>
      </w:r>
    </w:p>
    <w:p>
      <w:pPr>
        <w:pStyle w:val="174"/>
        <w:numPr>
          <w:ilvl w:val="0"/>
          <w:numId w:val="47"/>
        </w:numPr>
        <w:rPr>
          <w:rFonts w:ascii="Times New Roman"/>
        </w:rPr>
      </w:pPr>
      <w:r>
        <w:rPr>
          <w:rFonts w:hint="eastAsia" w:ascii="Times New Roman"/>
        </w:rPr>
        <w:t>沉降观测应满足二等水准测量的精度要求；</w:t>
      </w:r>
    </w:p>
    <w:p>
      <w:pPr>
        <w:pStyle w:val="174"/>
        <w:numPr>
          <w:ilvl w:val="0"/>
          <w:numId w:val="47"/>
        </w:numPr>
        <w:rPr>
          <w:rFonts w:ascii="Times New Roman"/>
        </w:rPr>
      </w:pPr>
      <w:r>
        <w:rPr>
          <w:rFonts w:hint="eastAsia" w:ascii="Times New Roman"/>
        </w:rPr>
        <w:t>应结合填筑过程，提出沉降期不同阶段的观测频率要求；</w:t>
      </w:r>
    </w:p>
    <w:p>
      <w:pPr>
        <w:pStyle w:val="174"/>
        <w:numPr>
          <w:ilvl w:val="0"/>
          <w:numId w:val="47"/>
        </w:numPr>
        <w:rPr>
          <w:rFonts w:ascii="Times New Roman"/>
        </w:rPr>
      </w:pPr>
      <w:r>
        <w:rPr>
          <w:rFonts w:hint="eastAsia" w:ascii="Times New Roman"/>
        </w:rPr>
        <w:t>地质条件差、路堤高、沿河（塘）等路段应布置测斜管，对地基内部土体水平变形进行观测，并与沉降观测同步进行。</w:t>
      </w:r>
    </w:p>
    <w:p>
      <w:pPr>
        <w:pStyle w:val="165"/>
        <w:rPr>
          <w:rFonts w:ascii="Times New Roman"/>
        </w:rPr>
      </w:pPr>
      <w:r>
        <w:rPr>
          <w:rFonts w:hint="eastAsia" w:ascii="Times New Roman"/>
        </w:rPr>
        <w:t>填筑速率，当采用排水固结法时宜小于0.8</w:t>
      </w:r>
      <w:r>
        <w:rPr>
          <w:rFonts w:ascii="Times New Roman"/>
        </w:rPr>
        <w:t xml:space="preserve"> </w:t>
      </w:r>
      <w:r>
        <w:rPr>
          <w:rFonts w:hint="eastAsia" w:ascii="Times New Roman"/>
        </w:rPr>
        <w:t>m/月，采用刚性或半刚性桩复合地基法时宜小于1.5</w:t>
      </w:r>
      <w:r>
        <w:rPr>
          <w:rFonts w:ascii="Times New Roman"/>
        </w:rPr>
        <w:t xml:space="preserve"> </w:t>
      </w:r>
      <w:r>
        <w:rPr>
          <w:rFonts w:hint="eastAsia" w:ascii="Times New Roman"/>
        </w:rPr>
        <w:t>m/月；沉降速率宜小于5</w:t>
      </w:r>
      <w:r>
        <w:rPr>
          <w:rFonts w:ascii="Times New Roman"/>
        </w:rPr>
        <w:t xml:space="preserve"> </w:t>
      </w:r>
      <w:r>
        <w:rPr>
          <w:rFonts w:hint="eastAsia" w:ascii="Times New Roman"/>
        </w:rPr>
        <w:t>mm/d；侧向位移宜小于3</w:t>
      </w:r>
      <w:r>
        <w:rPr>
          <w:rFonts w:ascii="Times New Roman"/>
        </w:rPr>
        <w:t xml:space="preserve"> </w:t>
      </w:r>
      <w:r>
        <w:rPr>
          <w:rFonts w:hint="eastAsia" w:ascii="Times New Roman"/>
        </w:rPr>
        <w:t>mm/d。</w:t>
      </w:r>
    </w:p>
    <w:p>
      <w:pPr>
        <w:pStyle w:val="165"/>
        <w:rPr>
          <w:rFonts w:ascii="Times New Roman"/>
        </w:rPr>
      </w:pPr>
      <w:r>
        <w:rPr>
          <w:rFonts w:hint="eastAsia" w:ascii="Times New Roman"/>
        </w:rPr>
        <w:t>预压卸载前，推算的工后沉降应小于设计容许值，且连续两个月沉降速率应小于3</w:t>
      </w:r>
      <w:r>
        <w:rPr>
          <w:rFonts w:ascii="Times New Roman"/>
        </w:rPr>
        <w:t xml:space="preserve"> </w:t>
      </w:r>
      <w:r>
        <w:rPr>
          <w:rFonts w:hint="eastAsia" w:ascii="Times New Roman"/>
        </w:rPr>
        <w:t>mm/月。</w:t>
      </w:r>
    </w:p>
    <w:p>
      <w:pPr>
        <w:pStyle w:val="165"/>
        <w:rPr>
          <w:rFonts w:ascii="Times New Roman"/>
        </w:rPr>
      </w:pPr>
      <w:r>
        <w:rPr>
          <w:rFonts w:hint="eastAsia" w:ascii="Times New Roman"/>
        </w:rPr>
        <w:t>路面面层施工前，连续两个月沉降速率应小于2</w:t>
      </w:r>
      <w:r>
        <w:rPr>
          <w:rFonts w:ascii="Times New Roman"/>
        </w:rPr>
        <w:t xml:space="preserve"> </w:t>
      </w:r>
      <w:r>
        <w:rPr>
          <w:rFonts w:hint="eastAsia" w:ascii="Times New Roman"/>
        </w:rPr>
        <w:t>mm/月。</w:t>
      </w:r>
    </w:p>
    <w:p>
      <w:pPr>
        <w:pStyle w:val="105"/>
        <w:spacing w:before="156" w:after="156"/>
        <w:rPr>
          <w:rFonts w:ascii="Times New Roman"/>
        </w:rPr>
      </w:pPr>
      <w:bookmarkStart w:id="80" w:name="_Toc134989338"/>
      <w:r>
        <w:rPr>
          <w:rFonts w:hint="eastAsia" w:ascii="Times New Roman"/>
        </w:rPr>
        <w:t>特殊路基拼宽</w:t>
      </w:r>
      <w:bookmarkEnd w:id="80"/>
    </w:p>
    <w:p>
      <w:pPr>
        <w:pStyle w:val="165"/>
      </w:pPr>
      <w:r>
        <w:rPr>
          <w:rFonts w:hint="eastAsia"/>
        </w:rPr>
        <w:t>既有路基为膨胀土路基时，路基拼宽时应尽量避免再利用膨胀土作为填料，原膨胀土填料的包边土满足拼接要求时应予以保留。</w:t>
      </w:r>
    </w:p>
    <w:p>
      <w:pPr>
        <w:pStyle w:val="165"/>
      </w:pPr>
      <w:r>
        <w:rPr>
          <w:rFonts w:hint="eastAsia"/>
        </w:rPr>
        <w:t>新路基为红黏土路基时，应紧密结合路基工程的特点，进行合适的压实工艺，使拼接后的路基具有整体较高的强度和较好的稳定性。</w:t>
      </w:r>
    </w:p>
    <w:p>
      <w:pPr>
        <w:pStyle w:val="165"/>
      </w:pPr>
      <w:r>
        <w:rPr>
          <w:rFonts w:hint="eastAsia"/>
        </w:rPr>
        <w:t>新路基为红砂岩路基时，路堤施工应控制松铺厚度及红砂岩粒径，采用振动碾压的方式，确保拓宽路基达到要求的强度和水稳性。</w:t>
      </w:r>
    </w:p>
    <w:p>
      <w:pPr>
        <w:pStyle w:val="105"/>
        <w:spacing w:before="156" w:after="156"/>
        <w:rPr>
          <w:rFonts w:ascii="Times New Roman"/>
        </w:rPr>
      </w:pPr>
      <w:bookmarkStart w:id="81" w:name="_Toc134989339"/>
      <w:r>
        <w:rPr>
          <w:rFonts w:hint="eastAsia" w:ascii="Times New Roman"/>
        </w:rPr>
        <w:t>挖方路基拼宽</w:t>
      </w:r>
      <w:bookmarkEnd w:id="81"/>
    </w:p>
    <w:p>
      <w:pPr>
        <w:pStyle w:val="165"/>
        <w:rPr>
          <w:rFonts w:ascii="Times New Roman"/>
        </w:rPr>
      </w:pPr>
      <w:r>
        <w:rPr>
          <w:rFonts w:hint="eastAsia" w:ascii="Times New Roman"/>
        </w:rPr>
        <w:t>挖方路基拼宽设计，应综合边坡地质条件、交通组织、运营与施工安全、施工难度、土石调运等因素，在满足边坡稳定性要求、保证行车安全的基础上，确定边坡坡率、平台宽度以及防护方案。</w:t>
      </w:r>
    </w:p>
    <w:p>
      <w:pPr>
        <w:pStyle w:val="165"/>
        <w:rPr>
          <w:rFonts w:ascii="Times New Roman"/>
        </w:rPr>
      </w:pPr>
      <w:r>
        <w:rPr>
          <w:rFonts w:hint="eastAsia" w:ascii="Times New Roman"/>
        </w:rPr>
        <w:t>深挖路基、滑坡路基等应进行专项的开挖设计，分析开挖过程中的边坡稳定性及既有防护设施的受力、变形等情况，并宜提出合理的监测方案，以保证安全。</w:t>
      </w:r>
    </w:p>
    <w:p>
      <w:pPr>
        <w:pStyle w:val="165"/>
        <w:rPr>
          <w:rFonts w:ascii="Times New Roman"/>
        </w:rPr>
      </w:pPr>
      <w:r>
        <w:rPr>
          <w:rFonts w:hint="eastAsia" w:ascii="Times New Roman"/>
        </w:rPr>
        <w:t>在满足边坡稳定性和行车安全的前提下，经论证可采取调陡坡率并加强支护、增设棚洞结构等措施，减少深挖方路段的开挖量及对运营的影响。</w:t>
      </w:r>
    </w:p>
    <w:p>
      <w:pPr>
        <w:pStyle w:val="165"/>
        <w:rPr>
          <w:rFonts w:ascii="Times New Roman"/>
        </w:rPr>
      </w:pPr>
      <w:r>
        <w:rPr>
          <w:rFonts w:hint="eastAsia" w:ascii="Times New Roman"/>
        </w:rPr>
        <w:t>维持通车路段应考虑开挖、爆破、清渣调运等因素，提出相应施工要求，保证通行安全，保护路面。</w:t>
      </w:r>
    </w:p>
    <w:p>
      <w:pPr>
        <w:pStyle w:val="165"/>
        <w:numPr>
          <w:ilvl w:val="0"/>
          <w:numId w:val="0"/>
        </w:numPr>
        <w:spacing w:line="480" w:lineRule="auto"/>
        <w:rPr>
          <w:rFonts w:ascii="Times New Roman" w:eastAsia="楷体"/>
        </w:rPr>
      </w:pPr>
      <w:r>
        <w:rPr>
          <w:rFonts w:hint="eastAsia" w:ascii="Times New Roman" w:eastAsia="楷体"/>
        </w:rPr>
        <w:t>条文说明</w:t>
      </w:r>
    </w:p>
    <w:p>
      <w:pPr>
        <w:pStyle w:val="165"/>
        <w:numPr>
          <w:ilvl w:val="0"/>
          <w:numId w:val="0"/>
        </w:numPr>
        <w:ind w:firstLine="420" w:firstLineChars="200"/>
        <w:rPr>
          <w:rFonts w:ascii="Times New Roman" w:eastAsia="楷体"/>
        </w:rPr>
      </w:pPr>
      <w:r>
        <w:rPr>
          <w:rFonts w:ascii="Times New Roman" w:eastAsia="楷体"/>
        </w:rPr>
        <w:t>6.9.1</w:t>
      </w:r>
      <w:r>
        <w:rPr>
          <w:rFonts w:hint="eastAsia" w:ascii="Times New Roman" w:eastAsia="楷体"/>
        </w:rPr>
        <w:t>～</w:t>
      </w:r>
      <w:r>
        <w:rPr>
          <w:rFonts w:ascii="Times New Roman" w:eastAsia="楷体"/>
        </w:rPr>
        <w:t>6.9.4</w:t>
      </w:r>
      <w:r>
        <w:rPr>
          <w:rFonts w:hint="eastAsia" w:ascii="Times New Roman" w:eastAsia="楷体"/>
        </w:rPr>
        <w:t>边通车边施工情况下，挖方路基拼宽是改扩建工程实施的难点或制约点之一，尤其是对较高的边坡，受地形等限制，施工条件困难，爆破、土石清理、运输等对运营的干扰特别大。</w:t>
      </w:r>
    </w:p>
    <w:p>
      <w:pPr>
        <w:pStyle w:val="165"/>
        <w:numPr>
          <w:ilvl w:val="0"/>
          <w:numId w:val="0"/>
        </w:numPr>
        <w:ind w:firstLine="420" w:firstLineChars="200"/>
        <w:rPr>
          <w:rFonts w:ascii="Times New Roman" w:eastAsia="楷体"/>
        </w:rPr>
      </w:pPr>
      <w:r>
        <w:rPr>
          <w:rFonts w:hint="eastAsia" w:ascii="Times New Roman" w:eastAsia="楷体"/>
        </w:rPr>
        <w:t>简单的做法是采用分离增建的加宽形式避开高边坡，但受地形、前后构造物或设施等限制，可能涉及较长路段的增建新线，规模增大很多</w:t>
      </w:r>
      <w:r>
        <w:rPr>
          <w:rFonts w:ascii="Times New Roman" w:eastAsia="楷体"/>
        </w:rPr>
        <w:t>;</w:t>
      </w:r>
      <w:r>
        <w:rPr>
          <w:rFonts w:hint="eastAsia" w:ascii="Times New Roman" w:eastAsia="楷体"/>
        </w:rPr>
        <w:t>单侧拼宽也是解决途径之一，但除同样受前述因素制约外，还受边坡左右侧分布情况等影响，仍有可能造成规模的大幅增大。故结合具体路段，研究挖方路基拼宽技术，包括开挖与支护设计及对应的施工方法、安全防护措施等显得格外重要，对寻求充分利用既有公路资源、降低工程规模、减少对运营的影响的科学方案起着重要的作用。</w:t>
      </w:r>
    </w:p>
    <w:p>
      <w:pPr>
        <w:pStyle w:val="165"/>
        <w:numPr>
          <w:ilvl w:val="0"/>
          <w:numId w:val="0"/>
        </w:numPr>
        <w:ind w:firstLine="420" w:firstLineChars="200"/>
        <w:rPr>
          <w:rFonts w:ascii="Times New Roman" w:eastAsia="楷体"/>
        </w:rPr>
      </w:pPr>
      <w:r>
        <w:rPr>
          <w:rFonts w:hint="eastAsia" w:ascii="Times New Roman" w:eastAsia="楷体"/>
        </w:rPr>
        <w:t>某改扩建工程遇到大量的连续高边坡，对此作了专题研究，结合具体路段采用了以下几种方法，避免了分离新建方案，节省了大量的土地、征迁与工程量：</w:t>
      </w:r>
    </w:p>
    <w:p>
      <w:pPr>
        <w:pStyle w:val="174"/>
        <w:numPr>
          <w:ilvl w:val="0"/>
          <w:numId w:val="48"/>
        </w:numPr>
        <w:rPr>
          <w:rFonts w:ascii="Times New Roman" w:eastAsia="楷体"/>
        </w:rPr>
      </w:pPr>
      <w:r>
        <w:rPr>
          <w:rFonts w:hint="eastAsia" w:ascii="Times New Roman" w:eastAsia="楷体"/>
        </w:rPr>
        <w:t>部分连续单侧高边坡路段，采用一侧拼宽并改移中央分隔带方案；</w:t>
      </w:r>
    </w:p>
    <w:p>
      <w:pPr>
        <w:pStyle w:val="174"/>
        <w:numPr>
          <w:ilvl w:val="0"/>
          <w:numId w:val="48"/>
        </w:numPr>
        <w:rPr>
          <w:rFonts w:ascii="Times New Roman" w:eastAsia="楷体"/>
        </w:rPr>
      </w:pPr>
      <w:r>
        <w:rPr>
          <w:rFonts w:hint="eastAsia" w:ascii="Times New Roman" w:eastAsia="楷体"/>
        </w:rPr>
        <w:t>部分边坡经稳定性分析</w:t>
      </w:r>
      <w:r>
        <w:rPr>
          <w:rFonts w:ascii="Times New Roman" w:eastAsia="楷体"/>
        </w:rPr>
        <w:t>,</w:t>
      </w:r>
      <w:r>
        <w:rPr>
          <w:rFonts w:hint="eastAsia" w:ascii="Times New Roman" w:eastAsia="楷体"/>
        </w:rPr>
        <w:t>采用上部锚固、下部陡直开挖，拼宽方案采用两侧拼宽；</w:t>
      </w:r>
    </w:p>
    <w:p>
      <w:pPr>
        <w:pStyle w:val="174"/>
        <w:numPr>
          <w:ilvl w:val="0"/>
          <w:numId w:val="48"/>
        </w:numPr>
        <w:rPr>
          <w:rFonts w:ascii="Times New Roman" w:eastAsia="楷体"/>
        </w:rPr>
      </w:pPr>
      <w:r>
        <w:rPr>
          <w:rFonts w:hint="eastAsia" w:ascii="Times New Roman" w:eastAsia="楷体"/>
        </w:rPr>
        <w:t>局部路段，结合交通组织可行性论证，采用局部时段封闭施工，拼宽方案仍采用两侧拼宽；</w:t>
      </w:r>
    </w:p>
    <w:p>
      <w:pPr>
        <w:pStyle w:val="174"/>
        <w:numPr>
          <w:ilvl w:val="0"/>
          <w:numId w:val="48"/>
        </w:numPr>
        <w:rPr>
          <w:rFonts w:ascii="Times New Roman" w:eastAsia="楷体"/>
        </w:rPr>
      </w:pPr>
      <w:r>
        <w:rPr>
          <w:rFonts w:hint="eastAsia" w:ascii="Times New Roman" w:eastAsia="楷体"/>
        </w:rPr>
        <w:t>局部路段采用静态爆破，解决与铁路相邻问题，拼宽方案仍采用两侧拼宽；</w:t>
      </w:r>
    </w:p>
    <w:p>
      <w:pPr>
        <w:pStyle w:val="174"/>
        <w:numPr>
          <w:ilvl w:val="0"/>
          <w:numId w:val="48"/>
        </w:numPr>
        <w:rPr>
          <w:rFonts w:ascii="Times New Roman" w:eastAsia="楷体"/>
        </w:rPr>
      </w:pPr>
      <w:r>
        <w:rPr>
          <w:rFonts w:hint="eastAsia" w:ascii="Times New Roman" w:eastAsia="楷体"/>
        </w:rPr>
        <w:t>其他路段在安全防护的基础</w:t>
      </w:r>
      <w:r>
        <w:rPr>
          <w:rFonts w:ascii="Times New Roman" w:eastAsia="楷体"/>
        </w:rPr>
        <w:t>.</w:t>
      </w:r>
      <w:r>
        <w:rPr>
          <w:rFonts w:hint="eastAsia" w:ascii="Times New Roman" w:eastAsia="楷体"/>
        </w:rPr>
        <w:t>上，采用爆破前后短时</w:t>
      </w:r>
      <w:r>
        <w:rPr>
          <w:rFonts w:ascii="Times New Roman" w:eastAsia="楷体"/>
        </w:rPr>
        <w:t>(10 min</w:t>
      </w:r>
      <w:r>
        <w:rPr>
          <w:rFonts w:hint="eastAsia" w:ascii="Times New Roman" w:eastAsia="楷体"/>
        </w:rPr>
        <w:t>～</w:t>
      </w:r>
      <w:r>
        <w:rPr>
          <w:rFonts w:ascii="Times New Roman" w:eastAsia="楷体"/>
        </w:rPr>
        <w:t>20 min)</w:t>
      </w:r>
      <w:r>
        <w:rPr>
          <w:rFonts w:hint="eastAsia" w:ascii="Times New Roman" w:eastAsia="楷体"/>
        </w:rPr>
        <w:t>封闭交通，迅速清理飞石即恢复交通的方法，拼宽方案仍采用两侧拼宽。</w:t>
      </w:r>
    </w:p>
    <w:p>
      <w:pPr>
        <w:pStyle w:val="174"/>
        <w:numPr>
          <w:ilvl w:val="0"/>
          <w:numId w:val="0"/>
        </w:numPr>
        <w:ind w:left="425"/>
        <w:rPr>
          <w:rFonts w:ascii="Times New Roman" w:eastAsia="楷体"/>
        </w:rPr>
      </w:pPr>
      <w:r>
        <w:rPr>
          <w:rFonts w:hint="eastAsia" w:ascii="Times New Roman" w:eastAsia="楷体"/>
        </w:rPr>
        <w:t>故本条结合实践经验，对挖方路基拼宽设计应注意的要点进行了规定。</w:t>
      </w:r>
    </w:p>
    <w:p>
      <w:pPr>
        <w:pStyle w:val="105"/>
        <w:spacing w:before="156" w:after="156"/>
      </w:pPr>
      <w:bookmarkStart w:id="82" w:name="_Toc134989340"/>
      <w:r>
        <w:rPr>
          <w:rFonts w:hint="eastAsia"/>
        </w:rPr>
        <w:t>路床拼宽</w:t>
      </w:r>
      <w:bookmarkEnd w:id="82"/>
    </w:p>
    <w:p>
      <w:pPr>
        <w:pStyle w:val="165"/>
        <w:rPr>
          <w:rFonts w:ascii="Times New Roman"/>
        </w:rPr>
      </w:pPr>
      <w:r>
        <w:rPr>
          <w:rFonts w:hint="eastAsia" w:ascii="Times New Roman"/>
        </w:rPr>
        <w:t>路床填料应符合现行《公路路基设计规范》（JTG</w:t>
      </w:r>
      <w:r>
        <w:rPr>
          <w:rFonts w:ascii="Times New Roman"/>
        </w:rPr>
        <w:t xml:space="preserve"> </w:t>
      </w:r>
      <w:r>
        <w:rPr>
          <w:rFonts w:hint="eastAsia" w:ascii="Times New Roman"/>
        </w:rPr>
        <w:t>D30）的规定。</w:t>
      </w:r>
    </w:p>
    <w:p>
      <w:pPr>
        <w:pStyle w:val="165"/>
        <w:rPr>
          <w:rFonts w:ascii="Times New Roman"/>
        </w:rPr>
      </w:pPr>
      <w:r>
        <w:rPr>
          <w:rFonts w:hint="eastAsia" w:ascii="Times New Roman"/>
        </w:rPr>
        <w:t>路床拼接部位应增强补压，保证拼接密实；受既有路基渗水等影响导致强度不足时，可采用换填、掺灰改良或排水等措施进行处理。</w:t>
      </w:r>
    </w:p>
    <w:p>
      <w:pPr>
        <w:pStyle w:val="165"/>
        <w:numPr>
          <w:ilvl w:val="0"/>
          <w:numId w:val="0"/>
        </w:numPr>
        <w:spacing w:line="480" w:lineRule="auto"/>
        <w:rPr>
          <w:rFonts w:ascii="Times New Roman" w:eastAsia="楷体"/>
        </w:rPr>
      </w:pPr>
      <w:r>
        <w:rPr>
          <w:rFonts w:hint="eastAsia" w:ascii="Times New Roman" w:eastAsia="楷体"/>
        </w:rPr>
        <w:t>条文说明</w:t>
      </w:r>
    </w:p>
    <w:p>
      <w:pPr>
        <w:pStyle w:val="165"/>
        <w:numPr>
          <w:ilvl w:val="0"/>
          <w:numId w:val="0"/>
        </w:numPr>
        <w:ind w:firstLine="420" w:firstLineChars="200"/>
        <w:rPr>
          <w:rFonts w:ascii="Times New Roman" w:eastAsia="楷体"/>
        </w:rPr>
      </w:pPr>
      <w:r>
        <w:rPr>
          <w:rFonts w:hint="eastAsia" w:ascii="Times New Roman" w:eastAsia="楷体"/>
        </w:rPr>
        <w:t>路床拼接部位受既有路基渗水影响，难以压实的现象较为常见，而拼接部位压实对拼接质量起着至关重要的作用，故强调。</w:t>
      </w:r>
    </w:p>
    <w:p>
      <w:pPr>
        <w:pStyle w:val="105"/>
        <w:spacing w:before="156" w:after="156"/>
        <w:rPr>
          <w:rFonts w:ascii="Times New Roman"/>
        </w:rPr>
      </w:pPr>
      <w:bookmarkStart w:id="83" w:name="_Toc134989341"/>
      <w:r>
        <w:rPr>
          <w:rFonts w:hint="eastAsia" w:ascii="Times New Roman"/>
        </w:rPr>
        <w:t>土工合成材料铺设</w:t>
      </w:r>
      <w:bookmarkEnd w:id="83"/>
    </w:p>
    <w:p>
      <w:pPr>
        <w:pStyle w:val="165"/>
        <w:rPr>
          <w:rFonts w:ascii="Times New Roman"/>
        </w:rPr>
      </w:pPr>
      <w:r>
        <w:rPr>
          <w:rFonts w:hint="eastAsia" w:ascii="Times New Roman"/>
        </w:rPr>
        <w:t>当路堤高度超过3.0</w:t>
      </w:r>
      <w:r>
        <w:rPr>
          <w:rFonts w:ascii="Times New Roman"/>
        </w:rPr>
        <w:t xml:space="preserve"> </w:t>
      </w:r>
      <w:r>
        <w:rPr>
          <w:rFonts w:hint="eastAsia" w:ascii="Times New Roman"/>
        </w:rPr>
        <w:t>m时，宜在新老路基拼接处横向铺设土工合成材料。</w:t>
      </w:r>
    </w:p>
    <w:p>
      <w:pPr>
        <w:pStyle w:val="165"/>
        <w:rPr>
          <w:rFonts w:ascii="Times New Roman"/>
        </w:rPr>
      </w:pPr>
      <w:r>
        <w:rPr>
          <w:rFonts w:hint="eastAsia" w:ascii="Times New Roman"/>
        </w:rPr>
        <w:t>宜选用整体性和耐久性好、强度高、变形小的土工格栅、高强土工织物、土工格室等土工合成材料作为加筋材料。</w:t>
      </w:r>
    </w:p>
    <w:p>
      <w:pPr>
        <w:pStyle w:val="165"/>
        <w:rPr>
          <w:rFonts w:ascii="Times New Roman"/>
        </w:rPr>
      </w:pPr>
      <w:r>
        <w:rPr>
          <w:rFonts w:hint="eastAsia" w:ascii="Times New Roman"/>
        </w:rPr>
        <w:t>用于加筋的土工合成材料种类、性能要求及设计参数等应满足《公路土工合成材料应用技术规范》（JTG/T D32）要求，相关性能测试应按照《公路工程土工合成材料试验规程》（JTG E50）要求执行。</w:t>
      </w:r>
    </w:p>
    <w:p>
      <w:pPr>
        <w:pStyle w:val="165"/>
        <w:rPr>
          <w:rFonts w:ascii="Times New Roman"/>
        </w:rPr>
      </w:pPr>
      <w:r>
        <w:rPr>
          <w:rFonts w:hint="eastAsia" w:ascii="Times New Roman"/>
        </w:rPr>
        <w:t>土工合成材料铺设层面应平整，不得有片石等坚硬凸出物；距土工合成材料10 cm以内，路基填料最大粒径不得大于12</w:t>
      </w:r>
      <w:r>
        <w:rPr>
          <w:rFonts w:ascii="Times New Roman"/>
        </w:rPr>
        <w:t xml:space="preserve"> </w:t>
      </w:r>
      <w:r>
        <w:rPr>
          <w:rFonts w:hint="eastAsia" w:ascii="Times New Roman"/>
        </w:rPr>
        <w:t>cm。</w:t>
      </w:r>
    </w:p>
    <w:p>
      <w:pPr>
        <w:pStyle w:val="165"/>
        <w:rPr>
          <w:rFonts w:ascii="Times New Roman"/>
        </w:rPr>
      </w:pPr>
      <w:r>
        <w:rPr>
          <w:rFonts w:hint="eastAsia" w:ascii="Times New Roman"/>
        </w:rPr>
        <w:t>铺设时土工合成材料应拉直平顺，紧贴下承层，不得扭曲、折皱；在斜坡上摊铺时，应保持一定松紧度。</w:t>
      </w:r>
    </w:p>
    <w:p>
      <w:pPr>
        <w:pStyle w:val="165"/>
        <w:rPr>
          <w:rFonts w:ascii="Times New Roman"/>
        </w:rPr>
      </w:pPr>
      <w:r>
        <w:rPr>
          <w:rFonts w:hint="eastAsia" w:ascii="Times New Roman"/>
        </w:rPr>
        <w:t>采用搭接法连接时，搭接长度宜为300</w:t>
      </w:r>
      <w:r>
        <w:rPr>
          <w:rFonts w:ascii="Times New Roman"/>
        </w:rPr>
        <w:t xml:space="preserve"> mm</w:t>
      </w:r>
      <w:r>
        <w:rPr>
          <w:rFonts w:hint="eastAsia" w:ascii="Times New Roman"/>
        </w:rPr>
        <w:t>～600</w:t>
      </w:r>
      <w:r>
        <w:rPr>
          <w:rFonts w:ascii="Times New Roman"/>
        </w:rPr>
        <w:t xml:space="preserve"> </w:t>
      </w:r>
      <w:r>
        <w:rPr>
          <w:rFonts w:hint="eastAsia" w:ascii="Times New Roman"/>
        </w:rPr>
        <w:t>mm；采用缝接法时，缝接宽度应不小于50</w:t>
      </w:r>
      <w:r>
        <w:rPr>
          <w:rFonts w:ascii="Times New Roman"/>
        </w:rPr>
        <w:t xml:space="preserve"> </w:t>
      </w:r>
      <w:r>
        <w:rPr>
          <w:rFonts w:hint="eastAsia" w:ascii="Times New Roman"/>
        </w:rPr>
        <w:t>mm；采用粘结法时，粘结宽度应不小于50 mm，且粘结强度不低于土工合成材料的抗拉强度。</w:t>
      </w:r>
    </w:p>
    <w:p>
      <w:pPr>
        <w:pStyle w:val="165"/>
        <w:spacing w:line="276" w:lineRule="auto"/>
        <w:rPr>
          <w:rFonts w:ascii="Times New Roman"/>
        </w:rPr>
      </w:pPr>
      <w:r>
        <w:rPr>
          <w:rFonts w:hint="eastAsia" w:ascii="Times New Roman"/>
        </w:rPr>
        <w:t>土工合成材料摊铺以后应及时填筑填料，间隔时间应不超过48</w:t>
      </w:r>
      <w:r>
        <w:rPr>
          <w:rFonts w:ascii="Times New Roman"/>
        </w:rPr>
        <w:t xml:space="preserve"> </w:t>
      </w:r>
      <w:r>
        <w:rPr>
          <w:rFonts w:hint="eastAsia" w:ascii="Times New Roman"/>
        </w:rPr>
        <w:t>h；填料应分层摊铺、分层碾压，与土工合成材料直接接触的填料中应不含强酸性、强碱性物质。</w:t>
      </w:r>
    </w:p>
    <w:p>
      <w:pPr>
        <w:pStyle w:val="165"/>
        <w:spacing w:line="276" w:lineRule="auto"/>
        <w:rPr>
          <w:rFonts w:ascii="Times New Roman"/>
        </w:rPr>
      </w:pPr>
      <w:r>
        <w:rPr>
          <w:rFonts w:hint="eastAsia" w:ascii="Times New Roman"/>
        </w:rPr>
        <w:t>土工合成材料应用轻型推土机或前置式装载机从一端向另一端推土埋置，不应将运土车辆直接开至土工合成材料上倒土，应卸在已摊铺完毕的土面上；土工合成材料未推土埋置前，严禁任何车辆行驶。</w:t>
      </w:r>
    </w:p>
    <w:p>
      <w:pPr>
        <w:pStyle w:val="165"/>
        <w:spacing w:line="276" w:lineRule="auto"/>
        <w:rPr>
          <w:rFonts w:ascii="Times New Roman"/>
        </w:rPr>
      </w:pPr>
      <w:r>
        <w:rPr>
          <w:rFonts w:hint="eastAsia" w:ascii="Times New Roman"/>
        </w:rPr>
        <w:t>土工合成材料宜在拓宽路堤全宽铺设，提高锚固长度，应将筋材嵌入老路堤中，对于高路堤，宜分别在路堤底部、中部、路床加铺土工合成材料。</w:t>
      </w:r>
    </w:p>
    <w:p>
      <w:pPr>
        <w:pStyle w:val="165"/>
        <w:spacing w:line="276" w:lineRule="auto"/>
        <w:rPr>
          <w:rFonts w:ascii="Times New Roman"/>
        </w:rPr>
      </w:pPr>
      <w:r>
        <w:rPr>
          <w:rFonts w:hint="eastAsia" w:ascii="Times New Roman"/>
        </w:rPr>
        <w:t>对于软土地基，应采用后卸式货车沿加筋材料两侧边缘倾卸填料，并将土工合成材料张拉紧；卸土高度不宜大于1.0</w:t>
      </w:r>
      <w:r>
        <w:rPr>
          <w:rFonts w:ascii="Times New Roman"/>
        </w:rPr>
        <w:t xml:space="preserve"> </w:t>
      </w:r>
      <w:r>
        <w:rPr>
          <w:rFonts w:hint="eastAsia" w:ascii="Times New Roman"/>
        </w:rPr>
        <w:t>m，卸土后应立即摊铺。</w:t>
      </w:r>
    </w:p>
    <w:p>
      <w:pPr>
        <w:pStyle w:val="104"/>
        <w:spacing w:before="312" w:after="312"/>
      </w:pPr>
      <w:bookmarkStart w:id="84" w:name="_Toc134989342"/>
      <w:r>
        <w:rPr>
          <w:rFonts w:hint="eastAsia"/>
        </w:rPr>
        <w:t>支挡、防护与防排水</w:t>
      </w:r>
      <w:bookmarkEnd w:id="84"/>
    </w:p>
    <w:p>
      <w:pPr>
        <w:pStyle w:val="105"/>
        <w:spacing w:before="156" w:after="156"/>
      </w:pPr>
      <w:bookmarkStart w:id="85" w:name="_Toc134989343"/>
      <w:r>
        <w:rPr>
          <w:rFonts w:hint="eastAsia"/>
        </w:rPr>
        <w:t>支挡结构物</w:t>
      </w:r>
      <w:bookmarkEnd w:id="85"/>
    </w:p>
    <w:p>
      <w:pPr>
        <w:pStyle w:val="165"/>
        <w:rPr>
          <w:rFonts w:ascii="Times New Roman"/>
        </w:rPr>
      </w:pPr>
      <w:r>
        <w:rPr>
          <w:rFonts w:hint="eastAsia" w:ascii="Times New Roman"/>
        </w:rPr>
        <w:t>改扩建工程中新建支挡结构物设计与施工和验收应符合《公路路基设计规范》（JTG D30）、《公路路基施工技术规范》（JTG/T 3610）和《公路工程质量检验评定标准》（JTG</w:t>
      </w:r>
      <w:r>
        <w:rPr>
          <w:rFonts w:ascii="Times New Roman"/>
        </w:rPr>
        <w:t xml:space="preserve"> </w:t>
      </w:r>
      <w:r>
        <w:rPr>
          <w:rFonts w:hint="eastAsia" w:ascii="Times New Roman"/>
        </w:rPr>
        <w:t>F80）相关规定。</w:t>
      </w:r>
    </w:p>
    <w:p>
      <w:pPr>
        <w:pStyle w:val="165"/>
        <w:rPr>
          <w:rFonts w:ascii="Times New Roman"/>
        </w:rPr>
      </w:pPr>
      <w:r>
        <w:rPr>
          <w:rFonts w:hint="eastAsia" w:ascii="Times New Roman"/>
        </w:rPr>
        <w:t>在挖方路基进行拓宽时，对既有路堑的锚杆、挡墙和抗滑桩等支挡结构物拆除，宜结合加宽后路堑边坡位置和设计要求，优先采用机械施工或者爆破手段，条件不允许时采用人工清除的手段对其进行拆除；防护结构应拆除一级、开挖一级、防护一级，避免边坡防护拆除后，影响整体边坡稳定；应计算各工况的边坡稳定性，若拆除一级边坡后的工况计算稳定性系数不满足规范要求，建议采用建筑边坡规范要求分层拆除、分层开挖、分层支护；挡墙、抗滑桩等支挡结构物的拆除应分段进行，且应严格控制分段长度，若有必要，还应结合坡脚临时堆载反压。应在新的排水系统（永久或临时）接顺后，方能拆除旧排水系统。</w:t>
      </w:r>
    </w:p>
    <w:p>
      <w:pPr>
        <w:pStyle w:val="165"/>
        <w:rPr>
          <w:rFonts w:ascii="Times New Roman"/>
        </w:rPr>
      </w:pPr>
      <w:r>
        <w:rPr>
          <w:rFonts w:hint="eastAsia" w:ascii="Times New Roman"/>
        </w:rPr>
        <w:t>对于抗滑桩等支挡路段，边坡月累积变形小于30</w:t>
      </w:r>
      <w:r>
        <w:rPr>
          <w:rFonts w:ascii="Times New Roman"/>
        </w:rPr>
        <w:t xml:space="preserve"> </w:t>
      </w:r>
      <w:r>
        <w:rPr>
          <w:rFonts w:hint="eastAsia" w:ascii="Times New Roman"/>
        </w:rPr>
        <w:t>mm、日变形速率小于3</w:t>
      </w:r>
      <w:r>
        <w:rPr>
          <w:rFonts w:ascii="Times New Roman"/>
        </w:rPr>
        <w:t xml:space="preserve"> </w:t>
      </w:r>
      <w:r>
        <w:rPr>
          <w:rFonts w:hint="eastAsia" w:ascii="Times New Roman"/>
        </w:rPr>
        <w:t>mm，原支挡结构物方可进行拆除，原抗滑桩拆除前应先将其周围挡墙及土、石挖除干净。</w:t>
      </w:r>
    </w:p>
    <w:p>
      <w:pPr>
        <w:pStyle w:val="165"/>
        <w:rPr>
          <w:rFonts w:ascii="Times New Roman"/>
        </w:rPr>
      </w:pPr>
      <w:r>
        <w:rPr>
          <w:rFonts w:hint="eastAsia" w:ascii="Times New Roman"/>
        </w:rPr>
        <w:t>路堑支挡工程基础开挖施工应分段进行，路堤段支挡工程施工应与路基填筑同步实施。</w:t>
      </w:r>
    </w:p>
    <w:p>
      <w:pPr>
        <w:pStyle w:val="165"/>
        <w:rPr>
          <w:rFonts w:ascii="Times New Roman"/>
        </w:rPr>
      </w:pPr>
      <w:r>
        <w:rPr>
          <w:rFonts w:hint="eastAsia" w:ascii="Times New Roman"/>
        </w:rPr>
        <w:t>在滑坡体上修筑抗滑支挡结构时，应符合下列规定：</w:t>
      </w:r>
    </w:p>
    <w:p>
      <w:pPr>
        <w:pStyle w:val="174"/>
        <w:numPr>
          <w:ilvl w:val="0"/>
          <w:numId w:val="49"/>
        </w:numPr>
        <w:rPr>
          <w:rFonts w:ascii="Times New Roman"/>
        </w:rPr>
      </w:pPr>
      <w:r>
        <w:rPr>
          <w:rFonts w:hint="eastAsia" w:ascii="Times New Roman"/>
        </w:rPr>
        <w:t>抗滑桩、锚杆（索）施工应从两端逐步向滑坡主轴方向进行；</w:t>
      </w:r>
    </w:p>
    <w:p>
      <w:pPr>
        <w:pStyle w:val="174"/>
        <w:numPr>
          <w:ilvl w:val="0"/>
          <w:numId w:val="49"/>
        </w:numPr>
        <w:rPr>
          <w:rFonts w:ascii="Times New Roman"/>
        </w:rPr>
      </w:pPr>
      <w:r>
        <w:rPr>
          <w:rFonts w:hint="eastAsia" w:ascii="Times New Roman"/>
        </w:rPr>
        <w:t>采用抗滑桩与挡土墙共同支挡时，应先作抗滑桩后作挡土墙。</w:t>
      </w:r>
    </w:p>
    <w:p>
      <w:pPr>
        <w:pStyle w:val="165"/>
        <w:rPr>
          <w:rFonts w:ascii="Times New Roman"/>
        </w:rPr>
      </w:pPr>
      <w:r>
        <w:rPr>
          <w:rFonts w:hint="eastAsia" w:ascii="Times New Roman"/>
        </w:rPr>
        <w:t>对原路堑支挡构物：宜综合考虑环境影响及安全运营需求，减少二次开挖量以降低施工扰动。</w:t>
      </w:r>
    </w:p>
    <w:p>
      <w:pPr>
        <w:pStyle w:val="105"/>
        <w:spacing w:before="156" w:after="156"/>
      </w:pPr>
      <w:bookmarkStart w:id="86" w:name="_Toc134989344"/>
      <w:r>
        <w:rPr>
          <w:rFonts w:hint="eastAsia"/>
        </w:rPr>
        <w:t>路基防护</w:t>
      </w:r>
      <w:bookmarkEnd w:id="86"/>
    </w:p>
    <w:p>
      <w:pPr>
        <w:pStyle w:val="165"/>
        <w:rPr>
          <w:rFonts w:ascii="Times New Roman"/>
        </w:rPr>
      </w:pPr>
      <w:r>
        <w:rPr>
          <w:rFonts w:hint="eastAsia" w:ascii="Times New Roman"/>
        </w:rPr>
        <w:t>路基防护设计宜在调查评价的基础上，根据路基拓宽工程情况采取工程防护和植物防护相结合的综合措施，并与周围环境景观相协调。</w:t>
      </w:r>
    </w:p>
    <w:p>
      <w:pPr>
        <w:pStyle w:val="165"/>
        <w:rPr>
          <w:rFonts w:ascii="Times New Roman"/>
        </w:rPr>
      </w:pPr>
      <w:r>
        <w:rPr>
          <w:rFonts w:hint="eastAsia" w:ascii="Times New Roman"/>
        </w:rPr>
        <w:t>路基防护工程应与路基挖方工程紧密、合理街接，做到开挖一级、防护一级、绿化一级。</w:t>
      </w:r>
    </w:p>
    <w:p>
      <w:pPr>
        <w:pStyle w:val="165"/>
        <w:rPr>
          <w:rFonts w:ascii="Times New Roman"/>
        </w:rPr>
      </w:pPr>
      <w:r>
        <w:rPr>
          <w:rFonts w:hint="eastAsia" w:ascii="Times New Roman"/>
        </w:rPr>
        <w:t>路基防护工程施工前，应对边坡进行修整，清除边坡上的危石及松土，修整后的坡面应表面平整、排水顺畅，与周围自然地形协调。</w:t>
      </w:r>
    </w:p>
    <w:p>
      <w:pPr>
        <w:pStyle w:val="165"/>
        <w:rPr>
          <w:rFonts w:ascii="Times New Roman"/>
        </w:rPr>
      </w:pPr>
      <w:r>
        <w:rPr>
          <w:rFonts w:hint="eastAsia" w:ascii="Times New Roman"/>
        </w:rPr>
        <w:t>各类防护工程应置于稳定的基础或坡体上，坡面防护层应与坡面密贴结合，不得留有空隙。</w:t>
      </w:r>
    </w:p>
    <w:p>
      <w:pPr>
        <w:pStyle w:val="165"/>
        <w:rPr>
          <w:rFonts w:ascii="Times New Roman"/>
        </w:rPr>
      </w:pPr>
      <w:r>
        <w:rPr>
          <w:rFonts w:hint="eastAsia" w:ascii="Times New Roman"/>
        </w:rPr>
        <w:t>每处坡面防护应设置检修通道及必要的扶栏。</w:t>
      </w:r>
    </w:p>
    <w:p>
      <w:pPr>
        <w:pStyle w:val="165"/>
        <w:rPr>
          <w:rFonts w:ascii="Times New Roman"/>
        </w:rPr>
      </w:pPr>
      <w:r>
        <w:rPr>
          <w:rFonts w:hint="eastAsia" w:ascii="Times New Roman"/>
        </w:rPr>
        <w:t>结合路侧安全设计，有条件路段宜采用缓边坡方案。</w:t>
      </w:r>
    </w:p>
    <w:p>
      <w:pPr>
        <w:pStyle w:val="165"/>
        <w:rPr>
          <w:rFonts w:ascii="Times New Roman"/>
        </w:rPr>
      </w:pPr>
      <w:r>
        <w:rPr>
          <w:rFonts w:hint="eastAsia" w:ascii="Times New Roman"/>
        </w:rPr>
        <w:t>路基可能受水流冲刷时，应调查汇水面积、径流情况后提出合理的边坡防护方案。</w:t>
      </w:r>
    </w:p>
    <w:p>
      <w:pPr>
        <w:pStyle w:val="165"/>
        <w:rPr>
          <w:rFonts w:ascii="Times New Roman"/>
        </w:rPr>
      </w:pPr>
      <w:r>
        <w:rPr>
          <w:rFonts w:hint="eastAsia" w:ascii="Times New Roman"/>
        </w:rPr>
        <w:t>根据开挖坡面地质水文情况，应逐段核实路基防护设计方案，实际状况与设计出入大时，应及时反馈调整。</w:t>
      </w:r>
    </w:p>
    <w:p>
      <w:pPr>
        <w:pStyle w:val="165"/>
        <w:rPr>
          <w:rFonts w:ascii="Times New Roman"/>
        </w:rPr>
      </w:pPr>
      <w:r>
        <w:rPr>
          <w:rFonts w:hint="eastAsia" w:ascii="Times New Roman"/>
        </w:rPr>
        <w:t>既有防护设施需要拆除时，宜设计临时防护设施或采取相应技术措施，避免因既有路基、边坡等外露而影响其强度与稳定。</w:t>
      </w:r>
    </w:p>
    <w:p>
      <w:pPr>
        <w:pStyle w:val="165"/>
        <w:rPr>
          <w:rFonts w:ascii="Times New Roman"/>
        </w:rPr>
      </w:pPr>
      <w:r>
        <w:rPr>
          <w:rFonts w:hint="eastAsia" w:ascii="Times New Roman"/>
        </w:rPr>
        <w:t>路基防护工程施工中应采取有效措施截、排地表水和导、排地下水，宜采用静态爆破或者冷开挖进行施工，避免大爆破、大开挖，同时做好临时的安全防护设施，保证道路通畅。</w:t>
      </w:r>
    </w:p>
    <w:p>
      <w:pPr>
        <w:pStyle w:val="165"/>
        <w:rPr>
          <w:rFonts w:ascii="Times New Roman"/>
        </w:rPr>
      </w:pPr>
      <w:r>
        <w:rPr>
          <w:rFonts w:hint="eastAsia" w:ascii="Times New Roman"/>
        </w:rPr>
        <w:t>防护质量验收按《公路工程质量检验评定标准》（JTGF80）执行。</w:t>
      </w:r>
    </w:p>
    <w:p>
      <w:pPr>
        <w:pStyle w:val="105"/>
        <w:spacing w:before="156" w:after="156"/>
      </w:pPr>
      <w:bookmarkStart w:id="87" w:name="_Toc134989345"/>
      <w:r>
        <w:t>改扩建路基防排水</w:t>
      </w:r>
      <w:bookmarkEnd w:id="87"/>
    </w:p>
    <w:p>
      <w:pPr>
        <w:pStyle w:val="165"/>
        <w:rPr>
          <w:rFonts w:ascii="Times New Roman"/>
        </w:rPr>
      </w:pPr>
      <w:r>
        <w:rPr>
          <w:rFonts w:hint="eastAsia" w:ascii="Times New Roman"/>
        </w:rPr>
        <w:t>改扩建路基防排水设计应根据公路沿线气象、水文、地形、地质以及桥涵和隧道设置情况，设置完善、通畅的防排水系统，做好路基防排水与地基处理、路基防护等综合设计，并与路面、桥梁、涵洞、隧道等防排水系统相协调。</w:t>
      </w:r>
    </w:p>
    <w:p>
      <w:pPr>
        <w:pStyle w:val="165"/>
        <w:rPr>
          <w:rFonts w:ascii="Times New Roman"/>
        </w:rPr>
      </w:pPr>
      <w:r>
        <w:rPr>
          <w:rFonts w:hint="eastAsia" w:ascii="Times New Roman"/>
        </w:rPr>
        <w:t>既有公路排水设施的处理应满足如下规定：</w:t>
      </w:r>
    </w:p>
    <w:p>
      <w:pPr>
        <w:pStyle w:val="174"/>
        <w:numPr>
          <w:ilvl w:val="0"/>
          <w:numId w:val="50"/>
        </w:numPr>
        <w:rPr>
          <w:rFonts w:ascii="Times New Roman"/>
        </w:rPr>
      </w:pPr>
      <w:r>
        <w:rPr>
          <w:rFonts w:hint="eastAsia" w:ascii="Times New Roman"/>
        </w:rPr>
        <w:t>既有路基排水设施宜充分加以利用，必要时加以修缮、改建或重建。对于失效的排水设施宜采取有效措施加以回填封堵，并重新布设排水设施；</w:t>
      </w:r>
    </w:p>
    <w:p>
      <w:pPr>
        <w:pStyle w:val="174"/>
        <w:numPr>
          <w:ilvl w:val="0"/>
          <w:numId w:val="50"/>
        </w:numPr>
        <w:rPr>
          <w:rFonts w:ascii="Times New Roman"/>
        </w:rPr>
      </w:pPr>
      <w:r>
        <w:rPr>
          <w:rFonts w:hint="eastAsia" w:ascii="Times New Roman"/>
        </w:rPr>
        <w:t>对既有路基渗沟松软路段，改扩建前应进行修复，严重部位应挖除后重新施作；</w:t>
      </w:r>
    </w:p>
    <w:p>
      <w:pPr>
        <w:pStyle w:val="174"/>
        <w:numPr>
          <w:ilvl w:val="0"/>
          <w:numId w:val="50"/>
        </w:numPr>
        <w:rPr>
          <w:rFonts w:ascii="Times New Roman"/>
        </w:rPr>
      </w:pPr>
      <w:r>
        <w:rPr>
          <w:rFonts w:hint="eastAsia" w:ascii="Times New Roman"/>
        </w:rPr>
        <w:t>对既有路基渗水路段，先确定渗水来源，疏排路基内部水，并对水源进行封堵，宜按图2所示进行排水设计；若既有路基渗水点较多，可采用透水路堤；</w:t>
      </w:r>
    </w:p>
    <w:p>
      <w:pPr>
        <w:pStyle w:val="174"/>
        <w:numPr>
          <w:ilvl w:val="0"/>
          <w:numId w:val="0"/>
        </w:numPr>
        <w:jc w:val="center"/>
      </w:pPr>
      <w:r>
        <w:rPr>
          <w:rFonts w:ascii="Times New Roman" w:eastAsiaTheme="minorEastAsia"/>
          <w:color w:val="000000" w:themeColor="text1"/>
          <w14:textFill>
            <w14:solidFill>
              <w14:schemeClr w14:val="tx1"/>
            </w14:solidFill>
          </w14:textFill>
        </w:rPr>
        <w:drawing>
          <wp:inline distT="0" distB="0" distL="0" distR="0">
            <wp:extent cx="3942080" cy="2419350"/>
            <wp:effectExtent l="19050" t="0" r="121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34">
                      <a:extLst>
                        <a:ext uri="{28A0092B-C50C-407E-A947-70E740481C1C}">
                          <a14:useLocalDpi xmlns:a14="http://schemas.microsoft.com/office/drawing/2010/main" val="0"/>
                        </a:ext>
                      </a:extLst>
                    </a:blip>
                    <a:srcRect r="-157" b="6944"/>
                    <a:stretch>
                      <a:fillRect/>
                    </a:stretch>
                  </pic:blipFill>
                  <pic:spPr>
                    <a:xfrm>
                      <a:off x="0" y="0"/>
                      <a:ext cx="3942135" cy="2419350"/>
                    </a:xfrm>
                    <a:prstGeom prst="rect">
                      <a:avLst/>
                    </a:prstGeom>
                    <a:noFill/>
                    <a:ln>
                      <a:noFill/>
                    </a:ln>
                  </pic:spPr>
                </pic:pic>
              </a:graphicData>
            </a:graphic>
          </wp:inline>
        </w:drawing>
      </w:r>
    </w:p>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既有路基坡面渗水处治系统</w:t>
      </w:r>
    </w:p>
    <w:p>
      <w:pPr>
        <w:pStyle w:val="174"/>
        <w:numPr>
          <w:ilvl w:val="0"/>
          <w:numId w:val="50"/>
        </w:numPr>
        <w:rPr>
          <w:rFonts w:ascii="Times New Roman"/>
        </w:rPr>
      </w:pPr>
      <w:r>
        <w:rPr>
          <w:rFonts w:hint="eastAsia" w:ascii="Times New Roman"/>
        </w:rPr>
        <w:t>水文不良地段的既有路基，应结合路基路面拓宽改建设计，增设排水垫层或地下排水渗沟。</w:t>
      </w:r>
    </w:p>
    <w:p>
      <w:pPr>
        <w:pStyle w:val="165"/>
        <w:rPr>
          <w:rFonts w:ascii="Times New Roman"/>
        </w:rPr>
      </w:pPr>
      <w:r>
        <w:rPr>
          <w:rFonts w:hint="eastAsia" w:ascii="Times New Roman"/>
        </w:rPr>
        <w:t>施工场地的临时性排水设施的布设，宜与永久性排水设施相结合。</w:t>
      </w:r>
    </w:p>
    <w:p>
      <w:pPr>
        <w:pStyle w:val="165"/>
        <w:rPr>
          <w:rFonts w:ascii="Times New Roman"/>
        </w:rPr>
      </w:pPr>
      <w:r>
        <w:rPr>
          <w:rFonts w:hint="eastAsia" w:ascii="Times New Roman"/>
        </w:rPr>
        <w:t>施工前应做好临时排水设施，可在拓宽路堤边沟外侧开挖临时排水沟，集中设置排水通道排除老路面的地表汇水，防止路面水对既有路基开挖台阶的冲刷。</w:t>
      </w:r>
    </w:p>
    <w:p>
      <w:pPr>
        <w:pStyle w:val="165"/>
        <w:rPr>
          <w:rFonts w:ascii="Times New Roman"/>
        </w:rPr>
      </w:pPr>
      <w:r>
        <w:rPr>
          <w:rFonts w:hint="eastAsia" w:ascii="Times New Roman"/>
        </w:rPr>
        <w:t>对已破坏的老路边坡面，宜用砂浆或小石子混凝土按照原防护排水通道设置临时的引水通道，将路面水引排至路基拼接段以外，在暴雨季节应安排人员观察路基情况，防止既有路基的水毁。施工过程中的路基排水宜按图3所示进行设计。</w:t>
      </w:r>
    </w:p>
    <w:p>
      <w:pPr>
        <w:pStyle w:val="165"/>
        <w:numPr>
          <w:ilvl w:val="0"/>
          <w:numId w:val="0"/>
        </w:numPr>
        <w:jc w:val="center"/>
      </w:pPr>
      <w:r>
        <w:drawing>
          <wp:inline distT="0" distB="0" distL="0" distR="0">
            <wp:extent cx="2955925" cy="215963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noChangeArrowheads="1"/>
                    </pic:cNvPicPr>
                  </pic:nvPicPr>
                  <pic:blipFill>
                    <a:blip r:embed="rId35">
                      <a:extLst>
                        <a:ext uri="{28A0092B-C50C-407E-A947-70E740481C1C}">
                          <a14:useLocalDpi xmlns:a14="http://schemas.microsoft.com/office/drawing/2010/main" val="0"/>
                        </a:ext>
                      </a:extLst>
                    </a:blip>
                    <a:srcRect l="9366" t="2983" r="5737"/>
                    <a:stretch>
                      <a:fillRect/>
                    </a:stretch>
                  </pic:blipFill>
                  <pic:spPr>
                    <a:xfrm>
                      <a:off x="0" y="0"/>
                      <a:ext cx="2956350" cy="2160000"/>
                    </a:xfrm>
                    <a:prstGeom prst="rect">
                      <a:avLst/>
                    </a:prstGeom>
                    <a:noFill/>
                    <a:ln>
                      <a:noFill/>
                    </a:ln>
                  </pic:spPr>
                </pic:pic>
              </a:graphicData>
            </a:graphic>
          </wp:inline>
        </w:drawing>
      </w:r>
    </w:p>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改扩建工程施工期路表排水系统</w:t>
      </w:r>
    </w:p>
    <w:p>
      <w:pPr>
        <w:pStyle w:val="165"/>
        <w:rPr>
          <w:rFonts w:ascii="Times New Roman"/>
        </w:rPr>
      </w:pPr>
      <w:r>
        <w:rPr>
          <w:rFonts w:hint="eastAsia" w:ascii="Times New Roman"/>
        </w:rPr>
        <w:t>路基施工过程中，分层填筑的各层面间不得出现积水现象；对纵坡抬高路段或超高改造段，路基拼宽范围填筑至设计标高，应考虑设置横向排水管临时排水。</w:t>
      </w:r>
    </w:p>
    <w:p>
      <w:pPr>
        <w:pStyle w:val="165"/>
        <w:rPr>
          <w:rFonts w:ascii="Times New Roman"/>
        </w:rPr>
      </w:pPr>
      <w:r>
        <w:rPr>
          <w:rFonts w:hint="eastAsia" w:ascii="Times New Roman"/>
        </w:rPr>
        <w:t>路堑两侧均应设置纵向渗沟，纵向连续渗沟纵向坡度宜与路线纵坡相同，地势较低的纵向盲沟处应设置一道以上横向盲沟；必要情况下，加密横向盲沟道数。</w:t>
      </w:r>
    </w:p>
    <w:p>
      <w:pPr>
        <w:pStyle w:val="165"/>
        <w:rPr>
          <w:rFonts w:ascii="Times New Roman"/>
        </w:rPr>
      </w:pPr>
      <w:r>
        <w:rPr>
          <w:rFonts w:hint="eastAsia" w:ascii="Times New Roman"/>
        </w:rPr>
        <w:t>各类排水设施应满足使用功能要求，结构安全可靠，便于施工、检查和养护维修。</w:t>
      </w:r>
    </w:p>
    <w:p>
      <w:pPr>
        <w:pStyle w:val="165"/>
        <w:rPr>
          <w:rFonts w:ascii="Times New Roman"/>
        </w:rPr>
      </w:pPr>
      <w:r>
        <w:rPr>
          <w:rFonts w:hint="eastAsia" w:ascii="Times New Roman"/>
        </w:rPr>
        <w:t>应检查中央分隔带中既有排水设施，评价其有效性，失效的排水设施应重新设置。</w:t>
      </w:r>
    </w:p>
    <w:p>
      <w:pPr>
        <w:pStyle w:val="165"/>
        <w:spacing w:line="264" w:lineRule="auto"/>
        <w:rPr>
          <w:rFonts w:ascii="Times New Roman"/>
        </w:rPr>
      </w:pPr>
      <w:r>
        <w:rPr>
          <w:rFonts w:hint="eastAsia" w:ascii="Times New Roman"/>
        </w:rPr>
        <w:t>高路堤及陡坡路堤拼接填筑时应做好排水的衔接设计。</w:t>
      </w:r>
    </w:p>
    <w:p>
      <w:pPr>
        <w:pStyle w:val="165"/>
        <w:spacing w:line="264" w:lineRule="auto"/>
        <w:rPr>
          <w:rFonts w:ascii="Times New Roman"/>
        </w:rPr>
      </w:pPr>
      <w:r>
        <w:rPr>
          <w:rFonts w:hint="eastAsia" w:ascii="Times New Roman"/>
        </w:rPr>
        <w:t>超高路段路基拓宽施工时横坡先按正常2%施工，到路床顶标高前留一层或两层进行超高横坡调平，调平材料宜采用未筛分碎石。</w:t>
      </w:r>
    </w:p>
    <w:p>
      <w:pPr>
        <w:pStyle w:val="165"/>
        <w:spacing w:line="264" w:lineRule="auto"/>
        <w:rPr>
          <w:rFonts w:ascii="Times New Roman"/>
        </w:rPr>
      </w:pPr>
      <w:r>
        <w:rPr>
          <w:rFonts w:hint="eastAsia" w:ascii="Times New Roman"/>
        </w:rPr>
        <w:t>深路堑地段应在渗水量大的部位设置仰斜式排水孔，在边沟底设置复式渗沟。</w:t>
      </w:r>
    </w:p>
    <w:p>
      <w:pPr>
        <w:pStyle w:val="165"/>
        <w:spacing w:line="264" w:lineRule="auto"/>
        <w:rPr>
          <w:rFonts w:ascii="Times New Roman"/>
        </w:rPr>
      </w:pPr>
      <w:r>
        <w:rPr>
          <w:rFonts w:hint="eastAsia" w:ascii="Times New Roman"/>
        </w:rPr>
        <w:t>对于路堑高边坡路段，设计中有截水沟时应在路堑开挖前先开挖截水沟，并对截水沟进行铺砌防护，不准许山坡水流进入开挖现场。雨季施工时，应做好新开挖坡面未防护前的防水工作，可采用遮挡、拦截等方式防止雨水、地表水对边坡的危害。</w:t>
      </w:r>
    </w:p>
    <w:p>
      <w:pPr>
        <w:pStyle w:val="165"/>
        <w:spacing w:line="264" w:lineRule="auto"/>
        <w:rPr>
          <w:rFonts w:ascii="Times New Roman"/>
        </w:rPr>
      </w:pPr>
      <w:r>
        <w:rPr>
          <w:rFonts w:hint="eastAsia" w:ascii="Times New Roman"/>
        </w:rPr>
        <w:t>局部排水设计与实际地形不吻合时，应满足以下规定：</w:t>
      </w:r>
    </w:p>
    <w:p>
      <w:pPr>
        <w:pStyle w:val="174"/>
        <w:numPr>
          <w:ilvl w:val="0"/>
          <w:numId w:val="51"/>
        </w:numPr>
        <w:spacing w:line="264" w:lineRule="auto"/>
        <w:rPr>
          <w:rFonts w:ascii="Times New Roman"/>
        </w:rPr>
      </w:pPr>
      <w:r>
        <w:rPr>
          <w:rFonts w:hint="eastAsia" w:ascii="Times New Roman"/>
        </w:rPr>
        <w:t>山坡截水沟以及路基、路面排水横向出口的设置，应确保其排水口水流的畅通；</w:t>
      </w:r>
    </w:p>
    <w:p>
      <w:pPr>
        <w:pStyle w:val="174"/>
        <w:numPr>
          <w:ilvl w:val="0"/>
          <w:numId w:val="51"/>
        </w:numPr>
        <w:spacing w:line="264" w:lineRule="auto"/>
        <w:rPr>
          <w:rFonts w:ascii="Times New Roman"/>
        </w:rPr>
      </w:pPr>
      <w:r>
        <w:rPr>
          <w:rFonts w:hint="eastAsia" w:ascii="Times New Roman"/>
        </w:rPr>
        <w:t>挖方边沟施工应考虑与路侧渗沟、路面结构层边缘排水系统相衔接，以及超高路段横向管位置的预留；</w:t>
      </w:r>
    </w:p>
    <w:p>
      <w:pPr>
        <w:pStyle w:val="174"/>
        <w:numPr>
          <w:ilvl w:val="0"/>
          <w:numId w:val="51"/>
        </w:numPr>
        <w:spacing w:line="264" w:lineRule="auto"/>
        <w:rPr>
          <w:rFonts w:ascii="Times New Roman"/>
        </w:rPr>
      </w:pPr>
      <w:r>
        <w:rPr>
          <w:rFonts w:hint="eastAsia" w:ascii="Times New Roman"/>
        </w:rPr>
        <w:t>对于路肩墙路段，施工时应注意预留超高横向排水管、涵洞通道等的出口位置。</w:t>
      </w:r>
    </w:p>
    <w:p>
      <w:pPr>
        <w:pStyle w:val="165"/>
        <w:spacing w:line="264" w:lineRule="auto"/>
        <w:rPr>
          <w:rFonts w:ascii="Times New Roman"/>
        </w:rPr>
      </w:pPr>
      <w:r>
        <w:rPr>
          <w:rFonts w:hint="eastAsia" w:ascii="Times New Roman"/>
        </w:rPr>
        <w:t>水土流失重点区域及重点对象应按《生产建设项目水土保持监测与评价标准》（GB/T</w:t>
      </w:r>
      <w:r>
        <w:rPr>
          <w:rFonts w:ascii="Times New Roman"/>
        </w:rPr>
        <w:t xml:space="preserve"> </w:t>
      </w:r>
      <w:r>
        <w:rPr>
          <w:rFonts w:hint="eastAsia" w:ascii="Times New Roman"/>
        </w:rPr>
        <w:t>51240）进行监测和评价。</w:t>
      </w:r>
    </w:p>
    <w:p>
      <w:pPr>
        <w:pStyle w:val="165"/>
        <w:rPr>
          <w:rFonts w:ascii="Times New Roman"/>
        </w:rPr>
      </w:pPr>
      <w:r>
        <w:rPr>
          <w:rFonts w:hint="eastAsia" w:ascii="Times New Roman"/>
        </w:rPr>
        <w:t>防排水质量验收按《公路工程质量检验评定标准》（JTG</w:t>
      </w:r>
      <w:r>
        <w:rPr>
          <w:rFonts w:ascii="Times New Roman"/>
        </w:rPr>
        <w:t xml:space="preserve"> </w:t>
      </w:r>
      <w:r>
        <w:rPr>
          <w:rFonts w:hint="eastAsia" w:ascii="Times New Roman"/>
        </w:rPr>
        <w:t>F80）执行。</w:t>
      </w:r>
    </w:p>
    <w:p>
      <w:pPr>
        <w:pStyle w:val="165"/>
        <w:numPr>
          <w:ilvl w:val="0"/>
          <w:numId w:val="0"/>
        </w:numPr>
        <w:rPr>
          <w:rFonts w:ascii="Times New Roman"/>
        </w:rPr>
      </w:pPr>
    </w:p>
    <w:p>
      <w:pPr>
        <w:pStyle w:val="165"/>
        <w:numPr>
          <w:ilvl w:val="0"/>
          <w:numId w:val="0"/>
        </w:numPr>
        <w:rPr>
          <w:rFonts w:ascii="Times New Roman"/>
        </w:rPr>
      </w:pPr>
    </w:p>
    <w:p>
      <w:pPr>
        <w:pStyle w:val="104"/>
        <w:spacing w:before="312" w:after="312"/>
      </w:pPr>
      <w:bookmarkStart w:id="88" w:name="_Toc134989346"/>
      <w:r>
        <w:rPr>
          <w:rFonts w:hint="eastAsia"/>
        </w:rPr>
        <w:t>环保与水土保持</w:t>
      </w:r>
      <w:bookmarkEnd w:id="88"/>
    </w:p>
    <w:p>
      <w:pPr>
        <w:pStyle w:val="162"/>
        <w:spacing w:line="22" w:lineRule="atLeast"/>
        <w:rPr>
          <w:rFonts w:ascii="Times New Roman"/>
        </w:rPr>
      </w:pPr>
      <w:r>
        <w:rPr>
          <w:rFonts w:hint="eastAsia" w:ascii="Times New Roman"/>
        </w:rPr>
        <w:t>路基工程中应考虑土地管理、环境保护、水土保持的要求，与农田水利相结合，尽量利用地方材料，做好废弃土方妥善处理。</w:t>
      </w:r>
    </w:p>
    <w:p>
      <w:pPr>
        <w:pStyle w:val="162"/>
        <w:spacing w:line="22" w:lineRule="atLeast"/>
        <w:rPr>
          <w:rFonts w:ascii="Times New Roman"/>
        </w:rPr>
      </w:pPr>
      <w:r>
        <w:rPr>
          <w:rFonts w:hint="eastAsia" w:ascii="Times New Roman"/>
        </w:rPr>
        <w:t>路基拓宽施工中应控制和减少对原地貌、地表植被、水系的扰动和损毁，保护原地表植被、表土及结皮层。</w:t>
      </w:r>
    </w:p>
    <w:p>
      <w:pPr>
        <w:pStyle w:val="162"/>
        <w:spacing w:line="22" w:lineRule="atLeast"/>
        <w:rPr>
          <w:rFonts w:ascii="Times New Roman"/>
        </w:rPr>
      </w:pPr>
      <w:r>
        <w:rPr>
          <w:rFonts w:hint="eastAsia" w:ascii="Times New Roman"/>
        </w:rPr>
        <w:t>施工中应采取有效临时防护设施以减少水土流失，临时防护工程设计应符合《生产建设项目水土保持技术标准》（GB 50433）相关规定。</w:t>
      </w:r>
    </w:p>
    <w:p>
      <w:pPr>
        <w:pStyle w:val="162"/>
        <w:spacing w:line="22" w:lineRule="atLeast"/>
        <w:rPr>
          <w:rFonts w:ascii="Times New Roman"/>
        </w:rPr>
      </w:pPr>
      <w:r>
        <w:rPr>
          <w:rFonts w:hint="eastAsia" w:ascii="Times New Roman"/>
        </w:rPr>
        <w:t>路基拓宽工程用地范围内的树木宜尽量进行移植作为公路沿线植物绿化。</w:t>
      </w:r>
    </w:p>
    <w:p>
      <w:pPr>
        <w:pStyle w:val="162"/>
        <w:spacing w:line="22" w:lineRule="atLeast"/>
        <w:rPr>
          <w:rFonts w:ascii="Times New Roman"/>
        </w:rPr>
      </w:pPr>
      <w:r>
        <w:rPr>
          <w:rFonts w:hint="eastAsia" w:ascii="Times New Roman"/>
        </w:rPr>
        <w:t>路基拓宽施工时，应合理布置现场照明，减少光污染。</w:t>
      </w:r>
    </w:p>
    <w:p>
      <w:pPr>
        <w:pStyle w:val="162"/>
        <w:spacing w:line="22" w:lineRule="atLeast"/>
        <w:rPr>
          <w:rFonts w:ascii="Times New Roman"/>
        </w:rPr>
      </w:pPr>
      <w:r>
        <w:rPr>
          <w:rFonts w:hint="eastAsia" w:ascii="Times New Roman"/>
        </w:rPr>
        <w:t>路基拓宽施工时，既有高速公路桥涵、防护支挡工程挖除的圬工以及混凝土应充分利用；采用再生技术利用老路路面挖除的材料，无法利用的材料应妥善处理。</w:t>
      </w:r>
    </w:p>
    <w:p>
      <w:pPr>
        <w:pStyle w:val="162"/>
        <w:spacing w:line="264" w:lineRule="auto"/>
        <w:rPr>
          <w:rFonts w:ascii="Times New Roman"/>
        </w:rPr>
      </w:pPr>
      <w:r>
        <w:rPr>
          <w:rFonts w:hint="eastAsia" w:ascii="Times New Roman"/>
        </w:rPr>
        <w:t>路基及挡墙拆除所产生的固废材料再生利用应符合下列规定：</w:t>
      </w:r>
    </w:p>
    <w:p>
      <w:pPr>
        <w:pStyle w:val="174"/>
        <w:numPr>
          <w:ilvl w:val="0"/>
          <w:numId w:val="52"/>
        </w:numPr>
        <w:spacing w:line="264" w:lineRule="auto"/>
        <w:rPr>
          <w:rFonts w:ascii="Times New Roman"/>
        </w:rPr>
      </w:pPr>
      <w:r>
        <w:rPr>
          <w:rFonts w:hint="eastAsia" w:ascii="Times New Roman"/>
        </w:rPr>
        <w:t>路缘石、挡墙拆除物可用于路面结构底基层或路床；</w:t>
      </w:r>
    </w:p>
    <w:p>
      <w:pPr>
        <w:pStyle w:val="174"/>
        <w:numPr>
          <w:ilvl w:val="0"/>
          <w:numId w:val="52"/>
        </w:numPr>
        <w:spacing w:line="264" w:lineRule="auto"/>
        <w:rPr>
          <w:rFonts w:ascii="Times New Roman"/>
        </w:rPr>
      </w:pPr>
      <w:r>
        <w:rPr>
          <w:rFonts w:hint="eastAsia" w:ascii="Times New Roman"/>
        </w:rPr>
        <w:t>清表所产生的腐殖土应集中堆放，用于日后绿化、防护、复耕；破碎的水泥混凝土材料可用于路面结构底基层或路床。</w:t>
      </w:r>
    </w:p>
    <w:p>
      <w:pPr>
        <w:pStyle w:val="162"/>
        <w:spacing w:line="264" w:lineRule="auto"/>
      </w:pPr>
      <w:r>
        <w:rPr>
          <w:rFonts w:hint="eastAsia" w:ascii="Times New Roman"/>
        </w:rPr>
        <w:t>施工完成后应进行生态恢复，恢复措施及要求应符合《公路路基施工技术规范》（JTG/T 3610）相关规定。</w:t>
      </w:r>
    </w:p>
    <w:p>
      <w:pPr>
        <w:pStyle w:val="104"/>
        <w:spacing w:before="312" w:after="312"/>
      </w:pPr>
      <w:bookmarkStart w:id="89" w:name="_Toc134989347"/>
      <w:r>
        <w:rPr>
          <w:rFonts w:hint="eastAsia"/>
        </w:rPr>
        <w:t>路基变形监测</w:t>
      </w:r>
      <w:bookmarkEnd w:id="89"/>
    </w:p>
    <w:p>
      <w:pPr>
        <w:pStyle w:val="162"/>
        <w:spacing w:line="276" w:lineRule="auto"/>
        <w:rPr>
          <w:rFonts w:ascii="Times New Roman"/>
        </w:rPr>
      </w:pPr>
      <w:r>
        <w:rPr>
          <w:rFonts w:hint="eastAsia" w:ascii="Times New Roman"/>
        </w:rPr>
        <w:t>路基沉降监测应达到评估路基稳定性、预测路基工后沉降等目的。</w:t>
      </w:r>
    </w:p>
    <w:p>
      <w:pPr>
        <w:pStyle w:val="162"/>
        <w:spacing w:line="276" w:lineRule="auto"/>
        <w:rPr>
          <w:rFonts w:ascii="Times New Roman"/>
        </w:rPr>
      </w:pPr>
      <w:r>
        <w:rPr>
          <w:rFonts w:hint="eastAsia" w:ascii="Times New Roman"/>
        </w:rPr>
        <w:t>路基监测设计应收集工程地质、水文地质、路基设计、周边环境、勘测网等资料；设计内容应包括监测断面布置、监测项目选择、监测精度、测点布置，监测期限、监测频率、报警值等。</w:t>
      </w:r>
    </w:p>
    <w:p>
      <w:pPr>
        <w:pStyle w:val="162"/>
        <w:spacing w:line="276" w:lineRule="auto"/>
        <w:rPr>
          <w:rFonts w:ascii="Times New Roman"/>
        </w:rPr>
      </w:pPr>
      <w:r>
        <w:rPr>
          <w:rFonts w:hint="eastAsia" w:ascii="Times New Roman"/>
        </w:rPr>
        <w:t>公路路基拓宽工程应根据项目特点和具体情况选择合适的沉降变形观测标志、元器件、仪器设备、数据管理方式，有条件时可采用自动化数据采集、无线传输等新技术、新工艺和新设备。</w:t>
      </w:r>
    </w:p>
    <w:p>
      <w:pPr>
        <w:pStyle w:val="162"/>
        <w:spacing w:line="276" w:lineRule="auto"/>
        <w:rPr>
          <w:rFonts w:ascii="Times New Roman"/>
        </w:rPr>
      </w:pPr>
      <w:r>
        <w:rPr>
          <w:rFonts w:hint="eastAsia" w:ascii="Times New Roman"/>
        </w:rPr>
        <w:t>沉降变形观测元器件应具有足够强度、精度、稳定性和耐久性，满足沉降变形观测期间的正常使用需求。</w:t>
      </w:r>
    </w:p>
    <w:p>
      <w:pPr>
        <w:pStyle w:val="162"/>
        <w:spacing w:line="276" w:lineRule="auto"/>
        <w:rPr>
          <w:rFonts w:ascii="Times New Roman"/>
        </w:rPr>
      </w:pPr>
      <w:r>
        <w:rPr>
          <w:rFonts w:hint="eastAsia" w:ascii="Times New Roman"/>
        </w:rPr>
        <w:t>对可能诱发失稳的边坡应进行深层水平位移监测。</w:t>
      </w:r>
    </w:p>
    <w:p>
      <w:pPr>
        <w:pStyle w:val="162"/>
        <w:spacing w:line="276" w:lineRule="auto"/>
        <w:rPr>
          <w:rFonts w:ascii="Times New Roman"/>
        </w:rPr>
      </w:pPr>
      <w:r>
        <w:rPr>
          <w:rFonts w:hint="eastAsia" w:ascii="Times New Roman"/>
        </w:rPr>
        <w:t>拓宽路基沉降与水平位移观测应根据工程的重要性、地基的特殊性以及观测对施工的影响程度等确定，适用条件及观测范围如表2所示。</w:t>
      </w:r>
    </w:p>
    <w:p>
      <w:pPr>
        <w:pStyle w:val="112"/>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适用条件及观测范围</w:t>
      </w:r>
    </w:p>
    <w:tbl>
      <w:tblPr>
        <w:tblStyle w:val="32"/>
        <w:tblW w:w="933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975"/>
        <w:gridCol w:w="1633"/>
        <w:gridCol w:w="37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tcBorders>
              <w:top w:val="single" w:color="auto" w:sz="8" w:space="0"/>
              <w:left w:val="single" w:color="auto" w:sz="8" w:space="0"/>
              <w:bottom w:val="single" w:color="auto" w:sz="8"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地基条件</w:t>
            </w:r>
          </w:p>
        </w:tc>
        <w:tc>
          <w:tcPr>
            <w:tcW w:w="1633" w:type="dxa"/>
            <w:tcBorders>
              <w:top w:val="single" w:color="auto" w:sz="8" w:space="0"/>
              <w:left w:val="nil"/>
              <w:bottom w:val="single" w:color="auto" w:sz="8"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路堤高度</w:t>
            </w:r>
          </w:p>
        </w:tc>
        <w:tc>
          <w:tcPr>
            <w:tcW w:w="3726" w:type="dxa"/>
            <w:tcBorders>
              <w:top w:val="single" w:color="auto" w:sz="8" w:space="0"/>
              <w:left w:val="nil"/>
              <w:bottom w:val="single" w:color="auto" w:sz="8"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观测要求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tcBorders>
              <w:top w:val="single" w:color="auto" w:sz="8" w:space="0"/>
              <w:left w:val="single" w:color="auto" w:sz="8" w:space="0"/>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软土地基路段</w:t>
            </w:r>
          </w:p>
        </w:tc>
        <w:tc>
          <w:tcPr>
            <w:tcW w:w="1633" w:type="dxa"/>
            <w:tcBorders>
              <w:top w:val="single" w:color="auto" w:sz="8" w:space="0"/>
              <w:left w:val="nil"/>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w:t>
            </w:r>
          </w:p>
        </w:tc>
        <w:tc>
          <w:tcPr>
            <w:tcW w:w="3726" w:type="dxa"/>
            <w:tcBorders>
              <w:top w:val="single" w:color="auto" w:sz="8" w:space="0"/>
              <w:left w:val="nil"/>
              <w:bottom w:val="single" w:color="000000" w:sz="4"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按JTG/T D31-02要求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vMerge w:val="restart"/>
            <w:tcBorders>
              <w:top w:val="nil"/>
              <w:left w:val="single" w:color="auto" w:sz="8" w:space="0"/>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软弱土、</w:t>
            </w:r>
            <w:r>
              <w:rPr>
                <w:rFonts w:hint="eastAsia" w:ascii="Times New Roman"/>
                <w:sz w:val="18"/>
                <w:szCs w:val="18"/>
              </w:rPr>
              <w:t>膨胀土、红黏土</w:t>
            </w:r>
            <w:r>
              <w:rPr>
                <w:rFonts w:ascii="Times New Roman"/>
                <w:sz w:val="18"/>
                <w:szCs w:val="18"/>
              </w:rPr>
              <w:t>等特殊土地基路段</w:t>
            </w:r>
          </w:p>
        </w:tc>
        <w:tc>
          <w:tcPr>
            <w:tcW w:w="1633" w:type="dxa"/>
            <w:tcBorders>
              <w:top w:val="single" w:color="000000" w:sz="4" w:space="0"/>
              <w:left w:val="nil"/>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hAnsi="宋体"/>
                <w:sz w:val="18"/>
                <w:szCs w:val="18"/>
              </w:rPr>
              <w:t>≤</w:t>
            </w:r>
            <w:r>
              <w:rPr>
                <w:rFonts w:ascii="Times New Roman"/>
                <w:sz w:val="18"/>
                <w:szCs w:val="18"/>
              </w:rPr>
              <w:t>3 m</w:t>
            </w:r>
          </w:p>
        </w:tc>
        <w:tc>
          <w:tcPr>
            <w:tcW w:w="3726" w:type="dxa"/>
            <w:tcBorders>
              <w:top w:val="single" w:color="000000" w:sz="4" w:space="0"/>
              <w:left w:val="nil"/>
              <w:bottom w:val="single" w:color="000000" w:sz="4"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可不进行沉降与水平位移观测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vMerge w:val="continue"/>
            <w:tcBorders>
              <w:top w:val="nil"/>
              <w:left w:val="single" w:color="auto" w:sz="8" w:space="0"/>
              <w:bottom w:val="single" w:color="000000" w:sz="4" w:space="0"/>
              <w:right w:val="single" w:color="000000" w:sz="4" w:space="0"/>
            </w:tcBorders>
            <w:shd w:val="clear" w:color="auto" w:fill="auto"/>
            <w:vAlign w:val="center"/>
          </w:tcPr>
          <w:p>
            <w:pPr>
              <w:pStyle w:val="56"/>
              <w:ind w:firstLine="360"/>
              <w:jc w:val="center"/>
              <w:rPr>
                <w:rFonts w:ascii="Times New Roman"/>
                <w:sz w:val="18"/>
                <w:szCs w:val="18"/>
              </w:rPr>
            </w:pPr>
          </w:p>
        </w:tc>
        <w:tc>
          <w:tcPr>
            <w:tcW w:w="1633" w:type="dxa"/>
            <w:tcBorders>
              <w:top w:val="single" w:color="000000" w:sz="4" w:space="0"/>
              <w:left w:val="nil"/>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＞3 m</w:t>
            </w:r>
          </w:p>
        </w:tc>
        <w:tc>
          <w:tcPr>
            <w:tcW w:w="3726" w:type="dxa"/>
            <w:tcBorders>
              <w:top w:val="single" w:color="000000" w:sz="4" w:space="0"/>
              <w:left w:val="nil"/>
              <w:bottom w:val="single" w:color="000000" w:sz="4"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应按本</w:t>
            </w:r>
            <w:r>
              <w:rPr>
                <w:rFonts w:hint="eastAsia" w:ascii="Times New Roman"/>
                <w:sz w:val="18"/>
                <w:szCs w:val="18"/>
              </w:rPr>
              <w:t>文件</w:t>
            </w:r>
            <w:r>
              <w:rPr>
                <w:rFonts w:ascii="Times New Roman"/>
                <w:sz w:val="18"/>
                <w:szCs w:val="18"/>
              </w:rPr>
              <w:t>进行水平位移观测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vMerge w:val="restart"/>
            <w:tcBorders>
              <w:top w:val="nil"/>
              <w:left w:val="single" w:color="auto" w:sz="8" w:space="0"/>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hint="eastAsia" w:ascii="Times New Roman"/>
                <w:sz w:val="18"/>
                <w:szCs w:val="18"/>
              </w:rPr>
              <w:t>其它</w:t>
            </w:r>
            <w:r>
              <w:rPr>
                <w:rFonts w:ascii="Times New Roman"/>
                <w:sz w:val="18"/>
                <w:szCs w:val="18"/>
              </w:rPr>
              <w:t>地基路段</w:t>
            </w:r>
          </w:p>
        </w:tc>
        <w:tc>
          <w:tcPr>
            <w:tcW w:w="1633" w:type="dxa"/>
            <w:tcBorders>
              <w:top w:val="single" w:color="000000" w:sz="4" w:space="0"/>
              <w:left w:val="nil"/>
              <w:bottom w:val="single" w:color="000000" w:sz="4"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hAnsi="宋体"/>
                <w:sz w:val="18"/>
                <w:szCs w:val="18"/>
              </w:rPr>
              <w:t>≤</w:t>
            </w:r>
            <w:r>
              <w:rPr>
                <w:rFonts w:ascii="Times New Roman"/>
                <w:sz w:val="18"/>
                <w:szCs w:val="18"/>
              </w:rPr>
              <w:t>5 m</w:t>
            </w:r>
          </w:p>
        </w:tc>
        <w:tc>
          <w:tcPr>
            <w:tcW w:w="3726" w:type="dxa"/>
            <w:tcBorders>
              <w:top w:val="single" w:color="000000" w:sz="4" w:space="0"/>
              <w:left w:val="nil"/>
              <w:bottom w:val="single" w:color="000000" w:sz="4"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可不进行沉降与水平位移观测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3975" w:type="dxa"/>
            <w:vMerge w:val="continue"/>
            <w:tcBorders>
              <w:top w:val="nil"/>
              <w:left w:val="single" w:color="auto" w:sz="8" w:space="0"/>
              <w:bottom w:val="single" w:color="auto" w:sz="8" w:space="0"/>
              <w:right w:val="single" w:color="000000" w:sz="4" w:space="0"/>
            </w:tcBorders>
            <w:shd w:val="clear" w:color="auto" w:fill="auto"/>
            <w:vAlign w:val="center"/>
          </w:tcPr>
          <w:p>
            <w:pPr>
              <w:pStyle w:val="56"/>
              <w:ind w:firstLine="360"/>
              <w:rPr>
                <w:rFonts w:ascii="Times New Roman"/>
                <w:sz w:val="18"/>
                <w:szCs w:val="18"/>
              </w:rPr>
            </w:pPr>
          </w:p>
        </w:tc>
        <w:tc>
          <w:tcPr>
            <w:tcW w:w="1633" w:type="dxa"/>
            <w:tcBorders>
              <w:top w:val="single" w:color="000000" w:sz="4" w:space="0"/>
              <w:left w:val="nil"/>
              <w:bottom w:val="single" w:color="auto" w:sz="8" w:space="0"/>
              <w:right w:val="single" w:color="000000" w:sz="4"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＞5 m</w:t>
            </w:r>
          </w:p>
        </w:tc>
        <w:tc>
          <w:tcPr>
            <w:tcW w:w="3726" w:type="dxa"/>
            <w:tcBorders>
              <w:top w:val="single" w:color="000000" w:sz="4" w:space="0"/>
              <w:left w:val="nil"/>
              <w:bottom w:val="single" w:color="auto" w:sz="8" w:space="0"/>
              <w:right w:val="single" w:color="auto" w:sz="8" w:space="0"/>
            </w:tcBorders>
            <w:shd w:val="clear" w:color="auto" w:fill="auto"/>
            <w:vAlign w:val="center"/>
          </w:tcPr>
          <w:p>
            <w:pPr>
              <w:pStyle w:val="56"/>
              <w:ind w:firstLine="0" w:firstLineChars="0"/>
              <w:jc w:val="center"/>
              <w:rPr>
                <w:rFonts w:ascii="Times New Roman"/>
                <w:sz w:val="18"/>
                <w:szCs w:val="18"/>
              </w:rPr>
            </w:pPr>
            <w:r>
              <w:rPr>
                <w:rFonts w:ascii="Times New Roman"/>
                <w:sz w:val="18"/>
                <w:szCs w:val="18"/>
              </w:rPr>
              <w:t>应按本</w:t>
            </w:r>
            <w:r>
              <w:rPr>
                <w:rFonts w:hint="eastAsia" w:ascii="Times New Roman"/>
                <w:sz w:val="18"/>
                <w:szCs w:val="18"/>
              </w:rPr>
              <w:t>文件</w:t>
            </w:r>
            <w:r>
              <w:rPr>
                <w:rFonts w:ascii="Times New Roman"/>
                <w:sz w:val="18"/>
                <w:szCs w:val="18"/>
              </w:rPr>
              <w:t>进行水平位移观测</w:t>
            </w:r>
          </w:p>
        </w:tc>
      </w:tr>
    </w:tbl>
    <w:p>
      <w:pPr>
        <w:pStyle w:val="162"/>
        <w:numPr>
          <w:ilvl w:val="0"/>
          <w:numId w:val="0"/>
        </w:numPr>
        <w:rPr>
          <w:rFonts w:ascii="Times New Roman"/>
        </w:rPr>
      </w:pPr>
    </w:p>
    <w:p>
      <w:pPr>
        <w:pStyle w:val="162"/>
        <w:numPr>
          <w:ilvl w:val="0"/>
          <w:numId w:val="0"/>
        </w:numPr>
        <w:rPr>
          <w:rFonts w:ascii="Times New Roman"/>
        </w:rPr>
      </w:pPr>
    </w:p>
    <w:p>
      <w:pPr>
        <w:pStyle w:val="162"/>
        <w:rPr>
          <w:rFonts w:ascii="Times New Roman"/>
        </w:rPr>
      </w:pPr>
      <w:r>
        <w:rPr>
          <w:rFonts w:ascii="Times New Roman"/>
        </w:rPr>
        <w:t>地表监测项目及其作用如表3所示。</w:t>
      </w:r>
    </w:p>
    <w:p>
      <w:pPr>
        <w:pStyle w:val="112"/>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地表监测项目表</w:t>
      </w:r>
    </w:p>
    <w:tbl>
      <w:tblPr>
        <w:tblStyle w:val="33"/>
        <w:tblW w:w="933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17"/>
        <w:gridCol w:w="72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shd w:val="clear" w:color="auto" w:fill="auto"/>
            <w:vAlign w:val="center"/>
          </w:tcPr>
          <w:p>
            <w:pPr>
              <w:pStyle w:val="178"/>
            </w:pPr>
            <w:r>
              <w:rPr>
                <w:rFonts w:hint="eastAsia"/>
              </w:rPr>
              <w:t>观测项目</w:t>
            </w:r>
          </w:p>
        </w:tc>
        <w:tc>
          <w:tcPr>
            <w:tcW w:w="7217" w:type="dxa"/>
            <w:tcBorders>
              <w:top w:val="single" w:color="auto" w:sz="8" w:space="0"/>
              <w:bottom w:val="single" w:color="auto" w:sz="8" w:space="0"/>
            </w:tcBorders>
            <w:shd w:val="clear" w:color="auto" w:fill="auto"/>
            <w:vAlign w:val="center"/>
          </w:tcPr>
          <w:p>
            <w:pPr>
              <w:pStyle w:val="178"/>
            </w:pPr>
            <w:r>
              <w:rPr>
                <w:rFonts w:hint="eastAsia"/>
              </w:rPr>
              <w:t>目的与用途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pPr>
              <w:pStyle w:val="178"/>
            </w:pPr>
            <w:r>
              <w:rPr>
                <w:rFonts w:hint="eastAsia"/>
              </w:rPr>
              <w:t>地表沉降</w:t>
            </w:r>
          </w:p>
        </w:tc>
        <w:tc>
          <w:tcPr>
            <w:tcW w:w="7217" w:type="dxa"/>
            <w:tcBorders>
              <w:top w:val="single" w:color="auto" w:sz="8" w:space="0"/>
            </w:tcBorders>
            <w:shd w:val="clear" w:color="auto" w:fill="auto"/>
            <w:vAlign w:val="center"/>
          </w:tcPr>
          <w:p>
            <w:pPr>
              <w:pStyle w:val="178"/>
            </w:pPr>
            <w:r>
              <w:rPr>
                <w:rFonts w:hint="eastAsia"/>
              </w:rPr>
              <w:t>用于沉降管理：根据测定数据调整填土速率，预测沉降趋势，确定等载预压卸载时间，提供施工期间沉降土方量的计算依据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117" w:type="dxa"/>
            <w:shd w:val="clear" w:color="auto" w:fill="auto"/>
            <w:vAlign w:val="center"/>
          </w:tcPr>
          <w:p>
            <w:pPr>
              <w:pStyle w:val="178"/>
            </w:pPr>
            <w:r>
              <w:rPr>
                <w:rFonts w:hint="eastAsia"/>
              </w:rPr>
              <w:t>地表水平位移及隆起量</w:t>
            </w:r>
          </w:p>
        </w:tc>
        <w:tc>
          <w:tcPr>
            <w:tcW w:w="7217" w:type="dxa"/>
            <w:shd w:val="clear" w:color="auto" w:fill="auto"/>
            <w:vAlign w:val="center"/>
          </w:tcPr>
          <w:p>
            <w:pPr>
              <w:pStyle w:val="178"/>
            </w:pPr>
            <w:r>
              <w:rPr>
                <w:rFonts w:hint="eastAsia"/>
              </w:rPr>
              <w:t>用于稳定管理：检测地表水平位移及隆起情况，以确保路堤施工的安全预稳定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117" w:type="dxa"/>
            <w:tcBorders>
              <w:bottom w:val="single" w:color="auto" w:sz="8" w:space="0"/>
            </w:tcBorders>
            <w:shd w:val="clear" w:color="auto" w:fill="auto"/>
            <w:vAlign w:val="center"/>
          </w:tcPr>
          <w:p>
            <w:pPr>
              <w:pStyle w:val="178"/>
            </w:pPr>
            <w:r>
              <w:rPr>
                <w:rFonts w:hint="eastAsia"/>
              </w:rPr>
              <w:t>地下土分层水平位移量</w:t>
            </w:r>
          </w:p>
        </w:tc>
        <w:tc>
          <w:tcPr>
            <w:tcW w:w="7217" w:type="dxa"/>
            <w:tcBorders>
              <w:bottom w:val="single" w:color="auto" w:sz="8" w:space="0"/>
            </w:tcBorders>
            <w:shd w:val="clear" w:color="auto" w:fill="auto"/>
            <w:vAlign w:val="center"/>
          </w:tcPr>
          <w:p>
            <w:pPr>
              <w:pStyle w:val="178"/>
            </w:pPr>
            <w:r>
              <w:rPr>
                <w:rFonts w:hint="eastAsia"/>
              </w:rPr>
              <w:t>用于稳定管理与研究：用作掌握分层位移量，推定土体剪切破坏的位置，在软土指标较差、填土较高、填方路基在施工过程中易失稳时采用</w:t>
            </w:r>
          </w:p>
        </w:tc>
      </w:tr>
    </w:tbl>
    <w:p>
      <w:pPr>
        <w:pStyle w:val="162"/>
        <w:spacing w:line="276" w:lineRule="auto"/>
        <w:rPr>
          <w:rFonts w:ascii="Times New Roman"/>
        </w:rPr>
      </w:pPr>
      <w:r>
        <w:rPr>
          <w:rFonts w:ascii="Times New Roman"/>
        </w:rPr>
        <w:t>观测断面类型如下：</w:t>
      </w:r>
    </w:p>
    <w:p>
      <w:pPr>
        <w:pStyle w:val="174"/>
        <w:numPr>
          <w:ilvl w:val="0"/>
          <w:numId w:val="53"/>
        </w:numPr>
        <w:spacing w:line="276" w:lineRule="auto"/>
        <w:rPr>
          <w:rFonts w:ascii="Times New Roman"/>
        </w:rPr>
      </w:pPr>
      <w:r>
        <w:rPr>
          <w:rFonts w:hint="eastAsia" w:ascii="Times New Roman"/>
        </w:rPr>
        <w:t>路基加宽沉降与水平位移观测断面可分为Ⅰ、Ⅱ、Ⅲ型三种类型；</w:t>
      </w:r>
    </w:p>
    <w:p>
      <w:pPr>
        <w:pStyle w:val="174"/>
        <w:numPr>
          <w:ilvl w:val="0"/>
          <w:numId w:val="53"/>
        </w:numPr>
        <w:spacing w:line="276" w:lineRule="auto"/>
        <w:rPr>
          <w:rFonts w:ascii="Times New Roman"/>
        </w:rPr>
      </w:pPr>
      <w:r>
        <w:rPr>
          <w:rFonts w:hint="eastAsia" w:ascii="Times New Roman"/>
        </w:rPr>
        <w:t>Ⅰ型观测断面主要用于一般地段加宽路基（地基条件均匀良好地段且路堤高度＞5</w:t>
      </w:r>
      <w:r>
        <w:rPr>
          <w:rFonts w:ascii="Times New Roman"/>
        </w:rPr>
        <w:t xml:space="preserve"> </w:t>
      </w:r>
      <w:r>
        <w:rPr>
          <w:rFonts w:hint="eastAsia" w:ascii="Times New Roman"/>
        </w:rPr>
        <w:t>m、软弱土等特殊土地基路段且路堤高度＞3</w:t>
      </w:r>
      <w:r>
        <w:rPr>
          <w:rFonts w:ascii="Times New Roman"/>
        </w:rPr>
        <w:t xml:space="preserve"> </w:t>
      </w:r>
      <w:r>
        <w:rPr>
          <w:rFonts w:hint="eastAsia" w:ascii="Times New Roman"/>
        </w:rPr>
        <w:t>m）沉降观测，见图4，Ⅰ型观测断面观测元件包括沉降观测标和沉降杯；</w:t>
      </w:r>
    </w:p>
    <w:p>
      <w:pPr>
        <w:pStyle w:val="174"/>
        <w:numPr>
          <w:ilvl w:val="0"/>
          <w:numId w:val="53"/>
        </w:numPr>
        <w:spacing w:line="276" w:lineRule="auto"/>
        <w:rPr>
          <w:rFonts w:ascii="Times New Roman"/>
        </w:rPr>
      </w:pPr>
      <w:r>
        <w:rPr>
          <w:rFonts w:hint="eastAsia" w:ascii="Times New Roman"/>
        </w:rPr>
        <w:t>Ⅱ型观测断面仅在观测范围内的桥头路堤段布置，见图5，Ⅱ型观测断面观测元件只包括剖面沉降管；</w:t>
      </w:r>
    </w:p>
    <w:p>
      <w:pPr>
        <w:pStyle w:val="174"/>
        <w:numPr>
          <w:ilvl w:val="0"/>
          <w:numId w:val="53"/>
        </w:numPr>
        <w:spacing w:line="276" w:lineRule="auto"/>
        <w:rPr>
          <w:rFonts w:ascii="Times New Roman"/>
        </w:rPr>
      </w:pPr>
      <w:r>
        <w:rPr>
          <w:rFonts w:hint="eastAsia" w:ascii="Times New Roman"/>
        </w:rPr>
        <w:t>Ⅲ型观测断面用于地基条件均匀良好地段且路堤高度＞8</w:t>
      </w:r>
      <w:r>
        <w:rPr>
          <w:rFonts w:ascii="Times New Roman"/>
        </w:rPr>
        <w:t xml:space="preserve"> </w:t>
      </w:r>
      <w:r>
        <w:rPr>
          <w:rFonts w:hint="eastAsia" w:ascii="Times New Roman"/>
        </w:rPr>
        <w:t>m、软弱土等特殊土地基路段且路堤高度＞5</w:t>
      </w:r>
      <w:r>
        <w:rPr>
          <w:rFonts w:ascii="Times New Roman"/>
        </w:rPr>
        <w:t xml:space="preserve"> </w:t>
      </w:r>
      <w:r>
        <w:rPr>
          <w:rFonts w:hint="eastAsia" w:ascii="Times New Roman"/>
        </w:rPr>
        <w:t>m的地段，见图6，Ⅲ型观测断面观测元件包括沉降观测标、沉降计、剖面沉降管以及水平位移观测桩。</w:t>
      </w:r>
    </w:p>
    <w:tbl>
      <w:tblPr>
        <w:tblStyle w:val="33"/>
        <w:tblW w:w="933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67"/>
        <w:gridCol w:w="4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Header/>
          <w:jc w:val="center"/>
        </w:trPr>
        <w:tc>
          <w:tcPr>
            <w:tcW w:w="9334" w:type="dxa"/>
            <w:gridSpan w:val="2"/>
            <w:shd w:val="clear" w:color="auto" w:fill="auto"/>
            <w:vAlign w:val="center"/>
          </w:tcPr>
          <w:p>
            <w:pPr>
              <w:pStyle w:val="178"/>
            </w:pPr>
            <w:r>
              <w:rPr>
                <w:rFonts w:ascii="Times New Roman"/>
              </w:rPr>
              <w:drawing>
                <wp:inline distT="0" distB="0" distL="0" distR="0">
                  <wp:extent cx="5274310" cy="1082040"/>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274310" cy="108204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4667" w:type="dxa"/>
            <w:shd w:val="clear" w:color="auto" w:fill="auto"/>
            <w:vAlign w:val="center"/>
          </w:tcPr>
          <w:p>
            <w:pPr>
              <w:pStyle w:val="178"/>
            </w:pPr>
            <w:r>
              <w:rPr>
                <w:rFonts w:ascii="Times New Roman" w:eastAsia="黑体"/>
                <w:szCs w:val="15"/>
              </w:rPr>
              <w:t>a)</w:t>
            </w:r>
            <w:r>
              <w:rPr>
                <w:rFonts w:hint="eastAsia" w:ascii="Times New Roman" w:eastAsia="黑体"/>
                <w:szCs w:val="15"/>
              </w:rPr>
              <w:t>横断面图</w:t>
            </w:r>
          </w:p>
        </w:tc>
        <w:tc>
          <w:tcPr>
            <w:tcW w:w="4667" w:type="dxa"/>
            <w:shd w:val="clear" w:color="auto" w:fill="auto"/>
            <w:vAlign w:val="center"/>
          </w:tcPr>
          <w:p>
            <w:pPr>
              <w:pStyle w:val="178"/>
            </w:pPr>
            <w:r>
              <w:rPr>
                <w:rFonts w:ascii="Times New Roman" w:eastAsia="黑体"/>
                <w:szCs w:val="15"/>
              </w:rPr>
              <w:t>b)</w:t>
            </w:r>
            <w:r>
              <w:rPr>
                <w:rFonts w:hint="eastAsia" w:ascii="Times New Roman" w:eastAsia="黑体"/>
                <w:szCs w:val="15"/>
              </w:rPr>
              <w:t>平面图</w:t>
            </w:r>
          </w:p>
        </w:tc>
      </w:tr>
    </w:tbl>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加宽路基沉降观测断面元件布置示意图（Ⅰ型）</w:t>
      </w:r>
    </w:p>
    <w:p>
      <w:pPr>
        <w:pStyle w:val="56"/>
        <w:ind w:firstLine="420"/>
      </w:pPr>
    </w:p>
    <w:tbl>
      <w:tblPr>
        <w:tblStyle w:val="33"/>
        <w:tblW w:w="933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67"/>
        <w:gridCol w:w="4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Header/>
          <w:jc w:val="center"/>
        </w:trPr>
        <w:tc>
          <w:tcPr>
            <w:tcW w:w="9334" w:type="dxa"/>
            <w:gridSpan w:val="2"/>
            <w:shd w:val="clear" w:color="auto" w:fill="auto"/>
            <w:vAlign w:val="center"/>
          </w:tcPr>
          <w:p>
            <w:pPr>
              <w:pStyle w:val="178"/>
            </w:pPr>
            <w:r>
              <w:rPr>
                <w:rFonts w:ascii="Times New Roman"/>
              </w:rPr>
              <w:drawing>
                <wp:inline distT="0" distB="0" distL="0" distR="0">
                  <wp:extent cx="5274310" cy="882015"/>
                  <wp:effectExtent l="0" t="0" r="254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274310" cy="88243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4667" w:type="dxa"/>
            <w:shd w:val="clear" w:color="auto" w:fill="auto"/>
            <w:vAlign w:val="center"/>
          </w:tcPr>
          <w:p>
            <w:pPr>
              <w:pStyle w:val="178"/>
            </w:pPr>
            <w:r>
              <w:rPr>
                <w:rFonts w:ascii="Times New Roman" w:eastAsia="黑体"/>
                <w:szCs w:val="15"/>
              </w:rPr>
              <w:t>a)</w:t>
            </w:r>
            <w:r>
              <w:rPr>
                <w:rFonts w:hint="eastAsia" w:ascii="Times New Roman" w:eastAsia="黑体"/>
                <w:szCs w:val="15"/>
              </w:rPr>
              <w:t>横断面图</w:t>
            </w:r>
          </w:p>
        </w:tc>
        <w:tc>
          <w:tcPr>
            <w:tcW w:w="4667" w:type="dxa"/>
            <w:shd w:val="clear" w:color="auto" w:fill="auto"/>
            <w:vAlign w:val="center"/>
          </w:tcPr>
          <w:p>
            <w:pPr>
              <w:pStyle w:val="178"/>
            </w:pPr>
            <w:r>
              <w:rPr>
                <w:rFonts w:ascii="Times New Roman" w:eastAsia="黑体"/>
                <w:szCs w:val="15"/>
              </w:rPr>
              <w:t>b)</w:t>
            </w:r>
            <w:r>
              <w:rPr>
                <w:rFonts w:hint="eastAsia" w:ascii="Times New Roman" w:eastAsia="黑体"/>
                <w:szCs w:val="15"/>
              </w:rPr>
              <w:t>平面图</w:t>
            </w:r>
          </w:p>
        </w:tc>
      </w:tr>
    </w:tbl>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加宽路基沉降观测断面元件布置示意图（Ⅱ型）</w:t>
      </w:r>
    </w:p>
    <w:p>
      <w:pPr>
        <w:pStyle w:val="56"/>
        <w:ind w:firstLine="420"/>
      </w:pPr>
    </w:p>
    <w:tbl>
      <w:tblPr>
        <w:tblStyle w:val="33"/>
        <w:tblW w:w="9334"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67"/>
        <w:gridCol w:w="4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blHeader/>
          <w:jc w:val="center"/>
        </w:trPr>
        <w:tc>
          <w:tcPr>
            <w:tcW w:w="9334" w:type="dxa"/>
            <w:gridSpan w:val="2"/>
            <w:shd w:val="clear" w:color="auto" w:fill="auto"/>
            <w:vAlign w:val="center"/>
          </w:tcPr>
          <w:p>
            <w:pPr>
              <w:pStyle w:val="178"/>
            </w:pPr>
            <w:r>
              <w:rPr>
                <w:rFonts w:ascii="Times New Roman"/>
              </w:rPr>
              <w:drawing>
                <wp:inline distT="0" distB="0" distL="0" distR="0">
                  <wp:extent cx="5274310" cy="1282065"/>
                  <wp:effectExtent l="0" t="0" r="254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274310" cy="1282209"/>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jc w:val="center"/>
        </w:trPr>
        <w:tc>
          <w:tcPr>
            <w:tcW w:w="4667" w:type="dxa"/>
            <w:shd w:val="clear" w:color="auto" w:fill="auto"/>
            <w:vAlign w:val="center"/>
          </w:tcPr>
          <w:p>
            <w:pPr>
              <w:pStyle w:val="178"/>
            </w:pPr>
            <w:r>
              <w:rPr>
                <w:rFonts w:ascii="Times New Roman" w:eastAsia="黑体"/>
                <w:szCs w:val="15"/>
              </w:rPr>
              <w:t>a)</w:t>
            </w:r>
            <w:r>
              <w:rPr>
                <w:rFonts w:hint="eastAsia" w:ascii="Times New Roman" w:eastAsia="黑体"/>
                <w:szCs w:val="15"/>
              </w:rPr>
              <w:t>横断面图</w:t>
            </w:r>
          </w:p>
        </w:tc>
        <w:tc>
          <w:tcPr>
            <w:tcW w:w="4667" w:type="dxa"/>
            <w:shd w:val="clear" w:color="auto" w:fill="auto"/>
            <w:vAlign w:val="center"/>
          </w:tcPr>
          <w:p>
            <w:pPr>
              <w:pStyle w:val="178"/>
            </w:pPr>
            <w:r>
              <w:rPr>
                <w:rFonts w:ascii="Times New Roman" w:eastAsia="黑体"/>
                <w:szCs w:val="15"/>
              </w:rPr>
              <w:t>b)</w:t>
            </w:r>
            <w:r>
              <w:rPr>
                <w:rFonts w:hint="eastAsia" w:ascii="Times New Roman" w:eastAsia="黑体"/>
                <w:szCs w:val="15"/>
              </w:rPr>
              <w:t>平面图</w:t>
            </w:r>
          </w:p>
        </w:tc>
      </w:tr>
    </w:tbl>
    <w:p>
      <w:pPr>
        <w:pStyle w:val="114"/>
        <w:spacing w:before="156" w:after="156"/>
        <w:rPr>
          <w:rFonts w:ascii="Times New Roman"/>
          <w:color w:val="000000" w:themeColor="text1"/>
          <w14:textFill>
            <w14:solidFill>
              <w14:schemeClr w14:val="tx1"/>
            </w14:solidFill>
          </w14:textFill>
        </w:rPr>
      </w:pPr>
      <w:r>
        <w:rPr>
          <w:rFonts w:hint="eastAsia" w:ascii="Times New Roman"/>
          <w:color w:val="000000" w:themeColor="text1"/>
          <w14:textFill>
            <w14:solidFill>
              <w14:schemeClr w14:val="tx1"/>
            </w14:solidFill>
          </w14:textFill>
        </w:rPr>
        <w:t>加宽路基沉降观测断面元件布置示意图（Ⅲ型）</w:t>
      </w:r>
    </w:p>
    <w:p>
      <w:pPr>
        <w:pStyle w:val="162"/>
        <w:rPr>
          <w:rFonts w:ascii="Times New Roman"/>
        </w:rPr>
      </w:pPr>
      <w:r>
        <w:rPr>
          <w:rFonts w:hint="eastAsia" w:ascii="Times New Roman"/>
        </w:rPr>
        <w:t>观测断面间距应满足以下要求：</w:t>
      </w:r>
    </w:p>
    <w:p>
      <w:pPr>
        <w:pStyle w:val="174"/>
        <w:numPr>
          <w:ilvl w:val="0"/>
          <w:numId w:val="54"/>
        </w:numPr>
        <w:rPr>
          <w:rFonts w:ascii="Times New Roman"/>
        </w:rPr>
      </w:pPr>
      <w:r>
        <w:rPr>
          <w:rFonts w:hint="eastAsia" w:ascii="Times New Roman"/>
        </w:rPr>
        <w:t>路基沉降观测断面沿线路方向的间距一般不大于50</w:t>
      </w:r>
      <w:r>
        <w:rPr>
          <w:rFonts w:ascii="Times New Roman"/>
        </w:rPr>
        <w:t xml:space="preserve"> </w:t>
      </w:r>
      <w:r>
        <w:rPr>
          <w:rFonts w:hint="eastAsia" w:ascii="Times New Roman"/>
        </w:rPr>
        <w:t>m；</w:t>
      </w:r>
    </w:p>
    <w:p>
      <w:pPr>
        <w:pStyle w:val="174"/>
        <w:numPr>
          <w:ilvl w:val="0"/>
          <w:numId w:val="54"/>
        </w:numPr>
        <w:rPr>
          <w:rFonts w:ascii="Times New Roman"/>
        </w:rPr>
      </w:pPr>
      <w:r>
        <w:rPr>
          <w:rFonts w:hint="eastAsia" w:ascii="Times New Roman"/>
        </w:rPr>
        <w:t>地势平坦、地基条件均匀良好的路堑、高度小于5</w:t>
      </w:r>
      <w:r>
        <w:rPr>
          <w:rFonts w:ascii="Times New Roman"/>
        </w:rPr>
        <w:t xml:space="preserve"> </w:t>
      </w:r>
      <w:r>
        <w:rPr>
          <w:rFonts w:hint="eastAsia" w:ascii="Times New Roman"/>
        </w:rPr>
        <w:t>m的路堤可放宽到100</w:t>
      </w:r>
      <w:r>
        <w:rPr>
          <w:rFonts w:ascii="Times New Roman"/>
        </w:rPr>
        <w:t xml:space="preserve"> </w:t>
      </w:r>
      <w:r>
        <w:rPr>
          <w:rFonts w:hint="eastAsia" w:ascii="Times New Roman"/>
        </w:rPr>
        <w:t>m；</w:t>
      </w:r>
    </w:p>
    <w:p>
      <w:pPr>
        <w:pStyle w:val="174"/>
        <w:numPr>
          <w:ilvl w:val="0"/>
          <w:numId w:val="54"/>
        </w:numPr>
        <w:rPr>
          <w:rFonts w:ascii="Times New Roman"/>
        </w:rPr>
      </w:pPr>
      <w:r>
        <w:rPr>
          <w:rFonts w:hint="eastAsia" w:ascii="Times New Roman"/>
        </w:rPr>
        <w:t>过渡段和地形地质条件变化较大地段应适当加密。</w:t>
      </w:r>
    </w:p>
    <w:p>
      <w:pPr>
        <w:pStyle w:val="162"/>
        <w:rPr>
          <w:rFonts w:ascii="Times New Roman"/>
        </w:rPr>
      </w:pPr>
      <w:r>
        <w:rPr>
          <w:rFonts w:ascii="Times New Roman"/>
        </w:rPr>
        <w:t>观测资料整理应采用统一的路基沉降与水平位移观测记录表格，沉降与剖面沉降观测记录表分别见附录B与附录C，做好观测数据的记录与整理。观测资料应齐全、详细、规范，符合设计要求。</w:t>
      </w:r>
    </w:p>
    <w:p>
      <w:pPr>
        <w:pStyle w:val="174"/>
        <w:numPr>
          <w:ilvl w:val="0"/>
          <w:numId w:val="0"/>
        </w:numPr>
        <w:rPr>
          <w:rFonts w:ascii="Times New Roman"/>
        </w:rPr>
      </w:pPr>
    </w:p>
    <w:p>
      <w:pPr>
        <w:pStyle w:val="174"/>
        <w:numPr>
          <w:ilvl w:val="0"/>
          <w:numId w:val="0"/>
        </w:num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bookmarkEnd w:id="24"/>
    <w:p>
      <w:pPr>
        <w:pStyle w:val="198"/>
        <w:rPr>
          <w:rFonts w:hint="eastAsia"/>
          <w:vanish w:val="0"/>
        </w:rPr>
      </w:pPr>
      <w:bookmarkStart w:id="90" w:name="BookMark5"/>
    </w:p>
    <w:p>
      <w:pPr>
        <w:pStyle w:val="199"/>
        <w:rPr>
          <w:vanish w:val="0"/>
        </w:rPr>
      </w:pPr>
    </w:p>
    <w:p>
      <w:pPr>
        <w:pStyle w:val="76"/>
        <w:spacing w:after="156"/>
      </w:pPr>
      <w:r>
        <w:br w:type="textWrapping"/>
      </w:r>
      <w:bookmarkStart w:id="91" w:name="_Toc134989348"/>
      <w:r>
        <w:rPr>
          <w:rFonts w:hint="eastAsia"/>
        </w:rPr>
        <w:t>（资料性）</w:t>
      </w:r>
      <w:r>
        <w:br w:type="textWrapping"/>
      </w:r>
      <w:r>
        <w:rPr>
          <w:rFonts w:hint="eastAsia"/>
        </w:rPr>
        <w:t>既有路基检测评价方法及评价表</w:t>
      </w:r>
      <w:bookmarkEnd w:id="91"/>
    </w:p>
    <w:p>
      <w:pPr>
        <w:pStyle w:val="78"/>
        <w:spacing w:before="156" w:after="156"/>
      </w:pPr>
      <w:bookmarkStart w:id="92" w:name="_Toc134989349"/>
      <w:r>
        <w:rPr>
          <w:rFonts w:hint="eastAsia"/>
        </w:rPr>
        <w:t>既有路基检测评价方法及评价表</w:t>
      </w:r>
      <w:bookmarkEnd w:id="92"/>
    </w:p>
    <w:p>
      <w:pPr>
        <w:pStyle w:val="212"/>
        <w:autoSpaceDE/>
        <w:autoSpaceDN/>
        <w:rPr>
          <w:rFonts w:ascii="Times New Roman"/>
        </w:rPr>
      </w:pPr>
      <w:r>
        <w:rPr>
          <w:rFonts w:hint="eastAsia" w:ascii="Times New Roman"/>
        </w:rPr>
        <w:t>既有路基检测评价应符合《公路路基路面现场测试规程》（JTG 3450）和《公路工程地质勘察规范》（JTG C20）要求。</w:t>
      </w:r>
    </w:p>
    <w:p>
      <w:pPr>
        <w:pStyle w:val="212"/>
        <w:autoSpaceDE/>
        <w:autoSpaceDN/>
      </w:pPr>
      <w:r>
        <w:rPr>
          <w:rFonts w:hint="eastAsia" w:ascii="Times New Roman"/>
        </w:rPr>
        <w:t>既有路基检测评价表见表A.1。</w:t>
      </w:r>
      <w:r>
        <w:tab/>
      </w:r>
    </w:p>
    <w:p>
      <w:pPr>
        <w:pStyle w:val="77"/>
        <w:spacing w:before="156" w:after="156"/>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既有路基检测评价表</w:t>
      </w:r>
    </w:p>
    <w:tbl>
      <w:tblPr>
        <w:tblStyle w:val="32"/>
        <w:tblW w:w="916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17"/>
        <w:gridCol w:w="999"/>
        <w:gridCol w:w="335"/>
        <w:gridCol w:w="1332"/>
        <w:gridCol w:w="667"/>
        <w:gridCol w:w="1165"/>
        <w:gridCol w:w="1169"/>
        <w:gridCol w:w="22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551" w:type="dxa"/>
            <w:gridSpan w:val="3"/>
            <w:tcBorders>
              <w:top w:val="single" w:color="000000" w:sz="8" w:space="0"/>
              <w:left w:val="single" w:color="auto" w:sz="8"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bookmarkStart w:id="93" w:name="_Hlk119441329"/>
            <w:bookmarkStart w:id="94" w:name="_Hlk65421046"/>
            <w:r>
              <w:rPr>
                <w:rFonts w:ascii="Times New Roman" w:hAnsi="Times New Roman"/>
                <w:sz w:val="18"/>
                <w:szCs w:val="18"/>
              </w:rPr>
              <w:t>检测评价项目</w:t>
            </w:r>
          </w:p>
        </w:tc>
        <w:tc>
          <w:tcPr>
            <w:tcW w:w="1332" w:type="dxa"/>
            <w:tcBorders>
              <w:top w:val="single" w:color="000000" w:sz="8" w:space="0"/>
              <w:left w:val="nil"/>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评价范围</w:t>
            </w:r>
          </w:p>
        </w:tc>
        <w:tc>
          <w:tcPr>
            <w:tcW w:w="1832" w:type="dxa"/>
            <w:gridSpan w:val="2"/>
            <w:tcBorders>
              <w:top w:val="single" w:color="000000" w:sz="8" w:space="0"/>
              <w:left w:val="nil"/>
              <w:bottom w:val="single" w:color="000000" w:sz="8"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检测评价频率</w:t>
            </w:r>
          </w:p>
        </w:tc>
        <w:tc>
          <w:tcPr>
            <w:tcW w:w="1169" w:type="dxa"/>
            <w:tcBorders>
              <w:top w:val="single" w:color="000000" w:sz="8" w:space="0"/>
              <w:left w:val="nil"/>
              <w:bottom w:val="single" w:color="000000" w:sz="8"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性能评价</w:t>
            </w:r>
          </w:p>
        </w:tc>
        <w:tc>
          <w:tcPr>
            <w:tcW w:w="2278" w:type="dxa"/>
            <w:tcBorders>
              <w:top w:val="single" w:color="000000" w:sz="8" w:space="0"/>
              <w:left w:val="nil"/>
              <w:bottom w:val="single" w:color="000000" w:sz="8" w:space="0"/>
              <w:right w:val="single" w:color="auto" w:sz="8"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备注</w:t>
            </w:r>
          </w:p>
        </w:tc>
      </w:tr>
      <w:bookmarkEnd w:id="93"/>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restart"/>
            <w:tcBorders>
              <w:top w:val="nil"/>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旧路基填料性能试验</w:t>
            </w:r>
          </w:p>
        </w:tc>
        <w:tc>
          <w:tcPr>
            <w:tcW w:w="1334" w:type="dxa"/>
            <w:gridSpan w:val="2"/>
            <w:tcBorders>
              <w:top w:val="single" w:color="000000" w:sz="8"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颗粒分析</w:t>
            </w:r>
          </w:p>
        </w:tc>
        <w:tc>
          <w:tcPr>
            <w:tcW w:w="1332" w:type="dxa"/>
            <w:tcBorders>
              <w:top w:val="single" w:color="000000" w:sz="8" w:space="0"/>
              <w:left w:val="nil"/>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restart"/>
            <w:tcBorders>
              <w:top w:val="nil"/>
              <w:left w:val="nil"/>
              <w:bottom w:val="single" w:color="000000" w:sz="4"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按路基钻孔数检测</w:t>
            </w:r>
          </w:p>
        </w:tc>
        <w:tc>
          <w:tcPr>
            <w:tcW w:w="1169" w:type="dxa"/>
            <w:tcBorders>
              <w:top w:val="single" w:color="000000" w:sz="8"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8"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含水率</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液限、塑限、塑性指标</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CBR</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有机质含量</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土的工程分类</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各分层试样</w:t>
            </w:r>
          </w:p>
        </w:tc>
        <w:tc>
          <w:tcPr>
            <w:tcW w:w="1832" w:type="dxa"/>
            <w:gridSpan w:val="2"/>
            <w:vMerge w:val="continue"/>
            <w:tcBorders>
              <w:top w:val="single" w:color="000000" w:sz="4" w:space="0"/>
              <w:left w:val="nil"/>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restart"/>
            <w:tcBorders>
              <w:top w:val="nil"/>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路基性能试验</w:t>
            </w:r>
          </w:p>
        </w:tc>
        <w:tc>
          <w:tcPr>
            <w:tcW w:w="1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压实度</w:t>
            </w:r>
          </w:p>
        </w:tc>
        <w:tc>
          <w:tcPr>
            <w:tcW w:w="1332" w:type="dxa"/>
            <w:tcBorders>
              <w:top w:val="single" w:color="000000" w:sz="4" w:space="0"/>
              <w:left w:val="nil"/>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各试验点</w:t>
            </w:r>
          </w:p>
        </w:tc>
        <w:tc>
          <w:tcPr>
            <w:tcW w:w="1832" w:type="dxa"/>
            <w:gridSpan w:val="2"/>
            <w:tcBorders>
              <w:top w:val="single" w:color="000000" w:sz="4" w:space="0"/>
              <w:left w:val="nil"/>
              <w:bottom w:val="single" w:color="000000" w:sz="4" w:space="0"/>
              <w:right w:val="single" w:color="000000" w:sz="4" w:space="0"/>
            </w:tcBorders>
            <w:shd w:val="clear" w:color="auto" w:fill="auto"/>
            <w:vAlign w:val="center"/>
          </w:tcPr>
          <w:p>
            <w:pPr>
              <w:widowControl/>
              <w:adjustRightInd/>
              <w:spacing w:line="240" w:lineRule="auto"/>
              <w:jc w:val="center"/>
              <w:rPr>
                <w:rFonts w:ascii="Times New Roman" w:hAnsi="Times New Roman"/>
                <w:kern w:val="0"/>
                <w:sz w:val="18"/>
                <w:szCs w:val="18"/>
              </w:rPr>
            </w:pPr>
            <w:r>
              <w:rPr>
                <w:rFonts w:ascii="Times New Roman" w:hAnsi="Times New Roman"/>
                <w:sz w:val="18"/>
                <w:szCs w:val="18"/>
              </w:rPr>
              <w:t>每200 m测一处</w:t>
            </w:r>
          </w:p>
        </w:tc>
        <w:tc>
          <w:tcPr>
            <w:tcW w:w="1169" w:type="dxa"/>
            <w:tcBorders>
              <w:top w:val="single" w:color="000000" w:sz="4" w:space="0"/>
              <w:left w:val="nil"/>
              <w:bottom w:val="single" w:color="000000"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217" w:type="dxa"/>
            <w:vMerge w:val="continue"/>
            <w:tcBorders>
              <w:top w:val="nil"/>
              <w:left w:val="single" w:color="auto" w:sz="8" w:space="0"/>
              <w:bottom w:val="single" w:color="000000" w:sz="4" w:space="0"/>
              <w:right w:val="single" w:color="000000" w:sz="4" w:space="0"/>
            </w:tcBorders>
            <w:shd w:val="clear" w:color="auto" w:fill="auto"/>
            <w:vAlign w:val="center"/>
          </w:tcPr>
          <w:p>
            <w:pPr>
              <w:widowControl/>
              <w:jc w:val="left"/>
              <w:rPr>
                <w:rFonts w:ascii="Times New Roman" w:hAnsi="Times New Roman"/>
                <w:sz w:val="18"/>
                <w:szCs w:val="18"/>
              </w:rPr>
            </w:pPr>
          </w:p>
        </w:tc>
        <w:tc>
          <w:tcPr>
            <w:tcW w:w="1334" w:type="dxa"/>
            <w:gridSpan w:val="2"/>
            <w:tcBorders>
              <w:top w:val="single" w:color="000000" w:sz="4" w:space="0"/>
              <w:left w:val="nil"/>
              <w:bottom w:val="single" w:color="auto" w:sz="4" w:space="0"/>
              <w:right w:val="single" w:color="000000" w:sz="4"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回弹模量</w:t>
            </w:r>
          </w:p>
        </w:tc>
        <w:tc>
          <w:tcPr>
            <w:tcW w:w="1332" w:type="dxa"/>
            <w:tcBorders>
              <w:top w:val="single" w:color="000000" w:sz="4" w:space="0"/>
              <w:left w:val="nil"/>
              <w:bottom w:val="single" w:color="auto"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各试验点</w:t>
            </w:r>
          </w:p>
        </w:tc>
        <w:tc>
          <w:tcPr>
            <w:tcW w:w="1832" w:type="dxa"/>
            <w:gridSpan w:val="2"/>
            <w:tcBorders>
              <w:top w:val="single" w:color="000000" w:sz="4" w:space="0"/>
              <w:left w:val="nil"/>
              <w:bottom w:val="single" w:color="auto" w:sz="4" w:space="0"/>
              <w:right w:val="single" w:color="000000" w:sz="4" w:space="0"/>
            </w:tcBorders>
            <w:shd w:val="clear" w:color="auto" w:fill="auto"/>
            <w:vAlign w:val="center"/>
          </w:tcPr>
          <w:p>
            <w:pPr>
              <w:widowControl/>
              <w:adjustRightInd/>
              <w:spacing w:line="240" w:lineRule="auto"/>
              <w:jc w:val="center"/>
              <w:rPr>
                <w:rFonts w:ascii="Times New Roman" w:hAnsi="Times New Roman"/>
                <w:sz w:val="18"/>
                <w:szCs w:val="18"/>
              </w:rPr>
            </w:pPr>
            <w:r>
              <w:rPr>
                <w:rFonts w:ascii="Times New Roman" w:hAnsi="Times New Roman"/>
                <w:sz w:val="18"/>
                <w:szCs w:val="18"/>
              </w:rPr>
              <w:t>等间距取点</w:t>
            </w:r>
          </w:p>
        </w:tc>
        <w:tc>
          <w:tcPr>
            <w:tcW w:w="1169" w:type="dxa"/>
            <w:tcBorders>
              <w:top w:val="single" w:color="000000" w:sz="4" w:space="0"/>
              <w:left w:val="nil"/>
              <w:bottom w:val="single" w:color="auto" w:sz="4" w:space="0"/>
              <w:right w:val="single" w:color="000000" w:sz="4"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c>
          <w:tcPr>
            <w:tcW w:w="2278" w:type="dxa"/>
            <w:tcBorders>
              <w:top w:val="single" w:color="000000" w:sz="4" w:space="0"/>
              <w:left w:val="nil"/>
              <w:bottom w:val="single" w:color="auto" w:sz="4" w:space="0"/>
              <w:right w:val="single" w:color="auto" w:sz="8" w:space="0"/>
            </w:tcBorders>
            <w:shd w:val="clear" w:color="auto" w:fill="auto"/>
            <w:vAlign w:val="center"/>
          </w:tcPr>
          <w:p>
            <w:pPr>
              <w:widowControl/>
              <w:adjustRightInd/>
              <w:spacing w:before="100" w:beforeAutospacing="1" w:after="100" w:afterAutospacing="1" w:line="240" w:lineRule="auto"/>
              <w:ind w:left="839" w:hanging="419"/>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9162" w:type="dxa"/>
            <w:gridSpan w:val="8"/>
            <w:tcBorders>
              <w:top w:val="single" w:color="auto" w:sz="4" w:space="0"/>
              <w:left w:val="single" w:color="auto" w:sz="8" w:space="0"/>
              <w:bottom w:val="single" w:color="000000" w:sz="4" w:space="0"/>
              <w:right w:val="single" w:color="auto" w:sz="8" w:space="0"/>
            </w:tcBorders>
            <w:shd w:val="clear" w:color="auto" w:fill="auto"/>
            <w:vAlign w:val="center"/>
          </w:tcPr>
          <w:p>
            <w:pPr>
              <w:jc w:val="center"/>
              <w:rPr>
                <w:rFonts w:ascii="Times New Roman" w:hAnsi="Times New Roman"/>
                <w:sz w:val="18"/>
                <w:szCs w:val="18"/>
              </w:rPr>
            </w:pPr>
            <w:r>
              <w:rPr>
                <w:rFonts w:ascii="Times New Roman" w:hAnsi="Times New Roman"/>
                <w:sz w:val="18"/>
                <w:szCs w:val="18"/>
              </w:rPr>
              <w:t>路基病害记录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auto"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病害类型</w:t>
            </w:r>
          </w:p>
        </w:tc>
        <w:tc>
          <w:tcPr>
            <w:tcW w:w="2334" w:type="dxa"/>
            <w:gridSpan w:val="3"/>
            <w:tcBorders>
              <w:top w:val="single" w:color="000000" w:sz="4" w:space="0"/>
              <w:left w:val="nil"/>
              <w:bottom w:val="single" w:color="auto"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里程桩号</w:t>
            </w:r>
          </w:p>
        </w:tc>
        <w:tc>
          <w:tcPr>
            <w:tcW w:w="2334" w:type="dxa"/>
            <w:gridSpan w:val="2"/>
            <w:tcBorders>
              <w:top w:val="single" w:color="000000" w:sz="4" w:space="0"/>
              <w:left w:val="nil"/>
              <w:bottom w:val="single" w:color="auto"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严重程度</w:t>
            </w:r>
          </w:p>
        </w:tc>
        <w:tc>
          <w:tcPr>
            <w:tcW w:w="2278" w:type="dxa"/>
            <w:tcBorders>
              <w:top w:val="single" w:color="000000" w:sz="4" w:space="0"/>
              <w:left w:val="nil"/>
              <w:bottom w:val="single" w:color="auto" w:sz="4" w:space="0"/>
              <w:right w:val="single" w:color="auto" w:sz="8"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处治措施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auto"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auto"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auto"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auto"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4"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4" w:space="0"/>
              <w:right w:val="single" w:color="auto" w:sz="8" w:space="0"/>
            </w:tcBorders>
            <w:shd w:val="clear" w:color="auto" w:fill="auto"/>
            <w:vAlign w:val="center"/>
          </w:tcPr>
          <w:p>
            <w:pPr>
              <w:jc w:val="center"/>
              <w:rPr>
                <w:rFonts w:ascii="Times New Roman" w:hAns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216" w:type="dxa"/>
            <w:gridSpan w:val="2"/>
            <w:tcBorders>
              <w:top w:val="single" w:color="000000" w:sz="4" w:space="0"/>
              <w:left w:val="single" w:color="auto" w:sz="8" w:space="0"/>
              <w:bottom w:val="single" w:color="000000" w:sz="8"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3"/>
            <w:tcBorders>
              <w:top w:val="single" w:color="000000" w:sz="4" w:space="0"/>
              <w:left w:val="nil"/>
              <w:bottom w:val="single" w:color="000000" w:sz="8" w:space="0"/>
              <w:right w:val="single" w:color="000000" w:sz="4" w:space="0"/>
            </w:tcBorders>
            <w:shd w:val="clear" w:color="auto" w:fill="auto"/>
            <w:vAlign w:val="center"/>
          </w:tcPr>
          <w:p>
            <w:pPr>
              <w:jc w:val="center"/>
              <w:rPr>
                <w:rFonts w:ascii="Times New Roman" w:hAnsi="Times New Roman"/>
                <w:sz w:val="18"/>
                <w:szCs w:val="18"/>
              </w:rPr>
            </w:pPr>
          </w:p>
        </w:tc>
        <w:tc>
          <w:tcPr>
            <w:tcW w:w="2334" w:type="dxa"/>
            <w:gridSpan w:val="2"/>
            <w:tcBorders>
              <w:top w:val="single" w:color="000000" w:sz="4" w:space="0"/>
              <w:left w:val="nil"/>
              <w:bottom w:val="single" w:color="000000" w:sz="8" w:space="0"/>
              <w:right w:val="single" w:color="000000" w:sz="4" w:space="0"/>
            </w:tcBorders>
            <w:shd w:val="clear" w:color="auto" w:fill="auto"/>
            <w:vAlign w:val="center"/>
          </w:tcPr>
          <w:p>
            <w:pPr>
              <w:jc w:val="center"/>
              <w:rPr>
                <w:rFonts w:ascii="Times New Roman" w:hAnsi="Times New Roman"/>
                <w:sz w:val="18"/>
                <w:szCs w:val="18"/>
              </w:rPr>
            </w:pPr>
          </w:p>
        </w:tc>
        <w:tc>
          <w:tcPr>
            <w:tcW w:w="2278" w:type="dxa"/>
            <w:tcBorders>
              <w:top w:val="single" w:color="000000" w:sz="4" w:space="0"/>
              <w:left w:val="nil"/>
              <w:bottom w:val="single" w:color="000000" w:sz="8" w:space="0"/>
              <w:right w:val="single" w:color="auto" w:sz="8" w:space="0"/>
            </w:tcBorders>
            <w:shd w:val="clear" w:color="auto" w:fill="auto"/>
            <w:vAlign w:val="center"/>
          </w:tcPr>
          <w:p>
            <w:pPr>
              <w:jc w:val="center"/>
              <w:rPr>
                <w:rFonts w:ascii="Times New Roman" w:hAnsi="Times New Roman"/>
                <w:sz w:val="18"/>
                <w:szCs w:val="18"/>
              </w:rPr>
            </w:pPr>
          </w:p>
        </w:tc>
      </w:tr>
      <w:bookmarkEnd w:id="94"/>
    </w:tbl>
    <w:p>
      <w:pPr>
        <w:pStyle w:val="179"/>
        <w:numPr>
          <w:ilvl w:val="0"/>
          <w:numId w:val="0"/>
        </w:numPr>
      </w:pPr>
    </w:p>
    <w:p>
      <w:pPr>
        <w:pStyle w:val="56"/>
        <w:ind w:firstLine="0" w:firstLineChars="0"/>
      </w:pPr>
    </w:p>
    <w:p>
      <w:pPr>
        <w:pStyle w:val="56"/>
        <w:ind w:firstLine="420"/>
      </w:pPr>
    </w:p>
    <w:p>
      <w:pPr>
        <w:pStyle w:val="56"/>
        <w:ind w:firstLine="420"/>
      </w:pPr>
    </w:p>
    <w:p>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vanish w:val="0"/>
        </w:rPr>
      </w:pPr>
    </w:p>
    <w:p>
      <w:pPr>
        <w:pStyle w:val="76"/>
        <w:spacing w:after="156"/>
      </w:pPr>
      <w:r>
        <w:br w:type="textWrapping"/>
      </w:r>
      <w:bookmarkStart w:id="95" w:name="_Toc134989350"/>
      <w:r>
        <w:rPr>
          <w:rFonts w:hint="eastAsia"/>
        </w:rPr>
        <w:t>（资料性）</w:t>
      </w:r>
      <w:r>
        <w:br w:type="textWrapping"/>
      </w:r>
      <w:r>
        <w:rPr>
          <w:rFonts w:hint="eastAsia"/>
        </w:rPr>
        <w:t>沉降观测记录表</w:t>
      </w:r>
      <w:bookmarkEnd w:id="95"/>
    </w:p>
    <w:p>
      <w:pPr>
        <w:pStyle w:val="56"/>
        <w:autoSpaceDE/>
        <w:autoSpaceDN/>
        <w:ind w:firstLine="420"/>
        <w:rPr>
          <w:rFonts w:ascii="Times New Roman"/>
        </w:rPr>
      </w:pPr>
      <w:r>
        <w:rPr>
          <w:rFonts w:hint="eastAsia" w:ascii="Times New Roman"/>
        </w:rPr>
        <w:t>见表B.1</w:t>
      </w:r>
    </w:p>
    <w:p>
      <w:pPr>
        <w:pStyle w:val="77"/>
        <w:spacing w:before="156" w:after="156"/>
      </w:pPr>
      <w:r>
        <w:rPr>
          <w:rFonts w:hint="eastAsia"/>
        </w:rPr>
        <w:t>沉降观测记录表</w:t>
      </w:r>
    </w:p>
    <w:tbl>
      <w:tblPr>
        <w:tblStyle w:val="32"/>
        <w:tblW w:w="9065" w:type="dxa"/>
        <w:jc w:val="center"/>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808"/>
        <w:gridCol w:w="862"/>
        <w:gridCol w:w="1164"/>
        <w:gridCol w:w="1091"/>
        <w:gridCol w:w="1247"/>
        <w:gridCol w:w="1401"/>
        <w:gridCol w:w="1401"/>
        <w:gridCol w:w="1091"/>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545" w:hRule="atLeast"/>
          <w:jc w:val="center"/>
        </w:trPr>
        <w:tc>
          <w:tcPr>
            <w:tcW w:w="808" w:type="dxa"/>
            <w:tcBorders>
              <w:top w:val="single" w:color="000000" w:sz="8"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观测断面里程</w:t>
            </w:r>
          </w:p>
        </w:tc>
        <w:tc>
          <w:tcPr>
            <w:tcW w:w="2026" w:type="dxa"/>
            <w:gridSpan w:val="2"/>
            <w:tcBorders>
              <w:top w:val="single" w:color="000000" w:sz="8" w:space="0"/>
              <w:left w:val="single" w:color="000000" w:sz="4" w:space="0"/>
              <w:bottom w:val="nil"/>
              <w:right w:val="single" w:color="auto"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8" w:space="0"/>
              <w:left w:val="single" w:color="auto"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沉降板编号</w:t>
            </w:r>
          </w:p>
        </w:tc>
        <w:tc>
          <w:tcPr>
            <w:tcW w:w="2648" w:type="dxa"/>
            <w:gridSpan w:val="2"/>
            <w:tcBorders>
              <w:top w:val="single" w:color="000000" w:sz="8" w:space="0"/>
              <w:left w:val="single" w:color="000000" w:sz="4" w:space="0"/>
              <w:bottom w:val="nil"/>
              <w:right w:val="single" w:color="auto"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8" w:space="0"/>
              <w:left w:val="single" w:color="auto"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观测点高程（m）</w:t>
            </w:r>
          </w:p>
        </w:tc>
        <w:tc>
          <w:tcPr>
            <w:tcW w:w="1091" w:type="dxa"/>
            <w:tcBorders>
              <w:top w:val="single" w:color="000000" w:sz="8" w:space="0"/>
              <w:left w:val="single" w:color="000000" w:sz="4" w:space="0"/>
              <w:bottom w:val="nil"/>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1341" w:hRule="atLeast"/>
          <w:jc w:val="center"/>
        </w:trPr>
        <w:tc>
          <w:tcPr>
            <w:tcW w:w="808" w:type="dxa"/>
            <w:tcBorders>
              <w:top w:val="single" w:color="000000" w:sz="4" w:space="0"/>
              <w:left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bookmarkStart w:id="96" w:name="_Toc42067041"/>
            <w:bookmarkEnd w:id="96"/>
            <w:bookmarkStart w:id="97" w:name="_Toc41479859"/>
            <w:bookmarkEnd w:id="97"/>
            <w:bookmarkStart w:id="98" w:name="_Toc42064847"/>
            <w:bookmarkEnd w:id="98"/>
            <w:bookmarkStart w:id="99" w:name="_Toc42064900"/>
            <w:bookmarkEnd w:id="99"/>
            <w:bookmarkStart w:id="100" w:name="_Toc38433745"/>
            <w:bookmarkEnd w:id="100"/>
            <w:bookmarkStart w:id="101" w:name="_Toc41312527"/>
            <w:bookmarkEnd w:id="101"/>
            <w:bookmarkStart w:id="102" w:name="_Toc41312526"/>
            <w:bookmarkEnd w:id="102"/>
            <w:bookmarkStart w:id="103" w:name="_Toc42064826"/>
            <w:bookmarkEnd w:id="103"/>
            <w:bookmarkStart w:id="104" w:name="_Toc38433799"/>
            <w:bookmarkEnd w:id="104"/>
            <w:bookmarkStart w:id="105" w:name="_Toc41049709"/>
            <w:bookmarkEnd w:id="105"/>
            <w:bookmarkStart w:id="106" w:name="_Toc38433187"/>
            <w:bookmarkEnd w:id="106"/>
            <w:bookmarkStart w:id="107" w:name="_Toc42067040"/>
            <w:bookmarkEnd w:id="107"/>
            <w:bookmarkStart w:id="108" w:name="_Toc41047889"/>
            <w:bookmarkEnd w:id="108"/>
            <w:bookmarkStart w:id="109" w:name="_Toc42101780"/>
            <w:bookmarkEnd w:id="109"/>
            <w:bookmarkStart w:id="110" w:name="_Toc42695590"/>
            <w:bookmarkEnd w:id="110"/>
            <w:bookmarkStart w:id="111" w:name="_Toc42764848"/>
            <w:bookmarkEnd w:id="111"/>
            <w:bookmarkStart w:id="112" w:name="_Toc42764927"/>
            <w:bookmarkEnd w:id="112"/>
            <w:bookmarkStart w:id="113" w:name="_Toc69996156"/>
            <w:bookmarkEnd w:id="113"/>
            <w:bookmarkStart w:id="114" w:name="_Toc41049710"/>
            <w:bookmarkEnd w:id="114"/>
            <w:bookmarkStart w:id="115" w:name="_Toc41548131"/>
            <w:bookmarkEnd w:id="115"/>
            <w:bookmarkStart w:id="116" w:name="_Toc41479860"/>
            <w:bookmarkEnd w:id="116"/>
            <w:bookmarkStart w:id="117" w:name="_Toc38358062"/>
            <w:bookmarkEnd w:id="117"/>
            <w:bookmarkStart w:id="118" w:name="_Toc41485254"/>
            <w:bookmarkEnd w:id="118"/>
            <w:bookmarkStart w:id="119" w:name="_Toc38358063"/>
            <w:bookmarkEnd w:id="119"/>
            <w:bookmarkStart w:id="120" w:name="_Toc42064848"/>
            <w:bookmarkEnd w:id="120"/>
            <w:bookmarkStart w:id="121" w:name="_Toc42064901"/>
            <w:bookmarkEnd w:id="121"/>
            <w:bookmarkStart w:id="122" w:name="_Toc41048521"/>
            <w:bookmarkEnd w:id="122"/>
            <w:bookmarkStart w:id="123" w:name="_Toc38433188"/>
            <w:bookmarkEnd w:id="123"/>
            <w:bookmarkStart w:id="124" w:name="_Toc42064827"/>
            <w:bookmarkEnd w:id="124"/>
            <w:bookmarkStart w:id="125" w:name="_Toc41548130"/>
            <w:bookmarkEnd w:id="125"/>
            <w:bookmarkStart w:id="126" w:name="_Toc38433800"/>
            <w:bookmarkEnd w:id="126"/>
            <w:bookmarkStart w:id="127" w:name="_Toc38358064"/>
            <w:bookmarkEnd w:id="127"/>
            <w:bookmarkStart w:id="128" w:name="_Toc41049711"/>
            <w:bookmarkEnd w:id="128"/>
            <w:bookmarkStart w:id="129" w:name="_Toc69996158"/>
            <w:bookmarkEnd w:id="129"/>
            <w:bookmarkStart w:id="130" w:name="_Toc69996157"/>
            <w:bookmarkEnd w:id="130"/>
            <w:bookmarkStart w:id="131" w:name="_Toc38433801"/>
            <w:bookmarkEnd w:id="131"/>
            <w:bookmarkStart w:id="132" w:name="_Toc42064902"/>
            <w:bookmarkEnd w:id="132"/>
            <w:bookmarkStart w:id="133" w:name="_Toc42064849"/>
            <w:bookmarkEnd w:id="133"/>
            <w:bookmarkStart w:id="134" w:name="_Toc41312528"/>
            <w:bookmarkEnd w:id="134"/>
            <w:bookmarkStart w:id="135" w:name="_Toc41548132"/>
            <w:bookmarkEnd w:id="135"/>
            <w:bookmarkStart w:id="136" w:name="_Toc42067042"/>
            <w:bookmarkEnd w:id="136"/>
            <w:bookmarkStart w:id="137" w:name="_Toc42695592"/>
            <w:bookmarkEnd w:id="137"/>
            <w:bookmarkStart w:id="138" w:name="_Toc41485255"/>
            <w:bookmarkEnd w:id="138"/>
            <w:bookmarkStart w:id="139" w:name="_Toc38433747"/>
            <w:bookmarkEnd w:id="139"/>
            <w:bookmarkStart w:id="140" w:name="_Toc42695591"/>
            <w:bookmarkEnd w:id="140"/>
            <w:bookmarkStart w:id="141" w:name="_Toc38433746"/>
            <w:bookmarkEnd w:id="141"/>
            <w:bookmarkStart w:id="142" w:name="_Toc42101781"/>
            <w:bookmarkEnd w:id="142"/>
            <w:bookmarkStart w:id="143" w:name="_Toc41047890"/>
            <w:bookmarkEnd w:id="143"/>
            <w:bookmarkStart w:id="144" w:name="_Toc41479861"/>
            <w:bookmarkEnd w:id="144"/>
            <w:bookmarkStart w:id="145" w:name="_Toc42764849"/>
            <w:bookmarkEnd w:id="145"/>
            <w:bookmarkStart w:id="146" w:name="_Toc41047891"/>
            <w:bookmarkEnd w:id="146"/>
            <w:bookmarkStart w:id="147" w:name="_Toc41048523"/>
            <w:bookmarkEnd w:id="147"/>
            <w:bookmarkStart w:id="148" w:name="_Toc42101782"/>
            <w:bookmarkEnd w:id="148"/>
            <w:bookmarkStart w:id="149" w:name="_Toc42764928"/>
            <w:bookmarkEnd w:id="149"/>
            <w:bookmarkStart w:id="150" w:name="_Toc41485256"/>
            <w:bookmarkEnd w:id="150"/>
            <w:bookmarkStart w:id="151" w:name="_Toc38433189"/>
            <w:bookmarkEnd w:id="151"/>
            <w:bookmarkStart w:id="152" w:name="_Toc42064828"/>
            <w:bookmarkEnd w:id="152"/>
            <w:bookmarkStart w:id="153" w:name="_Toc42764850"/>
            <w:bookmarkEnd w:id="153"/>
            <w:bookmarkStart w:id="154" w:name="_Toc41048522"/>
            <w:bookmarkEnd w:id="154"/>
            <w:bookmarkStart w:id="155" w:name="_Toc42764929"/>
            <w:bookmarkEnd w:id="155"/>
            <w:r>
              <w:rPr>
                <w:rFonts w:ascii="Times New Roman" w:hAnsi="Times New Roman"/>
                <w:sz w:val="18"/>
                <w:szCs w:val="18"/>
              </w:rPr>
              <w:t>观测时间</w:t>
            </w:r>
          </w:p>
        </w:tc>
        <w:tc>
          <w:tcPr>
            <w:tcW w:w="862"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距路基中心线距离</w:t>
            </w:r>
          </w:p>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m</w:t>
            </w:r>
            <w:r>
              <w:rPr>
                <w:rFonts w:hint="eastAsia" w:ascii="Times New Roman" w:hAnsi="Times New Roman"/>
                <w:sz w:val="18"/>
                <w:szCs w:val="18"/>
              </w:rPr>
              <w:t>）</w:t>
            </w:r>
          </w:p>
        </w:tc>
        <w:tc>
          <w:tcPr>
            <w:tcW w:w="1164"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水平位移</w:t>
            </w:r>
          </w:p>
          <w:p>
            <w:pPr>
              <w:spacing w:line="240" w:lineRule="auto"/>
              <w:jc w:val="center"/>
              <w:rPr>
                <w:rFonts w:ascii="Times New Roman" w:hAnsi="Times New Roman"/>
                <w:sz w:val="18"/>
                <w:szCs w:val="18"/>
              </w:rPr>
            </w:pPr>
            <w:r>
              <w:rPr>
                <w:rFonts w:hint="eastAsia" w:ascii="Times New Roman" w:hAnsi="Times New Roman"/>
                <w:sz w:val="18"/>
                <w:szCs w:val="18"/>
              </w:rPr>
              <w:t>（mm）</w:t>
            </w:r>
          </w:p>
        </w:tc>
        <w:tc>
          <w:tcPr>
            <w:tcW w:w="1091"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老路基顶面沉降</w:t>
            </w:r>
          </w:p>
          <w:p>
            <w:pPr>
              <w:spacing w:line="240" w:lineRule="auto"/>
              <w:jc w:val="center"/>
              <w:rPr>
                <w:rFonts w:ascii="Times New Roman" w:hAnsi="Times New Roman"/>
                <w:sz w:val="18"/>
                <w:szCs w:val="18"/>
              </w:rPr>
            </w:pPr>
            <w:r>
              <w:rPr>
                <w:rFonts w:hint="eastAsia" w:ascii="Times New Roman" w:hAnsi="Times New Roman"/>
                <w:sz w:val="18"/>
                <w:szCs w:val="18"/>
              </w:rPr>
              <w:t>（m</w:t>
            </w:r>
            <w:r>
              <w:rPr>
                <w:rFonts w:ascii="Times New Roman" w:hAnsi="Times New Roman"/>
                <w:sz w:val="18"/>
                <w:szCs w:val="18"/>
              </w:rPr>
              <w:t>m</w:t>
            </w:r>
            <w:r>
              <w:rPr>
                <w:rFonts w:hint="eastAsia" w:ascii="Times New Roman" w:hAnsi="Times New Roman"/>
                <w:sz w:val="18"/>
                <w:szCs w:val="18"/>
              </w:rPr>
              <w:t>）</w:t>
            </w:r>
          </w:p>
        </w:tc>
        <w:tc>
          <w:tcPr>
            <w:tcW w:w="1247"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老路基顶面</w:t>
            </w:r>
            <w:r>
              <w:rPr>
                <w:rFonts w:ascii="Times New Roman" w:hAnsi="Times New Roman"/>
                <w:sz w:val="18"/>
                <w:szCs w:val="18"/>
              </w:rPr>
              <w:t>沉降速率</w:t>
            </w:r>
          </w:p>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mm/d</w:t>
            </w:r>
            <w:r>
              <w:rPr>
                <w:rFonts w:hint="eastAsia" w:ascii="Times New Roman" w:hAnsi="Times New Roman"/>
                <w:sz w:val="18"/>
                <w:szCs w:val="18"/>
              </w:rPr>
              <w:t>）</w:t>
            </w:r>
          </w:p>
        </w:tc>
        <w:tc>
          <w:tcPr>
            <w:tcW w:w="1401"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新路基顶(底)面沉降</w:t>
            </w:r>
          </w:p>
          <w:p>
            <w:pPr>
              <w:spacing w:line="240" w:lineRule="auto"/>
              <w:jc w:val="center"/>
              <w:rPr>
                <w:rFonts w:ascii="Times New Roman" w:hAnsi="Times New Roman"/>
                <w:sz w:val="18"/>
                <w:szCs w:val="18"/>
              </w:rPr>
            </w:pPr>
            <w:r>
              <w:rPr>
                <w:rFonts w:hint="eastAsia" w:ascii="Times New Roman" w:hAnsi="Times New Roman"/>
                <w:sz w:val="18"/>
                <w:szCs w:val="18"/>
              </w:rPr>
              <w:t>（m</w:t>
            </w:r>
            <w:r>
              <w:rPr>
                <w:rFonts w:ascii="Times New Roman" w:hAnsi="Times New Roman"/>
                <w:sz w:val="18"/>
                <w:szCs w:val="18"/>
              </w:rPr>
              <w:t>m</w:t>
            </w:r>
            <w:r>
              <w:rPr>
                <w:rFonts w:hint="eastAsia" w:ascii="Times New Roman" w:hAnsi="Times New Roman"/>
                <w:sz w:val="18"/>
                <w:szCs w:val="18"/>
              </w:rPr>
              <w:t>）</w:t>
            </w:r>
          </w:p>
        </w:tc>
        <w:tc>
          <w:tcPr>
            <w:tcW w:w="1401" w:type="dxa"/>
            <w:tcBorders>
              <w:top w:val="single" w:color="000000" w:sz="4" w:space="0"/>
              <w:left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新路基顶(底)面</w:t>
            </w:r>
            <w:r>
              <w:rPr>
                <w:rFonts w:ascii="Times New Roman" w:hAnsi="Times New Roman"/>
                <w:sz w:val="18"/>
                <w:szCs w:val="18"/>
              </w:rPr>
              <w:t>沉降速率</w:t>
            </w:r>
          </w:p>
          <w:p>
            <w:pPr>
              <w:spacing w:line="240" w:lineRule="auto"/>
              <w:jc w:val="center"/>
              <w:rPr>
                <w:rFonts w:ascii="Times New Roman" w:hAnsi="Times New Roman"/>
                <w:sz w:val="18"/>
                <w:szCs w:val="18"/>
              </w:rPr>
            </w:pPr>
            <w:r>
              <w:rPr>
                <w:rFonts w:hint="eastAsia" w:ascii="Times New Roman" w:hAnsi="Times New Roman"/>
                <w:sz w:val="18"/>
                <w:szCs w:val="18"/>
              </w:rPr>
              <w:t>（</w:t>
            </w:r>
            <w:r>
              <w:rPr>
                <w:rFonts w:ascii="Times New Roman" w:hAnsi="Times New Roman"/>
                <w:sz w:val="18"/>
                <w:szCs w:val="18"/>
              </w:rPr>
              <w:t>mm/d</w:t>
            </w:r>
            <w:r>
              <w:rPr>
                <w:rFonts w:hint="eastAsia" w:ascii="Times New Roman" w:hAnsi="Times New Roman"/>
                <w:sz w:val="18"/>
                <w:szCs w:val="18"/>
              </w:rPr>
              <w:t>）</w:t>
            </w:r>
          </w:p>
        </w:tc>
        <w:tc>
          <w:tcPr>
            <w:tcW w:w="1091" w:type="dxa"/>
            <w:tcBorders>
              <w:top w:val="single" w:color="000000" w:sz="4" w:space="0"/>
              <w:left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r>
              <w:rPr>
                <w:rFonts w:hint="eastAsia" w:ascii="Times New Roman" w:hAnsi="Times New Roman"/>
                <w:sz w:val="18"/>
                <w:szCs w:val="18"/>
              </w:rPr>
              <w:t>差异沉降</w:t>
            </w:r>
          </w:p>
          <w:p>
            <w:pPr>
              <w:spacing w:line="240" w:lineRule="auto"/>
              <w:jc w:val="center"/>
              <w:rPr>
                <w:rFonts w:ascii="Times New Roman" w:hAnsi="Times New Roman"/>
                <w:sz w:val="18"/>
                <w:szCs w:val="18"/>
              </w:rPr>
            </w:pPr>
            <w:r>
              <w:rPr>
                <w:rFonts w:hint="eastAsia" w:ascii="Times New Roman" w:hAnsi="Times New Roman"/>
                <w:sz w:val="18"/>
                <w:szCs w:val="18"/>
              </w:rPr>
              <w:t>（m</w:t>
            </w:r>
            <w:r>
              <w:rPr>
                <w:rFonts w:ascii="Times New Roman" w:hAnsi="Times New Roman"/>
                <w:sz w:val="18"/>
                <w:szCs w:val="18"/>
              </w:rPr>
              <w:t>m</w:t>
            </w:r>
            <w:r>
              <w:rPr>
                <w:rFonts w:hint="eastAsia" w:ascii="Times New Roman" w:hAnsi="Times New Roman"/>
                <w:sz w:val="18"/>
                <w:szCs w:val="18"/>
              </w:rPr>
              <w:t>）</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auto" w:sz="8"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auto" w:sz="8"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auto" w:sz="8"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auto" w:sz="8"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79"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000000" w:sz="4" w:space="0"/>
              <w:left w:val="single" w:color="000000" w:sz="4" w:space="0"/>
              <w:bottom w:val="single" w:color="000000" w:sz="4"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rPr>
          <w:trHeight w:val="366" w:hRule="atLeast"/>
          <w:jc w:val="center"/>
        </w:trPr>
        <w:tc>
          <w:tcPr>
            <w:tcW w:w="808" w:type="dxa"/>
            <w:tcBorders>
              <w:top w:val="single" w:color="000000" w:sz="4" w:space="0"/>
              <w:left w:val="single" w:color="auto" w:sz="8"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62"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164"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8" w:space="0"/>
              <w:right w:val="single" w:color="000000" w:sz="4" w:space="0"/>
            </w:tcBorders>
            <w:shd w:val="clear" w:color="auto" w:fill="auto"/>
          </w:tcPr>
          <w:p>
            <w:pPr>
              <w:spacing w:line="240" w:lineRule="auto"/>
              <w:jc w:val="center"/>
              <w:rPr>
                <w:rFonts w:ascii="Times New Roman" w:hAnsi="Times New Roman"/>
                <w:sz w:val="18"/>
                <w:szCs w:val="18"/>
              </w:rPr>
            </w:pPr>
          </w:p>
        </w:tc>
        <w:tc>
          <w:tcPr>
            <w:tcW w:w="1247" w:type="dxa"/>
            <w:tcBorders>
              <w:top w:val="single" w:color="000000" w:sz="4" w:space="0"/>
              <w:left w:val="single" w:color="000000" w:sz="4" w:space="0"/>
              <w:bottom w:val="single" w:color="000000" w:sz="8" w:space="0"/>
              <w:right w:val="single" w:color="000000" w:sz="4" w:space="0"/>
            </w:tcBorders>
            <w:shd w:val="clear" w:color="auto" w:fill="auto"/>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401"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91" w:type="dxa"/>
            <w:tcBorders>
              <w:top w:val="single" w:color="000000" w:sz="4" w:space="0"/>
              <w:left w:val="single" w:color="000000" w:sz="4" w:space="0"/>
              <w:bottom w:val="single" w:color="000000" w:sz="8"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bl>
    <w:p>
      <w:pPr>
        <w:pStyle w:val="56"/>
        <w:ind w:firstLine="0" w:firstLineChars="0"/>
      </w:pPr>
    </w:p>
    <w:p>
      <w:pPr>
        <w:pStyle w:val="56"/>
        <w:ind w:firstLine="420"/>
      </w:pPr>
    </w:p>
    <w:p>
      <w:pPr>
        <w:pStyle w:val="56"/>
        <w:ind w:firstLine="420"/>
      </w:pPr>
    </w:p>
    <w:p>
      <w:pPr>
        <w:pStyle w:val="198"/>
        <w:rPr>
          <w:rFonts w:hint="eastAsia"/>
          <w:vanish w:val="0"/>
        </w:rPr>
      </w:pPr>
    </w:p>
    <w:p>
      <w:pPr>
        <w:pStyle w:val="199"/>
        <w:rPr>
          <w:vanish w:val="0"/>
        </w:rPr>
      </w:pPr>
    </w:p>
    <w:p>
      <w:pPr>
        <w:pStyle w:val="76"/>
        <w:spacing w:after="156"/>
      </w:pPr>
      <w:r>
        <w:br w:type="textWrapping"/>
      </w:r>
      <w:bookmarkStart w:id="156" w:name="_Toc134989351"/>
      <w:r>
        <w:rPr>
          <w:rFonts w:hint="eastAsia"/>
        </w:rPr>
        <w:t>（资料性）</w:t>
      </w:r>
      <w:r>
        <w:br w:type="textWrapping"/>
      </w:r>
      <w:r>
        <w:rPr>
          <w:rFonts w:hint="eastAsia"/>
        </w:rPr>
        <w:t>剖面沉降观测记录表</w:t>
      </w:r>
      <w:bookmarkEnd w:id="156"/>
    </w:p>
    <w:p>
      <w:pPr>
        <w:pStyle w:val="56"/>
        <w:autoSpaceDE/>
        <w:autoSpaceDN/>
        <w:ind w:firstLine="420"/>
        <w:rPr>
          <w:rFonts w:ascii="Times New Roman"/>
        </w:rPr>
      </w:pPr>
      <w:r>
        <w:rPr>
          <w:rFonts w:hint="eastAsia" w:ascii="Times New Roman"/>
        </w:rPr>
        <w:t>见表C.1</w:t>
      </w:r>
    </w:p>
    <w:p>
      <w:pPr>
        <w:pStyle w:val="77"/>
        <w:spacing w:before="156" w:after="156"/>
      </w:pPr>
      <w:r>
        <w:rPr>
          <w:rFonts w:ascii="Times New Roman"/>
          <w:color w:val="000000" w:themeColor="text1"/>
          <w14:textFill>
            <w14:solidFill>
              <w14:schemeClr w14:val="tx1"/>
            </w14:solidFill>
          </w14:textFill>
        </w:rPr>
        <w:t>沉降观测记录表</w:t>
      </w:r>
    </w:p>
    <w:tbl>
      <w:tblPr>
        <w:tblStyle w:val="32"/>
        <w:tblW w:w="9104" w:type="dxa"/>
        <w:tblInd w:w="108"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1066"/>
        <w:gridCol w:w="780"/>
        <w:gridCol w:w="920"/>
        <w:gridCol w:w="918"/>
        <w:gridCol w:w="852"/>
        <w:gridCol w:w="989"/>
        <w:gridCol w:w="918"/>
        <w:gridCol w:w="918"/>
        <w:gridCol w:w="1069"/>
        <w:gridCol w:w="674"/>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auto" w:sz="8"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bookmarkStart w:id="157" w:name="_Hlk116055313"/>
            <w:bookmarkStart w:id="158" w:name="_Hlk65421363"/>
            <w:r>
              <w:rPr>
                <w:rFonts w:ascii="Times New Roman" w:hAnsi="Times New Roman"/>
                <w:sz w:val="18"/>
                <w:szCs w:val="18"/>
              </w:rPr>
              <w:t>观测断面里程</w:t>
            </w:r>
          </w:p>
        </w:tc>
        <w:tc>
          <w:tcPr>
            <w:tcW w:w="1700" w:type="dxa"/>
            <w:gridSpan w:val="2"/>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770" w:type="dxa"/>
            <w:gridSpan w:val="2"/>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剖面管编号</w:t>
            </w:r>
          </w:p>
        </w:tc>
        <w:tc>
          <w:tcPr>
            <w:tcW w:w="1907" w:type="dxa"/>
            <w:gridSpan w:val="2"/>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987" w:type="dxa"/>
            <w:gridSpan w:val="2"/>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观测点高程（m）</w:t>
            </w:r>
          </w:p>
        </w:tc>
        <w:tc>
          <w:tcPr>
            <w:tcW w:w="674" w:type="dxa"/>
            <w:tcBorders>
              <w:top w:val="single" w:color="auto" w:sz="8"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bookmarkEnd w:id="157"/>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vMerge w:val="restart"/>
            <w:tcBorders>
              <w:top w:val="single" w:color="000000" w:sz="4" w:space="0"/>
              <w:left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观测时间</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填土</w:t>
            </w:r>
          </w:p>
          <w:p>
            <w:pPr>
              <w:spacing w:line="240" w:lineRule="auto"/>
              <w:jc w:val="center"/>
              <w:rPr>
                <w:rFonts w:ascii="Times New Roman" w:hAnsi="Times New Roman"/>
                <w:sz w:val="18"/>
                <w:szCs w:val="18"/>
              </w:rPr>
            </w:pPr>
            <w:r>
              <w:rPr>
                <w:rFonts w:ascii="Times New Roman" w:hAnsi="Times New Roman"/>
                <w:sz w:val="18"/>
                <w:szCs w:val="18"/>
              </w:rPr>
              <w:t>高度</w:t>
            </w:r>
          </w:p>
        </w:tc>
        <w:tc>
          <w:tcPr>
            <w:tcW w:w="920"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正向</w:t>
            </w:r>
          </w:p>
          <w:p>
            <w:pPr>
              <w:spacing w:line="240" w:lineRule="auto"/>
              <w:jc w:val="center"/>
              <w:rPr>
                <w:rFonts w:ascii="Times New Roman" w:hAnsi="Times New Roman"/>
                <w:sz w:val="18"/>
                <w:szCs w:val="18"/>
              </w:rPr>
            </w:pPr>
            <w:r>
              <w:rPr>
                <w:rFonts w:ascii="Times New Roman" w:hAnsi="Times New Roman"/>
                <w:sz w:val="18"/>
                <w:szCs w:val="18"/>
              </w:rPr>
              <w:t>读数</w:t>
            </w:r>
          </w:p>
        </w:tc>
        <w:tc>
          <w:tcPr>
            <w:tcW w:w="918"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反向</w:t>
            </w:r>
          </w:p>
          <w:p>
            <w:pPr>
              <w:spacing w:line="240" w:lineRule="auto"/>
              <w:jc w:val="center"/>
              <w:rPr>
                <w:rFonts w:ascii="Times New Roman" w:hAnsi="Times New Roman"/>
                <w:sz w:val="18"/>
                <w:szCs w:val="18"/>
              </w:rPr>
            </w:pPr>
            <w:r>
              <w:rPr>
                <w:rFonts w:ascii="Times New Roman" w:hAnsi="Times New Roman"/>
                <w:sz w:val="18"/>
                <w:szCs w:val="18"/>
              </w:rPr>
              <w:t>读数</w:t>
            </w:r>
          </w:p>
        </w:tc>
        <w:tc>
          <w:tcPr>
            <w:tcW w:w="852"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上次</w:t>
            </w:r>
          </w:p>
          <w:p>
            <w:pPr>
              <w:spacing w:line="240" w:lineRule="auto"/>
              <w:jc w:val="center"/>
              <w:rPr>
                <w:rFonts w:ascii="Times New Roman" w:hAnsi="Times New Roman"/>
                <w:sz w:val="18"/>
                <w:szCs w:val="18"/>
              </w:rPr>
            </w:pPr>
            <w:r>
              <w:rPr>
                <w:rFonts w:ascii="Times New Roman" w:hAnsi="Times New Roman"/>
                <w:sz w:val="18"/>
                <w:szCs w:val="18"/>
              </w:rPr>
              <w:t>标高</w:t>
            </w:r>
          </w:p>
        </w:tc>
        <w:tc>
          <w:tcPr>
            <w:tcW w:w="989"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本次</w:t>
            </w:r>
          </w:p>
          <w:p>
            <w:pPr>
              <w:spacing w:line="240" w:lineRule="auto"/>
              <w:jc w:val="center"/>
              <w:rPr>
                <w:rFonts w:ascii="Times New Roman" w:hAnsi="Times New Roman"/>
                <w:sz w:val="18"/>
                <w:szCs w:val="18"/>
              </w:rPr>
            </w:pPr>
            <w:r>
              <w:rPr>
                <w:rFonts w:ascii="Times New Roman" w:hAnsi="Times New Roman"/>
                <w:sz w:val="18"/>
                <w:szCs w:val="18"/>
              </w:rPr>
              <w:t>标高</w:t>
            </w:r>
          </w:p>
        </w:tc>
        <w:tc>
          <w:tcPr>
            <w:tcW w:w="918"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本次</w:t>
            </w:r>
          </w:p>
          <w:p>
            <w:pPr>
              <w:spacing w:line="240" w:lineRule="auto"/>
              <w:jc w:val="center"/>
              <w:rPr>
                <w:rFonts w:ascii="Times New Roman" w:hAnsi="Times New Roman"/>
                <w:sz w:val="18"/>
                <w:szCs w:val="18"/>
              </w:rPr>
            </w:pPr>
            <w:r>
              <w:rPr>
                <w:rFonts w:ascii="Times New Roman" w:hAnsi="Times New Roman"/>
                <w:sz w:val="18"/>
                <w:szCs w:val="18"/>
              </w:rPr>
              <w:t>沉降</w:t>
            </w:r>
          </w:p>
        </w:tc>
        <w:tc>
          <w:tcPr>
            <w:tcW w:w="918"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总沉降</w:t>
            </w:r>
          </w:p>
        </w:tc>
        <w:tc>
          <w:tcPr>
            <w:tcW w:w="1069" w:type="dxa"/>
            <w:tcBorders>
              <w:top w:val="single" w:color="000000" w:sz="4" w:space="0"/>
              <w:left w:val="single" w:color="000000" w:sz="4" w:space="0"/>
              <w:bottom w:val="nil"/>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沉降速率</w:t>
            </w:r>
          </w:p>
        </w:tc>
        <w:tc>
          <w:tcPr>
            <w:tcW w:w="674" w:type="dxa"/>
            <w:vMerge w:val="restart"/>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备注</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vMerge w:val="continue"/>
            <w:tcBorders>
              <w:left w:val="single" w:color="auto" w:sz="8"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w:t>
            </w:r>
          </w:p>
        </w:tc>
        <w:tc>
          <w:tcPr>
            <w:tcW w:w="920"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（mm）</w:t>
            </w:r>
          </w:p>
        </w:tc>
        <w:tc>
          <w:tcPr>
            <w:tcW w:w="918"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（mm）</w:t>
            </w:r>
          </w:p>
        </w:tc>
        <w:tc>
          <w:tcPr>
            <w:tcW w:w="852"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w:t>
            </w:r>
          </w:p>
        </w:tc>
        <w:tc>
          <w:tcPr>
            <w:tcW w:w="989"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w:t>
            </w:r>
          </w:p>
        </w:tc>
        <w:tc>
          <w:tcPr>
            <w:tcW w:w="918"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（mm）</w:t>
            </w:r>
          </w:p>
        </w:tc>
        <w:tc>
          <w:tcPr>
            <w:tcW w:w="918"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（mm）</w:t>
            </w:r>
          </w:p>
        </w:tc>
        <w:tc>
          <w:tcPr>
            <w:tcW w:w="1069" w:type="dxa"/>
            <w:tcBorders>
              <w:top w:val="nil"/>
              <w:left w:val="single" w:color="000000" w:sz="4" w:space="0"/>
              <w:bottom w:val="single" w:color="auto" w:sz="8" w:space="0"/>
              <w:right w:val="single" w:color="000000" w:sz="4" w:space="0"/>
            </w:tcBorders>
            <w:shd w:val="clear" w:color="auto" w:fill="auto"/>
            <w:vAlign w:val="center"/>
          </w:tcPr>
          <w:p>
            <w:pPr>
              <w:spacing w:line="240" w:lineRule="auto"/>
              <w:jc w:val="center"/>
              <w:rPr>
                <w:rFonts w:ascii="Times New Roman" w:hAnsi="Times New Roman"/>
                <w:sz w:val="18"/>
                <w:szCs w:val="18"/>
              </w:rPr>
            </w:pPr>
            <w:r>
              <w:rPr>
                <w:rFonts w:ascii="Times New Roman" w:hAnsi="Times New Roman"/>
                <w:sz w:val="18"/>
                <w:szCs w:val="18"/>
              </w:rPr>
              <w:t>（mm/d）</w:t>
            </w:r>
          </w:p>
        </w:tc>
        <w:tc>
          <w:tcPr>
            <w:tcW w:w="674" w:type="dxa"/>
            <w:vMerge w:val="continue"/>
            <w:tcBorders>
              <w:top w:val="single" w:color="000000" w:sz="4" w:space="0"/>
              <w:left w:val="single" w:color="000000" w:sz="4" w:space="0"/>
              <w:bottom w:val="single" w:color="000000" w:sz="4" w:space="0"/>
              <w:right w:val="single" w:color="auto" w:sz="8" w:space="0"/>
            </w:tcBorders>
            <w:shd w:val="clear" w:color="auto" w:fill="auto"/>
            <w:vAlign w:val="center"/>
          </w:tcPr>
          <w:p>
            <w:pPr>
              <w:widowControl/>
              <w:spacing w:line="240" w:lineRule="auto"/>
              <w:jc w:val="left"/>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auto" w:sz="8"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auto"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auto" w:sz="8"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b/>
                <w:bCs/>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b/>
                <w:bCs/>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4"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Ex>
        <w:tc>
          <w:tcPr>
            <w:tcW w:w="1066" w:type="dxa"/>
            <w:tcBorders>
              <w:top w:val="single" w:color="000000" w:sz="4" w:space="0"/>
              <w:left w:val="single" w:color="auto" w:sz="8"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780"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20"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852"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89"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918"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1069" w:type="dxa"/>
            <w:tcBorders>
              <w:top w:val="single" w:color="000000" w:sz="4"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ascii="Times New Roman" w:hAnsi="Times New Roman"/>
                <w:sz w:val="18"/>
                <w:szCs w:val="18"/>
              </w:rPr>
            </w:pPr>
          </w:p>
        </w:tc>
        <w:tc>
          <w:tcPr>
            <w:tcW w:w="674" w:type="dxa"/>
            <w:tcBorders>
              <w:top w:val="single" w:color="000000" w:sz="4" w:space="0"/>
              <w:left w:val="single" w:color="000000" w:sz="4" w:space="0"/>
              <w:bottom w:val="single" w:color="000000" w:sz="8" w:space="0"/>
              <w:right w:val="single" w:color="auto" w:sz="8" w:space="0"/>
            </w:tcBorders>
            <w:shd w:val="clear" w:color="auto" w:fill="auto"/>
            <w:vAlign w:val="center"/>
          </w:tcPr>
          <w:p>
            <w:pPr>
              <w:spacing w:line="240" w:lineRule="auto"/>
              <w:jc w:val="center"/>
              <w:rPr>
                <w:rFonts w:ascii="Times New Roman" w:hAnsi="Times New Roman"/>
                <w:sz w:val="18"/>
                <w:szCs w:val="18"/>
              </w:rPr>
            </w:pPr>
          </w:p>
        </w:tc>
      </w:tr>
      <w:bookmarkEnd w:id="158"/>
    </w:tbl>
    <w:p>
      <w:pPr>
        <w:pStyle w:val="56"/>
        <w:ind w:firstLine="0" w:firstLineChars="0"/>
      </w:pPr>
    </w:p>
    <w:bookmarkEnd w:id="90"/>
    <w:p>
      <w:pPr>
        <w:pStyle w:val="56"/>
        <w:ind w:firstLine="0" w:firstLineChars="0"/>
      </w:pPr>
    </w:p>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IV</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DBXX/TXXXX—2023</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DBXX/TXXXX—2023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DBXX/TXXXX—2023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DBXX/TXXXX—2023</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rPr>
        <w:rFonts w:hint="eastAsia"/>
      </w:rPr>
      <w:t>DBXX/TXXXX—2025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B4"/>
    <w:rsid w:val="0000040A"/>
    <w:rsid w:val="000006EF"/>
    <w:rsid w:val="00000A94"/>
    <w:rsid w:val="00001972"/>
    <w:rsid w:val="00001D9A"/>
    <w:rsid w:val="00007B3A"/>
    <w:rsid w:val="000107E0"/>
    <w:rsid w:val="00010E0A"/>
    <w:rsid w:val="00011FDE"/>
    <w:rsid w:val="00012C75"/>
    <w:rsid w:val="00012FFD"/>
    <w:rsid w:val="00014162"/>
    <w:rsid w:val="00014340"/>
    <w:rsid w:val="00016A9C"/>
    <w:rsid w:val="00022184"/>
    <w:rsid w:val="00022762"/>
    <w:rsid w:val="000238E0"/>
    <w:rsid w:val="000249DB"/>
    <w:rsid w:val="0002595E"/>
    <w:rsid w:val="000303C3"/>
    <w:rsid w:val="00030DA0"/>
    <w:rsid w:val="000331D3"/>
    <w:rsid w:val="000346A5"/>
    <w:rsid w:val="000359C3"/>
    <w:rsid w:val="00035A7D"/>
    <w:rsid w:val="000365ED"/>
    <w:rsid w:val="00037C3B"/>
    <w:rsid w:val="0004249A"/>
    <w:rsid w:val="00043282"/>
    <w:rsid w:val="00044286"/>
    <w:rsid w:val="000443A9"/>
    <w:rsid w:val="00047F28"/>
    <w:rsid w:val="000503AA"/>
    <w:rsid w:val="000506A1"/>
    <w:rsid w:val="000515DD"/>
    <w:rsid w:val="0005265A"/>
    <w:rsid w:val="00053291"/>
    <w:rsid w:val="000539DD"/>
    <w:rsid w:val="00053BD3"/>
    <w:rsid w:val="000556ED"/>
    <w:rsid w:val="00055FE2"/>
    <w:rsid w:val="0005616F"/>
    <w:rsid w:val="00060C2E"/>
    <w:rsid w:val="00061033"/>
    <w:rsid w:val="000617AD"/>
    <w:rsid w:val="000619E9"/>
    <w:rsid w:val="000622D4"/>
    <w:rsid w:val="0006357D"/>
    <w:rsid w:val="00067F1E"/>
    <w:rsid w:val="00071CC0"/>
    <w:rsid w:val="000728D1"/>
    <w:rsid w:val="00073C8C"/>
    <w:rsid w:val="00074266"/>
    <w:rsid w:val="000749A2"/>
    <w:rsid w:val="00077B64"/>
    <w:rsid w:val="00080A1C"/>
    <w:rsid w:val="00082317"/>
    <w:rsid w:val="00083D2C"/>
    <w:rsid w:val="00086AA1"/>
    <w:rsid w:val="00087A77"/>
    <w:rsid w:val="00090CA6"/>
    <w:rsid w:val="00092B8A"/>
    <w:rsid w:val="00092FB0"/>
    <w:rsid w:val="000934C5"/>
    <w:rsid w:val="00093D25"/>
    <w:rsid w:val="00093DAB"/>
    <w:rsid w:val="00094D73"/>
    <w:rsid w:val="00095C43"/>
    <w:rsid w:val="00096D63"/>
    <w:rsid w:val="000A0B60"/>
    <w:rsid w:val="000A0EB8"/>
    <w:rsid w:val="000A19FC"/>
    <w:rsid w:val="000A296B"/>
    <w:rsid w:val="000A3211"/>
    <w:rsid w:val="000A7311"/>
    <w:rsid w:val="000B060F"/>
    <w:rsid w:val="000B1592"/>
    <w:rsid w:val="000B1FF2"/>
    <w:rsid w:val="000B3CDA"/>
    <w:rsid w:val="000B6A0B"/>
    <w:rsid w:val="000C0F6C"/>
    <w:rsid w:val="000C11DB"/>
    <w:rsid w:val="000C1492"/>
    <w:rsid w:val="000C2FBD"/>
    <w:rsid w:val="000C4B41"/>
    <w:rsid w:val="000C5549"/>
    <w:rsid w:val="000C57D6"/>
    <w:rsid w:val="000C6362"/>
    <w:rsid w:val="000C7666"/>
    <w:rsid w:val="000C7D92"/>
    <w:rsid w:val="000D0A9C"/>
    <w:rsid w:val="000D1795"/>
    <w:rsid w:val="000D329A"/>
    <w:rsid w:val="000D4B9C"/>
    <w:rsid w:val="000D4EB6"/>
    <w:rsid w:val="000D753B"/>
    <w:rsid w:val="000E371B"/>
    <w:rsid w:val="000E4C9E"/>
    <w:rsid w:val="000E526B"/>
    <w:rsid w:val="000E6FD7"/>
    <w:rsid w:val="000F06E1"/>
    <w:rsid w:val="000F0E3C"/>
    <w:rsid w:val="000F19D5"/>
    <w:rsid w:val="000F4AEA"/>
    <w:rsid w:val="000F633F"/>
    <w:rsid w:val="000F67E9"/>
    <w:rsid w:val="000F693A"/>
    <w:rsid w:val="00102671"/>
    <w:rsid w:val="00104926"/>
    <w:rsid w:val="0011196F"/>
    <w:rsid w:val="00113B1E"/>
    <w:rsid w:val="0011711C"/>
    <w:rsid w:val="0012059C"/>
    <w:rsid w:val="00123E04"/>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FFF"/>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9A1"/>
    <w:rsid w:val="001B71D0"/>
    <w:rsid w:val="001B71EE"/>
    <w:rsid w:val="001C04A8"/>
    <w:rsid w:val="001C2C03"/>
    <w:rsid w:val="001C42F7"/>
    <w:rsid w:val="001C49E5"/>
    <w:rsid w:val="001C5023"/>
    <w:rsid w:val="001C680C"/>
    <w:rsid w:val="001C71E2"/>
    <w:rsid w:val="001C749D"/>
    <w:rsid w:val="001C7FEA"/>
    <w:rsid w:val="001D0499"/>
    <w:rsid w:val="001D0BBE"/>
    <w:rsid w:val="001D0ED4"/>
    <w:rsid w:val="001D212F"/>
    <w:rsid w:val="001D29D7"/>
    <w:rsid w:val="001D2DE7"/>
    <w:rsid w:val="001D411C"/>
    <w:rsid w:val="001E1B6A"/>
    <w:rsid w:val="001E2484"/>
    <w:rsid w:val="001E2A78"/>
    <w:rsid w:val="001E3CC4"/>
    <w:rsid w:val="001E4882"/>
    <w:rsid w:val="001E73AB"/>
    <w:rsid w:val="001F092D"/>
    <w:rsid w:val="001F143A"/>
    <w:rsid w:val="001F1605"/>
    <w:rsid w:val="001F2508"/>
    <w:rsid w:val="001F4816"/>
    <w:rsid w:val="001F4EE9"/>
    <w:rsid w:val="001F69B4"/>
    <w:rsid w:val="001F707D"/>
    <w:rsid w:val="001F77C7"/>
    <w:rsid w:val="00200183"/>
    <w:rsid w:val="00200333"/>
    <w:rsid w:val="0020107D"/>
    <w:rsid w:val="00202AA4"/>
    <w:rsid w:val="002031F7"/>
    <w:rsid w:val="002040E6"/>
    <w:rsid w:val="0020527B"/>
    <w:rsid w:val="00205F2C"/>
    <w:rsid w:val="00210B15"/>
    <w:rsid w:val="002142EA"/>
    <w:rsid w:val="00214527"/>
    <w:rsid w:val="002204BB"/>
    <w:rsid w:val="00221B79"/>
    <w:rsid w:val="00221C6B"/>
    <w:rsid w:val="002253A1"/>
    <w:rsid w:val="00225CF8"/>
    <w:rsid w:val="0022641C"/>
    <w:rsid w:val="0022794E"/>
    <w:rsid w:val="002337EE"/>
    <w:rsid w:val="00233D64"/>
    <w:rsid w:val="0023482A"/>
    <w:rsid w:val="00235962"/>
    <w:rsid w:val="002359CB"/>
    <w:rsid w:val="00243540"/>
    <w:rsid w:val="0024497B"/>
    <w:rsid w:val="0024515B"/>
    <w:rsid w:val="00246021"/>
    <w:rsid w:val="0024666E"/>
    <w:rsid w:val="00247F52"/>
    <w:rsid w:val="00250B25"/>
    <w:rsid w:val="00250BBE"/>
    <w:rsid w:val="002515C2"/>
    <w:rsid w:val="0025194F"/>
    <w:rsid w:val="00256A28"/>
    <w:rsid w:val="0026148A"/>
    <w:rsid w:val="00262696"/>
    <w:rsid w:val="00263D25"/>
    <w:rsid w:val="002643C3"/>
    <w:rsid w:val="00264A0C"/>
    <w:rsid w:val="00266EEB"/>
    <w:rsid w:val="00267EF4"/>
    <w:rsid w:val="0027096E"/>
    <w:rsid w:val="00270CB8"/>
    <w:rsid w:val="00272B08"/>
    <w:rsid w:val="002771AC"/>
    <w:rsid w:val="00281BB8"/>
    <w:rsid w:val="00281E9E"/>
    <w:rsid w:val="00282405"/>
    <w:rsid w:val="00283E6A"/>
    <w:rsid w:val="00285170"/>
    <w:rsid w:val="00285361"/>
    <w:rsid w:val="00292D60"/>
    <w:rsid w:val="00293B30"/>
    <w:rsid w:val="00294D34"/>
    <w:rsid w:val="00294E3B"/>
    <w:rsid w:val="00294FBB"/>
    <w:rsid w:val="00296193"/>
    <w:rsid w:val="00296C66"/>
    <w:rsid w:val="00296EBE"/>
    <w:rsid w:val="002974E3"/>
    <w:rsid w:val="002A084B"/>
    <w:rsid w:val="002A1260"/>
    <w:rsid w:val="002A1589"/>
    <w:rsid w:val="002A1608"/>
    <w:rsid w:val="002A199F"/>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BE1"/>
    <w:rsid w:val="002C7EBB"/>
    <w:rsid w:val="002D06C1"/>
    <w:rsid w:val="002D42B5"/>
    <w:rsid w:val="002D4956"/>
    <w:rsid w:val="002D4F1A"/>
    <w:rsid w:val="002D6EC6"/>
    <w:rsid w:val="002D79AC"/>
    <w:rsid w:val="002E039D"/>
    <w:rsid w:val="002E4D5A"/>
    <w:rsid w:val="002E6326"/>
    <w:rsid w:val="002F30E0"/>
    <w:rsid w:val="002F35E4"/>
    <w:rsid w:val="002F3730"/>
    <w:rsid w:val="002F38E1"/>
    <w:rsid w:val="002F48EC"/>
    <w:rsid w:val="002F7AF6"/>
    <w:rsid w:val="00300E63"/>
    <w:rsid w:val="00302F5F"/>
    <w:rsid w:val="0030441D"/>
    <w:rsid w:val="00306063"/>
    <w:rsid w:val="00313B85"/>
    <w:rsid w:val="003174EE"/>
    <w:rsid w:val="00317988"/>
    <w:rsid w:val="003221B4"/>
    <w:rsid w:val="0032258D"/>
    <w:rsid w:val="00322E62"/>
    <w:rsid w:val="00324D13"/>
    <w:rsid w:val="00324D2A"/>
    <w:rsid w:val="00324EDD"/>
    <w:rsid w:val="003261AF"/>
    <w:rsid w:val="00327A0A"/>
    <w:rsid w:val="003331E4"/>
    <w:rsid w:val="00336C64"/>
    <w:rsid w:val="00337162"/>
    <w:rsid w:val="0034194F"/>
    <w:rsid w:val="00344605"/>
    <w:rsid w:val="0034592D"/>
    <w:rsid w:val="003474AA"/>
    <w:rsid w:val="00350D1D"/>
    <w:rsid w:val="00352C83"/>
    <w:rsid w:val="00353E38"/>
    <w:rsid w:val="00355272"/>
    <w:rsid w:val="003615D2"/>
    <w:rsid w:val="0036429C"/>
    <w:rsid w:val="00364A53"/>
    <w:rsid w:val="003654CB"/>
    <w:rsid w:val="00365AA9"/>
    <w:rsid w:val="00365F86"/>
    <w:rsid w:val="00365F87"/>
    <w:rsid w:val="00366E89"/>
    <w:rsid w:val="00370445"/>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C79"/>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706"/>
    <w:rsid w:val="003C0A6C"/>
    <w:rsid w:val="003C14F8"/>
    <w:rsid w:val="003C2FA9"/>
    <w:rsid w:val="003C5A43"/>
    <w:rsid w:val="003D0519"/>
    <w:rsid w:val="003D0FF6"/>
    <w:rsid w:val="003D262C"/>
    <w:rsid w:val="003D6D61"/>
    <w:rsid w:val="003D6EC4"/>
    <w:rsid w:val="003D79C6"/>
    <w:rsid w:val="003E091D"/>
    <w:rsid w:val="003E1C53"/>
    <w:rsid w:val="003E2A69"/>
    <w:rsid w:val="003E2D49"/>
    <w:rsid w:val="003E2FD4"/>
    <w:rsid w:val="003E49F6"/>
    <w:rsid w:val="003E660F"/>
    <w:rsid w:val="003E7BDA"/>
    <w:rsid w:val="003F0841"/>
    <w:rsid w:val="003F23D3"/>
    <w:rsid w:val="003F32C8"/>
    <w:rsid w:val="003F3F08"/>
    <w:rsid w:val="003F49F1"/>
    <w:rsid w:val="003F6272"/>
    <w:rsid w:val="0040074B"/>
    <w:rsid w:val="00400E72"/>
    <w:rsid w:val="00401400"/>
    <w:rsid w:val="00404869"/>
    <w:rsid w:val="004053F6"/>
    <w:rsid w:val="00405884"/>
    <w:rsid w:val="00407D39"/>
    <w:rsid w:val="00412C92"/>
    <w:rsid w:val="0041477A"/>
    <w:rsid w:val="004167A3"/>
    <w:rsid w:val="00432DAA"/>
    <w:rsid w:val="00432FC4"/>
    <w:rsid w:val="00434305"/>
    <w:rsid w:val="00435DF7"/>
    <w:rsid w:val="0044083F"/>
    <w:rsid w:val="00441AE7"/>
    <w:rsid w:val="00442E34"/>
    <w:rsid w:val="00445574"/>
    <w:rsid w:val="00445EA7"/>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056"/>
    <w:rsid w:val="00497C8E"/>
    <w:rsid w:val="004A086C"/>
    <w:rsid w:val="004A12DF"/>
    <w:rsid w:val="004A17E6"/>
    <w:rsid w:val="004A1BA8"/>
    <w:rsid w:val="004A2D8C"/>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0A2"/>
    <w:rsid w:val="004D2253"/>
    <w:rsid w:val="004D4406"/>
    <w:rsid w:val="004D7C42"/>
    <w:rsid w:val="004E0465"/>
    <w:rsid w:val="004E127B"/>
    <w:rsid w:val="004E1C0A"/>
    <w:rsid w:val="004E2B06"/>
    <w:rsid w:val="004E30C5"/>
    <w:rsid w:val="004E4AA5"/>
    <w:rsid w:val="004E4AEE"/>
    <w:rsid w:val="004E59E3"/>
    <w:rsid w:val="004E6075"/>
    <w:rsid w:val="004E624A"/>
    <w:rsid w:val="004E67C0"/>
    <w:rsid w:val="004F3238"/>
    <w:rsid w:val="004F391A"/>
    <w:rsid w:val="004F3CFB"/>
    <w:rsid w:val="004F55F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62E"/>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2DD7"/>
    <w:rsid w:val="005C5F21"/>
    <w:rsid w:val="005C6344"/>
    <w:rsid w:val="005C7156"/>
    <w:rsid w:val="005D0C75"/>
    <w:rsid w:val="005D4171"/>
    <w:rsid w:val="005D6A95"/>
    <w:rsid w:val="005D6B2C"/>
    <w:rsid w:val="005D6D9C"/>
    <w:rsid w:val="005E2335"/>
    <w:rsid w:val="005E34CA"/>
    <w:rsid w:val="005E3C18"/>
    <w:rsid w:val="005E6118"/>
    <w:rsid w:val="005E6812"/>
    <w:rsid w:val="005E7881"/>
    <w:rsid w:val="005E78E0"/>
    <w:rsid w:val="005F0D9C"/>
    <w:rsid w:val="005F284E"/>
    <w:rsid w:val="005F4712"/>
    <w:rsid w:val="005F6928"/>
    <w:rsid w:val="006015CE"/>
    <w:rsid w:val="00604784"/>
    <w:rsid w:val="00606419"/>
    <w:rsid w:val="00607D29"/>
    <w:rsid w:val="00612952"/>
    <w:rsid w:val="00614CC1"/>
    <w:rsid w:val="00615A9D"/>
    <w:rsid w:val="00617387"/>
    <w:rsid w:val="006205D6"/>
    <w:rsid w:val="00623BB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8C3"/>
    <w:rsid w:val="00664929"/>
    <w:rsid w:val="00664F62"/>
    <w:rsid w:val="006655E1"/>
    <w:rsid w:val="00672060"/>
    <w:rsid w:val="00672BFD"/>
    <w:rsid w:val="00673ACB"/>
    <w:rsid w:val="006770F4"/>
    <w:rsid w:val="00677A84"/>
    <w:rsid w:val="0068026D"/>
    <w:rsid w:val="006808A4"/>
    <w:rsid w:val="00680A27"/>
    <w:rsid w:val="006816A4"/>
    <w:rsid w:val="006819B8"/>
    <w:rsid w:val="006840A6"/>
    <w:rsid w:val="006850CD"/>
    <w:rsid w:val="00685AAB"/>
    <w:rsid w:val="00695914"/>
    <w:rsid w:val="00695D22"/>
    <w:rsid w:val="006A07AA"/>
    <w:rsid w:val="006A25E5"/>
    <w:rsid w:val="006A2B46"/>
    <w:rsid w:val="006A336D"/>
    <w:rsid w:val="006A34D6"/>
    <w:rsid w:val="006A37B9"/>
    <w:rsid w:val="006B2672"/>
    <w:rsid w:val="006B2C2D"/>
    <w:rsid w:val="006B54BF"/>
    <w:rsid w:val="006B5F44"/>
    <w:rsid w:val="006B5F90"/>
    <w:rsid w:val="006B62E4"/>
    <w:rsid w:val="006C1BBA"/>
    <w:rsid w:val="006C2079"/>
    <w:rsid w:val="006C5A62"/>
    <w:rsid w:val="006C5D68"/>
    <w:rsid w:val="006C6976"/>
    <w:rsid w:val="006C6DD0"/>
    <w:rsid w:val="006C7CDF"/>
    <w:rsid w:val="006D04EA"/>
    <w:rsid w:val="006D0AB7"/>
    <w:rsid w:val="006D16C4"/>
    <w:rsid w:val="006D3E96"/>
    <w:rsid w:val="006D4515"/>
    <w:rsid w:val="006D4BB1"/>
    <w:rsid w:val="006D5F82"/>
    <w:rsid w:val="006D6593"/>
    <w:rsid w:val="006E23EA"/>
    <w:rsid w:val="006E6959"/>
    <w:rsid w:val="006F03A8"/>
    <w:rsid w:val="006F2ACA"/>
    <w:rsid w:val="006F2ADC"/>
    <w:rsid w:val="006F2BFE"/>
    <w:rsid w:val="006F31E9"/>
    <w:rsid w:val="006F6284"/>
    <w:rsid w:val="006F65EC"/>
    <w:rsid w:val="007002C5"/>
    <w:rsid w:val="00701A61"/>
    <w:rsid w:val="00704387"/>
    <w:rsid w:val="00707669"/>
    <w:rsid w:val="00711CBA"/>
    <w:rsid w:val="00711FB5"/>
    <w:rsid w:val="00712A01"/>
    <w:rsid w:val="00714F58"/>
    <w:rsid w:val="00722FBF"/>
    <w:rsid w:val="00722FC2"/>
    <w:rsid w:val="00723457"/>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C97"/>
    <w:rsid w:val="00755402"/>
    <w:rsid w:val="00756B26"/>
    <w:rsid w:val="00756EDF"/>
    <w:rsid w:val="007600E3"/>
    <w:rsid w:val="00765C43"/>
    <w:rsid w:val="00765EFB"/>
    <w:rsid w:val="007671CA"/>
    <w:rsid w:val="00767419"/>
    <w:rsid w:val="00767C61"/>
    <w:rsid w:val="0077008A"/>
    <w:rsid w:val="00773A7F"/>
    <w:rsid w:val="00773C1F"/>
    <w:rsid w:val="00774DA4"/>
    <w:rsid w:val="00776599"/>
    <w:rsid w:val="0078114B"/>
    <w:rsid w:val="00781DD2"/>
    <w:rsid w:val="00783ECF"/>
    <w:rsid w:val="0078413A"/>
    <w:rsid w:val="007928B7"/>
    <w:rsid w:val="007959E8"/>
    <w:rsid w:val="00795E9C"/>
    <w:rsid w:val="007A0521"/>
    <w:rsid w:val="007A2E12"/>
    <w:rsid w:val="007A3475"/>
    <w:rsid w:val="007A41C8"/>
    <w:rsid w:val="007A54CE"/>
    <w:rsid w:val="007A6FD9"/>
    <w:rsid w:val="007A7FFA"/>
    <w:rsid w:val="007B04EB"/>
    <w:rsid w:val="007B0D4F"/>
    <w:rsid w:val="007B3FC0"/>
    <w:rsid w:val="007B5A3D"/>
    <w:rsid w:val="007B5B95"/>
    <w:rsid w:val="007B68EA"/>
    <w:rsid w:val="007B7453"/>
    <w:rsid w:val="007C1E8B"/>
    <w:rsid w:val="007C2D89"/>
    <w:rsid w:val="007C4593"/>
    <w:rsid w:val="007C5309"/>
    <w:rsid w:val="007C6069"/>
    <w:rsid w:val="007D06C4"/>
    <w:rsid w:val="007D1352"/>
    <w:rsid w:val="007D1DCC"/>
    <w:rsid w:val="007D2508"/>
    <w:rsid w:val="007D346A"/>
    <w:rsid w:val="007D6518"/>
    <w:rsid w:val="007D76BD"/>
    <w:rsid w:val="007E0BF1"/>
    <w:rsid w:val="007E4547"/>
    <w:rsid w:val="007F0ED8"/>
    <w:rsid w:val="007F0F63"/>
    <w:rsid w:val="007F75CE"/>
    <w:rsid w:val="008013A4"/>
    <w:rsid w:val="008027CE"/>
    <w:rsid w:val="00802F42"/>
    <w:rsid w:val="00804383"/>
    <w:rsid w:val="00804BB7"/>
    <w:rsid w:val="00804D41"/>
    <w:rsid w:val="00810257"/>
    <w:rsid w:val="008104F5"/>
    <w:rsid w:val="00811072"/>
    <w:rsid w:val="00811369"/>
    <w:rsid w:val="008137B8"/>
    <w:rsid w:val="00815419"/>
    <w:rsid w:val="008163C8"/>
    <w:rsid w:val="008164A1"/>
    <w:rsid w:val="00817325"/>
    <w:rsid w:val="008209E6"/>
    <w:rsid w:val="00823303"/>
    <w:rsid w:val="008233B2"/>
    <w:rsid w:val="00823A9F"/>
    <w:rsid w:val="00823C85"/>
    <w:rsid w:val="00825138"/>
    <w:rsid w:val="008269DD"/>
    <w:rsid w:val="00830621"/>
    <w:rsid w:val="0083348C"/>
    <w:rsid w:val="00834140"/>
    <w:rsid w:val="0083619B"/>
    <w:rsid w:val="008373D3"/>
    <w:rsid w:val="00840617"/>
    <w:rsid w:val="00840F84"/>
    <w:rsid w:val="00842A47"/>
    <w:rsid w:val="00843C13"/>
    <w:rsid w:val="008454F8"/>
    <w:rsid w:val="00846ADF"/>
    <w:rsid w:val="0085173A"/>
    <w:rsid w:val="00856316"/>
    <w:rsid w:val="008603CE"/>
    <w:rsid w:val="008620FC"/>
    <w:rsid w:val="008627A5"/>
    <w:rsid w:val="00863C96"/>
    <w:rsid w:val="00863E05"/>
    <w:rsid w:val="008641E8"/>
    <w:rsid w:val="00865ACA"/>
    <w:rsid w:val="00865D28"/>
    <w:rsid w:val="00865F85"/>
    <w:rsid w:val="00867C10"/>
    <w:rsid w:val="00870439"/>
    <w:rsid w:val="00870DA1"/>
    <w:rsid w:val="00883F93"/>
    <w:rsid w:val="00884DB3"/>
    <w:rsid w:val="00885A9D"/>
    <w:rsid w:val="008864F6"/>
    <w:rsid w:val="00886585"/>
    <w:rsid w:val="0089049D"/>
    <w:rsid w:val="008928C9"/>
    <w:rsid w:val="008930CB"/>
    <w:rsid w:val="008938DC"/>
    <w:rsid w:val="00893FD1"/>
    <w:rsid w:val="0089452C"/>
    <w:rsid w:val="00894836"/>
    <w:rsid w:val="00895172"/>
    <w:rsid w:val="00895680"/>
    <w:rsid w:val="00896DFF"/>
    <w:rsid w:val="0089762C"/>
    <w:rsid w:val="008A0728"/>
    <w:rsid w:val="008A1893"/>
    <w:rsid w:val="008A3215"/>
    <w:rsid w:val="008A57E6"/>
    <w:rsid w:val="008A6F81"/>
    <w:rsid w:val="008A769A"/>
    <w:rsid w:val="008B0C9C"/>
    <w:rsid w:val="008B166D"/>
    <w:rsid w:val="008B17F4"/>
    <w:rsid w:val="008B3615"/>
    <w:rsid w:val="008B4AC4"/>
    <w:rsid w:val="008B50C8"/>
    <w:rsid w:val="008B5281"/>
    <w:rsid w:val="008B7522"/>
    <w:rsid w:val="008B7E05"/>
    <w:rsid w:val="008C1797"/>
    <w:rsid w:val="008C219C"/>
    <w:rsid w:val="008C475E"/>
    <w:rsid w:val="008C619A"/>
    <w:rsid w:val="008D0CE8"/>
    <w:rsid w:val="008D2D1D"/>
    <w:rsid w:val="008D453D"/>
    <w:rsid w:val="008D53AD"/>
    <w:rsid w:val="008D562B"/>
    <w:rsid w:val="008D5733"/>
    <w:rsid w:val="008D622B"/>
    <w:rsid w:val="008D666C"/>
    <w:rsid w:val="008D7A40"/>
    <w:rsid w:val="008D7B54"/>
    <w:rsid w:val="008E0C9D"/>
    <w:rsid w:val="008E1648"/>
    <w:rsid w:val="008E1B3E"/>
    <w:rsid w:val="008E2319"/>
    <w:rsid w:val="008E303E"/>
    <w:rsid w:val="008E4BB6"/>
    <w:rsid w:val="008E5518"/>
    <w:rsid w:val="008E6A84"/>
    <w:rsid w:val="008F0CDC"/>
    <w:rsid w:val="008F17A3"/>
    <w:rsid w:val="008F1ED3"/>
    <w:rsid w:val="008F23A5"/>
    <w:rsid w:val="008F4C29"/>
    <w:rsid w:val="008F6C2C"/>
    <w:rsid w:val="008F70BD"/>
    <w:rsid w:val="008F788F"/>
    <w:rsid w:val="008F7EA2"/>
    <w:rsid w:val="0090227D"/>
    <w:rsid w:val="00902722"/>
    <w:rsid w:val="009027BC"/>
    <w:rsid w:val="009062E6"/>
    <w:rsid w:val="0090727E"/>
    <w:rsid w:val="009077D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AEB"/>
    <w:rsid w:val="00957909"/>
    <w:rsid w:val="009610DC"/>
    <w:rsid w:val="00961490"/>
    <w:rsid w:val="0096381A"/>
    <w:rsid w:val="00965E04"/>
    <w:rsid w:val="009674AD"/>
    <w:rsid w:val="00970CDC"/>
    <w:rsid w:val="0097624E"/>
    <w:rsid w:val="00977010"/>
    <w:rsid w:val="00977D02"/>
    <w:rsid w:val="009809BB"/>
    <w:rsid w:val="0098364B"/>
    <w:rsid w:val="009853AE"/>
    <w:rsid w:val="00986CD0"/>
    <w:rsid w:val="009911AF"/>
    <w:rsid w:val="00991875"/>
    <w:rsid w:val="00991F92"/>
    <w:rsid w:val="00992985"/>
    <w:rsid w:val="00993889"/>
    <w:rsid w:val="0099551B"/>
    <w:rsid w:val="00997BF1"/>
    <w:rsid w:val="009A089C"/>
    <w:rsid w:val="009A118E"/>
    <w:rsid w:val="009A21CD"/>
    <w:rsid w:val="009A278C"/>
    <w:rsid w:val="009A2BC2"/>
    <w:rsid w:val="009A42C1"/>
    <w:rsid w:val="009A514B"/>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7BD"/>
    <w:rsid w:val="00A0096C"/>
    <w:rsid w:val="00A01757"/>
    <w:rsid w:val="00A01A03"/>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3BC"/>
    <w:rsid w:val="00A4006C"/>
    <w:rsid w:val="00A40091"/>
    <w:rsid w:val="00A4030F"/>
    <w:rsid w:val="00A41C79"/>
    <w:rsid w:val="00A41CB5"/>
    <w:rsid w:val="00A42CDF"/>
    <w:rsid w:val="00A4452E"/>
    <w:rsid w:val="00A4472C"/>
    <w:rsid w:val="00A44E69"/>
    <w:rsid w:val="00A45366"/>
    <w:rsid w:val="00A4661E"/>
    <w:rsid w:val="00A55BD6"/>
    <w:rsid w:val="00A55D50"/>
    <w:rsid w:val="00A57142"/>
    <w:rsid w:val="00A648CD"/>
    <w:rsid w:val="00A6537A"/>
    <w:rsid w:val="00A67866"/>
    <w:rsid w:val="00A67AE7"/>
    <w:rsid w:val="00A70B07"/>
    <w:rsid w:val="00A70FD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3EA"/>
    <w:rsid w:val="00AF0C18"/>
    <w:rsid w:val="00AF47C5"/>
    <w:rsid w:val="00AF49C3"/>
    <w:rsid w:val="00AF5398"/>
    <w:rsid w:val="00B049AF"/>
    <w:rsid w:val="00B07242"/>
    <w:rsid w:val="00B10534"/>
    <w:rsid w:val="00B107E8"/>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CAB"/>
    <w:rsid w:val="00B65149"/>
    <w:rsid w:val="00B66567"/>
    <w:rsid w:val="00B66EDF"/>
    <w:rsid w:val="00B66F52"/>
    <w:rsid w:val="00B66FE5"/>
    <w:rsid w:val="00B72880"/>
    <w:rsid w:val="00B758BF"/>
    <w:rsid w:val="00B76C8C"/>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000"/>
    <w:rsid w:val="00C22148"/>
    <w:rsid w:val="00C24C8D"/>
    <w:rsid w:val="00C25FE2"/>
    <w:rsid w:val="00C26B53"/>
    <w:rsid w:val="00C27529"/>
    <w:rsid w:val="00C279B2"/>
    <w:rsid w:val="00C33E50"/>
    <w:rsid w:val="00C34C20"/>
    <w:rsid w:val="00C35A3E"/>
    <w:rsid w:val="00C42130"/>
    <w:rsid w:val="00C422C0"/>
    <w:rsid w:val="00C423A4"/>
    <w:rsid w:val="00C44BF5"/>
    <w:rsid w:val="00C521D6"/>
    <w:rsid w:val="00C52589"/>
    <w:rsid w:val="00C55232"/>
    <w:rsid w:val="00C553A4"/>
    <w:rsid w:val="00C55A06"/>
    <w:rsid w:val="00C55D03"/>
    <w:rsid w:val="00C601BC"/>
    <w:rsid w:val="00C613CF"/>
    <w:rsid w:val="00C614EF"/>
    <w:rsid w:val="00C6329F"/>
    <w:rsid w:val="00C63340"/>
    <w:rsid w:val="00C63EE2"/>
    <w:rsid w:val="00C643F9"/>
    <w:rsid w:val="00C64E95"/>
    <w:rsid w:val="00C71372"/>
    <w:rsid w:val="00C72410"/>
    <w:rsid w:val="00C7287F"/>
    <w:rsid w:val="00C80982"/>
    <w:rsid w:val="00C80CB8"/>
    <w:rsid w:val="00C819F8"/>
    <w:rsid w:val="00C8248C"/>
    <w:rsid w:val="00C84E33"/>
    <w:rsid w:val="00C86D6F"/>
    <w:rsid w:val="00C87B3C"/>
    <w:rsid w:val="00C905FC"/>
    <w:rsid w:val="00C92D03"/>
    <w:rsid w:val="00C9319C"/>
    <w:rsid w:val="00C9435D"/>
    <w:rsid w:val="00C94DF2"/>
    <w:rsid w:val="00C95EDE"/>
    <w:rsid w:val="00C96741"/>
    <w:rsid w:val="00CA08FA"/>
    <w:rsid w:val="00CA1F61"/>
    <w:rsid w:val="00CA2D1B"/>
    <w:rsid w:val="00CA375D"/>
    <w:rsid w:val="00CA54F0"/>
    <w:rsid w:val="00CA662A"/>
    <w:rsid w:val="00CA6654"/>
    <w:rsid w:val="00CA7AFD"/>
    <w:rsid w:val="00CA7C3C"/>
    <w:rsid w:val="00CB0189"/>
    <w:rsid w:val="00CB0BA2"/>
    <w:rsid w:val="00CB0CF8"/>
    <w:rsid w:val="00CB1A42"/>
    <w:rsid w:val="00CB1B0C"/>
    <w:rsid w:val="00CB2C0B"/>
    <w:rsid w:val="00CB517D"/>
    <w:rsid w:val="00CB6C2E"/>
    <w:rsid w:val="00CC038D"/>
    <w:rsid w:val="00CC08DB"/>
    <w:rsid w:val="00CC365C"/>
    <w:rsid w:val="00CC39FF"/>
    <w:rsid w:val="00CC3C2F"/>
    <w:rsid w:val="00CC482B"/>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310"/>
    <w:rsid w:val="00CF048A"/>
    <w:rsid w:val="00CF155A"/>
    <w:rsid w:val="00CF2947"/>
    <w:rsid w:val="00CF686F"/>
    <w:rsid w:val="00CF6E60"/>
    <w:rsid w:val="00CF7BCA"/>
    <w:rsid w:val="00D008FD"/>
    <w:rsid w:val="00D0321C"/>
    <w:rsid w:val="00D035EC"/>
    <w:rsid w:val="00D05B00"/>
    <w:rsid w:val="00D06AB1"/>
    <w:rsid w:val="00D072ED"/>
    <w:rsid w:val="00D07A16"/>
    <w:rsid w:val="00D1067E"/>
    <w:rsid w:val="00D10F50"/>
    <w:rsid w:val="00D11272"/>
    <w:rsid w:val="00D126F5"/>
    <w:rsid w:val="00D1489E"/>
    <w:rsid w:val="00D203A7"/>
    <w:rsid w:val="00D20737"/>
    <w:rsid w:val="00D21E81"/>
    <w:rsid w:val="00D223DE"/>
    <w:rsid w:val="00D25E37"/>
    <w:rsid w:val="00D2661A"/>
    <w:rsid w:val="00D27582"/>
    <w:rsid w:val="00D27EC4"/>
    <w:rsid w:val="00D32719"/>
    <w:rsid w:val="00D33333"/>
    <w:rsid w:val="00D33457"/>
    <w:rsid w:val="00D352A2"/>
    <w:rsid w:val="00D3660F"/>
    <w:rsid w:val="00D402F8"/>
    <w:rsid w:val="00D40564"/>
    <w:rsid w:val="00D4162B"/>
    <w:rsid w:val="00D4514F"/>
    <w:rsid w:val="00D451E2"/>
    <w:rsid w:val="00D45E89"/>
    <w:rsid w:val="00D45E8D"/>
    <w:rsid w:val="00D466AE"/>
    <w:rsid w:val="00D4734F"/>
    <w:rsid w:val="00D50F3E"/>
    <w:rsid w:val="00D51710"/>
    <w:rsid w:val="00D51BF3"/>
    <w:rsid w:val="00D66846"/>
    <w:rsid w:val="00D67016"/>
    <w:rsid w:val="00D675FB"/>
    <w:rsid w:val="00D71F25"/>
    <w:rsid w:val="00D72A9C"/>
    <w:rsid w:val="00D77031"/>
    <w:rsid w:val="00D84941"/>
    <w:rsid w:val="00D84FA1"/>
    <w:rsid w:val="00D851F0"/>
    <w:rsid w:val="00D86DB7"/>
    <w:rsid w:val="00D926D0"/>
    <w:rsid w:val="00D93030"/>
    <w:rsid w:val="00D950E1"/>
    <w:rsid w:val="00D952A6"/>
    <w:rsid w:val="00D95798"/>
    <w:rsid w:val="00D9681A"/>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15AC"/>
    <w:rsid w:val="00DC3067"/>
    <w:rsid w:val="00DC311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4D5"/>
    <w:rsid w:val="00E06404"/>
    <w:rsid w:val="00E065D2"/>
    <w:rsid w:val="00E11A85"/>
    <w:rsid w:val="00E12495"/>
    <w:rsid w:val="00E12CAD"/>
    <w:rsid w:val="00E15CCD"/>
    <w:rsid w:val="00E202EF"/>
    <w:rsid w:val="00E210B5"/>
    <w:rsid w:val="00E23D99"/>
    <w:rsid w:val="00E2552F"/>
    <w:rsid w:val="00E3137A"/>
    <w:rsid w:val="00E31EC3"/>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985"/>
    <w:rsid w:val="00E56800"/>
    <w:rsid w:val="00E60C63"/>
    <w:rsid w:val="00E62FF9"/>
    <w:rsid w:val="00E635D6"/>
    <w:rsid w:val="00E639BC"/>
    <w:rsid w:val="00E664CC"/>
    <w:rsid w:val="00E70388"/>
    <w:rsid w:val="00E70F92"/>
    <w:rsid w:val="00E74C54"/>
    <w:rsid w:val="00E758B2"/>
    <w:rsid w:val="00E77A03"/>
    <w:rsid w:val="00E812B4"/>
    <w:rsid w:val="00E822E8"/>
    <w:rsid w:val="00E82554"/>
    <w:rsid w:val="00E82606"/>
    <w:rsid w:val="00E846C8"/>
    <w:rsid w:val="00E84957"/>
    <w:rsid w:val="00E84A55"/>
    <w:rsid w:val="00E85BFF"/>
    <w:rsid w:val="00E90391"/>
    <w:rsid w:val="00E906C2"/>
    <w:rsid w:val="00E910D2"/>
    <w:rsid w:val="00E9311F"/>
    <w:rsid w:val="00E934D1"/>
    <w:rsid w:val="00E94AF0"/>
    <w:rsid w:val="00E95D13"/>
    <w:rsid w:val="00E95DD3"/>
    <w:rsid w:val="00E969D5"/>
    <w:rsid w:val="00E973DD"/>
    <w:rsid w:val="00EA58D1"/>
    <w:rsid w:val="00EA61BC"/>
    <w:rsid w:val="00EA681A"/>
    <w:rsid w:val="00EA735B"/>
    <w:rsid w:val="00EB17DE"/>
    <w:rsid w:val="00EB1E69"/>
    <w:rsid w:val="00EB2086"/>
    <w:rsid w:val="00EB5EDF"/>
    <w:rsid w:val="00EB60FE"/>
    <w:rsid w:val="00EB74DB"/>
    <w:rsid w:val="00EC5359"/>
    <w:rsid w:val="00EC562A"/>
    <w:rsid w:val="00EC6BD8"/>
    <w:rsid w:val="00ED067A"/>
    <w:rsid w:val="00ED23D2"/>
    <w:rsid w:val="00ED2B50"/>
    <w:rsid w:val="00ED35DC"/>
    <w:rsid w:val="00EE0350"/>
    <w:rsid w:val="00EE0719"/>
    <w:rsid w:val="00EE0E80"/>
    <w:rsid w:val="00EE54A6"/>
    <w:rsid w:val="00EE613F"/>
    <w:rsid w:val="00EE7295"/>
    <w:rsid w:val="00EE7869"/>
    <w:rsid w:val="00EF054A"/>
    <w:rsid w:val="00EF0B46"/>
    <w:rsid w:val="00EF2304"/>
    <w:rsid w:val="00EF3235"/>
    <w:rsid w:val="00EF364A"/>
    <w:rsid w:val="00EF7E72"/>
    <w:rsid w:val="00F02AA3"/>
    <w:rsid w:val="00F03CC2"/>
    <w:rsid w:val="00F06D37"/>
    <w:rsid w:val="00F07B9D"/>
    <w:rsid w:val="00F11586"/>
    <w:rsid w:val="00F1183B"/>
    <w:rsid w:val="00F11C9F"/>
    <w:rsid w:val="00F12263"/>
    <w:rsid w:val="00F1409D"/>
    <w:rsid w:val="00F14214"/>
    <w:rsid w:val="00F156BD"/>
    <w:rsid w:val="00F157A9"/>
    <w:rsid w:val="00F22FA6"/>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19D4"/>
    <w:rsid w:val="00F833BA"/>
    <w:rsid w:val="00F84FD0"/>
    <w:rsid w:val="00F859A8"/>
    <w:rsid w:val="00F865B4"/>
    <w:rsid w:val="00F86D87"/>
    <w:rsid w:val="00F9108B"/>
    <w:rsid w:val="00F91349"/>
    <w:rsid w:val="00F93A8A"/>
    <w:rsid w:val="00F940BE"/>
    <w:rsid w:val="00F95248"/>
    <w:rsid w:val="00F956A9"/>
    <w:rsid w:val="00F963ED"/>
    <w:rsid w:val="00F966CF"/>
    <w:rsid w:val="00F96CAE"/>
    <w:rsid w:val="00F97C99"/>
    <w:rsid w:val="00FA4DAC"/>
    <w:rsid w:val="00FA662D"/>
    <w:rsid w:val="00FA73B1"/>
    <w:rsid w:val="00FB0CB9"/>
    <w:rsid w:val="00FB231D"/>
    <w:rsid w:val="00FB3D13"/>
    <w:rsid w:val="00FB45F1"/>
    <w:rsid w:val="00FB4A72"/>
    <w:rsid w:val="00FB54E8"/>
    <w:rsid w:val="00FB7054"/>
    <w:rsid w:val="00FC17B7"/>
    <w:rsid w:val="00FC2CB7"/>
    <w:rsid w:val="00FC4090"/>
    <w:rsid w:val="00FC55B4"/>
    <w:rsid w:val="00FD00E6"/>
    <w:rsid w:val="00FD09A1"/>
    <w:rsid w:val="00FD2A7C"/>
    <w:rsid w:val="00FD59EB"/>
    <w:rsid w:val="00FD7299"/>
    <w:rsid w:val="00FD7550"/>
    <w:rsid w:val="00FE1FBE"/>
    <w:rsid w:val="00FE3901"/>
    <w:rsid w:val="00FE39D3"/>
    <w:rsid w:val="00FE4BCE"/>
    <w:rsid w:val="00FE54AE"/>
    <w:rsid w:val="00FE576A"/>
    <w:rsid w:val="00FE601B"/>
    <w:rsid w:val="00FE7E79"/>
    <w:rsid w:val="00FF3E7D"/>
    <w:rsid w:val="00FF5B99"/>
    <w:rsid w:val="00FF730C"/>
    <w:rsid w:val="00FF73F4"/>
    <w:rsid w:val="00FF7CE4"/>
    <w:rsid w:val="00FF7E39"/>
    <w:rsid w:val="0FA2440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6">
    <w:name w:val="Default Paragraph Font"/>
    <w:unhideWhenUsed/>
    <w:uiPriority w:val="1"/>
  </w:style>
  <w:style w:type="table" w:default="1" w:styleId="32">
    <w:name w:val="Normal Table"/>
    <w:unhideWhenUsed/>
    <w:uiPriority w:val="99"/>
    <w:tblPr>
      <w:tblLayout w:type="fixed"/>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pPr>
      <w:tabs>
        <w:tab w:val="right" w:leader="dot" w:pos="9344"/>
      </w:tabs>
    </w:pPr>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character" w:styleId="27">
    <w:name w:val="Strong"/>
    <w:qFormat/>
    <w:uiPriority w:val="22"/>
    <w:rPr>
      <w:b/>
      <w:bCs/>
    </w:rPr>
  </w:style>
  <w:style w:type="character" w:styleId="28">
    <w:name w:val="page number"/>
    <w:uiPriority w:val="0"/>
    <w:rPr>
      <w:rFonts w:ascii="宋体" w:hAnsi="Times New Roman" w:eastAsia="宋体"/>
      <w:sz w:val="18"/>
    </w:rPr>
  </w:style>
  <w:style w:type="character" w:styleId="29">
    <w:name w:val="Emphasis"/>
    <w:qFormat/>
    <w:uiPriority w:val="20"/>
    <w:rPr>
      <w:i/>
      <w:iCs/>
    </w:rPr>
  </w:style>
  <w:style w:type="character" w:styleId="30">
    <w:name w:val="Hyperlink"/>
    <w:uiPriority w:val="99"/>
    <w:rPr>
      <w:rFonts w:ascii="宋体" w:hAnsi="Times New Roman" w:eastAsia="宋体"/>
      <w:color w:val="auto"/>
      <w:spacing w:val="0"/>
      <w:w w:val="100"/>
      <w:position w:val="0"/>
      <w:sz w:val="21"/>
      <w:u w:val="none"/>
      <w:vertAlign w:val="baseline"/>
    </w:rPr>
  </w:style>
  <w:style w:type="character" w:styleId="31">
    <w:name w:val="footnote reference"/>
    <w:semiHidden/>
    <w:uiPriority w:val="0"/>
    <w:rPr>
      <w:rFonts w:ascii="宋体" w:hAnsi="宋体" w:eastAsia="宋体" w:cs="Times New Roman"/>
      <w:spacing w:val="0"/>
      <w:sz w:val="18"/>
      <w:vertAlign w:val="superscript"/>
    </w:rPr>
  </w:style>
  <w:style w:type="table" w:styleId="33">
    <w:name w:val="Table Grid"/>
    <w:basedOn w:val="3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customStyle="1"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Lines="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Placeholder Text"/>
    <w:basedOn w:val="26"/>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6"/>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vAnchor="page" w:hAnchor="page" w:x="1419" w:y="14097"/>
    </w:pPr>
  </w:style>
  <w:style w:type="paragraph" w:customStyle="1" w:styleId="194">
    <w:name w:val="其他实施日期"/>
    <w:basedOn w:val="154"/>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6"/>
    <w:uiPriority w:val="0"/>
    <w:rPr>
      <w:rFonts w:ascii="黑体" w:eastAsia="黑体"/>
      <w:spacing w:val="85"/>
      <w:w w:val="100"/>
      <w:position w:val="3"/>
      <w:sz w:val="28"/>
      <w:szCs w:val="28"/>
    </w:rPr>
  </w:style>
  <w:style w:type="paragraph" w:customStyle="1" w:styleId="230">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3" Type="http://schemas.openxmlformats.org/officeDocument/2006/relationships/glossaryDocument" Target="glossary/document.xml"/><Relationship Id="rId42" Type="http://schemas.openxmlformats.org/officeDocument/2006/relationships/fontTable" Target="fontTable.xml"/><Relationship Id="rId41" Type="http://schemas.openxmlformats.org/officeDocument/2006/relationships/customXml" Target="../customXml/item2.xml"/><Relationship Id="rId40" Type="http://schemas.openxmlformats.org/officeDocument/2006/relationships/numbering" Target="numbering.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image" Target="media/image6.emf"/><Relationship Id="rId37" Type="http://schemas.openxmlformats.org/officeDocument/2006/relationships/image" Target="media/image5.emf"/><Relationship Id="rId36" Type="http://schemas.openxmlformats.org/officeDocument/2006/relationships/image" Target="media/image4.emf"/><Relationship Id="rId35" Type="http://schemas.openxmlformats.org/officeDocument/2006/relationships/image" Target="media/image3.png"/><Relationship Id="rId34" Type="http://schemas.openxmlformats.org/officeDocument/2006/relationships/image" Target="media/image2.png"/><Relationship Id="rId33" Type="http://schemas.openxmlformats.org/officeDocument/2006/relationships/image" Target="media/image1.png"/><Relationship Id="rId32" Type="http://schemas.openxmlformats.org/officeDocument/2006/relationships/image" Target="media/image1.tiff"/><Relationship Id="rId31" Type="http://schemas.openxmlformats.org/officeDocument/2006/relationships/theme" Target="theme/theme1.xml"/><Relationship Id="rId30" Type="http://schemas.openxmlformats.org/officeDocument/2006/relationships/footer" Target="footer14.xml"/><Relationship Id="rId3" Type="http://schemas.openxmlformats.org/officeDocument/2006/relationships/header" Target="header1.xml"/><Relationship Id="rId29" Type="http://schemas.openxmlformats.org/officeDocument/2006/relationships/footer" Target="footer13.xml"/><Relationship Id="rId28" Type="http://schemas.openxmlformats.org/officeDocument/2006/relationships/header" Target="header14.xml"/><Relationship Id="rId27" Type="http://schemas.openxmlformats.org/officeDocument/2006/relationships/header" Target="header13.xml"/><Relationship Id="rId26" Type="http://schemas.openxmlformats.org/officeDocument/2006/relationships/footer" Target="footer12.xml"/><Relationship Id="rId25" Type="http://schemas.openxmlformats.org/officeDocument/2006/relationships/footer" Target="footer11.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8FF25E4FD83413E8849C94401119383"/>
        <w:style w:val=""/>
        <w:category>
          <w:name w:val="常规"/>
          <w:gallery w:val="placeholder"/>
        </w:category>
        <w:types>
          <w:type w:val="bbPlcHdr"/>
        </w:types>
        <w:behaviors>
          <w:behavior w:val="content"/>
        </w:behaviors>
        <w:description w:val=""/>
        <w:guid w:val="{FFC1CE8A-9EBE-4A51-A4DC-26BADCE34895}"/>
      </w:docPartPr>
      <w:docPartBody>
        <w:p>
          <w:pPr>
            <w:pStyle w:val="5"/>
            <w:rPr>
              <w:rFonts w:hint="eastAsia"/>
            </w:rPr>
          </w:pPr>
          <w:r>
            <w:rPr>
              <w:rStyle w:val="4"/>
              <w:rFonts w:hint="eastAsia"/>
            </w:rPr>
            <w:t>单击或点击此处输入文字。</w:t>
          </w:r>
        </w:p>
      </w:docPartBody>
    </w:docPart>
    <w:docPart>
      <w:docPartPr>
        <w:name w:val="7AB5BE5C6BE64752B4187D016B5191F5"/>
        <w:style w:val=""/>
        <w:category>
          <w:name w:val="常规"/>
          <w:gallery w:val="placeholder"/>
        </w:category>
        <w:types>
          <w:type w:val="bbPlcHdr"/>
        </w:types>
        <w:behaviors>
          <w:behavior w:val="content"/>
        </w:behaviors>
        <w:description w:val=""/>
        <w:guid w:val="{A12D6E1D-8392-4929-A79B-FA159D1C6818}"/>
      </w:docPartPr>
      <w:docPartBody>
        <w:p>
          <w:pPr>
            <w:pStyle w:val="6"/>
            <w:rPr>
              <w:rFonts w:hint="eastAsia"/>
            </w:rPr>
          </w:pPr>
          <w:r>
            <w:rPr>
              <w:rStyle w:val="4"/>
              <w:rFonts w:hint="eastAsia"/>
            </w:rPr>
            <w:t>选择一项。</w:t>
          </w:r>
        </w:p>
      </w:docPartBody>
    </w:docPart>
    <w:docPart>
      <w:docPartPr>
        <w:name w:val="7C35DAF75BEB4F00829827F5049044DD"/>
        <w:style w:val=""/>
        <w:category>
          <w:name w:val="常规"/>
          <w:gallery w:val="placeholder"/>
        </w:category>
        <w:types>
          <w:type w:val="bbPlcHdr"/>
        </w:types>
        <w:behaviors>
          <w:behavior w:val="content"/>
        </w:behaviors>
        <w:description w:val=""/>
        <w:guid w:val="{03DEF0F2-D09B-4AC1-B195-3BE32C19B1CA}"/>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
  <w:rsids>
    <w:rsidRoot w:val="00952451"/>
    <w:rsid w:val="00015373"/>
    <w:rsid w:val="00066889"/>
    <w:rsid w:val="00081F4C"/>
    <w:rsid w:val="00096D61"/>
    <w:rsid w:val="000B63CC"/>
    <w:rsid w:val="000E435A"/>
    <w:rsid w:val="00120000"/>
    <w:rsid w:val="001621C0"/>
    <w:rsid w:val="00194264"/>
    <w:rsid w:val="002624BD"/>
    <w:rsid w:val="0028471D"/>
    <w:rsid w:val="002D1752"/>
    <w:rsid w:val="00300106"/>
    <w:rsid w:val="003173DE"/>
    <w:rsid w:val="0036599B"/>
    <w:rsid w:val="00374F43"/>
    <w:rsid w:val="00412950"/>
    <w:rsid w:val="0047486E"/>
    <w:rsid w:val="005053C1"/>
    <w:rsid w:val="0053521A"/>
    <w:rsid w:val="005B653A"/>
    <w:rsid w:val="005B6D09"/>
    <w:rsid w:val="0061191A"/>
    <w:rsid w:val="00663ECF"/>
    <w:rsid w:val="0076038B"/>
    <w:rsid w:val="007B7B13"/>
    <w:rsid w:val="00811877"/>
    <w:rsid w:val="00846ADF"/>
    <w:rsid w:val="008E5ADF"/>
    <w:rsid w:val="008E7A4F"/>
    <w:rsid w:val="00952451"/>
    <w:rsid w:val="00954703"/>
    <w:rsid w:val="009703E4"/>
    <w:rsid w:val="009E0508"/>
    <w:rsid w:val="009F2831"/>
    <w:rsid w:val="00A06FEF"/>
    <w:rsid w:val="00A33B91"/>
    <w:rsid w:val="00AA5B33"/>
    <w:rsid w:val="00B11656"/>
    <w:rsid w:val="00B3486A"/>
    <w:rsid w:val="00B9062A"/>
    <w:rsid w:val="00C00760"/>
    <w:rsid w:val="00C07E9E"/>
    <w:rsid w:val="00C13F87"/>
    <w:rsid w:val="00C27C21"/>
    <w:rsid w:val="00CE3AEA"/>
    <w:rsid w:val="00D12031"/>
    <w:rsid w:val="00D51E89"/>
    <w:rsid w:val="00D60FDE"/>
    <w:rsid w:val="00D95BA5"/>
    <w:rsid w:val="00EB47BB"/>
    <w:rsid w:val="00F5549C"/>
    <w:rsid w:val="00F74191"/>
    <w:rsid w:val="00FD0ED2"/>
    <w:rsid w:val="00FF68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38FF25E4FD83413E8849C9440111938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AB5BE5C6BE64752B4187D016B5191F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C35DAF75BEB4F00829827F5049044D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26</Pages>
  <Words>3249</Words>
  <Characters>18520</Characters>
  <Lines>154</Lines>
  <Paragraphs>43</Paragraphs>
  <TotalTime>195</TotalTime>
  <ScaleCrop>false</ScaleCrop>
  <LinksUpToDate>false</LinksUpToDate>
  <CharactersWithSpaces>21726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2023-05-11T07:31:00Z</dcterms:created>
  <dc:creator>周书胤</dc:creator>
  <dc:description>&lt;config cover="true" show_menu="true" version="1.0.0" doctype="SDKXY"&gt;_x000d_
&lt;/config&gt;</dc:description>
  <cp:lastModifiedBy>admin</cp:lastModifiedBy>
  <cp:lastPrinted>2023-05-21T12:40:00Z</cp:lastPrinted>
  <dcterms:modified xsi:type="dcterms:W3CDTF">2025-02-24T06:59:49Z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2052-10.8.0.6423</vt:lpwstr>
  </property>
</Properties>
</file>