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B230A">
      <w:pPr>
        <w:spacing w:line="42" w:lineRule="exact"/>
      </w:pPr>
      <w:r>
        <w:rPr>
          <w:sz w:val="24"/>
        </w:rPr>
        <mc:AlternateContent>
          <mc:Choice Requires="wps">
            <w:drawing>
              <wp:anchor distT="0" distB="0" distL="114300" distR="114300" simplePos="0" relativeHeight="251679744" behindDoc="0" locked="0" layoutInCell="1" allowOverlap="1">
                <wp:simplePos x="0" y="0"/>
                <wp:positionH relativeFrom="column">
                  <wp:posOffset>11430</wp:posOffset>
                </wp:positionH>
                <wp:positionV relativeFrom="paragraph">
                  <wp:posOffset>-250190</wp:posOffset>
                </wp:positionV>
                <wp:extent cx="932815" cy="447040"/>
                <wp:effectExtent l="4445" t="5080" r="15240" b="5080"/>
                <wp:wrapNone/>
                <wp:docPr id="21" name="文本框 21"/>
                <wp:cNvGraphicFramePr/>
                <a:graphic xmlns:a="http://schemas.openxmlformats.org/drawingml/2006/main">
                  <a:graphicData uri="http://schemas.microsoft.com/office/word/2010/wordprocessingShape">
                    <wps:wsp>
                      <wps:cNvSpPr txBox="1"/>
                      <wps:spPr>
                        <a:xfrm>
                          <a:off x="1144905" y="906145"/>
                          <a:ext cx="932815" cy="4470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5519D9E">
                            <w:pPr>
                              <w:rPr>
                                <w:rFonts w:hint="default" w:ascii="Cambria" w:hAnsi="Cambria" w:eastAsia="宋体" w:cs="Cambria"/>
                                <w:b/>
                                <w:bCs/>
                                <w:lang w:val="en-US" w:eastAsia="zh-CN"/>
                              </w:rPr>
                            </w:pPr>
                            <w:r>
                              <w:rPr>
                                <w:rFonts w:hint="default" w:ascii="Cambria" w:hAnsi="Cambria" w:eastAsia="宋体" w:cs="Cambria"/>
                                <w:b/>
                                <w:bCs/>
                                <w:lang w:val="en-US" w:eastAsia="zh-CN"/>
                              </w:rPr>
                              <w:t>ICS</w:t>
                            </w:r>
                            <w:r>
                              <w:rPr>
                                <w:rFonts w:hint="eastAsia" w:ascii="Cambria" w:hAnsi="Cambria" w:eastAsia="宋体" w:cs="Cambria"/>
                                <w:b/>
                                <w:bCs/>
                                <w:lang w:val="en-US" w:eastAsia="zh-CN"/>
                              </w:rPr>
                              <w:t xml:space="preserve"> XXX</w:t>
                            </w:r>
                          </w:p>
                          <w:p w14:paraId="579B2299">
                            <w:pPr>
                              <w:rPr>
                                <w:rFonts w:hint="default" w:ascii="Cambria" w:hAnsi="Cambria" w:eastAsia="宋体" w:cs="Cambria"/>
                                <w:b/>
                                <w:bCs/>
                                <w:lang w:val="en-US" w:eastAsia="zh-CN"/>
                              </w:rPr>
                            </w:pPr>
                            <w:r>
                              <w:rPr>
                                <w:rFonts w:hint="default" w:ascii="Cambria" w:hAnsi="Cambria" w:eastAsia="宋体" w:cs="Cambria"/>
                                <w:b/>
                                <w:bCs/>
                                <w:lang w:val="en-US" w:eastAsia="zh-CN"/>
                              </w:rPr>
                              <w:t xml:space="preserve">CCS </w:t>
                            </w:r>
                            <w:r>
                              <w:rPr>
                                <w:rFonts w:hint="eastAsia" w:ascii="Cambria" w:hAnsi="Cambria" w:eastAsia="宋体" w:cs="Cambria"/>
                                <w:b/>
                                <w:bCs/>
                                <w:lang w:val="en-US" w:eastAsia="zh-CN"/>
                              </w:rPr>
                              <w:t>X XXX</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9pt;margin-top:-19.7pt;height:35.2pt;width:73.45pt;z-index:251679744;mso-width-relative:page;mso-height-relative:page;" fillcolor="#FFFFFF [3201]" filled="t" stroked="t" coordsize="21600,21600" o:gfxdata="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XA3ALVAAAACAEAAA8AAAAAAAAAAQAgAAAAIgAAAGRycy9kb3ducmV2LnhtbFBLAQIUABQA&#10;AAAIAIdO4kDidaWhZQIAAMMEAAAOAAAAAAAAAAEAIAAAACQBAABkcnMvZTJvRG9jLnhtbFBLBQYA&#10;AAAABgAGAFkBAAD7BQAAAAA=&#10;">
                <v:fill on="t" focussize="0,0"/>
                <v:stroke weight="0.5pt" color="#000000 [3204]" joinstyle="round"/>
                <v:imagedata o:title=""/>
                <o:lock v:ext="edit" aspectratio="f"/>
                <v:textbox>
                  <w:txbxContent>
                    <w:p w14:paraId="25519D9E">
                      <w:pPr>
                        <w:rPr>
                          <w:rFonts w:hint="default" w:ascii="Cambria" w:hAnsi="Cambria" w:eastAsia="宋体" w:cs="Cambria"/>
                          <w:b/>
                          <w:bCs/>
                          <w:lang w:val="en-US" w:eastAsia="zh-CN"/>
                        </w:rPr>
                      </w:pPr>
                      <w:r>
                        <w:rPr>
                          <w:rFonts w:hint="default" w:ascii="Cambria" w:hAnsi="Cambria" w:eastAsia="宋体" w:cs="Cambria"/>
                          <w:b/>
                          <w:bCs/>
                          <w:lang w:val="en-US" w:eastAsia="zh-CN"/>
                        </w:rPr>
                        <w:t>ICS</w:t>
                      </w:r>
                      <w:r>
                        <w:rPr>
                          <w:rFonts w:hint="eastAsia" w:ascii="Cambria" w:hAnsi="Cambria" w:eastAsia="宋体" w:cs="Cambria"/>
                          <w:b/>
                          <w:bCs/>
                          <w:lang w:val="en-US" w:eastAsia="zh-CN"/>
                        </w:rPr>
                        <w:t xml:space="preserve"> XXX</w:t>
                      </w:r>
                    </w:p>
                    <w:p w14:paraId="579B2299">
                      <w:pPr>
                        <w:rPr>
                          <w:rFonts w:hint="default" w:ascii="Cambria" w:hAnsi="Cambria" w:eastAsia="宋体" w:cs="Cambria"/>
                          <w:b/>
                          <w:bCs/>
                          <w:lang w:val="en-US" w:eastAsia="zh-CN"/>
                        </w:rPr>
                      </w:pPr>
                      <w:r>
                        <w:rPr>
                          <w:rFonts w:hint="default" w:ascii="Cambria" w:hAnsi="Cambria" w:eastAsia="宋体" w:cs="Cambria"/>
                          <w:b/>
                          <w:bCs/>
                          <w:lang w:val="en-US" w:eastAsia="zh-CN"/>
                        </w:rPr>
                        <w:t xml:space="preserve">CCS </w:t>
                      </w:r>
                      <w:r>
                        <w:rPr>
                          <w:rFonts w:hint="eastAsia" w:ascii="Cambria" w:hAnsi="Cambria" w:eastAsia="宋体" w:cs="Cambria"/>
                          <w:b/>
                          <w:bCs/>
                          <w:lang w:val="en-US" w:eastAsia="zh-CN"/>
                        </w:rPr>
                        <w:t>X XXX</w:t>
                      </w:r>
                    </w:p>
                  </w:txbxContent>
                </v:textbox>
              </v:shape>
            </w:pict>
          </mc:Fallback>
        </mc:AlternateContent>
      </w:r>
      <w:r>
        <w:rPr>
          <w:rFonts w:ascii="Times New Roman" w:hAnsi="Times New Roman" w:eastAsia="宋体" w:cs="Times New Roman"/>
          <w:snapToGrid/>
          <w:color w:val="auto"/>
          <w:kern w:val="2"/>
          <w:sz w:val="24"/>
          <w:szCs w:val="20"/>
          <w:lang w:eastAsia="zh-CN"/>
        </w:rPr>
        <mc:AlternateContent>
          <mc:Choice Requires="wps">
            <w:drawing>
              <wp:anchor distT="0" distB="0" distL="114300" distR="114300" simplePos="0" relativeHeight="251678720" behindDoc="0" locked="0" layoutInCell="1" allowOverlap="1">
                <wp:simplePos x="0" y="0"/>
                <wp:positionH relativeFrom="column">
                  <wp:posOffset>3966845</wp:posOffset>
                </wp:positionH>
                <wp:positionV relativeFrom="paragraph">
                  <wp:posOffset>-249555</wp:posOffset>
                </wp:positionV>
                <wp:extent cx="1450340" cy="741045"/>
                <wp:effectExtent l="4445" t="4445" r="12065" b="16510"/>
                <wp:wrapNone/>
                <wp:docPr id="147" name="文本框 147"/>
                <wp:cNvGraphicFramePr/>
                <a:graphic xmlns:a="http://schemas.openxmlformats.org/drawingml/2006/main">
                  <a:graphicData uri="http://schemas.microsoft.com/office/word/2010/wordprocessingShape">
                    <wps:wsp>
                      <wps:cNvSpPr txBox="1">
                        <a:spLocks noChangeArrowheads="1"/>
                      </wps:cNvSpPr>
                      <wps:spPr bwMode="auto">
                        <a:xfrm>
                          <a:off x="0" y="0"/>
                          <a:ext cx="1450340" cy="741045"/>
                        </a:xfrm>
                        <a:prstGeom prst="rect">
                          <a:avLst/>
                        </a:prstGeom>
                        <a:solidFill>
                          <a:srgbClr val="FFFFFF"/>
                        </a:solidFill>
                        <a:ln w="9525">
                          <a:solidFill>
                            <a:srgbClr val="FFFFFF"/>
                          </a:solidFill>
                          <a:miter lim="800000"/>
                        </a:ln>
                      </wps:spPr>
                      <wps:txbx>
                        <w:txbxContent>
                          <w:p w14:paraId="3A8C8D22">
                            <w:pPr>
                              <w:rPr>
                                <w:rFonts w:hint="default" w:eastAsia="宋体"/>
                                <w:lang w:val="en-US" w:eastAsia="zh-CN"/>
                              </w:rPr>
                            </w:pPr>
                            <w:r>
                              <w:rPr>
                                <w:rFonts w:hint="eastAsia" w:ascii="宋体" w:hAnsi="宋体"/>
                                <w:b/>
                                <w:sz w:val="84"/>
                                <w:szCs w:val="84"/>
                              </w:rPr>
                              <w:t>DB</w:t>
                            </w:r>
                            <w:r>
                              <w:rPr>
                                <w:rFonts w:hint="eastAsia" w:ascii="宋体" w:hAnsi="宋体" w:eastAsia="宋体"/>
                                <w:b/>
                                <w:sz w:val="84"/>
                                <w:szCs w:val="84"/>
                                <w:lang w:val="en-US" w:eastAsia="zh-CN"/>
                              </w:rPr>
                              <w:t>43</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2.35pt;margin-top:-19.65pt;height:58.35pt;width:114.2pt;z-index:251678720;mso-width-relative:page;mso-height-relative:page;" fillcolor="#FFFFFF" filled="t" stroked="t" coordsize="21600,21600" o:gfxdata="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Kf1Em9oAAAAKAQAADwAAAAAAAAABACAAAAAiAAAA&#10;ZHJzL2Rvd25yZXYueG1sUEsBAhQAFAAAAAgAh07iQP4YEbc+AgAAiwQAAA4AAAAAAAAAAQAgAAAA&#10;KQEAAGRycy9lMm9Eb2MueG1sUEsFBgAAAAAGAAYAWQEAANkFAAAAAA==&#10;">
                <v:fill on="t" focussize="0,0"/>
                <v:stroke color="#FFFFFF" miterlimit="8" joinstyle="miter"/>
                <v:imagedata o:title=""/>
                <o:lock v:ext="edit" aspectratio="f"/>
                <v:textbox>
                  <w:txbxContent>
                    <w:p w14:paraId="3A8C8D22">
                      <w:pPr>
                        <w:rPr>
                          <w:rFonts w:hint="default" w:eastAsia="宋体"/>
                          <w:lang w:val="en-US" w:eastAsia="zh-CN"/>
                        </w:rPr>
                      </w:pPr>
                      <w:r>
                        <w:rPr>
                          <w:rFonts w:hint="eastAsia" w:ascii="宋体" w:hAnsi="宋体"/>
                          <w:b/>
                          <w:sz w:val="84"/>
                          <w:szCs w:val="84"/>
                        </w:rPr>
                        <w:t>DB</w:t>
                      </w:r>
                      <w:r>
                        <w:rPr>
                          <w:rFonts w:hint="eastAsia" w:ascii="宋体" w:hAnsi="宋体" w:eastAsia="宋体"/>
                          <w:b/>
                          <w:sz w:val="84"/>
                          <w:szCs w:val="84"/>
                          <w:lang w:val="en-US" w:eastAsia="zh-CN"/>
                        </w:rPr>
                        <w:t>43</w:t>
                      </w:r>
                    </w:p>
                  </w:txbxContent>
                </v:textbox>
              </v:shape>
            </w:pict>
          </mc:Fallback>
        </mc:AlternateContent>
      </w:r>
    </w:p>
    <w:p w14:paraId="777C8286">
      <w:pPr>
        <w:widowControl w:val="0"/>
        <w:kinsoku/>
        <w:autoSpaceDE/>
        <w:autoSpaceDN/>
        <w:adjustRightInd/>
        <w:snapToGrid/>
        <w:spacing w:line="500" w:lineRule="exact"/>
        <w:textAlignment w:val="auto"/>
        <w:rPr>
          <w:rFonts w:ascii="宋体" w:hAnsi="宋体" w:eastAsia="宋体" w:cs="Times New Roman"/>
          <w:b/>
          <w:snapToGrid/>
          <w:color w:val="auto"/>
          <w:kern w:val="2"/>
          <w:sz w:val="84"/>
          <w:szCs w:val="84"/>
          <w:lang w:eastAsia="zh-CN"/>
        </w:rPr>
      </w:pPr>
      <w:r>
        <w:rPr>
          <w:rFonts w:hint="eastAsia" w:ascii="宋体" w:hAnsi="宋体" w:eastAsia="宋体" w:cs="Times New Roman"/>
          <w:b/>
          <w:snapToGrid/>
          <w:color w:val="auto"/>
          <w:kern w:val="2"/>
          <w:sz w:val="84"/>
          <w:szCs w:val="84"/>
          <w:lang w:eastAsia="zh-CN"/>
        </w:rPr>
        <w:t xml:space="preserve">               </w:t>
      </w:r>
    </w:p>
    <w:p w14:paraId="18391448">
      <w:pPr>
        <w:ind w:firstLine="643"/>
        <w:jc w:val="right"/>
      </w:pPr>
    </w:p>
    <w:p w14:paraId="043F7A7C">
      <w:pPr>
        <w:spacing w:line="500" w:lineRule="exact"/>
        <w:jc w:val="left"/>
        <w:rPr>
          <w:rFonts w:hint="eastAsia" w:ascii="宋体" w:hAnsi="宋体"/>
          <w:b/>
          <w:sz w:val="32"/>
          <w:szCs w:val="32"/>
        </w:rPr>
      </w:pPr>
    </w:p>
    <w:p w14:paraId="30387506">
      <w:pPr>
        <w:keepNext w:val="0"/>
        <w:keepLines w:val="0"/>
        <w:pageBreakBefore w:val="0"/>
        <w:widowControl w:val="0"/>
        <w:kinsoku/>
        <w:wordWrap/>
        <w:overflowPunct/>
        <w:topLinePunct w:val="0"/>
        <w:autoSpaceDE/>
        <w:autoSpaceDN/>
        <w:bidi w:val="0"/>
        <w:adjustRightInd/>
        <w:snapToGrid/>
        <w:spacing w:line="240" w:lineRule="auto"/>
        <w:jc w:val="distribute"/>
        <w:textAlignment w:val="auto"/>
        <w:rPr>
          <w:rFonts w:ascii="宋体" w:hAnsi="宋体"/>
          <w:b/>
          <w:sz w:val="32"/>
          <w:szCs w:val="32"/>
        </w:rPr>
      </w:pPr>
      <w:r>
        <w:rPr>
          <w:rFonts w:hint="eastAsia" w:ascii="宋体" w:hAnsi="宋体"/>
          <w:b/>
          <w:sz w:val="72"/>
          <w:szCs w:val="72"/>
        </w:rPr>
        <w:t>湖南省地方标准</w:t>
      </w:r>
      <w:r>
        <w:rPr>
          <w:rFonts w:hint="eastAsia" w:ascii="宋体" w:hAnsi="宋体"/>
          <w:b/>
          <w:sz w:val="32"/>
          <w:szCs w:val="32"/>
        </w:rPr>
        <w:t xml:space="preserve"> </w:t>
      </w:r>
    </w:p>
    <w:p w14:paraId="59A002A6">
      <w:pPr>
        <w:spacing w:line="500" w:lineRule="exact"/>
        <w:jc w:val="left"/>
        <w:rPr>
          <w:rFonts w:hint="eastAsia" w:ascii="宋体" w:hAnsi="宋体" w:eastAsia="宋体"/>
          <w:b/>
          <w:sz w:val="32"/>
          <w:szCs w:val="32"/>
          <w:lang w:eastAsia="zh-CN"/>
        </w:rPr>
      </w:pPr>
      <w:r>
        <w:rPr>
          <w:rFonts w:hint="eastAsia" w:ascii="宋体" w:hAnsi="宋体"/>
          <w:b/>
          <w:sz w:val="32"/>
          <w:szCs w:val="32"/>
        </w:rPr>
        <w:t xml:space="preserve">                                   DB 43</w:t>
      </w:r>
      <w:r>
        <w:rPr>
          <w:rFonts w:hint="eastAsia" w:ascii="宋体" w:hAnsi="宋体"/>
          <w:b/>
          <w:sz w:val="32"/>
          <w:szCs w:val="32"/>
          <w:lang w:val="en-US" w:eastAsia="zh-CN"/>
        </w:rPr>
        <w:t>/T</w:t>
      </w:r>
      <w:r>
        <w:rPr>
          <w:rFonts w:hint="eastAsia" w:ascii="宋体" w:hAnsi="宋体"/>
          <w:b/>
          <w:sz w:val="32"/>
          <w:szCs w:val="32"/>
        </w:rPr>
        <w:t>XXX-202</w:t>
      </w:r>
      <w:r>
        <w:rPr>
          <w:rFonts w:hint="eastAsia" w:ascii="宋体" w:hAnsi="宋体" w:eastAsia="宋体"/>
          <w:b/>
          <w:sz w:val="32"/>
          <w:szCs w:val="32"/>
          <w:lang w:val="en-US" w:eastAsia="zh-CN"/>
        </w:rPr>
        <w:t>5</w:t>
      </w:r>
    </w:p>
    <w:p w14:paraId="307552ED">
      <w:pPr>
        <w:jc w:val="left"/>
        <w:rPr>
          <w:rFonts w:ascii="宋体" w:hAnsi="宋体"/>
          <w:b/>
          <w:sz w:val="32"/>
          <w:szCs w:val="32"/>
        </w:rPr>
      </w:pPr>
      <w:r>
        <w:rPr>
          <w:rFonts w:ascii="宋体" w:hAnsi="宋体"/>
          <w:b/>
          <w:sz w:val="32"/>
          <w:szCs w:val="32"/>
        </w:rPr>
        <mc:AlternateContent>
          <mc:Choice Requires="wps">
            <w:drawing>
              <wp:anchor distT="0" distB="0" distL="114300" distR="114300" simplePos="0" relativeHeight="251676672" behindDoc="0" locked="0" layoutInCell="1" allowOverlap="1">
                <wp:simplePos x="0" y="0"/>
                <wp:positionH relativeFrom="column">
                  <wp:posOffset>-152400</wp:posOffset>
                </wp:positionH>
                <wp:positionV relativeFrom="paragraph">
                  <wp:posOffset>196850</wp:posOffset>
                </wp:positionV>
                <wp:extent cx="5781675" cy="0"/>
                <wp:effectExtent l="0" t="19050" r="9525" b="19050"/>
                <wp:wrapNone/>
                <wp:docPr id="3" name="直接箭头连接符 3"/>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38100">
                          <a:solidFill>
                            <a:srgbClr val="000000"/>
                          </a:solidFill>
                          <a:round/>
                        </a:ln>
                        <a:effectLst/>
                      </wps:spPr>
                      <wps:bodyPr/>
                    </wps:wsp>
                  </a:graphicData>
                </a:graphic>
              </wp:anchor>
            </w:drawing>
          </mc:Choice>
          <mc:Fallback>
            <w:pict>
              <v:shape id="_x0000_s1026" o:spid="_x0000_s1026" o:spt="32" type="#_x0000_t32" style="position:absolute;left:0pt;margin-left:-12pt;margin-top:15.5pt;height:0pt;width:455.25pt;z-index:251676672;mso-width-relative:page;mso-height-relative:page;" filled="f" stroked="t" coordsize="21600,21600" o:gfxdata="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MF2+NtYAAAAJAQAADwAAAAAAAAABACAAAAAiAAAAZHJzL2Rvd25yZXYueG1s&#10;UEsBAhQAFAAAAAgAh07iQJvPcEb6AQAAzQMAAA4AAAAAAAAAAQAgAAAAJQEAAGRycy9lMm9Eb2Mu&#10;eG1sUEsFBgAAAAAGAAYAWQEAAJEFAAAAAA==&#10;">
                <v:fill on="f" focussize="0,0"/>
                <v:stroke weight="3pt" color="#000000" joinstyle="round"/>
                <v:imagedata o:title=""/>
                <o:lock v:ext="edit" aspectratio="f"/>
              </v:shape>
            </w:pict>
          </mc:Fallback>
        </mc:AlternateContent>
      </w:r>
    </w:p>
    <w:p w14:paraId="02B176F2">
      <w:pPr>
        <w:autoSpaceDE w:val="0"/>
        <w:autoSpaceDN w:val="0"/>
        <w:adjustRightInd w:val="0"/>
        <w:jc w:val="center"/>
        <w:rPr>
          <w:rFonts w:ascii="宋体" w:hAnsi="宋体" w:cs="黑体"/>
          <w:b/>
          <w:kern w:val="0"/>
          <w:sz w:val="44"/>
          <w:szCs w:val="44"/>
        </w:rPr>
      </w:pPr>
    </w:p>
    <w:p w14:paraId="4E19A3C9">
      <w:pPr>
        <w:jc w:val="center"/>
        <w:outlineLvl w:val="0"/>
        <w:rPr>
          <w:rFonts w:hint="default" w:eastAsia="宋体"/>
          <w:b/>
          <w:kern w:val="0"/>
          <w:sz w:val="36"/>
          <w:szCs w:val="36"/>
          <w:lang w:val="en-US" w:eastAsia="zh-CN"/>
        </w:rPr>
      </w:pPr>
      <w:bookmarkStart w:id="0" w:name="_Toc12273"/>
      <w:bookmarkStart w:id="1" w:name="_Toc6625"/>
      <w:r>
        <w:rPr>
          <w:rFonts w:hint="eastAsia"/>
          <w:b/>
          <w:kern w:val="0"/>
          <w:sz w:val="36"/>
          <w:szCs w:val="36"/>
          <w:lang w:val="en-US" w:eastAsia="zh-CN"/>
        </w:rPr>
        <w:t>湖南省改性玻化微珠复合材料外墙修缮系统应用技术标准</w:t>
      </w:r>
      <w:bookmarkEnd w:id="0"/>
      <w:bookmarkEnd w:id="1"/>
    </w:p>
    <w:p w14:paraId="0967A3B1">
      <w:pPr>
        <w:jc w:val="center"/>
        <w:rPr>
          <w:sz w:val="32"/>
          <w:szCs w:val="32"/>
          <w:highlight w:val="none"/>
        </w:rPr>
      </w:pPr>
      <w:r>
        <w:rPr>
          <w:rFonts w:hint="eastAsia"/>
          <w:sz w:val="32"/>
          <w:szCs w:val="32"/>
          <w:highlight w:val="none"/>
        </w:rPr>
        <w:t>Application technical standard for modified vitrified microsphere composite material exterior wall repair system in Hunan Province</w:t>
      </w:r>
      <w:r>
        <w:rPr>
          <w:sz w:val="32"/>
          <w:szCs w:val="32"/>
          <w:highlight w:val="none"/>
        </w:rPr>
        <w:t xml:space="preserve"> </w:t>
      </w:r>
    </w:p>
    <w:p w14:paraId="2DAC2325">
      <w:pPr>
        <w:jc w:val="center"/>
        <w:rPr>
          <w:b/>
          <w:sz w:val="32"/>
          <w:szCs w:val="32"/>
        </w:rPr>
      </w:pPr>
      <w:r>
        <w:rPr>
          <w:b/>
          <w:sz w:val="32"/>
          <w:szCs w:val="32"/>
        </w:rPr>
        <w:t>(征求意见稿)</w:t>
      </w:r>
    </w:p>
    <w:p w14:paraId="23CD7974">
      <w:pPr>
        <w:jc w:val="left"/>
        <w:rPr>
          <w:b/>
          <w:sz w:val="32"/>
          <w:szCs w:val="32"/>
        </w:rPr>
      </w:pPr>
    </w:p>
    <w:p w14:paraId="7A364C40">
      <w:pPr>
        <w:jc w:val="left"/>
        <w:rPr>
          <w:b/>
          <w:sz w:val="32"/>
          <w:szCs w:val="32"/>
        </w:rPr>
      </w:pPr>
    </w:p>
    <w:p w14:paraId="43C7BF94">
      <w:pPr>
        <w:jc w:val="left"/>
        <w:rPr>
          <w:b/>
          <w:sz w:val="32"/>
          <w:szCs w:val="32"/>
        </w:rPr>
      </w:pPr>
    </w:p>
    <w:p w14:paraId="06399685">
      <w:pPr>
        <w:jc w:val="left"/>
        <w:rPr>
          <w:b/>
          <w:sz w:val="32"/>
          <w:szCs w:val="32"/>
        </w:rPr>
      </w:pPr>
    </w:p>
    <w:p w14:paraId="2D5BEADC">
      <w:pPr>
        <w:jc w:val="left"/>
        <w:rPr>
          <w:b/>
          <w:sz w:val="32"/>
          <w:szCs w:val="32"/>
        </w:rPr>
      </w:pPr>
    </w:p>
    <w:p w14:paraId="4DCDBDE0">
      <w:pPr>
        <w:jc w:val="left"/>
        <w:rPr>
          <w:b/>
          <w:sz w:val="32"/>
          <w:szCs w:val="32"/>
        </w:rPr>
      </w:pPr>
      <w:r>
        <w:rPr>
          <w:b/>
          <w:sz w:val="32"/>
          <w:szCs w:val="32"/>
        </w:rPr>
        <w:t>20</w:t>
      </w:r>
      <w:r>
        <w:rPr>
          <w:rFonts w:hint="eastAsia"/>
          <w:b/>
          <w:sz w:val="32"/>
          <w:szCs w:val="32"/>
        </w:rPr>
        <w:t>2</w:t>
      </w:r>
      <w:r>
        <w:rPr>
          <w:rFonts w:hint="eastAsia"/>
          <w:b/>
          <w:sz w:val="32"/>
          <w:szCs w:val="32"/>
          <w:lang w:val="en-US" w:eastAsia="zh-CN"/>
        </w:rPr>
        <w:t>5</w:t>
      </w:r>
      <w:r>
        <w:rPr>
          <w:b/>
          <w:sz w:val="32"/>
          <w:szCs w:val="32"/>
        </w:rPr>
        <w:t>-XX-XX发布                    20</w:t>
      </w:r>
      <w:r>
        <w:rPr>
          <w:rFonts w:hint="eastAsia"/>
          <w:b/>
          <w:sz w:val="32"/>
          <w:szCs w:val="32"/>
        </w:rPr>
        <w:t>2</w:t>
      </w:r>
      <w:r>
        <w:rPr>
          <w:rFonts w:hint="eastAsia"/>
          <w:b/>
          <w:sz w:val="32"/>
          <w:szCs w:val="32"/>
          <w:lang w:val="en-US" w:eastAsia="zh-CN"/>
        </w:rPr>
        <w:t>5</w:t>
      </w:r>
      <w:r>
        <w:rPr>
          <w:b/>
          <w:sz w:val="32"/>
          <w:szCs w:val="32"/>
        </w:rPr>
        <w:t>-XX-XX实施</w:t>
      </w:r>
    </w:p>
    <w:p w14:paraId="5A203A14">
      <w:pPr>
        <w:jc w:val="left"/>
        <w:rPr>
          <w:b/>
          <w:sz w:val="32"/>
          <w:szCs w:val="32"/>
        </w:rPr>
      </w:pPr>
      <w:r>
        <w:rPr>
          <w:b/>
          <w:sz w:val="32"/>
          <w:szCs w:val="32"/>
        </w:rPr>
        <mc:AlternateContent>
          <mc:Choice Requires="wps">
            <w:drawing>
              <wp:anchor distT="0" distB="0" distL="114300" distR="114300" simplePos="0" relativeHeight="251677696" behindDoc="0" locked="0" layoutInCell="1" allowOverlap="1">
                <wp:simplePos x="0" y="0"/>
                <wp:positionH relativeFrom="column">
                  <wp:posOffset>-63500</wp:posOffset>
                </wp:positionH>
                <wp:positionV relativeFrom="paragraph">
                  <wp:posOffset>162560</wp:posOffset>
                </wp:positionV>
                <wp:extent cx="5781675" cy="0"/>
                <wp:effectExtent l="0" t="19050" r="9525" b="19050"/>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38100">
                          <a:solidFill>
                            <a:srgbClr val="000000"/>
                          </a:solidFill>
                          <a:round/>
                        </a:ln>
                        <a:effectLst/>
                      </wps:spPr>
                      <wps:bodyPr/>
                    </wps:wsp>
                  </a:graphicData>
                </a:graphic>
              </wp:anchor>
            </w:drawing>
          </mc:Choice>
          <mc:Fallback>
            <w:pict>
              <v:shape id="_x0000_s1026" o:spid="_x0000_s1026" o:spt="32" type="#_x0000_t32" style="position:absolute;left:0pt;margin-left:-5pt;margin-top:12.8pt;height:0pt;width:455.25pt;z-index:251677696;mso-width-relative:page;mso-height-relative:page;" filled="f" stroked="t" coordsize="21600,21600" o:gfxdata="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nTd+k1QAAAAkBAAAPAAAAAAAAAAEAIAAAACIAAABkcnMvZG93bnJldi54bWxQ&#10;SwECFAAUAAAACACHTuJAUQCsn/oBAADNAwAADgAAAAAAAAABACAAAAAkAQAAZHJzL2Uyb0RvYy54&#10;bWxQSwUGAAAAAAYABgBZAQAAkAUAAAAA&#10;">
                <v:fill on="f" focussize="0,0"/>
                <v:stroke weight="3pt" color="#000000" joinstyle="round"/>
                <v:imagedata o:title=""/>
                <o:lock v:ext="edit" aspectratio="f"/>
              </v:shape>
            </w:pict>
          </mc:Fallback>
        </mc:AlternateContent>
      </w:r>
    </w:p>
    <w:p w14:paraId="566C5C21">
      <w:pPr>
        <w:ind w:firstLine="1606" w:firstLineChars="500"/>
        <w:jc w:val="both"/>
        <w:outlineLvl w:val="0"/>
        <w:rPr>
          <w:b/>
          <w:sz w:val="32"/>
          <w:szCs w:val="32"/>
        </w:rPr>
      </w:pPr>
      <w:bookmarkStart w:id="2" w:name="_Toc31915"/>
      <w:bookmarkStart w:id="3" w:name="_Toc7520"/>
      <w:r>
        <w:rPr>
          <w:b/>
          <w:sz w:val="32"/>
          <w:szCs w:val="32"/>
        </w:rPr>
        <w:t>湖南省住房和城乡建设厅</w:t>
      </w:r>
      <w:bookmarkEnd w:id="2"/>
      <w:bookmarkEnd w:id="3"/>
      <w:r>
        <w:rPr>
          <w:b/>
          <w:sz w:val="32"/>
          <w:szCs w:val="32"/>
        </w:rPr>
        <w:t xml:space="preserve">   </w:t>
      </w:r>
    </w:p>
    <w:p w14:paraId="52A2DCB7">
      <w:pPr>
        <w:jc w:val="center"/>
        <w:outlineLvl w:val="0"/>
        <w:rPr>
          <w:rFonts w:hint="eastAsia" w:ascii="宋体" w:hAnsi="宋体" w:eastAsia="Times New Roman" w:cs="Times New Roman"/>
          <w:b/>
          <w:snapToGrid/>
          <w:sz w:val="32"/>
          <w:szCs w:val="32"/>
          <w:lang w:eastAsia="zh-CN"/>
        </w:rPr>
        <w:sectPr>
          <w:pgSz w:w="11850" w:h="16783"/>
          <w:pgMar w:top="1440" w:right="1800" w:bottom="1440" w:left="1800" w:header="851" w:footer="992" w:gutter="0"/>
          <w:cols w:space="720" w:num="1"/>
          <w:docGrid w:type="lines" w:linePitch="312" w:charSpace="0"/>
        </w:sectPr>
      </w:pPr>
      <w:r>
        <w:rPr>
          <w:rFonts w:hint="eastAsia" w:ascii="宋体" w:hAnsi="宋体" w:eastAsia="Times New Roman" w:cs="Times New Roman"/>
          <w:b/>
          <w:snapToGrid/>
          <w:sz w:val="32"/>
          <w:szCs w:val="32"/>
          <w:lang w:val="en-US" w:eastAsia="zh-CN"/>
        </w:rPr>
        <w:t xml:space="preserve">  </w:t>
      </w:r>
      <w:bookmarkStart w:id="4" w:name="_Toc28893"/>
      <w:bookmarkStart w:id="5" w:name="_Toc4135"/>
      <w:r>
        <w:rPr>
          <w:rFonts w:hint="eastAsia" w:ascii="宋体" w:hAnsi="宋体" w:eastAsia="Times New Roman" w:cs="Times New Roman"/>
          <w:b/>
          <w:snapToGrid/>
          <w:sz w:val="32"/>
          <w:szCs w:val="32"/>
          <w:lang w:eastAsia="zh-CN"/>
        </w:rPr>
        <w:t>湖南省市场监督管理局</w:t>
      </w:r>
      <w:r>
        <w:rPr>
          <w:rFonts w:hint="eastAsia" w:ascii="宋体" w:hAnsi="宋体" w:eastAsia="Times New Roman" w:cs="Times New Roman"/>
          <w:b/>
          <w:snapToGrid/>
          <w:sz w:val="32"/>
          <w:szCs w:val="32"/>
          <w:lang w:val="en-US" w:eastAsia="zh-CN"/>
        </w:rPr>
        <w:t xml:space="preserve">  </w:t>
      </w:r>
      <w:r>
        <w:rPr>
          <w:rFonts w:hint="eastAsia" w:ascii="宋体" w:hAnsi="宋体" w:eastAsia="Times New Roman" w:cs="Times New Roman"/>
          <w:b/>
          <w:snapToGrid/>
          <w:sz w:val="32"/>
          <w:szCs w:val="32"/>
          <w:lang w:eastAsia="zh-CN"/>
        </w:rPr>
        <w:t xml:space="preserve">   联合发布</w:t>
      </w:r>
      <w:bookmarkEnd w:id="4"/>
      <w:bookmarkEnd w:id="5"/>
    </w:p>
    <w:p w14:paraId="40B8CA47">
      <w:pPr>
        <w:jc w:val="center"/>
        <w:outlineLvl w:val="0"/>
        <w:rPr>
          <w:rFonts w:hint="eastAsia" w:ascii="宋体" w:hAnsi="宋体" w:eastAsia="Times New Roman" w:cs="Times New Roman"/>
          <w:b/>
          <w:snapToGrid/>
          <w:sz w:val="32"/>
          <w:szCs w:val="32"/>
          <w:lang w:eastAsia="zh-CN"/>
        </w:rPr>
      </w:pPr>
      <w:bookmarkStart w:id="69" w:name="_GoBack"/>
      <w:bookmarkEnd w:id="69"/>
    </w:p>
    <w:p w14:paraId="0D43E43C">
      <w:pPr>
        <w:jc w:val="center"/>
        <w:outlineLvl w:val="0"/>
        <w:rPr>
          <w:b/>
          <w:sz w:val="32"/>
          <w:szCs w:val="32"/>
        </w:rPr>
      </w:pPr>
      <w:bookmarkStart w:id="6" w:name="_Toc6823"/>
      <w:bookmarkStart w:id="7" w:name="_Toc8294"/>
      <w:r>
        <w:rPr>
          <w:rFonts w:hint="eastAsia"/>
          <w:b/>
          <w:sz w:val="32"/>
          <w:szCs w:val="32"/>
        </w:rPr>
        <w:t>前  言</w:t>
      </w:r>
      <w:bookmarkEnd w:id="6"/>
      <w:bookmarkEnd w:id="7"/>
    </w:p>
    <w:p w14:paraId="7E4B1DF3">
      <w:pPr>
        <w:jc w:val="center"/>
        <w:rPr>
          <w:b/>
          <w:sz w:val="32"/>
          <w:szCs w:val="32"/>
        </w:rPr>
      </w:pPr>
    </w:p>
    <w:p w14:paraId="3FE00B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rPr>
      </w:pPr>
      <w:r>
        <w:rPr>
          <w:rFonts w:hint="eastAsia"/>
          <w:sz w:val="24"/>
          <w:szCs w:val="24"/>
        </w:rPr>
        <w:t>根据湖南省市场监督管理局《关于设备更新和消费品以旧换新行动专项地方标准制修订项目立项计划的通知》（湘市监标函〔2024〕13</w:t>
      </w:r>
      <w:r>
        <w:rPr>
          <w:rFonts w:hint="eastAsia"/>
          <w:sz w:val="24"/>
          <w:szCs w:val="24"/>
          <w:lang w:val="en-US" w:eastAsia="zh-CN"/>
        </w:rPr>
        <w:t>2</w:t>
      </w:r>
      <w:r>
        <w:rPr>
          <w:rFonts w:hint="eastAsia"/>
          <w:sz w:val="24"/>
          <w:szCs w:val="24"/>
        </w:rPr>
        <w:t>号）的要求，标准编制组经广泛调查研究，认真总结实践经验，参考有关国内先进标准，并在广泛征求意见基础上，制定了本标准。</w:t>
      </w:r>
    </w:p>
    <w:p w14:paraId="773C23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bCs/>
          <w:sz w:val="24"/>
          <w:szCs w:val="24"/>
        </w:rPr>
      </w:pPr>
      <w:r>
        <w:rPr>
          <w:rFonts w:hint="eastAsia" w:ascii="宋体" w:hAnsi="宋体"/>
          <w:sz w:val="24"/>
          <w:szCs w:val="24"/>
        </w:rPr>
        <w:t>本标准主要技术内容</w:t>
      </w:r>
      <w:r>
        <w:rPr>
          <w:rFonts w:hint="eastAsia" w:ascii="宋体" w:hAnsi="宋体"/>
          <w:bCs/>
          <w:sz w:val="24"/>
          <w:szCs w:val="24"/>
        </w:rPr>
        <w:t>是：1 总则；2 术语；3 基本规定；4</w:t>
      </w:r>
      <w:r>
        <w:rPr>
          <w:rFonts w:hint="eastAsia" w:ascii="宋体" w:hAnsi="宋体"/>
          <w:bCs/>
          <w:sz w:val="24"/>
          <w:szCs w:val="24"/>
          <w:lang w:val="en-US" w:eastAsia="zh-CN"/>
        </w:rPr>
        <w:t xml:space="preserve"> 评估；5系统与材料</w:t>
      </w:r>
      <w:r>
        <w:rPr>
          <w:rFonts w:hint="eastAsia" w:ascii="宋体" w:hAnsi="宋体"/>
          <w:bCs/>
          <w:sz w:val="24"/>
          <w:szCs w:val="24"/>
          <w:lang w:eastAsia="zh-CN"/>
        </w:rPr>
        <w:t>；</w:t>
      </w:r>
      <w:r>
        <w:rPr>
          <w:rFonts w:hint="eastAsia" w:ascii="宋体" w:hAnsi="宋体"/>
          <w:bCs/>
          <w:sz w:val="24"/>
          <w:szCs w:val="24"/>
          <w:lang w:val="en-US" w:eastAsia="zh-CN"/>
        </w:rPr>
        <w:t>6设计</w:t>
      </w:r>
      <w:r>
        <w:rPr>
          <w:rFonts w:hint="eastAsia" w:ascii="宋体" w:hAnsi="宋体"/>
          <w:bCs/>
          <w:sz w:val="24"/>
          <w:szCs w:val="24"/>
          <w:lang w:eastAsia="zh-CN"/>
        </w:rPr>
        <w:t>；</w:t>
      </w:r>
      <w:r>
        <w:rPr>
          <w:rFonts w:hint="eastAsia" w:ascii="宋体" w:hAnsi="宋体"/>
          <w:bCs/>
          <w:sz w:val="24"/>
          <w:szCs w:val="24"/>
          <w:lang w:val="en-US" w:eastAsia="zh-CN"/>
        </w:rPr>
        <w:t>7施工</w:t>
      </w:r>
      <w:r>
        <w:rPr>
          <w:rFonts w:hint="eastAsia" w:ascii="宋体" w:hAnsi="宋体"/>
          <w:bCs/>
          <w:sz w:val="24"/>
          <w:szCs w:val="24"/>
          <w:lang w:eastAsia="zh-CN"/>
        </w:rPr>
        <w:t>；</w:t>
      </w:r>
      <w:r>
        <w:rPr>
          <w:rFonts w:hint="eastAsia" w:ascii="宋体" w:hAnsi="宋体"/>
          <w:bCs/>
          <w:sz w:val="24"/>
          <w:szCs w:val="24"/>
          <w:lang w:val="en-US" w:eastAsia="zh-CN"/>
        </w:rPr>
        <w:t>8</w:t>
      </w:r>
      <w:r>
        <w:rPr>
          <w:rFonts w:hint="eastAsia" w:ascii="宋体" w:hAnsi="宋体"/>
          <w:bCs/>
          <w:sz w:val="24"/>
          <w:szCs w:val="24"/>
        </w:rPr>
        <w:t xml:space="preserve"> </w:t>
      </w:r>
      <w:r>
        <w:rPr>
          <w:rFonts w:hint="eastAsia" w:ascii="宋体" w:hAnsi="宋体"/>
          <w:bCs/>
          <w:sz w:val="24"/>
          <w:szCs w:val="24"/>
          <w:lang w:val="en-US" w:eastAsia="zh-CN"/>
        </w:rPr>
        <w:t>验收</w:t>
      </w:r>
      <w:r>
        <w:rPr>
          <w:rFonts w:hint="eastAsia" w:ascii="宋体" w:hAnsi="宋体"/>
          <w:bCs/>
          <w:sz w:val="24"/>
          <w:szCs w:val="24"/>
        </w:rPr>
        <w:t>。</w:t>
      </w:r>
    </w:p>
    <w:p w14:paraId="37785F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sz w:val="24"/>
          <w:szCs w:val="24"/>
        </w:rPr>
      </w:pPr>
      <w:r>
        <w:rPr>
          <w:rFonts w:hint="eastAsia" w:ascii="宋体" w:hAnsi="宋体"/>
          <w:bCs/>
          <w:sz w:val="24"/>
          <w:szCs w:val="24"/>
        </w:rPr>
        <w:t>根据住房城乡建设部《工程建设标准涉及专利管理办法》（建办标[2017]3号）文件要求，主编单位声明：本标准不涉及任何专利情况，如在使用过程中发现涉及到企业专利技术请及时与编制组联系。</w:t>
      </w:r>
    </w:p>
    <w:p w14:paraId="4F2A43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sz w:val="24"/>
          <w:szCs w:val="24"/>
        </w:rPr>
      </w:pPr>
      <w:r>
        <w:rPr>
          <w:rFonts w:hint="eastAsia" w:ascii="宋体" w:hAnsi="宋体"/>
          <w:sz w:val="24"/>
          <w:szCs w:val="24"/>
        </w:rPr>
        <w:t>本标准由湖南省住房和城乡建设厅负责管理，由湖南斯多孚节能科技有限公司负责具体技术内容的解释。执行过程中如有意见或建议，请寄送湖南斯多孚节能科技有限公司（地址：湖南省长沙市岳麓区环联路110；邮政编码：</w:t>
      </w:r>
      <w:r>
        <w:rPr>
          <w:rFonts w:hint="eastAsia" w:ascii="宋体" w:hAnsi="宋体"/>
          <w:sz w:val="24"/>
          <w:szCs w:val="24"/>
          <w:lang w:val="en-US" w:eastAsia="zh-CN"/>
        </w:rPr>
        <w:t>410221；</w:t>
      </w:r>
      <w:r>
        <w:rPr>
          <w:rFonts w:hint="eastAsia" w:ascii="宋体" w:hAnsi="宋体" w:eastAsia="宋体" w:cs="宋体"/>
          <w:snapToGrid/>
          <w:sz w:val="24"/>
          <w:szCs w:val="20"/>
          <w:highlight w:val="none"/>
          <w:lang w:eastAsia="zh-CN"/>
        </w:rPr>
        <w:t>电子邮箱：</w:t>
      </w:r>
      <w:r>
        <w:rPr>
          <w:rFonts w:hint="eastAsia" w:ascii="Times New Roman" w:hAnsi="Times New Roman" w:eastAsia="仿宋_GB2312" w:cs="Times New Roman"/>
          <w:sz w:val="24"/>
          <w:szCs w:val="24"/>
          <w:lang w:eastAsia="zh-CN"/>
        </w:rPr>
        <w:t>stlf-hunan@163.com</w:t>
      </w:r>
      <w:r>
        <w:rPr>
          <w:rFonts w:hint="eastAsia" w:ascii="宋体" w:hAnsi="宋体"/>
          <w:sz w:val="24"/>
          <w:szCs w:val="24"/>
        </w:rPr>
        <w:t>）。</w:t>
      </w:r>
    </w:p>
    <w:p w14:paraId="2785F9FC">
      <w:pPr>
        <w:spacing w:line="360" w:lineRule="auto"/>
        <w:ind w:firstLine="480" w:firstLineChars="200"/>
        <w:jc w:val="left"/>
        <w:rPr>
          <w:sz w:val="24"/>
          <w:szCs w:val="24"/>
        </w:rPr>
      </w:pPr>
      <w:r>
        <w:rPr>
          <w:sz w:val="24"/>
          <w:szCs w:val="24"/>
        </w:rPr>
        <w:t>本标准主编单位：</w:t>
      </w:r>
      <w:r>
        <w:rPr>
          <w:rFonts w:hint="eastAsia" w:ascii="宋体" w:hAnsi="宋体"/>
          <w:sz w:val="24"/>
          <w:szCs w:val="24"/>
        </w:rPr>
        <w:t>湖南斯多孚节能科技有限公司</w:t>
      </w:r>
    </w:p>
    <w:p w14:paraId="53751FF0">
      <w:pPr>
        <w:spacing w:line="360" w:lineRule="auto"/>
        <w:ind w:firstLine="2400" w:firstLineChars="1000"/>
        <w:jc w:val="left"/>
        <w:outlineLvl w:val="0"/>
        <w:rPr>
          <w:rFonts w:hint="default" w:eastAsia="宋体"/>
          <w:sz w:val="24"/>
          <w:szCs w:val="24"/>
          <w:lang w:val="en-US" w:eastAsia="zh-CN"/>
        </w:rPr>
      </w:pPr>
      <w:bookmarkStart w:id="8" w:name="_Toc10374"/>
      <w:bookmarkStart w:id="9" w:name="_Toc13810"/>
      <w:r>
        <w:rPr>
          <w:sz w:val="24"/>
          <w:szCs w:val="24"/>
        </w:rPr>
        <w:t>湖南</w:t>
      </w:r>
      <w:r>
        <w:rPr>
          <w:rFonts w:hint="eastAsia"/>
          <w:sz w:val="24"/>
          <w:szCs w:val="24"/>
          <w:lang w:val="en-US" w:eastAsia="zh-CN"/>
        </w:rPr>
        <w:t>省建筑科学研究院有限责任公司</w:t>
      </w:r>
      <w:bookmarkEnd w:id="8"/>
      <w:bookmarkEnd w:id="9"/>
    </w:p>
    <w:p w14:paraId="7694B368">
      <w:pPr>
        <w:spacing w:line="360" w:lineRule="auto"/>
        <w:ind w:firstLine="480" w:firstLineChars="200"/>
        <w:jc w:val="left"/>
        <w:rPr>
          <w:rFonts w:hint="eastAsia" w:ascii="Times New Roman" w:hAnsi="Times New Roman" w:eastAsia="宋体" w:cs="Times New Roman"/>
          <w:sz w:val="24"/>
          <w:szCs w:val="24"/>
          <w:lang w:val="en-US" w:eastAsia="zh-CN"/>
        </w:rPr>
      </w:pPr>
      <w:r>
        <w:rPr>
          <w:rFonts w:hint="eastAsia"/>
          <w:sz w:val="24"/>
          <w:szCs w:val="24"/>
        </w:rPr>
        <w:t>本标准参编单位：</w:t>
      </w:r>
      <w:r>
        <w:rPr>
          <w:rFonts w:hint="eastAsia" w:ascii="Times New Roman" w:hAnsi="Times New Roman" w:eastAsia="宋体" w:cs="Times New Roman"/>
          <w:sz w:val="24"/>
          <w:szCs w:val="24"/>
          <w:lang w:val="en-US" w:eastAsia="zh-CN"/>
        </w:rPr>
        <w:t>湖南湘江新区建设工程质量安全监督站</w:t>
      </w:r>
    </w:p>
    <w:p w14:paraId="0FD5CB63">
      <w:pPr>
        <w:spacing w:line="360" w:lineRule="auto"/>
        <w:ind w:firstLine="2400" w:firstLineChars="1000"/>
        <w:jc w:val="left"/>
        <w:outlineLvl w:val="0"/>
        <w:rPr>
          <w:rFonts w:hint="eastAsia" w:ascii="Times New Roman" w:hAnsi="Times New Roman" w:eastAsia="宋体" w:cs="Times New Roman"/>
          <w:sz w:val="24"/>
          <w:szCs w:val="24"/>
          <w:lang w:val="en-US" w:eastAsia="zh-CN"/>
        </w:rPr>
      </w:pPr>
      <w:bookmarkStart w:id="10" w:name="_Toc23235"/>
      <w:bookmarkStart w:id="11" w:name="_Toc18889"/>
      <w:r>
        <w:rPr>
          <w:rFonts w:hint="eastAsia" w:ascii="Times New Roman" w:hAnsi="Times New Roman" w:eastAsia="宋体" w:cs="Times New Roman"/>
          <w:sz w:val="24"/>
          <w:szCs w:val="24"/>
          <w:lang w:val="en-US" w:eastAsia="zh-CN"/>
        </w:rPr>
        <w:t>长沙市建设工程质量安全监督站</w:t>
      </w:r>
      <w:bookmarkEnd w:id="10"/>
      <w:bookmarkEnd w:id="11"/>
    </w:p>
    <w:p w14:paraId="6BEE3D52">
      <w:pPr>
        <w:spacing w:line="360" w:lineRule="auto"/>
        <w:ind w:firstLine="2400" w:firstLineChars="1000"/>
        <w:jc w:val="left"/>
        <w:outlineLvl w:val="0"/>
        <w:rPr>
          <w:rFonts w:hint="eastAsia" w:ascii="Times New Roman" w:hAnsi="Times New Roman" w:eastAsia="宋体" w:cs="Times New Roman"/>
          <w:sz w:val="24"/>
          <w:szCs w:val="24"/>
          <w:lang w:val="en-US" w:eastAsia="zh-CN"/>
        </w:rPr>
      </w:pPr>
      <w:bookmarkStart w:id="12" w:name="_Toc17570"/>
      <w:bookmarkStart w:id="13" w:name="_Toc3597"/>
      <w:r>
        <w:rPr>
          <w:rFonts w:hint="eastAsia" w:ascii="Times New Roman" w:hAnsi="Times New Roman" w:eastAsia="宋体" w:cs="Times New Roman"/>
          <w:sz w:val="24"/>
          <w:szCs w:val="24"/>
          <w:lang w:val="en-US" w:eastAsia="zh-CN"/>
        </w:rPr>
        <w:t>中铁五局集团第一工程有限责任公司</w:t>
      </w:r>
      <w:bookmarkEnd w:id="12"/>
      <w:bookmarkEnd w:id="13"/>
    </w:p>
    <w:p w14:paraId="6A26292F">
      <w:pPr>
        <w:spacing w:line="360" w:lineRule="auto"/>
        <w:ind w:firstLine="2400" w:firstLineChars="1000"/>
        <w:jc w:val="left"/>
        <w:outlineLvl w:val="0"/>
        <w:rPr>
          <w:rFonts w:hint="eastAsia" w:ascii="Times New Roman" w:hAnsi="Times New Roman" w:eastAsia="宋体" w:cs="Times New Roman"/>
          <w:sz w:val="24"/>
          <w:szCs w:val="24"/>
          <w:lang w:val="en-US" w:eastAsia="zh-CN"/>
        </w:rPr>
      </w:pPr>
      <w:bookmarkStart w:id="14" w:name="_Toc28438"/>
      <w:bookmarkStart w:id="15" w:name="_Toc9197"/>
      <w:r>
        <w:rPr>
          <w:rFonts w:hint="eastAsia" w:ascii="Times New Roman" w:hAnsi="Times New Roman" w:eastAsia="宋体" w:cs="Times New Roman"/>
          <w:sz w:val="24"/>
          <w:szCs w:val="24"/>
          <w:lang w:val="en-US" w:eastAsia="zh-CN"/>
        </w:rPr>
        <w:t>湖南斯多孚建筑工程有限公司</w:t>
      </w:r>
      <w:bookmarkEnd w:id="14"/>
      <w:bookmarkEnd w:id="15"/>
    </w:p>
    <w:p w14:paraId="3EC3BA1F">
      <w:pPr>
        <w:spacing w:line="360" w:lineRule="auto"/>
        <w:ind w:firstLine="2400" w:firstLineChars="1000"/>
        <w:jc w:val="left"/>
        <w:outlineLvl w:val="0"/>
        <w:rPr>
          <w:rFonts w:hint="eastAsia" w:ascii="Times New Roman" w:hAnsi="Times New Roman" w:eastAsia="宋体" w:cs="Times New Roman"/>
          <w:sz w:val="24"/>
          <w:szCs w:val="24"/>
          <w:lang w:val="en-US" w:eastAsia="zh-CN"/>
        </w:rPr>
      </w:pPr>
      <w:bookmarkStart w:id="16" w:name="_Toc31472"/>
      <w:bookmarkStart w:id="17" w:name="_Toc4933"/>
      <w:r>
        <w:rPr>
          <w:rFonts w:hint="eastAsia" w:ascii="Times New Roman" w:hAnsi="Times New Roman" w:eastAsia="宋体" w:cs="Times New Roman"/>
          <w:sz w:val="24"/>
          <w:szCs w:val="24"/>
          <w:lang w:val="en-US" w:eastAsia="zh-CN"/>
        </w:rPr>
        <w:t>深圳市华阳国际工程设计股份有限公司长沙分公司</w:t>
      </w:r>
      <w:bookmarkEnd w:id="16"/>
      <w:bookmarkEnd w:id="17"/>
    </w:p>
    <w:p w14:paraId="2057BB3D">
      <w:pPr>
        <w:spacing w:line="360" w:lineRule="auto"/>
        <w:ind w:firstLine="2400" w:firstLineChars="1000"/>
        <w:jc w:val="left"/>
        <w:outlineLvl w:val="0"/>
        <w:rPr>
          <w:rFonts w:hint="eastAsia" w:ascii="Times New Roman" w:hAnsi="Times New Roman" w:eastAsia="宋体" w:cs="Times New Roman"/>
          <w:sz w:val="24"/>
          <w:szCs w:val="24"/>
          <w:lang w:val="en-US" w:eastAsia="zh-CN"/>
        </w:rPr>
      </w:pPr>
      <w:bookmarkStart w:id="18" w:name="_Toc24882"/>
      <w:bookmarkStart w:id="19" w:name="_Toc12743"/>
      <w:r>
        <w:rPr>
          <w:rFonts w:hint="eastAsia" w:ascii="Times New Roman" w:hAnsi="Times New Roman" w:eastAsia="宋体" w:cs="Times New Roman"/>
          <w:sz w:val="24"/>
          <w:szCs w:val="24"/>
          <w:lang w:val="en-US" w:eastAsia="zh-CN"/>
        </w:rPr>
        <w:t>湖南省建设工程质量检测中心有限责任公司</w:t>
      </w:r>
      <w:bookmarkEnd w:id="18"/>
      <w:bookmarkEnd w:id="19"/>
    </w:p>
    <w:p w14:paraId="764D726C">
      <w:pPr>
        <w:spacing w:line="360" w:lineRule="auto"/>
        <w:ind w:firstLine="2400" w:firstLineChars="1000"/>
        <w:jc w:val="left"/>
        <w:outlineLvl w:val="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常德市建设工程质量安全监督站</w:t>
      </w:r>
    </w:p>
    <w:p w14:paraId="28CF6916">
      <w:pPr>
        <w:spacing w:line="360" w:lineRule="auto"/>
        <w:ind w:firstLine="2400" w:firstLineChars="1000"/>
        <w:jc w:val="left"/>
        <w:outlineLvl w:val="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中铁城建集团有限公司</w:t>
      </w:r>
    </w:p>
    <w:p w14:paraId="1DD345FA">
      <w:pPr>
        <w:spacing w:line="360" w:lineRule="auto"/>
        <w:ind w:firstLine="2400" w:firstLineChars="1000"/>
        <w:jc w:val="left"/>
        <w:outlineLvl w:val="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中铁城建集团建筑科技有限公司</w:t>
      </w:r>
    </w:p>
    <w:p w14:paraId="4E30336F">
      <w:pPr>
        <w:spacing w:line="360" w:lineRule="auto"/>
        <w:ind w:firstLine="480" w:firstLineChars="200"/>
        <w:jc w:val="left"/>
        <w:rPr>
          <w:rFonts w:hint="eastAsia"/>
          <w:sz w:val="24"/>
          <w:szCs w:val="24"/>
        </w:rPr>
      </w:pPr>
      <w:r>
        <w:rPr>
          <w:rFonts w:hint="eastAsia"/>
          <w:sz w:val="24"/>
          <w:szCs w:val="24"/>
        </w:rPr>
        <w:t>本标准主要起草人：彭琳娜</w:t>
      </w:r>
      <w:r>
        <w:rPr>
          <w:rFonts w:hint="eastAsia"/>
          <w:sz w:val="24"/>
          <w:szCs w:val="24"/>
          <w:lang w:val="en-US" w:eastAsia="zh-CN"/>
        </w:rPr>
        <w:t xml:space="preserve"> </w:t>
      </w:r>
      <w:r>
        <w:rPr>
          <w:rFonts w:hint="eastAsia"/>
          <w:sz w:val="24"/>
          <w:szCs w:val="24"/>
        </w:rPr>
        <w:t>陈</w:t>
      </w:r>
      <w:r>
        <w:rPr>
          <w:rFonts w:hint="eastAsia"/>
          <w:sz w:val="24"/>
          <w:szCs w:val="24"/>
          <w:lang w:val="en-US" w:eastAsia="zh-CN"/>
        </w:rPr>
        <w:t xml:space="preserve">  </w:t>
      </w:r>
      <w:r>
        <w:rPr>
          <w:rFonts w:hint="eastAsia"/>
          <w:sz w:val="24"/>
          <w:szCs w:val="24"/>
        </w:rPr>
        <w:t>新</w:t>
      </w:r>
      <w:r>
        <w:rPr>
          <w:rFonts w:hint="eastAsia"/>
          <w:sz w:val="24"/>
          <w:szCs w:val="24"/>
          <w:lang w:val="en-US" w:eastAsia="zh-CN"/>
        </w:rPr>
        <w:t xml:space="preserve"> </w:t>
      </w:r>
      <w:r>
        <w:rPr>
          <w:rFonts w:hint="eastAsia"/>
          <w:sz w:val="24"/>
          <w:szCs w:val="24"/>
        </w:rPr>
        <w:t>谢</w:t>
      </w:r>
      <w:r>
        <w:rPr>
          <w:rFonts w:hint="eastAsia"/>
          <w:sz w:val="24"/>
          <w:szCs w:val="24"/>
          <w:lang w:val="en-US" w:eastAsia="zh-CN"/>
        </w:rPr>
        <w:t xml:space="preserve">  </w:t>
      </w:r>
      <w:r>
        <w:rPr>
          <w:rFonts w:hint="eastAsia"/>
          <w:sz w:val="24"/>
          <w:szCs w:val="24"/>
        </w:rPr>
        <w:t>丹</w:t>
      </w:r>
      <w:r>
        <w:rPr>
          <w:rFonts w:hint="eastAsia"/>
          <w:sz w:val="24"/>
          <w:szCs w:val="24"/>
          <w:lang w:val="en-US" w:eastAsia="zh-CN"/>
        </w:rPr>
        <w:t xml:space="preserve"> </w:t>
      </w:r>
      <w:r>
        <w:rPr>
          <w:rFonts w:hint="eastAsia"/>
          <w:sz w:val="24"/>
          <w:szCs w:val="24"/>
        </w:rPr>
        <w:t>陈</w:t>
      </w:r>
      <w:r>
        <w:rPr>
          <w:rFonts w:hint="eastAsia"/>
          <w:sz w:val="24"/>
          <w:szCs w:val="24"/>
          <w:lang w:val="en-US" w:eastAsia="zh-CN"/>
        </w:rPr>
        <w:t xml:space="preserve">  </w:t>
      </w:r>
      <w:r>
        <w:rPr>
          <w:rFonts w:hint="eastAsia"/>
          <w:sz w:val="24"/>
          <w:szCs w:val="24"/>
        </w:rPr>
        <w:t>平</w:t>
      </w:r>
      <w:r>
        <w:rPr>
          <w:rFonts w:hint="eastAsia"/>
          <w:sz w:val="24"/>
          <w:szCs w:val="24"/>
          <w:lang w:val="en-US" w:eastAsia="zh-CN"/>
        </w:rPr>
        <w:t xml:space="preserve"> 唐向东</w:t>
      </w:r>
    </w:p>
    <w:p w14:paraId="67A52A3B">
      <w:pPr>
        <w:spacing w:line="360" w:lineRule="auto"/>
        <w:ind w:firstLine="2640" w:firstLineChars="1100"/>
        <w:jc w:val="left"/>
        <w:rPr>
          <w:rFonts w:hint="eastAsia"/>
          <w:sz w:val="24"/>
          <w:szCs w:val="24"/>
          <w:lang w:val="en-US" w:eastAsia="zh-CN"/>
        </w:rPr>
      </w:pPr>
      <w:r>
        <w:rPr>
          <w:rFonts w:hint="eastAsia"/>
          <w:sz w:val="24"/>
          <w:szCs w:val="24"/>
        </w:rPr>
        <w:t>任</w:t>
      </w:r>
      <w:r>
        <w:rPr>
          <w:rFonts w:hint="eastAsia"/>
          <w:sz w:val="24"/>
          <w:szCs w:val="24"/>
          <w:lang w:val="en-US" w:eastAsia="zh-CN"/>
        </w:rPr>
        <w:t xml:space="preserve">  </w:t>
      </w:r>
      <w:r>
        <w:rPr>
          <w:rFonts w:hint="eastAsia"/>
          <w:sz w:val="24"/>
          <w:szCs w:val="24"/>
        </w:rPr>
        <w:t>娟</w:t>
      </w:r>
      <w:r>
        <w:rPr>
          <w:rFonts w:hint="eastAsia"/>
          <w:sz w:val="24"/>
          <w:szCs w:val="24"/>
          <w:lang w:val="en-US" w:eastAsia="zh-CN"/>
        </w:rPr>
        <w:t xml:space="preserve"> </w:t>
      </w:r>
      <w:r>
        <w:rPr>
          <w:rFonts w:hint="eastAsia"/>
          <w:sz w:val="24"/>
          <w:szCs w:val="24"/>
        </w:rPr>
        <w:t>谭</w:t>
      </w:r>
      <w:r>
        <w:rPr>
          <w:rFonts w:hint="eastAsia"/>
          <w:sz w:val="24"/>
          <w:szCs w:val="24"/>
          <w:lang w:val="en-US" w:eastAsia="zh-CN"/>
        </w:rPr>
        <w:t xml:space="preserve">  </w:t>
      </w:r>
      <w:r>
        <w:rPr>
          <w:rFonts w:hint="eastAsia"/>
          <w:sz w:val="24"/>
          <w:szCs w:val="24"/>
        </w:rPr>
        <w:t>伟</w:t>
      </w:r>
      <w:r>
        <w:rPr>
          <w:rFonts w:hint="eastAsia"/>
          <w:sz w:val="24"/>
          <w:szCs w:val="24"/>
          <w:lang w:val="en-US" w:eastAsia="zh-CN"/>
        </w:rPr>
        <w:t xml:space="preserve"> </w:t>
      </w:r>
      <w:r>
        <w:rPr>
          <w:rFonts w:hint="eastAsia"/>
          <w:sz w:val="24"/>
          <w:szCs w:val="24"/>
        </w:rPr>
        <w:t>谢训芳</w:t>
      </w:r>
      <w:r>
        <w:rPr>
          <w:rFonts w:hint="eastAsia"/>
          <w:sz w:val="24"/>
          <w:szCs w:val="24"/>
          <w:lang w:val="en-US" w:eastAsia="zh-CN"/>
        </w:rPr>
        <w:t xml:space="preserve"> </w:t>
      </w:r>
      <w:r>
        <w:rPr>
          <w:rFonts w:hint="eastAsia"/>
          <w:sz w:val="24"/>
          <w:szCs w:val="24"/>
        </w:rPr>
        <w:t>林济星</w:t>
      </w:r>
      <w:r>
        <w:rPr>
          <w:rFonts w:hint="eastAsia"/>
          <w:sz w:val="24"/>
          <w:szCs w:val="24"/>
          <w:lang w:val="en-US" w:eastAsia="zh-CN"/>
        </w:rPr>
        <w:t xml:space="preserve"> </w:t>
      </w:r>
      <w:r>
        <w:rPr>
          <w:rFonts w:hint="eastAsia"/>
          <w:sz w:val="24"/>
          <w:szCs w:val="24"/>
        </w:rPr>
        <w:t>张义长</w:t>
      </w:r>
      <w:r>
        <w:rPr>
          <w:rFonts w:hint="eastAsia"/>
          <w:sz w:val="24"/>
          <w:szCs w:val="24"/>
          <w:lang w:val="en-US" w:eastAsia="zh-CN"/>
        </w:rPr>
        <w:t xml:space="preserve"> </w:t>
      </w:r>
    </w:p>
    <w:p w14:paraId="1757E630">
      <w:pPr>
        <w:spacing w:line="360" w:lineRule="auto"/>
        <w:ind w:firstLine="2640" w:firstLineChars="1100"/>
        <w:jc w:val="left"/>
        <w:rPr>
          <w:rFonts w:hint="eastAsia"/>
          <w:sz w:val="24"/>
          <w:szCs w:val="24"/>
          <w:lang w:val="en-US" w:eastAsia="zh-CN"/>
        </w:rPr>
      </w:pPr>
      <w:r>
        <w:rPr>
          <w:rFonts w:hint="eastAsia"/>
          <w:sz w:val="24"/>
          <w:szCs w:val="24"/>
        </w:rPr>
        <w:t>颜</w:t>
      </w:r>
      <w:r>
        <w:rPr>
          <w:rFonts w:hint="eastAsia"/>
          <w:sz w:val="24"/>
          <w:szCs w:val="24"/>
          <w:lang w:val="en-US" w:eastAsia="zh-CN"/>
        </w:rPr>
        <w:t xml:space="preserve">  </w:t>
      </w:r>
      <w:r>
        <w:rPr>
          <w:rFonts w:hint="eastAsia"/>
          <w:sz w:val="24"/>
          <w:szCs w:val="24"/>
        </w:rPr>
        <w:t>佩</w:t>
      </w:r>
      <w:r>
        <w:rPr>
          <w:rFonts w:hint="eastAsia"/>
          <w:sz w:val="24"/>
          <w:szCs w:val="24"/>
          <w:lang w:val="en-US" w:eastAsia="zh-CN"/>
        </w:rPr>
        <w:t xml:space="preserve"> </w:t>
      </w:r>
      <w:r>
        <w:rPr>
          <w:rFonts w:hint="eastAsia"/>
          <w:sz w:val="24"/>
          <w:szCs w:val="24"/>
        </w:rPr>
        <w:t>黄</w:t>
      </w:r>
      <w:r>
        <w:rPr>
          <w:rFonts w:hint="eastAsia"/>
          <w:sz w:val="24"/>
          <w:szCs w:val="24"/>
          <w:lang w:val="en-US" w:eastAsia="zh-CN"/>
        </w:rPr>
        <w:t xml:space="preserve"> </w:t>
      </w:r>
      <w:r>
        <w:rPr>
          <w:rFonts w:hint="eastAsia"/>
          <w:sz w:val="24"/>
          <w:szCs w:val="24"/>
        </w:rPr>
        <w:t xml:space="preserve"> 苛</w:t>
      </w:r>
      <w:r>
        <w:rPr>
          <w:rFonts w:hint="eastAsia"/>
          <w:sz w:val="24"/>
          <w:szCs w:val="24"/>
          <w:lang w:val="en-US" w:eastAsia="zh-CN"/>
        </w:rPr>
        <w:t xml:space="preserve"> </w:t>
      </w:r>
      <w:r>
        <w:rPr>
          <w:rFonts w:hint="eastAsia"/>
          <w:sz w:val="24"/>
          <w:szCs w:val="24"/>
        </w:rPr>
        <w:t>胡明文</w:t>
      </w:r>
      <w:r>
        <w:rPr>
          <w:rFonts w:hint="eastAsia"/>
          <w:sz w:val="24"/>
          <w:szCs w:val="24"/>
          <w:lang w:val="en-US" w:eastAsia="zh-CN"/>
        </w:rPr>
        <w:t xml:space="preserve"> </w:t>
      </w:r>
      <w:r>
        <w:rPr>
          <w:rFonts w:hint="eastAsia"/>
          <w:sz w:val="24"/>
          <w:szCs w:val="24"/>
          <w:lang w:eastAsia="zh-CN"/>
        </w:rPr>
        <w:t>王</w:t>
      </w:r>
      <w:r>
        <w:rPr>
          <w:rFonts w:hint="eastAsia"/>
          <w:sz w:val="24"/>
          <w:szCs w:val="24"/>
          <w:lang w:val="en-US" w:eastAsia="zh-CN"/>
        </w:rPr>
        <w:t xml:space="preserve"> </w:t>
      </w:r>
      <w:r>
        <w:rPr>
          <w:rFonts w:hint="eastAsia"/>
          <w:sz w:val="24"/>
          <w:szCs w:val="24"/>
          <w:lang w:eastAsia="zh-CN"/>
        </w:rPr>
        <w:t>维</w:t>
      </w:r>
      <w:r>
        <w:rPr>
          <w:rFonts w:hint="eastAsia"/>
          <w:sz w:val="24"/>
          <w:szCs w:val="24"/>
          <w:lang w:val="en-US" w:eastAsia="zh-CN"/>
        </w:rPr>
        <w:t xml:space="preserve">  </w:t>
      </w:r>
      <w:r>
        <w:rPr>
          <w:rFonts w:hint="eastAsia"/>
          <w:sz w:val="24"/>
          <w:szCs w:val="24"/>
        </w:rPr>
        <w:t>杨</w:t>
      </w:r>
      <w:r>
        <w:rPr>
          <w:rFonts w:hint="eastAsia"/>
          <w:sz w:val="24"/>
          <w:szCs w:val="24"/>
          <w:lang w:val="en-US" w:eastAsia="zh-CN"/>
        </w:rPr>
        <w:t xml:space="preserve">  </w:t>
      </w:r>
      <w:r>
        <w:rPr>
          <w:rFonts w:hint="eastAsia"/>
          <w:sz w:val="24"/>
          <w:szCs w:val="24"/>
        </w:rPr>
        <w:t>波</w:t>
      </w:r>
      <w:r>
        <w:rPr>
          <w:rFonts w:hint="eastAsia"/>
          <w:sz w:val="24"/>
          <w:szCs w:val="24"/>
          <w:lang w:val="en-US" w:eastAsia="zh-CN"/>
        </w:rPr>
        <w:t xml:space="preserve"> </w:t>
      </w:r>
    </w:p>
    <w:p w14:paraId="2D366CD8">
      <w:pPr>
        <w:spacing w:line="360" w:lineRule="auto"/>
        <w:ind w:firstLine="2640" w:firstLineChars="1100"/>
        <w:jc w:val="left"/>
        <w:rPr>
          <w:sz w:val="24"/>
          <w:szCs w:val="24"/>
        </w:rPr>
      </w:pPr>
      <w:r>
        <w:rPr>
          <w:rFonts w:hint="eastAsia"/>
          <w:sz w:val="24"/>
          <w:szCs w:val="24"/>
        </w:rPr>
        <w:t>尹志强</w:t>
      </w:r>
      <w:r>
        <w:rPr>
          <w:rFonts w:hint="eastAsia"/>
          <w:sz w:val="24"/>
          <w:szCs w:val="24"/>
          <w:lang w:val="en-US" w:eastAsia="zh-CN"/>
        </w:rPr>
        <w:t xml:space="preserve"> </w:t>
      </w:r>
      <w:r>
        <w:rPr>
          <w:rFonts w:hint="eastAsia"/>
          <w:sz w:val="24"/>
          <w:szCs w:val="24"/>
        </w:rPr>
        <w:t>罗志宇</w:t>
      </w:r>
      <w:r>
        <w:rPr>
          <w:rFonts w:hint="eastAsia"/>
          <w:sz w:val="24"/>
          <w:szCs w:val="24"/>
          <w:lang w:val="en-US" w:eastAsia="zh-CN"/>
        </w:rPr>
        <w:t xml:space="preserve"> </w:t>
      </w:r>
      <w:r>
        <w:rPr>
          <w:rFonts w:hint="eastAsia"/>
          <w:sz w:val="24"/>
          <w:szCs w:val="24"/>
        </w:rPr>
        <w:t>邱远光</w:t>
      </w:r>
      <w:r>
        <w:rPr>
          <w:rFonts w:hint="eastAsia"/>
          <w:sz w:val="24"/>
          <w:szCs w:val="24"/>
          <w:lang w:val="en-US" w:eastAsia="zh-CN"/>
        </w:rPr>
        <w:t xml:space="preserve"> </w:t>
      </w:r>
      <w:r>
        <w:rPr>
          <w:rFonts w:hint="eastAsia"/>
          <w:sz w:val="24"/>
          <w:szCs w:val="24"/>
        </w:rPr>
        <w:t>胡</w:t>
      </w:r>
      <w:r>
        <w:rPr>
          <w:rFonts w:hint="eastAsia"/>
          <w:sz w:val="24"/>
          <w:szCs w:val="24"/>
          <w:lang w:val="en-US" w:eastAsia="zh-CN"/>
        </w:rPr>
        <w:t xml:space="preserve">  </w:t>
      </w:r>
      <w:r>
        <w:rPr>
          <w:rFonts w:hint="eastAsia"/>
          <w:sz w:val="24"/>
          <w:szCs w:val="24"/>
        </w:rPr>
        <w:t>姣</w:t>
      </w:r>
      <w:r>
        <w:rPr>
          <w:rFonts w:hint="eastAsia"/>
          <w:sz w:val="24"/>
          <w:szCs w:val="24"/>
          <w:lang w:val="en-US" w:eastAsia="zh-CN"/>
        </w:rPr>
        <w:t xml:space="preserve"> </w:t>
      </w:r>
      <w:r>
        <w:rPr>
          <w:rFonts w:hint="eastAsia"/>
          <w:sz w:val="24"/>
          <w:szCs w:val="24"/>
        </w:rPr>
        <w:t>刘德辉</w:t>
      </w:r>
    </w:p>
    <w:p w14:paraId="0B785619">
      <w:pPr>
        <w:ind w:firstLine="480" w:firstLineChars="200"/>
        <w:jc w:val="left"/>
        <w:rPr>
          <w:sz w:val="24"/>
          <w:szCs w:val="24"/>
        </w:rPr>
      </w:pPr>
    </w:p>
    <w:p w14:paraId="49A53263">
      <w:pPr>
        <w:rPr>
          <w:b/>
          <w:sz w:val="32"/>
          <w:szCs w:val="32"/>
        </w:rPr>
        <w:sectPr>
          <w:pgSz w:w="11850" w:h="16783"/>
          <w:pgMar w:top="1440" w:right="1800" w:bottom="1440" w:left="1800" w:header="851" w:footer="992" w:gutter="0"/>
          <w:cols w:space="720" w:num="1"/>
          <w:docGrid w:type="lines" w:linePitch="312" w:charSpace="0"/>
        </w:sectPr>
      </w:pPr>
    </w:p>
    <w:p w14:paraId="4B727388">
      <w:pPr>
        <w:jc w:val="center"/>
        <w:rPr>
          <w:rFonts w:hint="eastAsia"/>
          <w:sz w:val="32"/>
          <w:szCs w:val="32"/>
          <w:lang w:val="en-US" w:eastAsia="zh-CN"/>
        </w:rPr>
      </w:pPr>
      <w:r>
        <w:rPr>
          <w:rFonts w:hint="eastAsia"/>
          <w:sz w:val="32"/>
          <w:szCs w:val="32"/>
          <w:lang w:val="en-US" w:eastAsia="zh-CN"/>
        </w:rPr>
        <w:t>目次</w:t>
      </w:r>
    </w:p>
    <w:p w14:paraId="7C8ADA4B">
      <w:pPr>
        <w:pStyle w:val="8"/>
        <w:tabs>
          <w:tab w:val="right" w:leader="dot" w:pos="8250"/>
        </w:tabs>
      </w:pPr>
      <w:r>
        <w:rPr>
          <w:rFonts w:hint="eastAsia"/>
          <w:lang w:val="en-US" w:eastAsia="zh-CN"/>
        </w:rPr>
        <w:fldChar w:fldCharType="begin"/>
      </w:r>
      <w:r>
        <w:rPr>
          <w:rFonts w:hint="eastAsia"/>
          <w:lang w:val="en-US" w:eastAsia="zh-CN"/>
        </w:rPr>
        <w:instrText xml:space="preserve">TOC \o "1-3" \h \u </w:instrText>
      </w:r>
      <w:r>
        <w:rPr>
          <w:rFonts w:hint="eastAsia"/>
          <w:lang w:val="en-US" w:eastAsia="zh-CN"/>
        </w:rPr>
        <w:fldChar w:fldCharType="separate"/>
      </w:r>
    </w:p>
    <w:p w14:paraId="4AE15C89">
      <w:pPr>
        <w:pStyle w:val="8"/>
        <w:tabs>
          <w:tab w:val="right" w:leader="dot" w:pos="8250"/>
        </w:tabs>
      </w:pPr>
      <w:r>
        <w:rPr>
          <w:rFonts w:hint="eastAsia"/>
          <w:lang w:val="en-US" w:eastAsia="zh-CN"/>
        </w:rPr>
        <w:fldChar w:fldCharType="begin"/>
      </w:r>
      <w:r>
        <w:rPr>
          <w:rFonts w:hint="eastAsia"/>
          <w:lang w:val="en-US" w:eastAsia="zh-CN"/>
        </w:rPr>
        <w:instrText xml:space="preserve"> HYPERLINK \l _Toc3312 </w:instrText>
      </w:r>
      <w:r>
        <w:rPr>
          <w:rFonts w:hint="eastAsia"/>
          <w:lang w:val="en-US" w:eastAsia="zh-CN"/>
        </w:rPr>
        <w:fldChar w:fldCharType="separate"/>
      </w:r>
      <w:r>
        <w:rPr>
          <w:rFonts w:hint="eastAsia"/>
          <w:lang w:val="en-US" w:eastAsia="zh-CN"/>
        </w:rPr>
        <w:t>1 总则</w:t>
      </w:r>
      <w:r>
        <w:tab/>
      </w:r>
      <w:r>
        <w:fldChar w:fldCharType="begin"/>
      </w:r>
      <w:r>
        <w:instrText xml:space="preserve"> PAGEREF _Toc3312 \h </w:instrText>
      </w:r>
      <w:r>
        <w:fldChar w:fldCharType="separate"/>
      </w:r>
      <w:r>
        <w:t>1</w:t>
      </w:r>
      <w:r>
        <w:fldChar w:fldCharType="end"/>
      </w:r>
      <w:r>
        <w:rPr>
          <w:rFonts w:hint="eastAsia"/>
          <w:lang w:val="en-US" w:eastAsia="zh-CN"/>
        </w:rPr>
        <w:fldChar w:fldCharType="end"/>
      </w:r>
    </w:p>
    <w:p w14:paraId="7D45188C">
      <w:pPr>
        <w:pStyle w:val="8"/>
        <w:tabs>
          <w:tab w:val="right" w:leader="dot" w:pos="8250"/>
        </w:tabs>
      </w:pPr>
      <w:r>
        <w:rPr>
          <w:rFonts w:hint="eastAsia"/>
          <w:lang w:val="en-US" w:eastAsia="zh-CN"/>
        </w:rPr>
        <w:fldChar w:fldCharType="begin"/>
      </w:r>
      <w:r>
        <w:rPr>
          <w:rFonts w:hint="eastAsia"/>
          <w:lang w:val="en-US" w:eastAsia="zh-CN"/>
        </w:rPr>
        <w:instrText xml:space="preserve"> HYPERLINK \l _Toc14934 </w:instrText>
      </w:r>
      <w:r>
        <w:rPr>
          <w:rFonts w:hint="eastAsia"/>
          <w:lang w:val="en-US" w:eastAsia="zh-CN"/>
        </w:rPr>
        <w:fldChar w:fldCharType="separate"/>
      </w:r>
      <w:r>
        <w:rPr>
          <w:rFonts w:hint="eastAsia" w:eastAsia="宋体"/>
          <w:szCs w:val="22"/>
          <w:lang w:val="en-US" w:eastAsia="zh-CN"/>
        </w:rPr>
        <w:t>2 术语</w:t>
      </w:r>
      <w:r>
        <w:tab/>
      </w:r>
      <w:r>
        <w:fldChar w:fldCharType="begin"/>
      </w:r>
      <w:r>
        <w:instrText xml:space="preserve"> PAGEREF _Toc14934 \h </w:instrText>
      </w:r>
      <w:r>
        <w:fldChar w:fldCharType="separate"/>
      </w:r>
      <w:r>
        <w:t>2</w:t>
      </w:r>
      <w:r>
        <w:fldChar w:fldCharType="end"/>
      </w:r>
      <w:r>
        <w:rPr>
          <w:rFonts w:hint="eastAsia"/>
          <w:lang w:val="en-US" w:eastAsia="zh-CN"/>
        </w:rPr>
        <w:fldChar w:fldCharType="end"/>
      </w:r>
    </w:p>
    <w:p w14:paraId="33E1F03E">
      <w:pPr>
        <w:pStyle w:val="8"/>
        <w:tabs>
          <w:tab w:val="right" w:leader="dot" w:pos="8250"/>
        </w:tabs>
      </w:pPr>
      <w:r>
        <w:rPr>
          <w:rFonts w:hint="eastAsia"/>
          <w:lang w:val="en-US" w:eastAsia="zh-CN"/>
        </w:rPr>
        <w:fldChar w:fldCharType="begin"/>
      </w:r>
      <w:r>
        <w:rPr>
          <w:rFonts w:hint="eastAsia"/>
          <w:lang w:val="en-US" w:eastAsia="zh-CN"/>
        </w:rPr>
        <w:instrText xml:space="preserve"> HYPERLINK \l _Toc31668 </w:instrText>
      </w:r>
      <w:r>
        <w:rPr>
          <w:rFonts w:hint="eastAsia"/>
          <w:lang w:val="en-US" w:eastAsia="zh-CN"/>
        </w:rPr>
        <w:fldChar w:fldCharType="separate"/>
      </w:r>
      <w:r>
        <w:rPr>
          <w:rFonts w:hint="eastAsia" w:eastAsia="宋体"/>
          <w:szCs w:val="22"/>
          <w:lang w:val="en-US" w:eastAsia="zh-CN"/>
        </w:rPr>
        <w:t>3 基本规定</w:t>
      </w:r>
      <w:r>
        <w:tab/>
      </w:r>
      <w:r>
        <w:fldChar w:fldCharType="begin"/>
      </w:r>
      <w:r>
        <w:instrText xml:space="preserve"> PAGEREF _Toc31668 \h </w:instrText>
      </w:r>
      <w:r>
        <w:fldChar w:fldCharType="separate"/>
      </w:r>
      <w:r>
        <w:t>5</w:t>
      </w:r>
      <w:r>
        <w:fldChar w:fldCharType="end"/>
      </w:r>
      <w:r>
        <w:rPr>
          <w:rFonts w:hint="eastAsia"/>
          <w:lang w:val="en-US" w:eastAsia="zh-CN"/>
        </w:rPr>
        <w:fldChar w:fldCharType="end"/>
      </w:r>
    </w:p>
    <w:p w14:paraId="7237EE43">
      <w:pPr>
        <w:pStyle w:val="8"/>
        <w:tabs>
          <w:tab w:val="right" w:leader="dot" w:pos="8250"/>
        </w:tabs>
      </w:pPr>
      <w:r>
        <w:rPr>
          <w:rFonts w:hint="eastAsia"/>
          <w:lang w:val="en-US" w:eastAsia="zh-CN"/>
        </w:rPr>
        <w:fldChar w:fldCharType="begin"/>
      </w:r>
      <w:r>
        <w:rPr>
          <w:rFonts w:hint="eastAsia"/>
          <w:lang w:val="en-US" w:eastAsia="zh-CN"/>
        </w:rPr>
        <w:instrText xml:space="preserve"> HYPERLINK \l _Toc2203 </w:instrText>
      </w:r>
      <w:r>
        <w:rPr>
          <w:rFonts w:hint="eastAsia"/>
          <w:lang w:val="en-US" w:eastAsia="zh-CN"/>
        </w:rPr>
        <w:fldChar w:fldCharType="separate"/>
      </w:r>
      <w:r>
        <w:rPr>
          <w:rFonts w:hint="eastAsia" w:eastAsia="宋体"/>
          <w:szCs w:val="22"/>
          <w:lang w:val="en-US" w:eastAsia="zh-CN"/>
        </w:rPr>
        <w:t xml:space="preserve">4 </w:t>
      </w:r>
      <w:r>
        <w:rPr>
          <w:rFonts w:hint="eastAsia"/>
          <w:szCs w:val="22"/>
          <w:lang w:val="en-US" w:eastAsia="zh-CN"/>
        </w:rPr>
        <w:t>检查与修复</w:t>
      </w:r>
      <w:r>
        <w:tab/>
      </w:r>
      <w:r>
        <w:fldChar w:fldCharType="begin"/>
      </w:r>
      <w:r>
        <w:instrText xml:space="preserve"> PAGEREF _Toc2203 \h </w:instrText>
      </w:r>
      <w:r>
        <w:fldChar w:fldCharType="separate"/>
      </w:r>
      <w:r>
        <w:t>6</w:t>
      </w:r>
      <w:r>
        <w:fldChar w:fldCharType="end"/>
      </w:r>
      <w:r>
        <w:rPr>
          <w:rFonts w:hint="eastAsia"/>
          <w:lang w:val="en-US" w:eastAsia="zh-CN"/>
        </w:rPr>
        <w:fldChar w:fldCharType="end"/>
      </w:r>
    </w:p>
    <w:p w14:paraId="02D907E0">
      <w:pPr>
        <w:pStyle w:val="9"/>
        <w:tabs>
          <w:tab w:val="right" w:leader="dot" w:pos="8250"/>
        </w:tabs>
      </w:pPr>
      <w:r>
        <w:rPr>
          <w:rFonts w:hint="eastAsia"/>
          <w:lang w:val="en-US" w:eastAsia="zh-CN"/>
        </w:rPr>
        <w:fldChar w:fldCharType="begin"/>
      </w:r>
      <w:r>
        <w:rPr>
          <w:rFonts w:hint="eastAsia"/>
          <w:lang w:val="en-US" w:eastAsia="zh-CN"/>
        </w:rPr>
        <w:instrText xml:space="preserve"> HYPERLINK \l _Toc9683 </w:instrText>
      </w:r>
      <w:r>
        <w:rPr>
          <w:rFonts w:hint="eastAsia"/>
          <w:lang w:val="en-US" w:eastAsia="zh-CN"/>
        </w:rPr>
        <w:fldChar w:fldCharType="separate"/>
      </w:r>
      <w:r>
        <w:rPr>
          <w:rFonts w:hint="eastAsia"/>
          <w:lang w:val="en-US" w:eastAsia="zh-CN"/>
        </w:rPr>
        <w:t>4.1 一般规定</w:t>
      </w:r>
      <w:r>
        <w:tab/>
      </w:r>
      <w:r>
        <w:fldChar w:fldCharType="begin"/>
      </w:r>
      <w:r>
        <w:instrText xml:space="preserve"> PAGEREF _Toc9683 \h </w:instrText>
      </w:r>
      <w:r>
        <w:fldChar w:fldCharType="separate"/>
      </w:r>
      <w:r>
        <w:t>6</w:t>
      </w:r>
      <w:r>
        <w:fldChar w:fldCharType="end"/>
      </w:r>
      <w:r>
        <w:rPr>
          <w:rFonts w:hint="eastAsia"/>
          <w:lang w:val="en-US" w:eastAsia="zh-CN"/>
        </w:rPr>
        <w:fldChar w:fldCharType="end"/>
      </w:r>
    </w:p>
    <w:p w14:paraId="19FE7CA5">
      <w:pPr>
        <w:pStyle w:val="9"/>
        <w:tabs>
          <w:tab w:val="right" w:leader="dot" w:pos="8250"/>
        </w:tabs>
      </w:pPr>
      <w:r>
        <w:rPr>
          <w:rFonts w:hint="eastAsia"/>
          <w:lang w:val="en-US" w:eastAsia="zh-CN"/>
        </w:rPr>
        <w:fldChar w:fldCharType="begin"/>
      </w:r>
      <w:r>
        <w:rPr>
          <w:rFonts w:hint="eastAsia"/>
          <w:lang w:val="en-US" w:eastAsia="zh-CN"/>
        </w:rPr>
        <w:instrText xml:space="preserve"> HYPERLINK \l _Toc7572 </w:instrText>
      </w:r>
      <w:r>
        <w:rPr>
          <w:rFonts w:hint="eastAsia"/>
          <w:lang w:val="en-US" w:eastAsia="zh-CN"/>
        </w:rPr>
        <w:fldChar w:fldCharType="separate"/>
      </w:r>
      <w:r>
        <w:rPr>
          <w:rFonts w:hint="eastAsia"/>
          <w:lang w:val="en-US" w:eastAsia="zh-CN"/>
        </w:rPr>
        <w:t>4.2 检查</w:t>
      </w:r>
      <w:r>
        <w:tab/>
      </w:r>
      <w:r>
        <w:fldChar w:fldCharType="begin"/>
      </w:r>
      <w:r>
        <w:instrText xml:space="preserve"> PAGEREF _Toc7572 \h </w:instrText>
      </w:r>
      <w:r>
        <w:fldChar w:fldCharType="separate"/>
      </w:r>
      <w:r>
        <w:t>6</w:t>
      </w:r>
      <w:r>
        <w:fldChar w:fldCharType="end"/>
      </w:r>
      <w:r>
        <w:rPr>
          <w:rFonts w:hint="eastAsia"/>
          <w:lang w:val="en-US" w:eastAsia="zh-CN"/>
        </w:rPr>
        <w:fldChar w:fldCharType="end"/>
      </w:r>
    </w:p>
    <w:p w14:paraId="414A3894">
      <w:pPr>
        <w:pStyle w:val="9"/>
        <w:tabs>
          <w:tab w:val="right" w:leader="dot" w:pos="8250"/>
        </w:tabs>
      </w:pPr>
      <w:r>
        <w:rPr>
          <w:rFonts w:hint="eastAsia"/>
          <w:lang w:val="en-US" w:eastAsia="zh-CN"/>
        </w:rPr>
        <w:fldChar w:fldCharType="begin"/>
      </w:r>
      <w:r>
        <w:rPr>
          <w:rFonts w:hint="eastAsia"/>
          <w:lang w:val="en-US" w:eastAsia="zh-CN"/>
        </w:rPr>
        <w:instrText xml:space="preserve"> HYPERLINK \l _Toc13956 </w:instrText>
      </w:r>
      <w:r>
        <w:rPr>
          <w:rFonts w:hint="eastAsia"/>
          <w:lang w:val="en-US" w:eastAsia="zh-CN"/>
        </w:rPr>
        <w:fldChar w:fldCharType="separate"/>
      </w:r>
      <w:r>
        <w:rPr>
          <w:rFonts w:hint="eastAsia"/>
          <w:szCs w:val="22"/>
          <w:lang w:val="en-US" w:eastAsia="zh-CN"/>
        </w:rPr>
        <w:t>4.3 修复</w:t>
      </w:r>
      <w:r>
        <w:tab/>
      </w:r>
      <w:r>
        <w:fldChar w:fldCharType="begin"/>
      </w:r>
      <w:r>
        <w:instrText xml:space="preserve"> PAGEREF _Toc13956 \h </w:instrText>
      </w:r>
      <w:r>
        <w:fldChar w:fldCharType="separate"/>
      </w:r>
      <w:r>
        <w:t>9</w:t>
      </w:r>
      <w:r>
        <w:fldChar w:fldCharType="end"/>
      </w:r>
      <w:r>
        <w:rPr>
          <w:rFonts w:hint="eastAsia"/>
          <w:lang w:val="en-US" w:eastAsia="zh-CN"/>
        </w:rPr>
        <w:fldChar w:fldCharType="end"/>
      </w:r>
    </w:p>
    <w:p w14:paraId="0CA1FB21">
      <w:pPr>
        <w:pStyle w:val="8"/>
        <w:tabs>
          <w:tab w:val="right" w:leader="dot" w:pos="8250"/>
        </w:tabs>
      </w:pPr>
      <w:r>
        <w:rPr>
          <w:rFonts w:hint="eastAsia"/>
          <w:lang w:val="en-US" w:eastAsia="zh-CN"/>
        </w:rPr>
        <w:fldChar w:fldCharType="begin"/>
      </w:r>
      <w:r>
        <w:rPr>
          <w:rFonts w:hint="eastAsia"/>
          <w:lang w:val="en-US" w:eastAsia="zh-CN"/>
        </w:rPr>
        <w:instrText xml:space="preserve"> HYPERLINK \l _Toc24516 </w:instrText>
      </w:r>
      <w:r>
        <w:rPr>
          <w:rFonts w:hint="eastAsia"/>
          <w:lang w:val="en-US" w:eastAsia="zh-CN"/>
        </w:rPr>
        <w:fldChar w:fldCharType="separate"/>
      </w:r>
      <w:r>
        <w:rPr>
          <w:rFonts w:hint="eastAsia" w:eastAsia="宋体"/>
          <w:szCs w:val="22"/>
          <w:lang w:val="en-US" w:eastAsia="zh-CN"/>
        </w:rPr>
        <w:t>5 系统与材料</w:t>
      </w:r>
      <w:r>
        <w:tab/>
      </w:r>
      <w:r>
        <w:fldChar w:fldCharType="begin"/>
      </w:r>
      <w:r>
        <w:instrText xml:space="preserve"> PAGEREF _Toc24516 \h </w:instrText>
      </w:r>
      <w:r>
        <w:fldChar w:fldCharType="separate"/>
      </w:r>
      <w:r>
        <w:t>11</w:t>
      </w:r>
      <w:r>
        <w:fldChar w:fldCharType="end"/>
      </w:r>
      <w:r>
        <w:rPr>
          <w:rFonts w:hint="eastAsia"/>
          <w:lang w:val="en-US" w:eastAsia="zh-CN"/>
        </w:rPr>
        <w:fldChar w:fldCharType="end"/>
      </w:r>
    </w:p>
    <w:p w14:paraId="66AA908B">
      <w:pPr>
        <w:pStyle w:val="9"/>
        <w:tabs>
          <w:tab w:val="right" w:leader="dot" w:pos="8250"/>
        </w:tabs>
      </w:pPr>
      <w:r>
        <w:rPr>
          <w:rFonts w:hint="eastAsia"/>
          <w:lang w:val="en-US" w:eastAsia="zh-CN"/>
        </w:rPr>
        <w:fldChar w:fldCharType="begin"/>
      </w:r>
      <w:r>
        <w:rPr>
          <w:rFonts w:hint="eastAsia"/>
          <w:lang w:val="en-US" w:eastAsia="zh-CN"/>
        </w:rPr>
        <w:instrText xml:space="preserve"> HYPERLINK \l _Toc27077 </w:instrText>
      </w:r>
      <w:r>
        <w:rPr>
          <w:rFonts w:hint="eastAsia"/>
          <w:lang w:val="en-US" w:eastAsia="zh-CN"/>
        </w:rPr>
        <w:fldChar w:fldCharType="separate"/>
      </w:r>
      <w:r>
        <w:rPr>
          <w:rFonts w:hint="eastAsia"/>
          <w:lang w:val="en-US" w:eastAsia="zh-CN"/>
        </w:rPr>
        <w:t>5.1 一般规定</w:t>
      </w:r>
      <w:r>
        <w:tab/>
      </w:r>
      <w:r>
        <w:fldChar w:fldCharType="begin"/>
      </w:r>
      <w:r>
        <w:instrText xml:space="preserve"> PAGEREF _Toc27077 \h </w:instrText>
      </w:r>
      <w:r>
        <w:fldChar w:fldCharType="separate"/>
      </w:r>
      <w:r>
        <w:t>11</w:t>
      </w:r>
      <w:r>
        <w:fldChar w:fldCharType="end"/>
      </w:r>
      <w:r>
        <w:rPr>
          <w:rFonts w:hint="eastAsia"/>
          <w:lang w:val="en-US" w:eastAsia="zh-CN"/>
        </w:rPr>
        <w:fldChar w:fldCharType="end"/>
      </w:r>
    </w:p>
    <w:p w14:paraId="40BDE95F">
      <w:pPr>
        <w:pStyle w:val="9"/>
        <w:tabs>
          <w:tab w:val="right" w:leader="dot" w:pos="8250"/>
        </w:tabs>
      </w:pPr>
      <w:r>
        <w:rPr>
          <w:rFonts w:hint="eastAsia"/>
          <w:lang w:val="en-US" w:eastAsia="zh-CN"/>
        </w:rPr>
        <w:fldChar w:fldCharType="begin"/>
      </w:r>
      <w:r>
        <w:rPr>
          <w:rFonts w:hint="eastAsia"/>
          <w:lang w:val="en-US" w:eastAsia="zh-CN"/>
        </w:rPr>
        <w:instrText xml:space="preserve"> HYPERLINK \l _Toc21680 </w:instrText>
      </w:r>
      <w:r>
        <w:rPr>
          <w:rFonts w:hint="eastAsia"/>
          <w:lang w:val="en-US" w:eastAsia="zh-CN"/>
        </w:rPr>
        <w:fldChar w:fldCharType="separate"/>
      </w:r>
      <w:r>
        <w:rPr>
          <w:rFonts w:hint="eastAsia"/>
          <w:szCs w:val="22"/>
          <w:lang w:val="en-US" w:eastAsia="zh-CN"/>
        </w:rPr>
        <w:t>5.2改性玻化微珠外墙干挂系统</w:t>
      </w:r>
      <w:r>
        <w:tab/>
      </w:r>
      <w:r>
        <w:fldChar w:fldCharType="begin"/>
      </w:r>
      <w:r>
        <w:instrText xml:space="preserve"> PAGEREF _Toc21680 \h </w:instrText>
      </w:r>
      <w:r>
        <w:fldChar w:fldCharType="separate"/>
      </w:r>
      <w:r>
        <w:t>11</w:t>
      </w:r>
      <w:r>
        <w:fldChar w:fldCharType="end"/>
      </w:r>
      <w:r>
        <w:rPr>
          <w:rFonts w:hint="eastAsia"/>
          <w:lang w:val="en-US" w:eastAsia="zh-CN"/>
        </w:rPr>
        <w:fldChar w:fldCharType="end"/>
      </w:r>
    </w:p>
    <w:p w14:paraId="27DDA9D4">
      <w:pPr>
        <w:pStyle w:val="9"/>
        <w:tabs>
          <w:tab w:val="right" w:leader="dot" w:pos="8250"/>
        </w:tabs>
      </w:pPr>
      <w:r>
        <w:rPr>
          <w:rFonts w:hint="eastAsia"/>
          <w:lang w:val="en-US" w:eastAsia="zh-CN"/>
        </w:rPr>
        <w:fldChar w:fldCharType="begin"/>
      </w:r>
      <w:r>
        <w:rPr>
          <w:rFonts w:hint="eastAsia"/>
          <w:lang w:val="en-US" w:eastAsia="zh-CN"/>
        </w:rPr>
        <w:instrText xml:space="preserve"> HYPERLINK \l _Toc27286 </w:instrText>
      </w:r>
      <w:r>
        <w:rPr>
          <w:rFonts w:hint="eastAsia"/>
          <w:lang w:val="en-US" w:eastAsia="zh-CN"/>
        </w:rPr>
        <w:fldChar w:fldCharType="separate"/>
      </w:r>
      <w:r>
        <w:rPr>
          <w:rFonts w:hint="eastAsia"/>
          <w:szCs w:val="22"/>
          <w:lang w:val="en-US" w:eastAsia="zh-CN"/>
        </w:rPr>
        <w:t>5.3改性玻化微珠外墙粘锚托系统</w:t>
      </w:r>
      <w:r>
        <w:tab/>
      </w:r>
      <w:r>
        <w:fldChar w:fldCharType="begin"/>
      </w:r>
      <w:r>
        <w:instrText xml:space="preserve"> PAGEREF _Toc27286 \h </w:instrText>
      </w:r>
      <w:r>
        <w:fldChar w:fldCharType="separate"/>
      </w:r>
      <w:r>
        <w:t>13</w:t>
      </w:r>
      <w:r>
        <w:fldChar w:fldCharType="end"/>
      </w:r>
      <w:r>
        <w:rPr>
          <w:rFonts w:hint="eastAsia"/>
          <w:lang w:val="en-US" w:eastAsia="zh-CN"/>
        </w:rPr>
        <w:fldChar w:fldCharType="end"/>
      </w:r>
    </w:p>
    <w:p w14:paraId="7EF2C92B">
      <w:pPr>
        <w:pStyle w:val="8"/>
        <w:tabs>
          <w:tab w:val="right" w:leader="dot" w:pos="8250"/>
        </w:tabs>
      </w:pPr>
      <w:r>
        <w:rPr>
          <w:rFonts w:hint="eastAsia"/>
          <w:lang w:val="en-US" w:eastAsia="zh-CN"/>
        </w:rPr>
        <w:fldChar w:fldCharType="begin"/>
      </w:r>
      <w:r>
        <w:rPr>
          <w:rFonts w:hint="eastAsia"/>
          <w:lang w:val="en-US" w:eastAsia="zh-CN"/>
        </w:rPr>
        <w:instrText xml:space="preserve"> HYPERLINK \l _Toc4256 </w:instrText>
      </w:r>
      <w:r>
        <w:rPr>
          <w:rFonts w:hint="eastAsia"/>
          <w:lang w:val="en-US" w:eastAsia="zh-CN"/>
        </w:rPr>
        <w:fldChar w:fldCharType="separate"/>
      </w:r>
      <w:r>
        <w:rPr>
          <w:rFonts w:hint="eastAsia"/>
          <w:szCs w:val="22"/>
          <w:lang w:val="en-US" w:eastAsia="zh-CN"/>
        </w:rPr>
        <w:t>6 设计</w:t>
      </w:r>
      <w:r>
        <w:tab/>
      </w:r>
      <w:r>
        <w:fldChar w:fldCharType="begin"/>
      </w:r>
      <w:r>
        <w:instrText xml:space="preserve"> PAGEREF _Toc4256 \h </w:instrText>
      </w:r>
      <w:r>
        <w:fldChar w:fldCharType="separate"/>
      </w:r>
      <w:r>
        <w:t>17</w:t>
      </w:r>
      <w:r>
        <w:fldChar w:fldCharType="end"/>
      </w:r>
      <w:r>
        <w:rPr>
          <w:rFonts w:hint="eastAsia"/>
          <w:lang w:val="en-US" w:eastAsia="zh-CN"/>
        </w:rPr>
        <w:fldChar w:fldCharType="end"/>
      </w:r>
    </w:p>
    <w:p w14:paraId="51B2F4F0">
      <w:pPr>
        <w:pStyle w:val="9"/>
        <w:tabs>
          <w:tab w:val="right" w:leader="dot" w:pos="8250"/>
        </w:tabs>
      </w:pPr>
      <w:r>
        <w:rPr>
          <w:rFonts w:hint="eastAsia"/>
          <w:lang w:val="en-US" w:eastAsia="zh-CN"/>
        </w:rPr>
        <w:fldChar w:fldCharType="begin"/>
      </w:r>
      <w:r>
        <w:rPr>
          <w:rFonts w:hint="eastAsia"/>
          <w:lang w:val="en-US" w:eastAsia="zh-CN"/>
        </w:rPr>
        <w:instrText xml:space="preserve"> HYPERLINK \l _Toc25665 </w:instrText>
      </w:r>
      <w:r>
        <w:rPr>
          <w:rFonts w:hint="eastAsia"/>
          <w:lang w:val="en-US" w:eastAsia="zh-CN"/>
        </w:rPr>
        <w:fldChar w:fldCharType="separate"/>
      </w:r>
      <w:r>
        <w:rPr>
          <w:rFonts w:hint="eastAsia"/>
          <w:szCs w:val="22"/>
          <w:lang w:val="en-US" w:eastAsia="zh-CN"/>
        </w:rPr>
        <w:t>6.1一般规定</w:t>
      </w:r>
      <w:r>
        <w:tab/>
      </w:r>
      <w:r>
        <w:fldChar w:fldCharType="begin"/>
      </w:r>
      <w:r>
        <w:instrText xml:space="preserve"> PAGEREF _Toc25665 \h </w:instrText>
      </w:r>
      <w:r>
        <w:fldChar w:fldCharType="separate"/>
      </w:r>
      <w:r>
        <w:t>17</w:t>
      </w:r>
      <w:r>
        <w:fldChar w:fldCharType="end"/>
      </w:r>
      <w:r>
        <w:rPr>
          <w:rFonts w:hint="eastAsia"/>
          <w:lang w:val="en-US" w:eastAsia="zh-CN"/>
        </w:rPr>
        <w:fldChar w:fldCharType="end"/>
      </w:r>
    </w:p>
    <w:p w14:paraId="7DB39E3C">
      <w:pPr>
        <w:pStyle w:val="9"/>
        <w:tabs>
          <w:tab w:val="right" w:leader="dot" w:pos="8250"/>
        </w:tabs>
      </w:pPr>
      <w:r>
        <w:rPr>
          <w:rFonts w:hint="eastAsia"/>
          <w:lang w:val="en-US" w:eastAsia="zh-CN"/>
        </w:rPr>
        <w:fldChar w:fldCharType="begin"/>
      </w:r>
      <w:r>
        <w:rPr>
          <w:rFonts w:hint="eastAsia"/>
          <w:lang w:val="en-US" w:eastAsia="zh-CN"/>
        </w:rPr>
        <w:instrText xml:space="preserve"> HYPERLINK \l _Toc24909 </w:instrText>
      </w:r>
      <w:r>
        <w:rPr>
          <w:rFonts w:hint="eastAsia"/>
          <w:lang w:val="en-US" w:eastAsia="zh-CN"/>
        </w:rPr>
        <w:fldChar w:fldCharType="separate"/>
      </w:r>
      <w:r>
        <w:rPr>
          <w:rFonts w:hint="eastAsia"/>
          <w:szCs w:val="22"/>
          <w:lang w:val="en-US" w:eastAsia="zh-CN"/>
        </w:rPr>
        <w:t>6.2改性玻化微珠外墙干挂系统</w:t>
      </w:r>
      <w:r>
        <w:tab/>
      </w:r>
      <w:r>
        <w:fldChar w:fldCharType="begin"/>
      </w:r>
      <w:r>
        <w:instrText xml:space="preserve"> PAGEREF _Toc24909 \h </w:instrText>
      </w:r>
      <w:r>
        <w:fldChar w:fldCharType="separate"/>
      </w:r>
      <w:r>
        <w:t>18</w:t>
      </w:r>
      <w:r>
        <w:fldChar w:fldCharType="end"/>
      </w:r>
      <w:r>
        <w:rPr>
          <w:rFonts w:hint="eastAsia"/>
          <w:lang w:val="en-US" w:eastAsia="zh-CN"/>
        </w:rPr>
        <w:fldChar w:fldCharType="end"/>
      </w:r>
    </w:p>
    <w:p w14:paraId="2FC42593">
      <w:pPr>
        <w:pStyle w:val="9"/>
        <w:tabs>
          <w:tab w:val="right" w:leader="dot" w:pos="8250"/>
        </w:tabs>
      </w:pPr>
      <w:r>
        <w:rPr>
          <w:rFonts w:hint="eastAsia"/>
          <w:lang w:val="en-US" w:eastAsia="zh-CN"/>
        </w:rPr>
        <w:fldChar w:fldCharType="begin"/>
      </w:r>
      <w:r>
        <w:rPr>
          <w:rFonts w:hint="eastAsia"/>
          <w:lang w:val="en-US" w:eastAsia="zh-CN"/>
        </w:rPr>
        <w:instrText xml:space="preserve"> HYPERLINK \l _Toc26320 </w:instrText>
      </w:r>
      <w:r>
        <w:rPr>
          <w:rFonts w:hint="eastAsia"/>
          <w:lang w:val="en-US" w:eastAsia="zh-CN"/>
        </w:rPr>
        <w:fldChar w:fldCharType="separate"/>
      </w:r>
      <w:r>
        <w:rPr>
          <w:rFonts w:hint="eastAsia"/>
          <w:szCs w:val="22"/>
          <w:lang w:val="en-US" w:eastAsia="zh-CN"/>
        </w:rPr>
        <w:t>6.3改性玻化微珠外墙粘锚托系统</w:t>
      </w:r>
      <w:r>
        <w:tab/>
      </w:r>
      <w:r>
        <w:fldChar w:fldCharType="begin"/>
      </w:r>
      <w:r>
        <w:instrText xml:space="preserve"> PAGEREF _Toc26320 \h </w:instrText>
      </w:r>
      <w:r>
        <w:fldChar w:fldCharType="separate"/>
      </w:r>
      <w:r>
        <w:t>19</w:t>
      </w:r>
      <w:r>
        <w:fldChar w:fldCharType="end"/>
      </w:r>
      <w:r>
        <w:rPr>
          <w:rFonts w:hint="eastAsia"/>
          <w:lang w:val="en-US" w:eastAsia="zh-CN"/>
        </w:rPr>
        <w:fldChar w:fldCharType="end"/>
      </w:r>
    </w:p>
    <w:p w14:paraId="36E192F2">
      <w:pPr>
        <w:pStyle w:val="8"/>
        <w:tabs>
          <w:tab w:val="right" w:leader="dot" w:pos="8250"/>
        </w:tabs>
      </w:pPr>
      <w:r>
        <w:rPr>
          <w:rFonts w:hint="eastAsia"/>
          <w:lang w:val="en-US" w:eastAsia="zh-CN"/>
        </w:rPr>
        <w:fldChar w:fldCharType="begin"/>
      </w:r>
      <w:r>
        <w:rPr>
          <w:rFonts w:hint="eastAsia"/>
          <w:lang w:val="en-US" w:eastAsia="zh-CN"/>
        </w:rPr>
        <w:instrText xml:space="preserve"> HYPERLINK \l _Toc29447 </w:instrText>
      </w:r>
      <w:r>
        <w:rPr>
          <w:rFonts w:hint="eastAsia"/>
          <w:lang w:val="en-US" w:eastAsia="zh-CN"/>
        </w:rPr>
        <w:fldChar w:fldCharType="separate"/>
      </w:r>
      <w:r>
        <w:rPr>
          <w:rFonts w:hint="eastAsia"/>
          <w:szCs w:val="22"/>
          <w:lang w:val="en-US" w:eastAsia="zh-CN"/>
        </w:rPr>
        <w:t>7 施工</w:t>
      </w:r>
      <w:r>
        <w:tab/>
      </w:r>
      <w:r>
        <w:fldChar w:fldCharType="begin"/>
      </w:r>
      <w:r>
        <w:instrText xml:space="preserve"> PAGEREF _Toc29447 \h </w:instrText>
      </w:r>
      <w:r>
        <w:fldChar w:fldCharType="separate"/>
      </w:r>
      <w:r>
        <w:t>21</w:t>
      </w:r>
      <w:r>
        <w:fldChar w:fldCharType="end"/>
      </w:r>
      <w:r>
        <w:rPr>
          <w:rFonts w:hint="eastAsia"/>
          <w:lang w:val="en-US" w:eastAsia="zh-CN"/>
        </w:rPr>
        <w:fldChar w:fldCharType="end"/>
      </w:r>
    </w:p>
    <w:p w14:paraId="22692A62">
      <w:pPr>
        <w:pStyle w:val="9"/>
        <w:tabs>
          <w:tab w:val="right" w:leader="dot" w:pos="8250"/>
        </w:tabs>
      </w:pPr>
      <w:r>
        <w:rPr>
          <w:rFonts w:hint="eastAsia"/>
          <w:lang w:val="en-US" w:eastAsia="zh-CN"/>
        </w:rPr>
        <w:fldChar w:fldCharType="begin"/>
      </w:r>
      <w:r>
        <w:rPr>
          <w:rFonts w:hint="eastAsia"/>
          <w:lang w:val="en-US" w:eastAsia="zh-CN"/>
        </w:rPr>
        <w:instrText xml:space="preserve"> HYPERLINK \l _Toc14 </w:instrText>
      </w:r>
      <w:r>
        <w:rPr>
          <w:rFonts w:hint="eastAsia"/>
          <w:lang w:val="en-US" w:eastAsia="zh-CN"/>
        </w:rPr>
        <w:fldChar w:fldCharType="separate"/>
      </w:r>
      <w:r>
        <w:rPr>
          <w:rFonts w:hint="eastAsia"/>
          <w:szCs w:val="22"/>
          <w:lang w:val="en-US" w:eastAsia="zh-CN"/>
        </w:rPr>
        <w:t>7.1 一般规定</w:t>
      </w:r>
      <w:r>
        <w:tab/>
      </w:r>
      <w:r>
        <w:fldChar w:fldCharType="begin"/>
      </w:r>
      <w:r>
        <w:instrText xml:space="preserve"> PAGEREF _Toc14 \h </w:instrText>
      </w:r>
      <w:r>
        <w:fldChar w:fldCharType="separate"/>
      </w:r>
      <w:r>
        <w:t>21</w:t>
      </w:r>
      <w:r>
        <w:fldChar w:fldCharType="end"/>
      </w:r>
      <w:r>
        <w:rPr>
          <w:rFonts w:hint="eastAsia"/>
          <w:lang w:val="en-US" w:eastAsia="zh-CN"/>
        </w:rPr>
        <w:fldChar w:fldCharType="end"/>
      </w:r>
    </w:p>
    <w:p w14:paraId="22B10DCD">
      <w:pPr>
        <w:pStyle w:val="9"/>
        <w:tabs>
          <w:tab w:val="right" w:leader="dot" w:pos="8250"/>
        </w:tabs>
      </w:pPr>
      <w:r>
        <w:rPr>
          <w:rFonts w:hint="eastAsia"/>
          <w:lang w:val="en-US" w:eastAsia="zh-CN"/>
        </w:rPr>
        <w:fldChar w:fldCharType="begin"/>
      </w:r>
      <w:r>
        <w:rPr>
          <w:rFonts w:hint="eastAsia"/>
          <w:lang w:val="en-US" w:eastAsia="zh-CN"/>
        </w:rPr>
        <w:instrText xml:space="preserve"> HYPERLINK \l _Toc27684 </w:instrText>
      </w:r>
      <w:r>
        <w:rPr>
          <w:rFonts w:hint="eastAsia"/>
          <w:lang w:val="en-US" w:eastAsia="zh-CN"/>
        </w:rPr>
        <w:fldChar w:fldCharType="separate"/>
      </w:r>
      <w:r>
        <w:rPr>
          <w:rFonts w:hint="eastAsia"/>
          <w:szCs w:val="22"/>
          <w:lang w:val="en-US" w:eastAsia="zh-CN"/>
        </w:rPr>
        <w:t>7.2改性玻化微珠外墙干挂系统</w:t>
      </w:r>
      <w:r>
        <w:tab/>
      </w:r>
      <w:r>
        <w:fldChar w:fldCharType="begin"/>
      </w:r>
      <w:r>
        <w:instrText xml:space="preserve"> PAGEREF _Toc27684 \h </w:instrText>
      </w:r>
      <w:r>
        <w:fldChar w:fldCharType="separate"/>
      </w:r>
      <w:r>
        <w:t>22</w:t>
      </w:r>
      <w:r>
        <w:fldChar w:fldCharType="end"/>
      </w:r>
      <w:r>
        <w:rPr>
          <w:rFonts w:hint="eastAsia"/>
          <w:lang w:val="en-US" w:eastAsia="zh-CN"/>
        </w:rPr>
        <w:fldChar w:fldCharType="end"/>
      </w:r>
    </w:p>
    <w:p w14:paraId="2B1C148A">
      <w:pPr>
        <w:pStyle w:val="9"/>
        <w:tabs>
          <w:tab w:val="right" w:leader="dot" w:pos="8250"/>
        </w:tabs>
      </w:pPr>
      <w:r>
        <w:rPr>
          <w:rFonts w:hint="eastAsia"/>
          <w:lang w:val="en-US" w:eastAsia="zh-CN"/>
        </w:rPr>
        <w:fldChar w:fldCharType="begin"/>
      </w:r>
      <w:r>
        <w:rPr>
          <w:rFonts w:hint="eastAsia"/>
          <w:lang w:val="en-US" w:eastAsia="zh-CN"/>
        </w:rPr>
        <w:instrText xml:space="preserve"> HYPERLINK \l _Toc13778 </w:instrText>
      </w:r>
      <w:r>
        <w:rPr>
          <w:rFonts w:hint="eastAsia"/>
          <w:lang w:val="en-US" w:eastAsia="zh-CN"/>
        </w:rPr>
        <w:fldChar w:fldCharType="separate"/>
      </w:r>
      <w:r>
        <w:rPr>
          <w:rFonts w:hint="eastAsia"/>
          <w:szCs w:val="22"/>
          <w:lang w:val="en-US" w:eastAsia="zh-CN"/>
        </w:rPr>
        <w:t>7.3改性玻化微珠外墙粘锚托系统</w:t>
      </w:r>
      <w:r>
        <w:tab/>
      </w:r>
      <w:r>
        <w:fldChar w:fldCharType="begin"/>
      </w:r>
      <w:r>
        <w:instrText xml:space="preserve"> PAGEREF _Toc13778 \h </w:instrText>
      </w:r>
      <w:r>
        <w:fldChar w:fldCharType="separate"/>
      </w:r>
      <w:r>
        <w:t>24</w:t>
      </w:r>
      <w:r>
        <w:fldChar w:fldCharType="end"/>
      </w:r>
      <w:r>
        <w:rPr>
          <w:rFonts w:hint="eastAsia"/>
          <w:lang w:val="en-US" w:eastAsia="zh-CN"/>
        </w:rPr>
        <w:fldChar w:fldCharType="end"/>
      </w:r>
    </w:p>
    <w:p w14:paraId="58611CBB">
      <w:pPr>
        <w:pStyle w:val="8"/>
        <w:tabs>
          <w:tab w:val="right" w:leader="dot" w:pos="8250"/>
        </w:tabs>
      </w:pPr>
      <w:r>
        <w:rPr>
          <w:rFonts w:hint="eastAsia"/>
          <w:lang w:val="en-US" w:eastAsia="zh-CN"/>
        </w:rPr>
        <w:fldChar w:fldCharType="begin"/>
      </w:r>
      <w:r>
        <w:rPr>
          <w:rFonts w:hint="eastAsia"/>
          <w:lang w:val="en-US" w:eastAsia="zh-CN"/>
        </w:rPr>
        <w:instrText xml:space="preserve"> HYPERLINK \l _Toc6315 </w:instrText>
      </w:r>
      <w:r>
        <w:rPr>
          <w:rFonts w:hint="eastAsia"/>
          <w:lang w:val="en-US" w:eastAsia="zh-CN"/>
        </w:rPr>
        <w:fldChar w:fldCharType="separate"/>
      </w:r>
      <w:r>
        <w:rPr>
          <w:rFonts w:hint="eastAsia"/>
          <w:szCs w:val="22"/>
          <w:lang w:val="en-US" w:eastAsia="zh-CN"/>
        </w:rPr>
        <w:t>8 验收</w:t>
      </w:r>
      <w:r>
        <w:tab/>
      </w:r>
      <w:r>
        <w:fldChar w:fldCharType="begin"/>
      </w:r>
      <w:r>
        <w:instrText xml:space="preserve"> PAGEREF _Toc6315 \h </w:instrText>
      </w:r>
      <w:r>
        <w:fldChar w:fldCharType="separate"/>
      </w:r>
      <w:r>
        <w:t>28</w:t>
      </w:r>
      <w:r>
        <w:fldChar w:fldCharType="end"/>
      </w:r>
      <w:r>
        <w:rPr>
          <w:rFonts w:hint="eastAsia"/>
          <w:lang w:val="en-US" w:eastAsia="zh-CN"/>
        </w:rPr>
        <w:fldChar w:fldCharType="end"/>
      </w:r>
    </w:p>
    <w:p w14:paraId="649B7CC9">
      <w:pPr>
        <w:pStyle w:val="9"/>
        <w:tabs>
          <w:tab w:val="right" w:leader="dot" w:pos="8250"/>
        </w:tabs>
      </w:pPr>
      <w:r>
        <w:rPr>
          <w:rFonts w:hint="eastAsia"/>
          <w:lang w:val="en-US" w:eastAsia="zh-CN"/>
        </w:rPr>
        <w:fldChar w:fldCharType="begin"/>
      </w:r>
      <w:r>
        <w:rPr>
          <w:rFonts w:hint="eastAsia"/>
          <w:lang w:val="en-US" w:eastAsia="zh-CN"/>
        </w:rPr>
        <w:instrText xml:space="preserve"> HYPERLINK \l _Toc13156 </w:instrText>
      </w:r>
      <w:r>
        <w:rPr>
          <w:rFonts w:hint="eastAsia"/>
          <w:lang w:val="en-US" w:eastAsia="zh-CN"/>
        </w:rPr>
        <w:fldChar w:fldCharType="separate"/>
      </w:r>
      <w:r>
        <w:rPr>
          <w:rFonts w:hint="eastAsia"/>
          <w:szCs w:val="22"/>
          <w:lang w:val="en-US" w:eastAsia="zh-CN"/>
        </w:rPr>
        <w:t>8.1 一般规定</w:t>
      </w:r>
      <w:r>
        <w:tab/>
      </w:r>
      <w:r>
        <w:fldChar w:fldCharType="begin"/>
      </w:r>
      <w:r>
        <w:instrText xml:space="preserve"> PAGEREF _Toc13156 \h </w:instrText>
      </w:r>
      <w:r>
        <w:fldChar w:fldCharType="separate"/>
      </w:r>
      <w:r>
        <w:t>28</w:t>
      </w:r>
      <w:r>
        <w:fldChar w:fldCharType="end"/>
      </w:r>
      <w:r>
        <w:rPr>
          <w:rFonts w:hint="eastAsia"/>
          <w:lang w:val="en-US" w:eastAsia="zh-CN"/>
        </w:rPr>
        <w:fldChar w:fldCharType="end"/>
      </w:r>
    </w:p>
    <w:p w14:paraId="6F3B59DD">
      <w:pPr>
        <w:pStyle w:val="9"/>
        <w:tabs>
          <w:tab w:val="right" w:leader="dot" w:pos="8250"/>
        </w:tabs>
      </w:pPr>
      <w:r>
        <w:rPr>
          <w:rFonts w:hint="eastAsia"/>
          <w:lang w:val="en-US" w:eastAsia="zh-CN"/>
        </w:rPr>
        <w:fldChar w:fldCharType="begin"/>
      </w:r>
      <w:r>
        <w:rPr>
          <w:rFonts w:hint="eastAsia"/>
          <w:lang w:val="en-US" w:eastAsia="zh-CN"/>
        </w:rPr>
        <w:instrText xml:space="preserve"> HYPERLINK \l _Toc20637 </w:instrText>
      </w:r>
      <w:r>
        <w:rPr>
          <w:rFonts w:hint="eastAsia"/>
          <w:lang w:val="en-US" w:eastAsia="zh-CN"/>
        </w:rPr>
        <w:fldChar w:fldCharType="separate"/>
      </w:r>
      <w:r>
        <w:rPr>
          <w:rFonts w:hint="eastAsia"/>
          <w:szCs w:val="22"/>
          <w:lang w:val="en-US" w:eastAsia="zh-CN"/>
        </w:rPr>
        <w:t>8.2改性玻化微珠外墙干挂系统</w:t>
      </w:r>
      <w:r>
        <w:tab/>
      </w:r>
      <w:r>
        <w:fldChar w:fldCharType="begin"/>
      </w:r>
      <w:r>
        <w:instrText xml:space="preserve"> PAGEREF _Toc20637 \h </w:instrText>
      </w:r>
      <w:r>
        <w:fldChar w:fldCharType="separate"/>
      </w:r>
      <w:r>
        <w:t>29</w:t>
      </w:r>
      <w:r>
        <w:fldChar w:fldCharType="end"/>
      </w:r>
      <w:r>
        <w:rPr>
          <w:rFonts w:hint="eastAsia"/>
          <w:lang w:val="en-US" w:eastAsia="zh-CN"/>
        </w:rPr>
        <w:fldChar w:fldCharType="end"/>
      </w:r>
    </w:p>
    <w:p w14:paraId="79709C81">
      <w:pPr>
        <w:pStyle w:val="9"/>
        <w:tabs>
          <w:tab w:val="right" w:leader="dot" w:pos="8250"/>
        </w:tabs>
      </w:pPr>
      <w:r>
        <w:rPr>
          <w:rFonts w:hint="eastAsia"/>
          <w:lang w:val="en-US" w:eastAsia="zh-CN"/>
        </w:rPr>
        <w:fldChar w:fldCharType="begin"/>
      </w:r>
      <w:r>
        <w:rPr>
          <w:rFonts w:hint="eastAsia"/>
          <w:lang w:val="en-US" w:eastAsia="zh-CN"/>
        </w:rPr>
        <w:instrText xml:space="preserve"> HYPERLINK \l _Toc19254 </w:instrText>
      </w:r>
      <w:r>
        <w:rPr>
          <w:rFonts w:hint="eastAsia"/>
          <w:lang w:val="en-US" w:eastAsia="zh-CN"/>
        </w:rPr>
        <w:fldChar w:fldCharType="separate"/>
      </w:r>
      <w:r>
        <w:rPr>
          <w:rFonts w:hint="eastAsia"/>
          <w:szCs w:val="22"/>
          <w:lang w:val="en-US" w:eastAsia="zh-CN"/>
        </w:rPr>
        <w:t>8.3改性玻化微珠外墙粘锚托系统</w:t>
      </w:r>
      <w:r>
        <w:tab/>
      </w:r>
      <w:r>
        <w:fldChar w:fldCharType="begin"/>
      </w:r>
      <w:r>
        <w:instrText xml:space="preserve"> PAGEREF _Toc19254 \h </w:instrText>
      </w:r>
      <w:r>
        <w:fldChar w:fldCharType="separate"/>
      </w:r>
      <w:r>
        <w:t>32</w:t>
      </w:r>
      <w:r>
        <w:fldChar w:fldCharType="end"/>
      </w:r>
      <w:r>
        <w:rPr>
          <w:rFonts w:hint="eastAsia"/>
          <w:lang w:val="en-US" w:eastAsia="zh-CN"/>
        </w:rPr>
        <w:fldChar w:fldCharType="end"/>
      </w:r>
    </w:p>
    <w:p w14:paraId="72C8F305">
      <w:pPr>
        <w:pStyle w:val="8"/>
        <w:tabs>
          <w:tab w:val="right" w:leader="dot" w:pos="8250"/>
        </w:tabs>
      </w:pPr>
      <w:r>
        <w:rPr>
          <w:rFonts w:hint="eastAsia"/>
          <w:lang w:val="en-US" w:eastAsia="zh-CN"/>
        </w:rPr>
        <w:fldChar w:fldCharType="begin"/>
      </w:r>
      <w:r>
        <w:rPr>
          <w:rFonts w:hint="eastAsia"/>
          <w:lang w:val="en-US" w:eastAsia="zh-CN"/>
        </w:rPr>
        <w:instrText xml:space="preserve"> HYPERLINK \l _Toc21837 </w:instrText>
      </w:r>
      <w:r>
        <w:rPr>
          <w:rFonts w:hint="eastAsia"/>
          <w:lang w:val="en-US" w:eastAsia="zh-CN"/>
        </w:rPr>
        <w:fldChar w:fldCharType="separate"/>
      </w:r>
      <w:r>
        <w:rPr>
          <w:rFonts w:hint="eastAsia" w:ascii="Times New Roman" w:hAnsi="Times New Roman" w:eastAsia="宋体" w:cs="Times New Roman"/>
          <w:szCs w:val="22"/>
          <w:lang w:val="en-US" w:eastAsia="zh-CN"/>
        </w:rPr>
        <w:t>本标准用词说明</w:t>
      </w:r>
      <w:r>
        <w:tab/>
      </w:r>
      <w:r>
        <w:fldChar w:fldCharType="begin"/>
      </w:r>
      <w:r>
        <w:instrText xml:space="preserve"> PAGEREF _Toc21837 \h </w:instrText>
      </w:r>
      <w:r>
        <w:fldChar w:fldCharType="separate"/>
      </w:r>
      <w:r>
        <w:t>36</w:t>
      </w:r>
      <w:r>
        <w:fldChar w:fldCharType="end"/>
      </w:r>
      <w:r>
        <w:rPr>
          <w:rFonts w:hint="eastAsia"/>
          <w:lang w:val="en-US" w:eastAsia="zh-CN"/>
        </w:rPr>
        <w:fldChar w:fldCharType="end"/>
      </w:r>
    </w:p>
    <w:p w14:paraId="68EB0973">
      <w:pPr>
        <w:pStyle w:val="8"/>
        <w:tabs>
          <w:tab w:val="right" w:leader="dot" w:pos="8250"/>
        </w:tabs>
      </w:pPr>
      <w:r>
        <w:rPr>
          <w:rFonts w:hint="eastAsia"/>
          <w:lang w:val="en-US" w:eastAsia="zh-CN"/>
        </w:rPr>
        <w:fldChar w:fldCharType="begin"/>
      </w:r>
      <w:r>
        <w:rPr>
          <w:rFonts w:hint="eastAsia"/>
          <w:lang w:val="en-US" w:eastAsia="zh-CN"/>
        </w:rPr>
        <w:instrText xml:space="preserve"> HYPERLINK \l _Toc14160 </w:instrText>
      </w:r>
      <w:r>
        <w:rPr>
          <w:rFonts w:hint="eastAsia"/>
          <w:lang w:val="en-US" w:eastAsia="zh-CN"/>
        </w:rPr>
        <w:fldChar w:fldCharType="separate"/>
      </w:r>
      <w:r>
        <w:rPr>
          <w:rFonts w:hint="eastAsia" w:ascii="Times New Roman" w:hAnsi="Times New Roman" w:eastAsia="宋体" w:cs="Times New Roman"/>
          <w:szCs w:val="22"/>
          <w:lang w:val="en-US" w:eastAsia="zh-CN"/>
        </w:rPr>
        <w:t>引用标准名录</w:t>
      </w:r>
      <w:r>
        <w:tab/>
      </w:r>
      <w:r>
        <w:fldChar w:fldCharType="begin"/>
      </w:r>
      <w:r>
        <w:instrText xml:space="preserve"> PAGEREF _Toc14160 \h </w:instrText>
      </w:r>
      <w:r>
        <w:fldChar w:fldCharType="separate"/>
      </w:r>
      <w:r>
        <w:t>37</w:t>
      </w:r>
      <w:r>
        <w:fldChar w:fldCharType="end"/>
      </w:r>
      <w:r>
        <w:rPr>
          <w:rFonts w:hint="eastAsia"/>
          <w:lang w:val="en-US" w:eastAsia="zh-CN"/>
        </w:rPr>
        <w:fldChar w:fldCharType="end"/>
      </w:r>
    </w:p>
    <w:p w14:paraId="53170C8C">
      <w:pPr>
        <w:rPr>
          <w:rFonts w:hint="default"/>
          <w:lang w:val="en-US" w:eastAsia="zh-CN"/>
        </w:rPr>
      </w:pPr>
      <w:r>
        <w:rPr>
          <w:rFonts w:hint="eastAsia"/>
          <w:lang w:val="en-US" w:eastAsia="zh-CN"/>
        </w:rPr>
        <w:fldChar w:fldCharType="end"/>
      </w:r>
      <w:r>
        <w:rPr>
          <w:rFonts w:hint="eastAsia"/>
          <w:lang w:val="en-US" w:eastAsia="zh-CN"/>
        </w:rPr>
        <w:t>条文说明.........................................................................................................................................38</w:t>
      </w:r>
    </w:p>
    <w:p w14:paraId="259E73F5">
      <w:pPr>
        <w:rPr>
          <w:rFonts w:hint="eastAsia"/>
          <w:lang w:val="en-US" w:eastAsia="zh-CN"/>
        </w:rPr>
      </w:pPr>
    </w:p>
    <w:p w14:paraId="00135BB9">
      <w:pPr>
        <w:rPr>
          <w:rFonts w:hint="eastAsia"/>
          <w:lang w:val="en-US" w:eastAsia="zh-CN"/>
        </w:rPr>
      </w:pPr>
    </w:p>
    <w:p w14:paraId="3D8B14EC">
      <w:pPr>
        <w:rPr>
          <w:rFonts w:hint="eastAsia"/>
          <w:lang w:val="en-US" w:eastAsia="zh-CN"/>
        </w:rPr>
      </w:pPr>
    </w:p>
    <w:p w14:paraId="65A29B0F">
      <w:pPr>
        <w:rPr>
          <w:rFonts w:hint="eastAsia"/>
          <w:lang w:val="en-US" w:eastAsia="zh-CN"/>
        </w:rPr>
      </w:pPr>
    </w:p>
    <w:p w14:paraId="2B338C89">
      <w:pPr>
        <w:rPr>
          <w:rFonts w:hint="eastAsia"/>
          <w:lang w:val="en-US" w:eastAsia="zh-CN"/>
        </w:rPr>
      </w:pPr>
    </w:p>
    <w:p w14:paraId="06E8A0B9">
      <w:pPr>
        <w:rPr>
          <w:rFonts w:hint="eastAsia"/>
          <w:lang w:val="en-US" w:eastAsia="zh-CN"/>
        </w:rPr>
      </w:pPr>
    </w:p>
    <w:p w14:paraId="1A0A117C">
      <w:pPr>
        <w:rPr>
          <w:rFonts w:hint="eastAsia"/>
          <w:lang w:val="en-US" w:eastAsia="zh-CN"/>
        </w:rPr>
      </w:pPr>
    </w:p>
    <w:p w14:paraId="430B8A72">
      <w:pPr>
        <w:rPr>
          <w:rFonts w:hint="eastAsia"/>
          <w:lang w:val="en-US" w:eastAsia="zh-CN"/>
        </w:rPr>
      </w:pPr>
    </w:p>
    <w:p w14:paraId="1BDDFD68">
      <w:pPr>
        <w:rPr>
          <w:rFonts w:hint="eastAsia"/>
          <w:lang w:val="en-US" w:eastAsia="zh-CN"/>
        </w:rPr>
      </w:pPr>
    </w:p>
    <w:p w14:paraId="603E8AC7">
      <w:pPr>
        <w:rPr>
          <w:rFonts w:hint="eastAsia"/>
          <w:lang w:val="en-US" w:eastAsia="zh-CN"/>
        </w:rPr>
      </w:pPr>
    </w:p>
    <w:p w14:paraId="7A7BCD92">
      <w:pPr>
        <w:rPr>
          <w:rFonts w:hint="eastAsia"/>
          <w:lang w:val="en-US" w:eastAsia="zh-CN"/>
        </w:rPr>
      </w:pPr>
    </w:p>
    <w:p w14:paraId="537E2C6D">
      <w:pPr>
        <w:rPr>
          <w:rFonts w:hint="eastAsia"/>
          <w:lang w:val="en-US" w:eastAsia="zh-CN"/>
        </w:rPr>
      </w:pPr>
    </w:p>
    <w:p w14:paraId="7F64147F">
      <w:pPr>
        <w:rPr>
          <w:rFonts w:hint="eastAsia"/>
          <w:lang w:val="en-US" w:eastAsia="zh-CN"/>
        </w:rPr>
      </w:pPr>
    </w:p>
    <w:p w14:paraId="291A183B">
      <w:pPr>
        <w:rPr>
          <w:rFonts w:hint="eastAsia"/>
          <w:lang w:val="en-US" w:eastAsia="zh-CN"/>
        </w:rPr>
      </w:pPr>
    </w:p>
    <w:p w14:paraId="12FEBA1B">
      <w:pPr>
        <w:rPr>
          <w:rFonts w:hint="eastAsia"/>
          <w:lang w:val="en-US" w:eastAsia="zh-CN"/>
        </w:rPr>
      </w:pPr>
    </w:p>
    <w:p w14:paraId="7CDAF14E">
      <w:pPr>
        <w:pStyle w:val="2"/>
        <w:pageBreakBefore w:val="0"/>
        <w:widowControl w:val="0"/>
        <w:kinsoku/>
        <w:wordWrap/>
        <w:overflowPunct/>
        <w:topLinePunct w:val="0"/>
        <w:bidi w:val="0"/>
        <w:snapToGrid/>
        <w:spacing w:line="360" w:lineRule="auto"/>
        <w:jc w:val="center"/>
        <w:textAlignment w:val="auto"/>
        <w:rPr>
          <w:rFonts w:hint="eastAsia"/>
          <w:lang w:val="en-US" w:eastAsia="zh-CN"/>
        </w:rPr>
        <w:sectPr>
          <w:pgSz w:w="11850" w:h="16783"/>
          <w:pgMar w:top="1440" w:right="1800" w:bottom="1440" w:left="1800" w:header="851" w:footer="992" w:gutter="0"/>
          <w:cols w:space="720" w:num="1"/>
          <w:docGrid w:type="lines" w:linePitch="312" w:charSpace="0"/>
        </w:sectPr>
      </w:pPr>
      <w:bookmarkStart w:id="20" w:name="_Toc3312"/>
    </w:p>
    <w:p w14:paraId="493631AF">
      <w:pPr>
        <w:jc w:val="center"/>
        <w:rPr>
          <w:rFonts w:hint="eastAsia"/>
          <w:lang w:val="en-US" w:eastAsia="zh-CN"/>
        </w:rPr>
      </w:pPr>
      <w:r>
        <w:rPr>
          <w:rFonts w:eastAsia="Times New Roman"/>
          <w:b/>
          <w:sz w:val="32"/>
          <w:szCs w:val="32"/>
        </w:rPr>
        <w:t>Contents</w:t>
      </w:r>
    </w:p>
    <w:p w14:paraId="79CB7C18">
      <w:pPr>
        <w:pStyle w:val="8"/>
        <w:tabs>
          <w:tab w:val="right" w:leader="dot" w:pos="8250"/>
        </w:tabs>
      </w:pPr>
      <w:r>
        <w:rPr>
          <w:rFonts w:hint="eastAsia"/>
          <w:lang w:val="en-US" w:eastAsia="zh-CN"/>
        </w:rPr>
        <w:fldChar w:fldCharType="begin"/>
      </w:r>
      <w:r>
        <w:rPr>
          <w:rFonts w:hint="eastAsia"/>
          <w:lang w:val="en-US" w:eastAsia="zh-CN"/>
        </w:rPr>
        <w:instrText xml:space="preserve"> HYPERLINK \l _Toc3312 </w:instrText>
      </w:r>
      <w:r>
        <w:rPr>
          <w:rFonts w:hint="eastAsia"/>
          <w:lang w:val="en-US" w:eastAsia="zh-CN"/>
        </w:rPr>
        <w:fldChar w:fldCharType="separate"/>
      </w:r>
      <w:r>
        <w:rPr>
          <w:rFonts w:hint="eastAsia"/>
          <w:lang w:val="en-US" w:eastAsia="zh-CN"/>
        </w:rPr>
        <w:t xml:space="preserve">1 </w:t>
      </w:r>
      <w:r>
        <w:rPr>
          <w:rFonts w:eastAsia="Times New Roman"/>
          <w:sz w:val="24"/>
          <w:szCs w:val="24"/>
        </w:rPr>
        <w:t>General Pr</w:t>
      </w:r>
      <w:r>
        <w:rPr>
          <w:rFonts w:hint="eastAsia"/>
          <w:sz w:val="24"/>
          <w:szCs w:val="24"/>
        </w:rPr>
        <w:t>inciples</w:t>
      </w:r>
      <w:r>
        <w:tab/>
      </w:r>
      <w:r>
        <w:fldChar w:fldCharType="begin"/>
      </w:r>
      <w:r>
        <w:instrText xml:space="preserve"> PAGEREF _Toc3312 \h </w:instrText>
      </w:r>
      <w:r>
        <w:fldChar w:fldCharType="separate"/>
      </w:r>
      <w:r>
        <w:t>1</w:t>
      </w:r>
      <w:r>
        <w:fldChar w:fldCharType="end"/>
      </w:r>
      <w:r>
        <w:rPr>
          <w:rFonts w:hint="eastAsia"/>
          <w:lang w:val="en-US" w:eastAsia="zh-CN"/>
        </w:rPr>
        <w:fldChar w:fldCharType="end"/>
      </w:r>
    </w:p>
    <w:p w14:paraId="44FE9CA1">
      <w:pPr>
        <w:pStyle w:val="8"/>
        <w:tabs>
          <w:tab w:val="right" w:leader="dot" w:pos="8250"/>
        </w:tabs>
      </w:pPr>
      <w:r>
        <w:rPr>
          <w:rFonts w:hint="eastAsia"/>
          <w:lang w:val="en-US" w:eastAsia="zh-CN"/>
        </w:rPr>
        <w:fldChar w:fldCharType="begin"/>
      </w:r>
      <w:r>
        <w:rPr>
          <w:rFonts w:hint="eastAsia"/>
          <w:lang w:val="en-US" w:eastAsia="zh-CN"/>
        </w:rPr>
        <w:instrText xml:space="preserve"> HYPERLINK \l _Toc14934 </w:instrText>
      </w:r>
      <w:r>
        <w:rPr>
          <w:rFonts w:hint="eastAsia"/>
          <w:lang w:val="en-US" w:eastAsia="zh-CN"/>
        </w:rPr>
        <w:fldChar w:fldCharType="separate"/>
      </w:r>
      <w:r>
        <w:rPr>
          <w:rFonts w:hint="eastAsia" w:eastAsia="宋体"/>
          <w:szCs w:val="22"/>
          <w:lang w:val="en-US" w:eastAsia="zh-CN"/>
        </w:rPr>
        <w:t xml:space="preserve">2 </w:t>
      </w:r>
      <w:r>
        <w:rPr>
          <w:rFonts w:eastAsia="Times New Roman"/>
          <w:sz w:val="24"/>
          <w:szCs w:val="24"/>
        </w:rPr>
        <w:t>Terms</w:t>
      </w:r>
      <w:r>
        <w:tab/>
      </w:r>
      <w:r>
        <w:fldChar w:fldCharType="begin"/>
      </w:r>
      <w:r>
        <w:instrText xml:space="preserve"> PAGEREF _Toc14934 \h </w:instrText>
      </w:r>
      <w:r>
        <w:fldChar w:fldCharType="separate"/>
      </w:r>
      <w:r>
        <w:t>2</w:t>
      </w:r>
      <w:r>
        <w:fldChar w:fldCharType="end"/>
      </w:r>
      <w:r>
        <w:rPr>
          <w:rFonts w:hint="eastAsia"/>
          <w:lang w:val="en-US" w:eastAsia="zh-CN"/>
        </w:rPr>
        <w:fldChar w:fldCharType="end"/>
      </w:r>
    </w:p>
    <w:p w14:paraId="7CF27589">
      <w:pPr>
        <w:pStyle w:val="8"/>
        <w:tabs>
          <w:tab w:val="right" w:leader="dot" w:pos="8250"/>
        </w:tabs>
      </w:pPr>
      <w:r>
        <w:rPr>
          <w:rFonts w:hint="eastAsia"/>
          <w:lang w:val="en-US" w:eastAsia="zh-CN"/>
        </w:rPr>
        <w:fldChar w:fldCharType="begin"/>
      </w:r>
      <w:r>
        <w:rPr>
          <w:rFonts w:hint="eastAsia"/>
          <w:lang w:val="en-US" w:eastAsia="zh-CN"/>
        </w:rPr>
        <w:instrText xml:space="preserve"> HYPERLINK \l _Toc31668 </w:instrText>
      </w:r>
      <w:r>
        <w:rPr>
          <w:rFonts w:hint="eastAsia"/>
          <w:lang w:val="en-US" w:eastAsia="zh-CN"/>
        </w:rPr>
        <w:fldChar w:fldCharType="separate"/>
      </w:r>
      <w:r>
        <w:rPr>
          <w:rFonts w:hint="eastAsia" w:eastAsia="宋体"/>
          <w:szCs w:val="22"/>
          <w:lang w:val="en-US" w:eastAsia="zh-CN"/>
        </w:rPr>
        <w:t xml:space="preserve">3 </w:t>
      </w:r>
      <w:r>
        <w:rPr>
          <w:rFonts w:hint="eastAsia"/>
          <w:sz w:val="24"/>
          <w:szCs w:val="24"/>
        </w:rPr>
        <w:t>Basic requirements</w:t>
      </w:r>
      <w:r>
        <w:tab/>
      </w:r>
      <w:r>
        <w:fldChar w:fldCharType="begin"/>
      </w:r>
      <w:r>
        <w:instrText xml:space="preserve"> PAGEREF _Toc31668 \h </w:instrText>
      </w:r>
      <w:r>
        <w:fldChar w:fldCharType="separate"/>
      </w:r>
      <w:r>
        <w:t>5</w:t>
      </w:r>
      <w:r>
        <w:fldChar w:fldCharType="end"/>
      </w:r>
      <w:r>
        <w:rPr>
          <w:rFonts w:hint="eastAsia"/>
          <w:lang w:val="en-US" w:eastAsia="zh-CN"/>
        </w:rPr>
        <w:fldChar w:fldCharType="end"/>
      </w:r>
    </w:p>
    <w:p w14:paraId="570FAAEE">
      <w:pPr>
        <w:pStyle w:val="8"/>
        <w:tabs>
          <w:tab w:val="right" w:leader="dot" w:pos="8250"/>
        </w:tabs>
      </w:pPr>
      <w:r>
        <w:rPr>
          <w:rFonts w:hint="eastAsia"/>
          <w:lang w:val="en-US" w:eastAsia="zh-CN"/>
        </w:rPr>
        <w:fldChar w:fldCharType="begin"/>
      </w:r>
      <w:r>
        <w:rPr>
          <w:rFonts w:hint="eastAsia"/>
          <w:lang w:val="en-US" w:eastAsia="zh-CN"/>
        </w:rPr>
        <w:instrText xml:space="preserve"> HYPERLINK \l _Toc2203 </w:instrText>
      </w:r>
      <w:r>
        <w:rPr>
          <w:rFonts w:hint="eastAsia"/>
          <w:lang w:val="en-US" w:eastAsia="zh-CN"/>
        </w:rPr>
        <w:fldChar w:fldCharType="separate"/>
      </w:r>
      <w:r>
        <w:rPr>
          <w:rFonts w:hint="eastAsia" w:eastAsia="宋体"/>
          <w:szCs w:val="22"/>
          <w:lang w:val="en-US" w:eastAsia="zh-CN"/>
        </w:rPr>
        <w:t xml:space="preserve">4 </w:t>
      </w:r>
      <w:r>
        <w:rPr>
          <w:rFonts w:hint="eastAsia"/>
          <w:szCs w:val="22"/>
          <w:lang w:val="en-US" w:eastAsia="zh-CN"/>
        </w:rPr>
        <w:t>Check and repair</w:t>
      </w:r>
      <w:r>
        <w:tab/>
      </w:r>
      <w:r>
        <w:fldChar w:fldCharType="begin"/>
      </w:r>
      <w:r>
        <w:instrText xml:space="preserve"> PAGEREF _Toc2203 \h </w:instrText>
      </w:r>
      <w:r>
        <w:fldChar w:fldCharType="separate"/>
      </w:r>
      <w:r>
        <w:t>6</w:t>
      </w:r>
      <w:r>
        <w:fldChar w:fldCharType="end"/>
      </w:r>
      <w:r>
        <w:rPr>
          <w:rFonts w:hint="eastAsia"/>
          <w:lang w:val="en-US" w:eastAsia="zh-CN"/>
        </w:rPr>
        <w:fldChar w:fldCharType="end"/>
      </w:r>
    </w:p>
    <w:p w14:paraId="63A78600">
      <w:pPr>
        <w:pStyle w:val="9"/>
        <w:tabs>
          <w:tab w:val="right" w:leader="dot" w:pos="8250"/>
        </w:tabs>
      </w:pPr>
      <w:r>
        <w:rPr>
          <w:rFonts w:hint="eastAsia"/>
          <w:lang w:val="en-US" w:eastAsia="zh-CN"/>
        </w:rPr>
        <w:fldChar w:fldCharType="begin"/>
      </w:r>
      <w:r>
        <w:rPr>
          <w:rFonts w:hint="eastAsia"/>
          <w:lang w:val="en-US" w:eastAsia="zh-CN"/>
        </w:rPr>
        <w:instrText xml:space="preserve"> HYPERLINK \l _Toc9683 </w:instrText>
      </w:r>
      <w:r>
        <w:rPr>
          <w:rFonts w:hint="eastAsia"/>
          <w:lang w:val="en-US" w:eastAsia="zh-CN"/>
        </w:rPr>
        <w:fldChar w:fldCharType="separate"/>
      </w:r>
      <w:r>
        <w:rPr>
          <w:rFonts w:hint="eastAsia"/>
          <w:lang w:val="en-US" w:eastAsia="zh-CN"/>
        </w:rPr>
        <w:t xml:space="preserve">4.1 </w:t>
      </w:r>
      <w:r>
        <w:rPr>
          <w:rFonts w:hint="eastAsia"/>
          <w:sz w:val="24"/>
          <w:szCs w:val="24"/>
        </w:rPr>
        <w:t>General requirements</w:t>
      </w:r>
      <w:r>
        <w:tab/>
      </w:r>
      <w:r>
        <w:fldChar w:fldCharType="begin"/>
      </w:r>
      <w:r>
        <w:instrText xml:space="preserve"> PAGEREF _Toc9683 \h </w:instrText>
      </w:r>
      <w:r>
        <w:fldChar w:fldCharType="separate"/>
      </w:r>
      <w:r>
        <w:t>6</w:t>
      </w:r>
      <w:r>
        <w:fldChar w:fldCharType="end"/>
      </w:r>
      <w:r>
        <w:rPr>
          <w:rFonts w:hint="eastAsia"/>
          <w:lang w:val="en-US" w:eastAsia="zh-CN"/>
        </w:rPr>
        <w:fldChar w:fldCharType="end"/>
      </w:r>
    </w:p>
    <w:p w14:paraId="5BE23801">
      <w:pPr>
        <w:pStyle w:val="9"/>
        <w:tabs>
          <w:tab w:val="right" w:leader="dot" w:pos="8250"/>
        </w:tabs>
      </w:pPr>
      <w:r>
        <w:rPr>
          <w:rFonts w:hint="eastAsia"/>
          <w:lang w:val="en-US" w:eastAsia="zh-CN"/>
        </w:rPr>
        <w:fldChar w:fldCharType="begin"/>
      </w:r>
      <w:r>
        <w:rPr>
          <w:rFonts w:hint="eastAsia"/>
          <w:lang w:val="en-US" w:eastAsia="zh-CN"/>
        </w:rPr>
        <w:instrText xml:space="preserve"> HYPERLINK \l _Toc7572 </w:instrText>
      </w:r>
      <w:r>
        <w:rPr>
          <w:rFonts w:hint="eastAsia"/>
          <w:lang w:val="en-US" w:eastAsia="zh-CN"/>
        </w:rPr>
        <w:fldChar w:fldCharType="separate"/>
      </w:r>
      <w:r>
        <w:rPr>
          <w:rFonts w:hint="eastAsia"/>
          <w:lang w:val="en-US" w:eastAsia="zh-CN"/>
        </w:rPr>
        <w:t xml:space="preserve">4.2 </w:t>
      </w:r>
      <w:r>
        <w:rPr>
          <w:rFonts w:hint="eastAsia"/>
          <w:szCs w:val="22"/>
          <w:lang w:val="en-US" w:eastAsia="zh-CN"/>
        </w:rPr>
        <w:t>Check</w:t>
      </w:r>
      <w:r>
        <w:tab/>
      </w:r>
      <w:r>
        <w:fldChar w:fldCharType="begin"/>
      </w:r>
      <w:r>
        <w:instrText xml:space="preserve"> PAGEREF _Toc7572 \h </w:instrText>
      </w:r>
      <w:r>
        <w:fldChar w:fldCharType="separate"/>
      </w:r>
      <w:r>
        <w:t>6</w:t>
      </w:r>
      <w:r>
        <w:fldChar w:fldCharType="end"/>
      </w:r>
      <w:r>
        <w:rPr>
          <w:rFonts w:hint="eastAsia"/>
          <w:lang w:val="en-US" w:eastAsia="zh-CN"/>
        </w:rPr>
        <w:fldChar w:fldCharType="end"/>
      </w:r>
    </w:p>
    <w:p w14:paraId="093E8A2A">
      <w:pPr>
        <w:pStyle w:val="9"/>
        <w:tabs>
          <w:tab w:val="right" w:leader="dot" w:pos="8250"/>
        </w:tabs>
      </w:pPr>
      <w:r>
        <w:rPr>
          <w:rFonts w:hint="eastAsia"/>
          <w:lang w:val="en-US" w:eastAsia="zh-CN"/>
        </w:rPr>
        <w:fldChar w:fldCharType="begin"/>
      </w:r>
      <w:r>
        <w:rPr>
          <w:rFonts w:hint="eastAsia"/>
          <w:lang w:val="en-US" w:eastAsia="zh-CN"/>
        </w:rPr>
        <w:instrText xml:space="preserve"> HYPERLINK \l _Toc13956 </w:instrText>
      </w:r>
      <w:r>
        <w:rPr>
          <w:rFonts w:hint="eastAsia"/>
          <w:lang w:val="en-US" w:eastAsia="zh-CN"/>
        </w:rPr>
        <w:fldChar w:fldCharType="separate"/>
      </w:r>
      <w:r>
        <w:rPr>
          <w:rFonts w:hint="eastAsia"/>
          <w:szCs w:val="22"/>
          <w:lang w:val="en-US" w:eastAsia="zh-CN"/>
        </w:rPr>
        <w:t>4.3 Repair</w:t>
      </w:r>
      <w:r>
        <w:tab/>
      </w:r>
      <w:r>
        <w:fldChar w:fldCharType="begin"/>
      </w:r>
      <w:r>
        <w:instrText xml:space="preserve"> PAGEREF _Toc13956 \h </w:instrText>
      </w:r>
      <w:r>
        <w:fldChar w:fldCharType="separate"/>
      </w:r>
      <w:r>
        <w:t>9</w:t>
      </w:r>
      <w:r>
        <w:fldChar w:fldCharType="end"/>
      </w:r>
      <w:r>
        <w:rPr>
          <w:rFonts w:hint="eastAsia"/>
          <w:lang w:val="en-US" w:eastAsia="zh-CN"/>
        </w:rPr>
        <w:fldChar w:fldCharType="end"/>
      </w:r>
    </w:p>
    <w:p w14:paraId="54D5B526">
      <w:pPr>
        <w:pStyle w:val="8"/>
        <w:tabs>
          <w:tab w:val="right" w:leader="dot" w:pos="8250"/>
        </w:tabs>
      </w:pPr>
      <w:r>
        <w:rPr>
          <w:rFonts w:hint="eastAsia"/>
          <w:lang w:val="en-US" w:eastAsia="zh-CN"/>
        </w:rPr>
        <w:fldChar w:fldCharType="begin"/>
      </w:r>
      <w:r>
        <w:rPr>
          <w:rFonts w:hint="eastAsia"/>
          <w:lang w:val="en-US" w:eastAsia="zh-CN"/>
        </w:rPr>
        <w:instrText xml:space="preserve"> HYPERLINK \l _Toc24516 </w:instrText>
      </w:r>
      <w:r>
        <w:rPr>
          <w:rFonts w:hint="eastAsia"/>
          <w:lang w:val="en-US" w:eastAsia="zh-CN"/>
        </w:rPr>
        <w:fldChar w:fldCharType="separate"/>
      </w:r>
      <w:r>
        <w:rPr>
          <w:rFonts w:hint="eastAsia" w:eastAsia="宋体"/>
          <w:szCs w:val="22"/>
          <w:lang w:val="en-US" w:eastAsia="zh-CN"/>
        </w:rPr>
        <w:t xml:space="preserve">5 </w:t>
      </w:r>
      <w:r>
        <w:rPr>
          <w:rFonts w:hint="eastAsia" w:ascii="Times New Roman" w:hAnsi="Times New Roman" w:eastAsia="宋体" w:cs="Times New Roman"/>
          <w:kern w:val="2"/>
          <w:sz w:val="24"/>
          <w:szCs w:val="24"/>
          <w:lang w:val="en-US" w:eastAsia="zh-CN" w:bidi="ar-SA"/>
        </w:rPr>
        <w:t>System and material</w:t>
      </w:r>
      <w:r>
        <w:tab/>
      </w:r>
      <w:r>
        <w:fldChar w:fldCharType="begin"/>
      </w:r>
      <w:r>
        <w:instrText xml:space="preserve"> PAGEREF _Toc24516 \h </w:instrText>
      </w:r>
      <w:r>
        <w:fldChar w:fldCharType="separate"/>
      </w:r>
      <w:r>
        <w:t>11</w:t>
      </w:r>
      <w:r>
        <w:fldChar w:fldCharType="end"/>
      </w:r>
      <w:r>
        <w:rPr>
          <w:rFonts w:hint="eastAsia"/>
          <w:lang w:val="en-US" w:eastAsia="zh-CN"/>
        </w:rPr>
        <w:fldChar w:fldCharType="end"/>
      </w:r>
    </w:p>
    <w:p w14:paraId="62B2A807">
      <w:pPr>
        <w:pStyle w:val="9"/>
        <w:tabs>
          <w:tab w:val="right" w:leader="dot" w:pos="8250"/>
        </w:tabs>
      </w:pPr>
      <w:r>
        <w:rPr>
          <w:rFonts w:hint="eastAsia"/>
          <w:lang w:val="en-US" w:eastAsia="zh-CN"/>
        </w:rPr>
        <w:fldChar w:fldCharType="begin"/>
      </w:r>
      <w:r>
        <w:rPr>
          <w:rFonts w:hint="eastAsia"/>
          <w:lang w:val="en-US" w:eastAsia="zh-CN"/>
        </w:rPr>
        <w:instrText xml:space="preserve"> HYPERLINK \l _Toc27077 </w:instrText>
      </w:r>
      <w:r>
        <w:rPr>
          <w:rFonts w:hint="eastAsia"/>
          <w:lang w:val="en-US" w:eastAsia="zh-CN"/>
        </w:rPr>
        <w:fldChar w:fldCharType="separate"/>
      </w:r>
      <w:r>
        <w:rPr>
          <w:rFonts w:hint="eastAsia"/>
          <w:lang w:val="en-US" w:eastAsia="zh-CN"/>
        </w:rPr>
        <w:t xml:space="preserve">5.1 </w:t>
      </w:r>
      <w:r>
        <w:rPr>
          <w:rFonts w:hint="eastAsia"/>
          <w:sz w:val="24"/>
          <w:szCs w:val="24"/>
        </w:rPr>
        <w:t>General requirements</w:t>
      </w:r>
      <w:r>
        <w:tab/>
      </w:r>
      <w:r>
        <w:fldChar w:fldCharType="begin"/>
      </w:r>
      <w:r>
        <w:instrText xml:space="preserve"> PAGEREF _Toc27077 \h </w:instrText>
      </w:r>
      <w:r>
        <w:fldChar w:fldCharType="separate"/>
      </w:r>
      <w:r>
        <w:t>11</w:t>
      </w:r>
      <w:r>
        <w:fldChar w:fldCharType="end"/>
      </w:r>
      <w:r>
        <w:rPr>
          <w:rFonts w:hint="eastAsia"/>
          <w:lang w:val="en-US" w:eastAsia="zh-CN"/>
        </w:rPr>
        <w:fldChar w:fldCharType="end"/>
      </w:r>
    </w:p>
    <w:p w14:paraId="195EBAAF">
      <w:pPr>
        <w:pStyle w:val="9"/>
        <w:tabs>
          <w:tab w:val="right" w:leader="dot" w:pos="8250"/>
        </w:tabs>
      </w:pPr>
      <w:r>
        <w:rPr>
          <w:rFonts w:hint="eastAsia"/>
          <w:lang w:val="en-US" w:eastAsia="zh-CN"/>
        </w:rPr>
        <w:fldChar w:fldCharType="begin"/>
      </w:r>
      <w:r>
        <w:rPr>
          <w:rFonts w:hint="eastAsia"/>
          <w:lang w:val="en-US" w:eastAsia="zh-CN"/>
        </w:rPr>
        <w:instrText xml:space="preserve"> HYPERLINK \l _Toc21680 </w:instrText>
      </w:r>
      <w:r>
        <w:rPr>
          <w:rFonts w:hint="eastAsia"/>
          <w:lang w:val="en-US" w:eastAsia="zh-CN"/>
        </w:rPr>
        <w:fldChar w:fldCharType="separate"/>
      </w:r>
      <w:r>
        <w:rPr>
          <w:rFonts w:hint="eastAsia"/>
          <w:szCs w:val="22"/>
          <w:lang w:val="en-US" w:eastAsia="zh-CN"/>
        </w:rPr>
        <w:t xml:space="preserve">5.2 </w:t>
      </w:r>
      <w:r>
        <w:rPr>
          <w:rFonts w:hint="eastAsia" w:ascii="Times New Roman" w:hAnsi="Times New Roman" w:cs="Times New Roman"/>
          <w:b w:val="0"/>
          <w:bCs w:val="0"/>
          <w:color w:val="auto"/>
          <w:kern w:val="2"/>
          <w:sz w:val="24"/>
          <w:szCs w:val="24"/>
          <w:lang w:val="en-US" w:eastAsia="zh-CN" w:bidi="ar-SA"/>
        </w:rPr>
        <w:t>M</w:t>
      </w:r>
      <w:r>
        <w:rPr>
          <w:rFonts w:hint="eastAsia" w:ascii="Times New Roman" w:hAnsi="Times New Roman" w:eastAsia="宋体" w:cs="Times New Roman"/>
          <w:b w:val="0"/>
          <w:bCs w:val="0"/>
          <w:color w:val="auto"/>
          <w:kern w:val="2"/>
          <w:sz w:val="24"/>
          <w:szCs w:val="24"/>
          <w:lang w:val="en-US" w:eastAsia="zh-CN" w:bidi="ar-SA"/>
        </w:rPr>
        <w:t>odified vitrified microbead exterior wall dry hanging system</w:t>
      </w:r>
      <w:r>
        <w:tab/>
      </w:r>
      <w:r>
        <w:fldChar w:fldCharType="begin"/>
      </w:r>
      <w:r>
        <w:instrText xml:space="preserve"> PAGEREF _Toc21680 \h </w:instrText>
      </w:r>
      <w:r>
        <w:fldChar w:fldCharType="separate"/>
      </w:r>
      <w:r>
        <w:t>11</w:t>
      </w:r>
      <w:r>
        <w:fldChar w:fldCharType="end"/>
      </w:r>
      <w:r>
        <w:rPr>
          <w:rFonts w:hint="eastAsia"/>
          <w:lang w:val="en-US" w:eastAsia="zh-CN"/>
        </w:rPr>
        <w:fldChar w:fldCharType="end"/>
      </w:r>
    </w:p>
    <w:p w14:paraId="38B81DF5">
      <w:pPr>
        <w:pStyle w:val="9"/>
        <w:tabs>
          <w:tab w:val="right" w:leader="dot" w:pos="8250"/>
        </w:tabs>
      </w:pPr>
      <w:r>
        <w:rPr>
          <w:rFonts w:hint="eastAsia"/>
          <w:lang w:val="en-US" w:eastAsia="zh-CN"/>
        </w:rPr>
        <w:fldChar w:fldCharType="begin"/>
      </w:r>
      <w:r>
        <w:rPr>
          <w:rFonts w:hint="eastAsia"/>
          <w:lang w:val="en-US" w:eastAsia="zh-CN"/>
        </w:rPr>
        <w:instrText xml:space="preserve"> HYPERLINK \l _Toc27286 </w:instrText>
      </w:r>
      <w:r>
        <w:rPr>
          <w:rFonts w:hint="eastAsia"/>
          <w:lang w:val="en-US" w:eastAsia="zh-CN"/>
        </w:rPr>
        <w:fldChar w:fldCharType="separate"/>
      </w:r>
      <w:r>
        <w:rPr>
          <w:rFonts w:hint="eastAsia"/>
          <w:szCs w:val="22"/>
          <w:lang w:val="en-US" w:eastAsia="zh-CN"/>
        </w:rPr>
        <w:t xml:space="preserve">5.3 </w:t>
      </w:r>
      <w:r>
        <w:rPr>
          <w:rFonts w:hint="eastAsia"/>
          <w:b w:val="0"/>
          <w:bCs w:val="0"/>
          <w:sz w:val="24"/>
          <w:szCs w:val="24"/>
          <w:lang w:val="en-US" w:eastAsia="zh-CN"/>
        </w:rPr>
        <w:t>Modified vitrified microsphere external wall anchor system</w:t>
      </w:r>
      <w:r>
        <w:tab/>
      </w:r>
      <w:r>
        <w:fldChar w:fldCharType="begin"/>
      </w:r>
      <w:r>
        <w:instrText xml:space="preserve"> PAGEREF _Toc27286 \h </w:instrText>
      </w:r>
      <w:r>
        <w:fldChar w:fldCharType="separate"/>
      </w:r>
      <w:r>
        <w:t>13</w:t>
      </w:r>
      <w:r>
        <w:fldChar w:fldCharType="end"/>
      </w:r>
      <w:r>
        <w:rPr>
          <w:rFonts w:hint="eastAsia"/>
          <w:lang w:val="en-US" w:eastAsia="zh-CN"/>
        </w:rPr>
        <w:fldChar w:fldCharType="end"/>
      </w:r>
    </w:p>
    <w:p w14:paraId="7DCB5858">
      <w:pPr>
        <w:pStyle w:val="8"/>
        <w:tabs>
          <w:tab w:val="right" w:leader="dot" w:pos="8250"/>
        </w:tabs>
      </w:pPr>
      <w:r>
        <w:rPr>
          <w:rFonts w:hint="eastAsia"/>
          <w:lang w:val="en-US" w:eastAsia="zh-CN"/>
        </w:rPr>
        <w:fldChar w:fldCharType="begin"/>
      </w:r>
      <w:r>
        <w:rPr>
          <w:rFonts w:hint="eastAsia"/>
          <w:lang w:val="en-US" w:eastAsia="zh-CN"/>
        </w:rPr>
        <w:instrText xml:space="preserve"> HYPERLINK \l _Toc4256 </w:instrText>
      </w:r>
      <w:r>
        <w:rPr>
          <w:rFonts w:hint="eastAsia"/>
          <w:lang w:val="en-US" w:eastAsia="zh-CN"/>
        </w:rPr>
        <w:fldChar w:fldCharType="separate"/>
      </w:r>
      <w:r>
        <w:rPr>
          <w:rFonts w:hint="eastAsia"/>
          <w:szCs w:val="22"/>
          <w:lang w:val="en-US" w:eastAsia="zh-CN"/>
        </w:rPr>
        <w:t xml:space="preserve">6 </w:t>
      </w:r>
      <w:r>
        <w:rPr>
          <w:rFonts w:hint="eastAsia"/>
          <w:sz w:val="24"/>
          <w:szCs w:val="24"/>
        </w:rPr>
        <w:t>Design</w:t>
      </w:r>
      <w:r>
        <w:tab/>
      </w:r>
      <w:r>
        <w:fldChar w:fldCharType="begin"/>
      </w:r>
      <w:r>
        <w:instrText xml:space="preserve"> PAGEREF _Toc4256 \h </w:instrText>
      </w:r>
      <w:r>
        <w:fldChar w:fldCharType="separate"/>
      </w:r>
      <w:r>
        <w:t>17</w:t>
      </w:r>
      <w:r>
        <w:fldChar w:fldCharType="end"/>
      </w:r>
      <w:r>
        <w:rPr>
          <w:rFonts w:hint="eastAsia"/>
          <w:lang w:val="en-US" w:eastAsia="zh-CN"/>
        </w:rPr>
        <w:fldChar w:fldCharType="end"/>
      </w:r>
    </w:p>
    <w:p w14:paraId="2803BA73">
      <w:pPr>
        <w:pStyle w:val="9"/>
        <w:tabs>
          <w:tab w:val="right" w:leader="dot" w:pos="8250"/>
        </w:tabs>
      </w:pPr>
      <w:r>
        <w:rPr>
          <w:rFonts w:hint="eastAsia"/>
          <w:lang w:val="en-US" w:eastAsia="zh-CN"/>
        </w:rPr>
        <w:fldChar w:fldCharType="begin"/>
      </w:r>
      <w:r>
        <w:rPr>
          <w:rFonts w:hint="eastAsia"/>
          <w:lang w:val="en-US" w:eastAsia="zh-CN"/>
        </w:rPr>
        <w:instrText xml:space="preserve"> HYPERLINK \l _Toc25665 </w:instrText>
      </w:r>
      <w:r>
        <w:rPr>
          <w:rFonts w:hint="eastAsia"/>
          <w:lang w:val="en-US" w:eastAsia="zh-CN"/>
        </w:rPr>
        <w:fldChar w:fldCharType="separate"/>
      </w:r>
      <w:r>
        <w:rPr>
          <w:rFonts w:hint="eastAsia"/>
          <w:szCs w:val="22"/>
          <w:lang w:val="en-US" w:eastAsia="zh-CN"/>
        </w:rPr>
        <w:t xml:space="preserve">6.1 </w:t>
      </w:r>
      <w:r>
        <w:rPr>
          <w:rFonts w:hint="eastAsia"/>
          <w:sz w:val="24"/>
          <w:szCs w:val="24"/>
        </w:rPr>
        <w:t>General requirements</w:t>
      </w:r>
      <w:r>
        <w:tab/>
      </w:r>
      <w:r>
        <w:fldChar w:fldCharType="begin"/>
      </w:r>
      <w:r>
        <w:instrText xml:space="preserve"> PAGEREF _Toc25665 \h </w:instrText>
      </w:r>
      <w:r>
        <w:fldChar w:fldCharType="separate"/>
      </w:r>
      <w:r>
        <w:t>17</w:t>
      </w:r>
      <w:r>
        <w:fldChar w:fldCharType="end"/>
      </w:r>
      <w:r>
        <w:rPr>
          <w:rFonts w:hint="eastAsia"/>
          <w:lang w:val="en-US" w:eastAsia="zh-CN"/>
        </w:rPr>
        <w:fldChar w:fldCharType="end"/>
      </w:r>
    </w:p>
    <w:p w14:paraId="1FE66144">
      <w:pPr>
        <w:pStyle w:val="9"/>
        <w:tabs>
          <w:tab w:val="right" w:leader="dot" w:pos="8250"/>
        </w:tabs>
      </w:pPr>
      <w:r>
        <w:rPr>
          <w:rFonts w:hint="eastAsia"/>
          <w:lang w:val="en-US" w:eastAsia="zh-CN"/>
        </w:rPr>
        <w:fldChar w:fldCharType="begin"/>
      </w:r>
      <w:r>
        <w:rPr>
          <w:rFonts w:hint="eastAsia"/>
          <w:lang w:val="en-US" w:eastAsia="zh-CN"/>
        </w:rPr>
        <w:instrText xml:space="preserve"> HYPERLINK \l _Toc24909 </w:instrText>
      </w:r>
      <w:r>
        <w:rPr>
          <w:rFonts w:hint="eastAsia"/>
          <w:lang w:val="en-US" w:eastAsia="zh-CN"/>
        </w:rPr>
        <w:fldChar w:fldCharType="separate"/>
      </w:r>
      <w:r>
        <w:rPr>
          <w:rFonts w:hint="eastAsia"/>
          <w:szCs w:val="22"/>
          <w:lang w:val="en-US" w:eastAsia="zh-CN"/>
        </w:rPr>
        <w:t xml:space="preserve">6.2 </w:t>
      </w:r>
      <w:r>
        <w:rPr>
          <w:rFonts w:hint="eastAsia" w:ascii="Times New Roman" w:hAnsi="Times New Roman" w:cs="Times New Roman"/>
          <w:b w:val="0"/>
          <w:bCs w:val="0"/>
          <w:color w:val="auto"/>
          <w:kern w:val="2"/>
          <w:sz w:val="24"/>
          <w:szCs w:val="24"/>
          <w:lang w:val="en-US" w:eastAsia="zh-CN" w:bidi="ar-SA"/>
        </w:rPr>
        <w:t>M</w:t>
      </w:r>
      <w:r>
        <w:rPr>
          <w:rFonts w:hint="eastAsia" w:ascii="Times New Roman" w:hAnsi="Times New Roman" w:eastAsia="宋体" w:cs="Times New Roman"/>
          <w:b w:val="0"/>
          <w:bCs w:val="0"/>
          <w:color w:val="auto"/>
          <w:kern w:val="2"/>
          <w:sz w:val="24"/>
          <w:szCs w:val="24"/>
          <w:lang w:val="en-US" w:eastAsia="zh-CN" w:bidi="ar-SA"/>
        </w:rPr>
        <w:t>odified vitrified microbead exterior wall dry hanging system</w:t>
      </w:r>
      <w:r>
        <w:tab/>
      </w:r>
      <w:r>
        <w:fldChar w:fldCharType="begin"/>
      </w:r>
      <w:r>
        <w:instrText xml:space="preserve"> PAGEREF _Toc24909 \h </w:instrText>
      </w:r>
      <w:r>
        <w:fldChar w:fldCharType="separate"/>
      </w:r>
      <w:r>
        <w:t>18</w:t>
      </w:r>
      <w:r>
        <w:fldChar w:fldCharType="end"/>
      </w:r>
      <w:r>
        <w:rPr>
          <w:rFonts w:hint="eastAsia"/>
          <w:lang w:val="en-US" w:eastAsia="zh-CN"/>
        </w:rPr>
        <w:fldChar w:fldCharType="end"/>
      </w:r>
    </w:p>
    <w:p w14:paraId="7725AB82">
      <w:pPr>
        <w:pStyle w:val="9"/>
        <w:tabs>
          <w:tab w:val="right" w:leader="dot" w:pos="8250"/>
        </w:tabs>
      </w:pPr>
      <w:r>
        <w:rPr>
          <w:rFonts w:hint="eastAsia"/>
          <w:lang w:val="en-US" w:eastAsia="zh-CN"/>
        </w:rPr>
        <w:fldChar w:fldCharType="begin"/>
      </w:r>
      <w:r>
        <w:rPr>
          <w:rFonts w:hint="eastAsia"/>
          <w:lang w:val="en-US" w:eastAsia="zh-CN"/>
        </w:rPr>
        <w:instrText xml:space="preserve"> HYPERLINK \l _Toc26320 </w:instrText>
      </w:r>
      <w:r>
        <w:rPr>
          <w:rFonts w:hint="eastAsia"/>
          <w:lang w:val="en-US" w:eastAsia="zh-CN"/>
        </w:rPr>
        <w:fldChar w:fldCharType="separate"/>
      </w:r>
      <w:r>
        <w:rPr>
          <w:rFonts w:hint="eastAsia"/>
          <w:szCs w:val="22"/>
          <w:lang w:val="en-US" w:eastAsia="zh-CN"/>
        </w:rPr>
        <w:t xml:space="preserve">6.3 </w:t>
      </w:r>
      <w:r>
        <w:rPr>
          <w:rFonts w:hint="eastAsia"/>
          <w:b w:val="0"/>
          <w:bCs w:val="0"/>
          <w:sz w:val="24"/>
          <w:szCs w:val="24"/>
          <w:lang w:val="en-US" w:eastAsia="zh-CN"/>
        </w:rPr>
        <w:t>Modified vitrified microsphere external wall anchor system</w:t>
      </w:r>
      <w:r>
        <w:tab/>
      </w:r>
      <w:r>
        <w:fldChar w:fldCharType="begin"/>
      </w:r>
      <w:r>
        <w:instrText xml:space="preserve"> PAGEREF _Toc26320 \h </w:instrText>
      </w:r>
      <w:r>
        <w:fldChar w:fldCharType="separate"/>
      </w:r>
      <w:r>
        <w:t>19</w:t>
      </w:r>
      <w:r>
        <w:fldChar w:fldCharType="end"/>
      </w:r>
      <w:r>
        <w:rPr>
          <w:rFonts w:hint="eastAsia"/>
          <w:lang w:val="en-US" w:eastAsia="zh-CN"/>
        </w:rPr>
        <w:fldChar w:fldCharType="end"/>
      </w:r>
    </w:p>
    <w:p w14:paraId="0A442A9D">
      <w:pPr>
        <w:pStyle w:val="8"/>
        <w:tabs>
          <w:tab w:val="right" w:leader="dot" w:pos="8250"/>
        </w:tabs>
      </w:pPr>
      <w:r>
        <w:rPr>
          <w:rFonts w:hint="eastAsia"/>
          <w:lang w:val="en-US" w:eastAsia="zh-CN"/>
        </w:rPr>
        <w:fldChar w:fldCharType="begin"/>
      </w:r>
      <w:r>
        <w:rPr>
          <w:rFonts w:hint="eastAsia"/>
          <w:lang w:val="en-US" w:eastAsia="zh-CN"/>
        </w:rPr>
        <w:instrText xml:space="preserve"> HYPERLINK \l _Toc29447 </w:instrText>
      </w:r>
      <w:r>
        <w:rPr>
          <w:rFonts w:hint="eastAsia"/>
          <w:lang w:val="en-US" w:eastAsia="zh-CN"/>
        </w:rPr>
        <w:fldChar w:fldCharType="separate"/>
      </w:r>
      <w:r>
        <w:rPr>
          <w:rFonts w:hint="eastAsia"/>
          <w:szCs w:val="22"/>
          <w:lang w:val="en-US" w:eastAsia="zh-CN"/>
        </w:rPr>
        <w:t xml:space="preserve">7 </w:t>
      </w:r>
      <w:r>
        <w:rPr>
          <w:rFonts w:hint="eastAsia"/>
          <w:sz w:val="24"/>
          <w:szCs w:val="24"/>
        </w:rPr>
        <w:t>Construction</w:t>
      </w:r>
      <w:r>
        <w:tab/>
      </w:r>
      <w:r>
        <w:fldChar w:fldCharType="begin"/>
      </w:r>
      <w:r>
        <w:instrText xml:space="preserve"> PAGEREF _Toc29447 \h </w:instrText>
      </w:r>
      <w:r>
        <w:fldChar w:fldCharType="separate"/>
      </w:r>
      <w:r>
        <w:t>21</w:t>
      </w:r>
      <w:r>
        <w:fldChar w:fldCharType="end"/>
      </w:r>
      <w:r>
        <w:rPr>
          <w:rFonts w:hint="eastAsia"/>
          <w:lang w:val="en-US" w:eastAsia="zh-CN"/>
        </w:rPr>
        <w:fldChar w:fldCharType="end"/>
      </w:r>
    </w:p>
    <w:p w14:paraId="6AC77B43">
      <w:pPr>
        <w:pStyle w:val="9"/>
        <w:tabs>
          <w:tab w:val="right" w:leader="dot" w:pos="8250"/>
        </w:tabs>
      </w:pPr>
      <w:r>
        <w:rPr>
          <w:rFonts w:hint="eastAsia"/>
          <w:lang w:val="en-US" w:eastAsia="zh-CN"/>
        </w:rPr>
        <w:fldChar w:fldCharType="begin"/>
      </w:r>
      <w:r>
        <w:rPr>
          <w:rFonts w:hint="eastAsia"/>
          <w:lang w:val="en-US" w:eastAsia="zh-CN"/>
        </w:rPr>
        <w:instrText xml:space="preserve"> HYPERLINK \l _Toc14 </w:instrText>
      </w:r>
      <w:r>
        <w:rPr>
          <w:rFonts w:hint="eastAsia"/>
          <w:lang w:val="en-US" w:eastAsia="zh-CN"/>
        </w:rPr>
        <w:fldChar w:fldCharType="separate"/>
      </w:r>
      <w:r>
        <w:rPr>
          <w:rFonts w:hint="eastAsia"/>
          <w:szCs w:val="22"/>
          <w:lang w:val="en-US" w:eastAsia="zh-CN"/>
        </w:rPr>
        <w:t xml:space="preserve">7.1 </w:t>
      </w:r>
      <w:r>
        <w:rPr>
          <w:rFonts w:hint="eastAsia"/>
          <w:sz w:val="24"/>
          <w:szCs w:val="24"/>
        </w:rPr>
        <w:t>General requirements</w:t>
      </w:r>
      <w:r>
        <w:tab/>
      </w:r>
      <w:r>
        <w:fldChar w:fldCharType="begin"/>
      </w:r>
      <w:r>
        <w:instrText xml:space="preserve"> PAGEREF _Toc14 \h </w:instrText>
      </w:r>
      <w:r>
        <w:fldChar w:fldCharType="separate"/>
      </w:r>
      <w:r>
        <w:t>21</w:t>
      </w:r>
      <w:r>
        <w:fldChar w:fldCharType="end"/>
      </w:r>
      <w:r>
        <w:rPr>
          <w:rFonts w:hint="eastAsia"/>
          <w:lang w:val="en-US" w:eastAsia="zh-CN"/>
        </w:rPr>
        <w:fldChar w:fldCharType="end"/>
      </w:r>
    </w:p>
    <w:p w14:paraId="4399624C">
      <w:pPr>
        <w:pStyle w:val="9"/>
        <w:tabs>
          <w:tab w:val="right" w:leader="dot" w:pos="8250"/>
        </w:tabs>
      </w:pPr>
      <w:r>
        <w:rPr>
          <w:rFonts w:hint="eastAsia"/>
          <w:lang w:val="en-US" w:eastAsia="zh-CN"/>
        </w:rPr>
        <w:fldChar w:fldCharType="begin"/>
      </w:r>
      <w:r>
        <w:rPr>
          <w:rFonts w:hint="eastAsia"/>
          <w:lang w:val="en-US" w:eastAsia="zh-CN"/>
        </w:rPr>
        <w:instrText xml:space="preserve"> HYPERLINK \l _Toc27684 </w:instrText>
      </w:r>
      <w:r>
        <w:rPr>
          <w:rFonts w:hint="eastAsia"/>
          <w:lang w:val="en-US" w:eastAsia="zh-CN"/>
        </w:rPr>
        <w:fldChar w:fldCharType="separate"/>
      </w:r>
      <w:r>
        <w:rPr>
          <w:rFonts w:hint="eastAsia"/>
          <w:szCs w:val="22"/>
          <w:lang w:val="en-US" w:eastAsia="zh-CN"/>
        </w:rPr>
        <w:t xml:space="preserve">7.2 </w:t>
      </w:r>
      <w:r>
        <w:rPr>
          <w:rFonts w:hint="eastAsia" w:ascii="Times New Roman" w:hAnsi="Times New Roman" w:cs="Times New Roman"/>
          <w:b w:val="0"/>
          <w:bCs w:val="0"/>
          <w:color w:val="auto"/>
          <w:kern w:val="2"/>
          <w:sz w:val="24"/>
          <w:szCs w:val="24"/>
          <w:lang w:val="en-US" w:eastAsia="zh-CN" w:bidi="ar-SA"/>
        </w:rPr>
        <w:t>M</w:t>
      </w:r>
      <w:r>
        <w:rPr>
          <w:rFonts w:hint="eastAsia" w:ascii="Times New Roman" w:hAnsi="Times New Roman" w:eastAsia="宋体" w:cs="Times New Roman"/>
          <w:b w:val="0"/>
          <w:bCs w:val="0"/>
          <w:color w:val="auto"/>
          <w:kern w:val="2"/>
          <w:sz w:val="24"/>
          <w:szCs w:val="24"/>
          <w:lang w:val="en-US" w:eastAsia="zh-CN" w:bidi="ar-SA"/>
        </w:rPr>
        <w:t>odified vitrified microbead exterior wall dry hanging system</w:t>
      </w:r>
      <w:r>
        <w:tab/>
      </w:r>
      <w:r>
        <w:fldChar w:fldCharType="begin"/>
      </w:r>
      <w:r>
        <w:instrText xml:space="preserve"> PAGEREF _Toc27684 \h </w:instrText>
      </w:r>
      <w:r>
        <w:fldChar w:fldCharType="separate"/>
      </w:r>
      <w:r>
        <w:t>22</w:t>
      </w:r>
      <w:r>
        <w:fldChar w:fldCharType="end"/>
      </w:r>
      <w:r>
        <w:rPr>
          <w:rFonts w:hint="eastAsia"/>
          <w:lang w:val="en-US" w:eastAsia="zh-CN"/>
        </w:rPr>
        <w:fldChar w:fldCharType="end"/>
      </w:r>
    </w:p>
    <w:p w14:paraId="277E13EF">
      <w:pPr>
        <w:pStyle w:val="9"/>
        <w:tabs>
          <w:tab w:val="right" w:leader="dot" w:pos="8250"/>
        </w:tabs>
      </w:pPr>
      <w:r>
        <w:rPr>
          <w:rFonts w:hint="eastAsia"/>
          <w:lang w:val="en-US" w:eastAsia="zh-CN"/>
        </w:rPr>
        <w:fldChar w:fldCharType="begin"/>
      </w:r>
      <w:r>
        <w:rPr>
          <w:rFonts w:hint="eastAsia"/>
          <w:lang w:val="en-US" w:eastAsia="zh-CN"/>
        </w:rPr>
        <w:instrText xml:space="preserve"> HYPERLINK \l _Toc13778 </w:instrText>
      </w:r>
      <w:r>
        <w:rPr>
          <w:rFonts w:hint="eastAsia"/>
          <w:lang w:val="en-US" w:eastAsia="zh-CN"/>
        </w:rPr>
        <w:fldChar w:fldCharType="separate"/>
      </w:r>
      <w:r>
        <w:rPr>
          <w:rFonts w:hint="eastAsia"/>
          <w:szCs w:val="22"/>
          <w:lang w:val="en-US" w:eastAsia="zh-CN"/>
        </w:rPr>
        <w:t xml:space="preserve">7.3 </w:t>
      </w:r>
      <w:r>
        <w:rPr>
          <w:rFonts w:hint="eastAsia"/>
          <w:b w:val="0"/>
          <w:bCs w:val="0"/>
          <w:sz w:val="24"/>
          <w:szCs w:val="24"/>
          <w:lang w:val="en-US" w:eastAsia="zh-CN"/>
        </w:rPr>
        <w:t>Modified vitrified microsphere external wall anchor system</w:t>
      </w:r>
      <w:r>
        <w:tab/>
      </w:r>
      <w:r>
        <w:fldChar w:fldCharType="begin"/>
      </w:r>
      <w:r>
        <w:instrText xml:space="preserve"> PAGEREF _Toc13778 \h </w:instrText>
      </w:r>
      <w:r>
        <w:fldChar w:fldCharType="separate"/>
      </w:r>
      <w:r>
        <w:t>24</w:t>
      </w:r>
      <w:r>
        <w:fldChar w:fldCharType="end"/>
      </w:r>
      <w:r>
        <w:rPr>
          <w:rFonts w:hint="eastAsia"/>
          <w:lang w:val="en-US" w:eastAsia="zh-CN"/>
        </w:rPr>
        <w:fldChar w:fldCharType="end"/>
      </w:r>
    </w:p>
    <w:p w14:paraId="3BF49D1D">
      <w:pPr>
        <w:pStyle w:val="8"/>
        <w:tabs>
          <w:tab w:val="right" w:leader="dot" w:pos="8250"/>
        </w:tabs>
      </w:pPr>
      <w:r>
        <w:rPr>
          <w:rFonts w:hint="eastAsia"/>
          <w:lang w:val="en-US" w:eastAsia="zh-CN"/>
        </w:rPr>
        <w:fldChar w:fldCharType="begin"/>
      </w:r>
      <w:r>
        <w:rPr>
          <w:rFonts w:hint="eastAsia"/>
          <w:lang w:val="en-US" w:eastAsia="zh-CN"/>
        </w:rPr>
        <w:instrText xml:space="preserve"> HYPERLINK \l _Toc6315 </w:instrText>
      </w:r>
      <w:r>
        <w:rPr>
          <w:rFonts w:hint="eastAsia"/>
          <w:lang w:val="en-US" w:eastAsia="zh-CN"/>
        </w:rPr>
        <w:fldChar w:fldCharType="separate"/>
      </w:r>
      <w:r>
        <w:rPr>
          <w:rFonts w:hint="eastAsia"/>
          <w:szCs w:val="22"/>
          <w:lang w:val="en-US" w:eastAsia="zh-CN"/>
        </w:rPr>
        <w:t xml:space="preserve">8 </w:t>
      </w:r>
      <w:r>
        <w:rPr>
          <w:rFonts w:hint="eastAsia"/>
          <w:sz w:val="24"/>
          <w:szCs w:val="24"/>
        </w:rPr>
        <w:t>Acceptance</w:t>
      </w:r>
      <w:r>
        <w:tab/>
      </w:r>
      <w:r>
        <w:fldChar w:fldCharType="begin"/>
      </w:r>
      <w:r>
        <w:instrText xml:space="preserve"> PAGEREF _Toc6315 \h </w:instrText>
      </w:r>
      <w:r>
        <w:fldChar w:fldCharType="separate"/>
      </w:r>
      <w:r>
        <w:t>28</w:t>
      </w:r>
      <w:r>
        <w:fldChar w:fldCharType="end"/>
      </w:r>
      <w:r>
        <w:rPr>
          <w:rFonts w:hint="eastAsia"/>
          <w:lang w:val="en-US" w:eastAsia="zh-CN"/>
        </w:rPr>
        <w:fldChar w:fldCharType="end"/>
      </w:r>
    </w:p>
    <w:p w14:paraId="074733DC">
      <w:pPr>
        <w:pStyle w:val="9"/>
        <w:tabs>
          <w:tab w:val="right" w:leader="dot" w:pos="8250"/>
        </w:tabs>
      </w:pPr>
      <w:r>
        <w:rPr>
          <w:rFonts w:hint="eastAsia"/>
          <w:lang w:val="en-US" w:eastAsia="zh-CN"/>
        </w:rPr>
        <w:fldChar w:fldCharType="begin"/>
      </w:r>
      <w:r>
        <w:rPr>
          <w:rFonts w:hint="eastAsia"/>
          <w:lang w:val="en-US" w:eastAsia="zh-CN"/>
        </w:rPr>
        <w:instrText xml:space="preserve"> HYPERLINK \l _Toc13156 </w:instrText>
      </w:r>
      <w:r>
        <w:rPr>
          <w:rFonts w:hint="eastAsia"/>
          <w:lang w:val="en-US" w:eastAsia="zh-CN"/>
        </w:rPr>
        <w:fldChar w:fldCharType="separate"/>
      </w:r>
      <w:r>
        <w:rPr>
          <w:rFonts w:hint="eastAsia"/>
          <w:szCs w:val="22"/>
          <w:lang w:val="en-US" w:eastAsia="zh-CN"/>
        </w:rPr>
        <w:t xml:space="preserve">8.1 </w:t>
      </w:r>
      <w:r>
        <w:rPr>
          <w:rFonts w:hint="eastAsia"/>
          <w:sz w:val="24"/>
          <w:szCs w:val="24"/>
        </w:rPr>
        <w:t>General requirements</w:t>
      </w:r>
      <w:r>
        <w:tab/>
      </w:r>
      <w:r>
        <w:fldChar w:fldCharType="begin"/>
      </w:r>
      <w:r>
        <w:instrText xml:space="preserve"> PAGEREF _Toc13156 \h </w:instrText>
      </w:r>
      <w:r>
        <w:fldChar w:fldCharType="separate"/>
      </w:r>
      <w:r>
        <w:t>28</w:t>
      </w:r>
      <w:r>
        <w:fldChar w:fldCharType="end"/>
      </w:r>
      <w:r>
        <w:rPr>
          <w:rFonts w:hint="eastAsia"/>
          <w:lang w:val="en-US" w:eastAsia="zh-CN"/>
        </w:rPr>
        <w:fldChar w:fldCharType="end"/>
      </w:r>
    </w:p>
    <w:p w14:paraId="4E220764">
      <w:pPr>
        <w:pStyle w:val="9"/>
        <w:tabs>
          <w:tab w:val="right" w:leader="dot" w:pos="8250"/>
        </w:tabs>
      </w:pPr>
      <w:r>
        <w:rPr>
          <w:rFonts w:hint="eastAsia"/>
          <w:lang w:val="en-US" w:eastAsia="zh-CN"/>
        </w:rPr>
        <w:fldChar w:fldCharType="begin"/>
      </w:r>
      <w:r>
        <w:rPr>
          <w:rFonts w:hint="eastAsia"/>
          <w:lang w:val="en-US" w:eastAsia="zh-CN"/>
        </w:rPr>
        <w:instrText xml:space="preserve"> HYPERLINK \l _Toc20637 </w:instrText>
      </w:r>
      <w:r>
        <w:rPr>
          <w:rFonts w:hint="eastAsia"/>
          <w:lang w:val="en-US" w:eastAsia="zh-CN"/>
        </w:rPr>
        <w:fldChar w:fldCharType="separate"/>
      </w:r>
      <w:r>
        <w:rPr>
          <w:rFonts w:hint="eastAsia"/>
          <w:szCs w:val="22"/>
          <w:lang w:val="en-US" w:eastAsia="zh-CN"/>
        </w:rPr>
        <w:t xml:space="preserve">8.2 </w:t>
      </w:r>
      <w:r>
        <w:rPr>
          <w:rFonts w:hint="eastAsia" w:ascii="Times New Roman" w:hAnsi="Times New Roman" w:cs="Times New Roman"/>
          <w:b w:val="0"/>
          <w:bCs w:val="0"/>
          <w:color w:val="auto"/>
          <w:kern w:val="2"/>
          <w:sz w:val="24"/>
          <w:szCs w:val="24"/>
          <w:lang w:val="en-US" w:eastAsia="zh-CN" w:bidi="ar-SA"/>
        </w:rPr>
        <w:t>M</w:t>
      </w:r>
      <w:r>
        <w:rPr>
          <w:rFonts w:hint="eastAsia" w:ascii="Times New Roman" w:hAnsi="Times New Roman" w:eastAsia="宋体" w:cs="Times New Roman"/>
          <w:b w:val="0"/>
          <w:bCs w:val="0"/>
          <w:color w:val="auto"/>
          <w:kern w:val="2"/>
          <w:sz w:val="24"/>
          <w:szCs w:val="24"/>
          <w:lang w:val="en-US" w:eastAsia="zh-CN" w:bidi="ar-SA"/>
        </w:rPr>
        <w:t>odified vitrified microbead exterior wall dry hanging system</w:t>
      </w:r>
      <w:r>
        <w:tab/>
      </w:r>
      <w:r>
        <w:fldChar w:fldCharType="begin"/>
      </w:r>
      <w:r>
        <w:instrText xml:space="preserve"> PAGEREF _Toc20637 \h </w:instrText>
      </w:r>
      <w:r>
        <w:fldChar w:fldCharType="separate"/>
      </w:r>
      <w:r>
        <w:t>29</w:t>
      </w:r>
      <w:r>
        <w:fldChar w:fldCharType="end"/>
      </w:r>
      <w:r>
        <w:rPr>
          <w:rFonts w:hint="eastAsia"/>
          <w:lang w:val="en-US" w:eastAsia="zh-CN"/>
        </w:rPr>
        <w:fldChar w:fldCharType="end"/>
      </w:r>
    </w:p>
    <w:p w14:paraId="209462EA">
      <w:pPr>
        <w:pStyle w:val="9"/>
        <w:tabs>
          <w:tab w:val="right" w:leader="dot" w:pos="8250"/>
        </w:tabs>
      </w:pPr>
      <w:r>
        <w:rPr>
          <w:rFonts w:hint="eastAsia"/>
          <w:lang w:val="en-US" w:eastAsia="zh-CN"/>
        </w:rPr>
        <w:fldChar w:fldCharType="begin"/>
      </w:r>
      <w:r>
        <w:rPr>
          <w:rFonts w:hint="eastAsia"/>
          <w:lang w:val="en-US" w:eastAsia="zh-CN"/>
        </w:rPr>
        <w:instrText xml:space="preserve"> HYPERLINK \l _Toc19254 </w:instrText>
      </w:r>
      <w:r>
        <w:rPr>
          <w:rFonts w:hint="eastAsia"/>
          <w:lang w:val="en-US" w:eastAsia="zh-CN"/>
        </w:rPr>
        <w:fldChar w:fldCharType="separate"/>
      </w:r>
      <w:r>
        <w:rPr>
          <w:rFonts w:hint="eastAsia"/>
          <w:szCs w:val="22"/>
          <w:lang w:val="en-US" w:eastAsia="zh-CN"/>
        </w:rPr>
        <w:t xml:space="preserve">8.3 </w:t>
      </w:r>
      <w:r>
        <w:rPr>
          <w:rFonts w:hint="eastAsia"/>
          <w:b w:val="0"/>
          <w:bCs w:val="0"/>
          <w:sz w:val="24"/>
          <w:szCs w:val="24"/>
          <w:lang w:val="en-US" w:eastAsia="zh-CN"/>
        </w:rPr>
        <w:t>Modified vitrified microsphere external wall anchor system</w:t>
      </w:r>
      <w:r>
        <w:tab/>
      </w:r>
      <w:r>
        <w:fldChar w:fldCharType="begin"/>
      </w:r>
      <w:r>
        <w:instrText xml:space="preserve"> PAGEREF _Toc19254 \h </w:instrText>
      </w:r>
      <w:r>
        <w:fldChar w:fldCharType="separate"/>
      </w:r>
      <w:r>
        <w:t>32</w:t>
      </w:r>
      <w:r>
        <w:fldChar w:fldCharType="end"/>
      </w:r>
      <w:r>
        <w:rPr>
          <w:rFonts w:hint="eastAsia"/>
          <w:lang w:val="en-US" w:eastAsia="zh-CN"/>
        </w:rPr>
        <w:fldChar w:fldCharType="end"/>
      </w:r>
    </w:p>
    <w:p w14:paraId="1FA844DF">
      <w:pPr>
        <w:pStyle w:val="8"/>
        <w:tabs>
          <w:tab w:val="right" w:leader="dot" w:pos="8250"/>
        </w:tabs>
      </w:pPr>
      <w:r>
        <w:rPr>
          <w:rFonts w:hint="eastAsia"/>
          <w:lang w:val="en-US" w:eastAsia="zh-CN"/>
        </w:rPr>
        <w:fldChar w:fldCharType="begin"/>
      </w:r>
      <w:r>
        <w:rPr>
          <w:rFonts w:hint="eastAsia"/>
          <w:lang w:val="en-US" w:eastAsia="zh-CN"/>
        </w:rPr>
        <w:instrText xml:space="preserve"> HYPERLINK \l _Toc21837 </w:instrText>
      </w:r>
      <w:r>
        <w:rPr>
          <w:rFonts w:hint="eastAsia"/>
          <w:lang w:val="en-US" w:eastAsia="zh-CN"/>
        </w:rPr>
        <w:fldChar w:fldCharType="separate"/>
      </w:r>
      <w:r>
        <w:rPr>
          <w:rFonts w:hint="eastAsia"/>
          <w:sz w:val="24"/>
          <w:szCs w:val="24"/>
        </w:rPr>
        <w:t>Explanation of wording in this specification</w:t>
      </w:r>
      <w:r>
        <w:tab/>
      </w:r>
      <w:r>
        <w:fldChar w:fldCharType="begin"/>
      </w:r>
      <w:r>
        <w:instrText xml:space="preserve"> PAGEREF _Toc21837 \h </w:instrText>
      </w:r>
      <w:r>
        <w:fldChar w:fldCharType="separate"/>
      </w:r>
      <w:r>
        <w:t>36</w:t>
      </w:r>
      <w:r>
        <w:fldChar w:fldCharType="end"/>
      </w:r>
      <w:r>
        <w:rPr>
          <w:rFonts w:hint="eastAsia"/>
          <w:lang w:val="en-US" w:eastAsia="zh-CN"/>
        </w:rPr>
        <w:fldChar w:fldCharType="end"/>
      </w:r>
    </w:p>
    <w:p w14:paraId="678096E9">
      <w:pPr>
        <w:pStyle w:val="8"/>
        <w:tabs>
          <w:tab w:val="right" w:leader="dot" w:pos="8250"/>
        </w:tabs>
      </w:pPr>
      <w:r>
        <w:rPr>
          <w:rFonts w:hint="eastAsia"/>
          <w:lang w:val="en-US" w:eastAsia="zh-CN"/>
        </w:rPr>
        <w:fldChar w:fldCharType="begin"/>
      </w:r>
      <w:r>
        <w:rPr>
          <w:rFonts w:hint="eastAsia"/>
          <w:lang w:val="en-US" w:eastAsia="zh-CN"/>
        </w:rPr>
        <w:instrText xml:space="preserve"> HYPERLINK \l _Toc14160 </w:instrText>
      </w:r>
      <w:r>
        <w:rPr>
          <w:rFonts w:hint="eastAsia"/>
          <w:lang w:val="en-US" w:eastAsia="zh-CN"/>
        </w:rPr>
        <w:fldChar w:fldCharType="separate"/>
      </w:r>
      <w:r>
        <w:rPr>
          <w:rFonts w:hint="eastAsia"/>
          <w:sz w:val="24"/>
          <w:szCs w:val="24"/>
        </w:rPr>
        <w:t>List of quoted standards</w:t>
      </w:r>
      <w:r>
        <w:tab/>
      </w:r>
      <w:r>
        <w:fldChar w:fldCharType="begin"/>
      </w:r>
      <w:r>
        <w:instrText xml:space="preserve"> PAGEREF _Toc14160 \h </w:instrText>
      </w:r>
      <w:r>
        <w:fldChar w:fldCharType="separate"/>
      </w:r>
      <w:r>
        <w:t>37</w:t>
      </w:r>
      <w:r>
        <w:fldChar w:fldCharType="end"/>
      </w:r>
      <w:r>
        <w:rPr>
          <w:rFonts w:hint="eastAsia"/>
          <w:lang w:val="en-US" w:eastAsia="zh-CN"/>
        </w:rPr>
        <w:fldChar w:fldCharType="end"/>
      </w:r>
    </w:p>
    <w:p w14:paraId="52778C16">
      <w:pPr>
        <w:rPr>
          <w:rFonts w:hint="eastAsia" w:ascii="Times New Roman" w:hAnsi="Times New Roman" w:eastAsia="宋体" w:cs="Times New Roman"/>
          <w:kern w:val="2"/>
          <w:sz w:val="21"/>
          <w:lang w:val="en-US" w:eastAsia="zh-CN" w:bidi="ar-SA"/>
        </w:rPr>
      </w:pPr>
      <w:r>
        <w:rPr>
          <w:rFonts w:hint="eastAsia"/>
          <w:sz w:val="24"/>
          <w:szCs w:val="24"/>
        </w:rPr>
        <w:t>Clause explanation</w:t>
      </w:r>
      <w:r>
        <w:rPr>
          <w:rFonts w:hint="eastAsia"/>
          <w:sz w:val="24"/>
          <w:szCs w:val="24"/>
          <w:lang w:val="en-US" w:eastAsia="zh-CN"/>
        </w:rPr>
        <w:t>.......................................................................................................</w:t>
      </w:r>
      <w:r>
        <w:rPr>
          <w:rFonts w:hint="eastAsia" w:ascii="Times New Roman" w:hAnsi="Times New Roman" w:eastAsia="宋体" w:cs="Times New Roman"/>
          <w:kern w:val="2"/>
          <w:sz w:val="21"/>
          <w:lang w:val="en-US" w:eastAsia="zh-CN" w:bidi="ar-SA"/>
        </w:rPr>
        <w:t>38</w:t>
      </w:r>
    </w:p>
    <w:p w14:paraId="0E2EC4FD">
      <w:pPr>
        <w:rPr>
          <w:rFonts w:hint="eastAsia" w:ascii="Times New Roman" w:hAnsi="Times New Roman" w:eastAsia="宋体" w:cs="Times New Roman"/>
          <w:kern w:val="2"/>
          <w:sz w:val="21"/>
          <w:lang w:val="en-US" w:eastAsia="zh-CN" w:bidi="ar-SA"/>
        </w:rPr>
      </w:pPr>
    </w:p>
    <w:p w14:paraId="5D4F2736">
      <w:pPr>
        <w:rPr>
          <w:rFonts w:hint="eastAsia" w:ascii="Times New Roman" w:hAnsi="Times New Roman" w:eastAsia="宋体" w:cs="Times New Roman"/>
          <w:kern w:val="2"/>
          <w:sz w:val="21"/>
          <w:lang w:val="en-US" w:eastAsia="zh-CN" w:bidi="ar-SA"/>
        </w:rPr>
      </w:pPr>
    </w:p>
    <w:p w14:paraId="49912DEA">
      <w:pPr>
        <w:rPr>
          <w:rFonts w:hint="eastAsia" w:ascii="Times New Roman" w:hAnsi="Times New Roman" w:eastAsia="宋体" w:cs="Times New Roman"/>
          <w:kern w:val="2"/>
          <w:sz w:val="21"/>
          <w:lang w:val="en-US" w:eastAsia="zh-CN" w:bidi="ar-SA"/>
        </w:rPr>
      </w:pPr>
    </w:p>
    <w:p w14:paraId="6311DB0B">
      <w:pPr>
        <w:rPr>
          <w:rFonts w:hint="default" w:ascii="Times New Roman" w:hAnsi="Times New Roman" w:eastAsia="宋体" w:cs="Times New Roman"/>
          <w:kern w:val="2"/>
          <w:sz w:val="21"/>
          <w:lang w:val="en-US" w:eastAsia="zh-CN" w:bidi="ar-SA"/>
        </w:rPr>
        <w:sectPr>
          <w:pgSz w:w="11850" w:h="16783"/>
          <w:pgMar w:top="1440" w:right="1800" w:bottom="1440" w:left="1800" w:header="851" w:footer="992" w:gutter="0"/>
          <w:cols w:space="720" w:num="1"/>
          <w:docGrid w:type="lines" w:linePitch="312" w:charSpace="0"/>
        </w:sectPr>
      </w:pPr>
    </w:p>
    <w:p w14:paraId="7A76C5C4">
      <w:pPr>
        <w:pStyle w:val="2"/>
        <w:pageBreakBefore w:val="0"/>
        <w:widowControl w:val="0"/>
        <w:kinsoku/>
        <w:wordWrap/>
        <w:overflowPunct/>
        <w:topLinePunct w:val="0"/>
        <w:bidi w:val="0"/>
        <w:snapToGrid/>
        <w:spacing w:line="360" w:lineRule="auto"/>
        <w:jc w:val="center"/>
        <w:textAlignment w:val="auto"/>
        <w:rPr>
          <w:rFonts w:hint="eastAsia"/>
          <w:lang w:val="en-US" w:eastAsia="zh-CN"/>
        </w:rPr>
      </w:pPr>
      <w:r>
        <w:rPr>
          <w:rFonts w:hint="eastAsia"/>
          <w:lang w:val="en-US" w:eastAsia="zh-CN"/>
        </w:rPr>
        <w:t>1 总则</w:t>
      </w:r>
      <w:bookmarkEnd w:id="20"/>
    </w:p>
    <w:p w14:paraId="7C291F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b/>
          <w:bCs/>
          <w:sz w:val="24"/>
          <w:szCs w:val="24"/>
          <w:lang w:val="en-US" w:eastAsia="zh-CN"/>
        </w:rPr>
        <w:t xml:space="preserve">1.0.1 </w:t>
      </w:r>
      <w:r>
        <w:rPr>
          <w:rFonts w:hint="eastAsia"/>
          <w:sz w:val="24"/>
          <w:szCs w:val="24"/>
          <w:lang w:val="en-US" w:eastAsia="zh-CN"/>
        </w:rPr>
        <w:t>为规范改性玻化微珠复合材料外墙改造系统</w:t>
      </w:r>
      <w:r>
        <w:rPr>
          <w:rFonts w:hint="eastAsia" w:ascii="宋体" w:hAnsi="宋体"/>
          <w:sz w:val="24"/>
          <w:szCs w:val="24"/>
          <w:lang w:val="en-US" w:eastAsia="zh-CN"/>
        </w:rPr>
        <w:t>工程的检查与修复、设计、施工和验收</w:t>
      </w:r>
      <w:r>
        <w:rPr>
          <w:rFonts w:hint="eastAsia"/>
          <w:sz w:val="24"/>
          <w:szCs w:val="24"/>
          <w:lang w:val="en-US" w:eastAsia="zh-CN"/>
        </w:rPr>
        <w:t>，有效治理既有外墙</w:t>
      </w:r>
      <w:r>
        <w:rPr>
          <w:rFonts w:hint="eastAsia" w:ascii="宋体" w:hAnsi="宋体"/>
          <w:sz w:val="24"/>
          <w:szCs w:val="24"/>
          <w:lang w:val="en-US" w:eastAsia="zh-CN"/>
        </w:rPr>
        <w:t>外装饰或外保温系统（以下简称外墙系统）</w:t>
      </w:r>
      <w:r>
        <w:rPr>
          <w:rFonts w:hint="eastAsia"/>
          <w:sz w:val="24"/>
          <w:szCs w:val="24"/>
          <w:lang w:val="en-US" w:eastAsia="zh-CN"/>
        </w:rPr>
        <w:t>质量缺陷和损伤，提高外墙</w:t>
      </w:r>
      <w:r>
        <w:rPr>
          <w:rFonts w:hint="eastAsia" w:ascii="宋体" w:hAnsi="宋体"/>
          <w:sz w:val="24"/>
          <w:szCs w:val="24"/>
          <w:lang w:val="en-US" w:eastAsia="zh-CN"/>
        </w:rPr>
        <w:t>系统</w:t>
      </w:r>
      <w:r>
        <w:rPr>
          <w:rFonts w:hint="eastAsia"/>
          <w:sz w:val="24"/>
          <w:szCs w:val="24"/>
          <w:lang w:val="en-US" w:eastAsia="zh-CN"/>
        </w:rPr>
        <w:t>安全性和热工性能，改善既有建筑品质，制定本标准。</w:t>
      </w:r>
    </w:p>
    <w:p w14:paraId="1B4548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FF"/>
          <w:sz w:val="24"/>
          <w:szCs w:val="24"/>
          <w:lang w:val="en-US" w:eastAsia="zh-CN"/>
        </w:rPr>
      </w:pPr>
      <w:r>
        <w:rPr>
          <w:rFonts w:hint="eastAsia" w:ascii="Times New Roman" w:hAnsi="Times New Roman" w:eastAsia="宋体" w:cs="Times New Roman"/>
          <w:color w:val="0000FF"/>
          <w:sz w:val="24"/>
          <w:szCs w:val="24"/>
          <w:lang w:val="en-US" w:eastAsia="zh-CN"/>
        </w:rPr>
        <w:t>【条文说明】</w:t>
      </w:r>
      <w:r>
        <w:rPr>
          <w:rFonts w:hint="eastAsia"/>
          <w:color w:val="0000FF"/>
          <w:sz w:val="24"/>
          <w:szCs w:val="24"/>
          <w:lang w:val="en-US" w:eastAsia="zh-CN"/>
        </w:rPr>
        <w:t>1.0.1 本标准的制定是为了治理既有建筑外墙外装饰或外保温工程空鼓、开裂、渗漏和脱落等质量缺陷，规范改性玻化微珠复合材料外墙改造系统工程的检查与修复</w:t>
      </w:r>
      <w:r>
        <w:rPr>
          <w:rFonts w:hint="eastAsia" w:ascii="宋体" w:hAnsi="宋体"/>
          <w:color w:val="0000FF"/>
          <w:sz w:val="24"/>
          <w:szCs w:val="24"/>
          <w:lang w:val="en-US" w:eastAsia="zh-CN"/>
        </w:rPr>
        <w:t>、设计、施工和验收，较大程度地减少安全质量事故，改善既有建筑品质。</w:t>
      </w:r>
    </w:p>
    <w:p w14:paraId="336B46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b/>
          <w:bCs/>
          <w:sz w:val="24"/>
          <w:szCs w:val="24"/>
          <w:lang w:val="en-US" w:eastAsia="zh-CN"/>
        </w:rPr>
        <w:t>1.0.2</w:t>
      </w:r>
      <w:r>
        <w:rPr>
          <w:rFonts w:hint="eastAsia" w:ascii="宋体" w:hAnsi="宋体"/>
          <w:sz w:val="24"/>
          <w:szCs w:val="24"/>
          <w:lang w:val="en-US" w:eastAsia="zh-CN"/>
        </w:rPr>
        <w:t xml:space="preserve"> 本标准适用于采用</w:t>
      </w:r>
      <w:r>
        <w:rPr>
          <w:rFonts w:hint="eastAsia"/>
          <w:sz w:val="24"/>
          <w:szCs w:val="24"/>
          <w:lang w:val="en-US" w:eastAsia="zh-CN"/>
        </w:rPr>
        <w:t>改性玻化微珠复合材料外墙改造系统对既有建筑外墙系统进行整体改造</w:t>
      </w:r>
      <w:r>
        <w:rPr>
          <w:rFonts w:hint="eastAsia" w:ascii="宋体" w:hAnsi="宋体"/>
          <w:sz w:val="24"/>
          <w:szCs w:val="24"/>
          <w:lang w:val="en-US" w:eastAsia="zh-CN"/>
        </w:rPr>
        <w:t>的工程。</w:t>
      </w:r>
    </w:p>
    <w:p w14:paraId="698BDFB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Times New Roman" w:hAnsi="Times New Roman" w:eastAsia="宋体" w:cs="Times New Roman"/>
          <w:color w:val="0000FF"/>
          <w:kern w:val="2"/>
          <w:sz w:val="24"/>
          <w:szCs w:val="24"/>
          <w:lang w:val="en-US" w:eastAsia="zh-CN" w:bidi="ar-SA"/>
        </w:rPr>
        <w:t>1.0.2 本条规定了标准的适用范围，本标准仅适用于建筑外墙系统存在缺陷或质量隐患，在对原外墙系统缺陷或损伤部分进行修补后，采用改性玻化微珠复合材料外墙</w:t>
      </w:r>
      <w:r>
        <w:rPr>
          <w:rFonts w:hint="eastAsia" w:cs="Times New Roman"/>
          <w:color w:val="0000FF"/>
          <w:kern w:val="2"/>
          <w:sz w:val="24"/>
          <w:szCs w:val="24"/>
          <w:lang w:val="en-US" w:eastAsia="zh-CN" w:bidi="ar-SA"/>
        </w:rPr>
        <w:t>改造</w:t>
      </w:r>
      <w:r>
        <w:rPr>
          <w:rFonts w:hint="eastAsia" w:ascii="Times New Roman" w:hAnsi="Times New Roman" w:eastAsia="宋体" w:cs="Times New Roman"/>
          <w:color w:val="0000FF"/>
          <w:kern w:val="2"/>
          <w:sz w:val="24"/>
          <w:szCs w:val="24"/>
          <w:lang w:val="en-US" w:eastAsia="zh-CN" w:bidi="ar-SA"/>
        </w:rPr>
        <w:t>系统</w:t>
      </w:r>
      <w:r>
        <w:rPr>
          <w:rFonts w:hint="eastAsia" w:cs="Times New Roman"/>
          <w:color w:val="0000FF"/>
          <w:kern w:val="2"/>
          <w:sz w:val="24"/>
          <w:szCs w:val="24"/>
          <w:lang w:val="en-US" w:eastAsia="zh-CN" w:bidi="ar-SA"/>
        </w:rPr>
        <w:t>整体</w:t>
      </w:r>
      <w:r>
        <w:rPr>
          <w:rFonts w:hint="eastAsia" w:ascii="Times New Roman" w:hAnsi="Times New Roman" w:eastAsia="宋体" w:cs="Times New Roman"/>
          <w:color w:val="0000FF"/>
          <w:kern w:val="2"/>
          <w:sz w:val="24"/>
          <w:szCs w:val="24"/>
          <w:lang w:val="en-US" w:eastAsia="zh-CN" w:bidi="ar-SA"/>
        </w:rPr>
        <w:t>在原外墙系统上铺设外墙的工程。本标准不适用于当建筑外墙系统局部区域产生缺陷，且根据评估结果，外墙系统其他区域不存在质量隐患时，只需要进行缺陷部位的修复的局部缺陷修缮。</w:t>
      </w:r>
    </w:p>
    <w:p w14:paraId="3F7C0C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b/>
          <w:bCs/>
          <w:sz w:val="24"/>
          <w:szCs w:val="24"/>
          <w:lang w:val="en-US" w:eastAsia="zh-CN"/>
        </w:rPr>
        <w:t xml:space="preserve">1.0.3 </w:t>
      </w:r>
      <w:r>
        <w:rPr>
          <w:rFonts w:hint="eastAsia"/>
          <w:sz w:val="24"/>
          <w:szCs w:val="24"/>
          <w:lang w:val="en-US" w:eastAsia="zh-CN"/>
        </w:rPr>
        <w:t>改性玻化微珠复合材料外墙改造系统</w:t>
      </w:r>
      <w:r>
        <w:rPr>
          <w:rFonts w:hint="eastAsia" w:ascii="宋体" w:hAnsi="宋体"/>
          <w:sz w:val="24"/>
          <w:szCs w:val="24"/>
          <w:lang w:val="en-US" w:eastAsia="zh-CN"/>
        </w:rPr>
        <w:t>工程除应符合本标准外，尚应符合国家、行业和地方有关标准的规定。</w:t>
      </w:r>
    </w:p>
    <w:p w14:paraId="52E5AC6B">
      <w:pPr>
        <w:pStyle w:val="2"/>
        <w:pageBreakBefore w:val="0"/>
        <w:widowControl w:val="0"/>
        <w:kinsoku/>
        <w:wordWrap/>
        <w:overflowPunct/>
        <w:topLinePunct w:val="0"/>
        <w:bidi w:val="0"/>
        <w:snapToGrid/>
        <w:spacing w:line="360" w:lineRule="auto"/>
        <w:jc w:val="center"/>
        <w:textAlignment w:val="auto"/>
        <w:rPr>
          <w:rFonts w:hint="eastAsia" w:eastAsia="宋体"/>
          <w:szCs w:val="22"/>
          <w:lang w:val="en-US" w:eastAsia="zh-CN"/>
        </w:rPr>
        <w:sectPr>
          <w:footerReference r:id="rId3" w:type="default"/>
          <w:pgSz w:w="11850" w:h="16783"/>
          <w:pgMar w:top="1440" w:right="1800" w:bottom="1440" w:left="1800" w:header="851" w:footer="992" w:gutter="0"/>
          <w:pgNumType w:fmt="decimal" w:start="1"/>
          <w:cols w:space="720" w:num="1"/>
          <w:docGrid w:type="lines" w:linePitch="312" w:charSpace="0"/>
        </w:sectPr>
      </w:pPr>
      <w:bookmarkStart w:id="21" w:name="_Toc14934"/>
    </w:p>
    <w:p w14:paraId="7ED76BBE">
      <w:pPr>
        <w:pStyle w:val="2"/>
        <w:pageBreakBefore w:val="0"/>
        <w:widowControl w:val="0"/>
        <w:kinsoku/>
        <w:wordWrap/>
        <w:overflowPunct/>
        <w:topLinePunct w:val="0"/>
        <w:bidi w:val="0"/>
        <w:snapToGrid/>
        <w:spacing w:line="360" w:lineRule="auto"/>
        <w:jc w:val="center"/>
        <w:textAlignment w:val="auto"/>
        <w:rPr>
          <w:rFonts w:hint="eastAsia" w:eastAsia="宋体"/>
          <w:szCs w:val="22"/>
          <w:lang w:val="en-US" w:eastAsia="zh-CN"/>
        </w:rPr>
      </w:pPr>
      <w:r>
        <w:rPr>
          <w:rFonts w:hint="eastAsia" w:eastAsia="宋体"/>
          <w:szCs w:val="22"/>
          <w:lang w:val="en-US" w:eastAsia="zh-CN"/>
        </w:rPr>
        <w:t>2 术语</w:t>
      </w:r>
      <w:bookmarkEnd w:id="21"/>
    </w:p>
    <w:p w14:paraId="7D4B97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val="0"/>
          <w:bCs w:val="0"/>
          <w:color w:val="auto"/>
          <w:kern w:val="2"/>
          <w:sz w:val="24"/>
          <w:szCs w:val="24"/>
          <w:lang w:val="en-US" w:eastAsia="zh-CN" w:bidi="ar-SA"/>
        </w:rPr>
      </w:pPr>
      <w:r>
        <w:rPr>
          <w:rFonts w:hint="eastAsia"/>
          <w:b/>
          <w:bCs/>
          <w:sz w:val="24"/>
          <w:szCs w:val="24"/>
          <w:lang w:val="en-US" w:eastAsia="zh-CN"/>
        </w:rPr>
        <w:t>2.0.1</w:t>
      </w:r>
      <w:r>
        <w:rPr>
          <w:rFonts w:hint="eastAsia" w:ascii="宋体" w:hAnsi="宋体"/>
          <w:sz w:val="24"/>
          <w:szCs w:val="24"/>
          <w:lang w:val="en-US" w:eastAsia="zh-CN"/>
        </w:rPr>
        <w:t>外墙改造</w:t>
      </w:r>
      <w:r>
        <w:rPr>
          <w:rFonts w:hint="eastAsia" w:cs="Times New Roman"/>
          <w:b w:val="0"/>
          <w:bCs w:val="0"/>
          <w:color w:val="auto"/>
          <w:kern w:val="2"/>
          <w:sz w:val="24"/>
          <w:szCs w:val="24"/>
          <w:lang w:val="en-US" w:eastAsia="zh-CN" w:bidi="ar-SA"/>
        </w:rPr>
        <w:t>e</w:t>
      </w:r>
      <w:r>
        <w:rPr>
          <w:rFonts w:hint="eastAsia" w:ascii="Times New Roman" w:hAnsi="Times New Roman" w:eastAsia="宋体" w:cs="Times New Roman"/>
          <w:b w:val="0"/>
          <w:bCs w:val="0"/>
          <w:color w:val="auto"/>
          <w:kern w:val="2"/>
          <w:sz w:val="24"/>
          <w:szCs w:val="24"/>
          <w:lang w:val="en-US" w:eastAsia="zh-CN" w:bidi="ar-SA"/>
        </w:rPr>
        <w:t>xterior wall repair</w:t>
      </w:r>
    </w:p>
    <w:p w14:paraId="65D67B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为治理外墙系统质量缺陷和损伤，提高外墙系统安全性和热工性能，对既有外墙系统检查、评估和修复，并进行全面、系统更新，使其使用功能得到明显改善的工程行为。</w:t>
      </w:r>
    </w:p>
    <w:p w14:paraId="5C8A07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val="0"/>
          <w:bCs w:val="0"/>
          <w:color w:val="auto"/>
          <w:kern w:val="2"/>
          <w:sz w:val="24"/>
          <w:szCs w:val="24"/>
          <w:lang w:val="en-US" w:eastAsia="zh-CN" w:bidi="ar-SA"/>
        </w:rPr>
      </w:pPr>
      <w:r>
        <w:rPr>
          <w:rFonts w:hint="eastAsia"/>
          <w:b/>
          <w:bCs/>
          <w:sz w:val="24"/>
          <w:szCs w:val="24"/>
          <w:lang w:val="en-US" w:eastAsia="zh-CN"/>
        </w:rPr>
        <w:t>2.0.2</w:t>
      </w:r>
      <w:r>
        <w:rPr>
          <w:rFonts w:hint="eastAsia" w:ascii="宋体" w:hAnsi="宋体"/>
          <w:sz w:val="24"/>
          <w:szCs w:val="24"/>
          <w:lang w:val="en-US" w:eastAsia="zh-CN"/>
        </w:rPr>
        <w:t>改性玻化微珠复合材料外墙改造系统</w:t>
      </w:r>
      <w:r>
        <w:rPr>
          <w:rFonts w:hint="eastAsia" w:cs="Times New Roman"/>
          <w:b w:val="0"/>
          <w:bCs w:val="0"/>
          <w:color w:val="auto"/>
          <w:kern w:val="2"/>
          <w:sz w:val="24"/>
          <w:szCs w:val="24"/>
          <w:lang w:val="en-US" w:eastAsia="zh-CN" w:bidi="ar-SA"/>
        </w:rPr>
        <w:t>m</w:t>
      </w:r>
      <w:r>
        <w:rPr>
          <w:rFonts w:hint="eastAsia" w:ascii="Times New Roman" w:hAnsi="Times New Roman" w:eastAsia="宋体" w:cs="Times New Roman"/>
          <w:b w:val="0"/>
          <w:bCs w:val="0"/>
          <w:color w:val="auto"/>
          <w:kern w:val="2"/>
          <w:sz w:val="24"/>
          <w:szCs w:val="24"/>
          <w:lang w:val="en-US" w:eastAsia="zh-CN" w:bidi="ar-SA"/>
        </w:rPr>
        <w:t>odified vitrified microsphere composite material exterior wall repair system</w:t>
      </w:r>
    </w:p>
    <w:p w14:paraId="456997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由改性玻化微珠保温层、防护层、面层装饰层和固定材料构成，并覆盖在原外墙系统外表面的非承重保温构造的总称，简称改性玻化微珠外墙系统。包括改性玻化微珠保温装饰一体板外墙干挂系统（简称改性玻化微珠外墙干挂系统）和改性玻化微珠轻质砂浆粘锚托外墙装饰系统（简称改性玻化微珠外墙粘锚托系统）。</w:t>
      </w:r>
    </w:p>
    <w:p w14:paraId="1F2125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FF"/>
          <w:sz w:val="24"/>
          <w:szCs w:val="24"/>
          <w:lang w:val="en-US" w:eastAsia="zh-CN"/>
        </w:rPr>
      </w:pPr>
      <w:r>
        <w:rPr>
          <w:rFonts w:hint="eastAsia" w:ascii="Times New Roman" w:hAnsi="Times New Roman" w:eastAsia="宋体" w:cs="Times New Roman"/>
          <w:color w:val="0000FF"/>
          <w:sz w:val="24"/>
          <w:szCs w:val="24"/>
          <w:lang w:val="en-US" w:eastAsia="zh-CN"/>
        </w:rPr>
        <w:t>【条文说明】</w:t>
      </w:r>
      <w:r>
        <w:rPr>
          <w:rFonts w:hint="eastAsia" w:ascii="宋体" w:hAnsi="宋体"/>
          <w:color w:val="0000FF"/>
          <w:sz w:val="24"/>
          <w:szCs w:val="24"/>
          <w:lang w:val="en-US" w:eastAsia="zh-CN"/>
        </w:rPr>
        <w:t>2.0.2 根据评估结果和外墙构造特点，可灵活</w:t>
      </w:r>
      <w:r>
        <w:rPr>
          <w:rFonts w:hint="eastAsia" w:ascii="宋体" w:hAnsi="宋体" w:eastAsia="宋体"/>
          <w:color w:val="0000FF"/>
          <w:sz w:val="24"/>
          <w:szCs w:val="24"/>
          <w:lang w:val="en-US" w:eastAsia="zh-CN"/>
        </w:rPr>
        <w:t>选用改性玻化微珠保温装饰一体化板外墙干挂系统</w:t>
      </w:r>
      <w:r>
        <w:rPr>
          <w:rFonts w:hint="eastAsia" w:ascii="宋体" w:hAnsi="宋体"/>
          <w:color w:val="0000FF"/>
          <w:sz w:val="24"/>
          <w:szCs w:val="24"/>
          <w:lang w:val="en-US" w:eastAsia="zh-CN"/>
        </w:rPr>
        <w:t>（又称微晶保温石一体化保温装饰系统）和改性玻化微珠轻质砂浆粘锚托外墙装饰系统，两套系统既可独立使用也可协同使用。</w:t>
      </w:r>
    </w:p>
    <w:p w14:paraId="704D3C74">
      <w:pPr>
        <w:pStyle w:val="14"/>
        <w:keepNext w:val="0"/>
        <w:keepLines w:val="0"/>
        <w:pageBreakBefore w:val="0"/>
        <w:widowControl w:val="0"/>
        <w:kinsoku/>
        <w:wordWrap/>
        <w:overflowPunct/>
        <w:topLinePunct w:val="0"/>
        <w:bidi w:val="0"/>
        <w:snapToGrid/>
        <w:spacing w:line="360" w:lineRule="auto"/>
        <w:textAlignment w:val="auto"/>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2.0.3</w:t>
      </w:r>
      <w:r>
        <w:rPr>
          <w:rFonts w:hint="eastAsia" w:ascii="Times New Roman" w:hAnsi="Times New Roman" w:cs="Times New Roman"/>
          <w:b/>
          <w:bCs/>
          <w:color w:val="auto"/>
          <w:kern w:val="2"/>
          <w:sz w:val="24"/>
          <w:szCs w:val="24"/>
          <w:lang w:val="en-US" w:eastAsia="zh-CN" w:bidi="ar-SA"/>
        </w:rPr>
        <w:t xml:space="preserve"> </w:t>
      </w:r>
      <w:r>
        <w:rPr>
          <w:rFonts w:hint="eastAsia" w:ascii="宋体" w:hAnsi="宋体"/>
          <w:sz w:val="24"/>
          <w:szCs w:val="24"/>
          <w:lang w:val="en-US" w:eastAsia="zh-CN"/>
        </w:rPr>
        <w:t>改性玻化微珠外墙</w:t>
      </w:r>
      <w:r>
        <w:rPr>
          <w:rFonts w:hint="eastAsia" w:ascii="宋体" w:hAnsi="宋体" w:eastAsia="宋体" w:cs="Times New Roman"/>
          <w:color w:val="auto"/>
          <w:kern w:val="2"/>
          <w:sz w:val="24"/>
          <w:szCs w:val="24"/>
          <w:lang w:val="en-US" w:eastAsia="zh-CN" w:bidi="ar-SA"/>
        </w:rPr>
        <w:t>干挂系统</w:t>
      </w:r>
      <w:r>
        <w:rPr>
          <w:rFonts w:hint="eastAsia" w:hAnsi="宋体" w:cs="Times New Roman"/>
          <w:color w:val="auto"/>
          <w:kern w:val="2"/>
          <w:sz w:val="24"/>
          <w:szCs w:val="24"/>
          <w:lang w:val="en-US" w:eastAsia="zh-CN" w:bidi="ar-SA"/>
        </w:rPr>
        <w:t xml:space="preserve"> </w:t>
      </w:r>
      <w:r>
        <w:rPr>
          <w:rFonts w:hint="eastAsia" w:ascii="Times New Roman" w:hAnsi="Times New Roman" w:cs="Times New Roman"/>
          <w:b w:val="0"/>
          <w:bCs w:val="0"/>
          <w:color w:val="auto"/>
          <w:kern w:val="2"/>
          <w:sz w:val="24"/>
          <w:szCs w:val="24"/>
          <w:lang w:val="en-US" w:eastAsia="zh-CN" w:bidi="ar-SA"/>
        </w:rPr>
        <w:t>m</w:t>
      </w:r>
      <w:r>
        <w:rPr>
          <w:rFonts w:hint="eastAsia" w:ascii="Times New Roman" w:hAnsi="Times New Roman" w:eastAsia="宋体" w:cs="Times New Roman"/>
          <w:b w:val="0"/>
          <w:bCs w:val="0"/>
          <w:color w:val="auto"/>
          <w:kern w:val="2"/>
          <w:sz w:val="24"/>
          <w:szCs w:val="24"/>
          <w:lang w:val="en-US" w:eastAsia="zh-CN" w:bidi="ar-SA"/>
        </w:rPr>
        <w:t>odified vitrified microbead exterior wall dry hanging system</w:t>
      </w:r>
    </w:p>
    <w:p w14:paraId="73896F5E">
      <w:pPr>
        <w:pStyle w:val="14"/>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宋体" w:hAnsi="宋体" w:eastAsia="宋体" w:cs="Times New Roman"/>
          <w:color w:val="auto"/>
          <w:kern w:val="2"/>
          <w:sz w:val="24"/>
          <w:szCs w:val="24"/>
          <w:lang w:val="en-US" w:eastAsia="zh-CN" w:bidi="ar-SA"/>
        </w:rPr>
      </w:pPr>
      <w:r>
        <w:rPr>
          <w:rFonts w:hint="default" w:ascii="宋体" w:hAnsi="宋体" w:eastAsia="宋体" w:cs="Times New Roman"/>
          <w:color w:val="auto"/>
          <w:kern w:val="2"/>
          <w:sz w:val="24"/>
          <w:szCs w:val="24"/>
          <w:lang w:val="en-US" w:eastAsia="zh-CN" w:bidi="ar-SA"/>
        </w:rPr>
        <w:t>由</w:t>
      </w:r>
      <w:r>
        <w:rPr>
          <w:rFonts w:hint="eastAsia" w:ascii="宋体" w:hAnsi="宋体" w:eastAsia="宋体" w:cs="Times New Roman"/>
          <w:color w:val="auto"/>
          <w:kern w:val="2"/>
          <w:sz w:val="24"/>
          <w:szCs w:val="24"/>
          <w:lang w:val="en-US" w:eastAsia="zh-CN" w:bidi="ar-SA"/>
        </w:rPr>
        <w:t>改性</w:t>
      </w:r>
      <w:r>
        <w:rPr>
          <w:rFonts w:hint="default" w:ascii="宋体" w:hAnsi="宋体" w:eastAsia="宋体" w:cs="Times New Roman"/>
          <w:color w:val="auto"/>
          <w:kern w:val="2"/>
          <w:sz w:val="24"/>
          <w:szCs w:val="24"/>
          <w:lang w:val="en-US" w:eastAsia="zh-CN" w:bidi="ar-SA"/>
        </w:rPr>
        <w:t>玻化微珠保温装饰板、横向铝合金托挂件、竖向铝合金连接件、锚固件、环氧粘结剂、嵌缝材料和密封胶</w:t>
      </w:r>
      <w:r>
        <w:rPr>
          <w:rFonts w:hint="eastAsia" w:hAnsi="宋体" w:cs="Times New Roman"/>
          <w:color w:val="auto"/>
          <w:kern w:val="2"/>
          <w:sz w:val="24"/>
          <w:szCs w:val="24"/>
          <w:lang w:val="en-US" w:eastAsia="zh-CN" w:bidi="ar-SA"/>
        </w:rPr>
        <w:t>等</w:t>
      </w:r>
      <w:r>
        <w:rPr>
          <w:rFonts w:hint="default" w:ascii="宋体" w:hAnsi="宋体" w:eastAsia="宋体" w:cs="Times New Roman"/>
          <w:color w:val="auto"/>
          <w:kern w:val="2"/>
          <w:sz w:val="24"/>
          <w:szCs w:val="24"/>
          <w:lang w:val="en-US" w:eastAsia="zh-CN" w:bidi="ar-SA"/>
        </w:rPr>
        <w:t>组成的</w:t>
      </w:r>
      <w:r>
        <w:rPr>
          <w:rFonts w:hint="eastAsia" w:ascii="宋体" w:hAnsi="宋体"/>
          <w:sz w:val="24"/>
          <w:szCs w:val="24"/>
          <w:lang w:val="en-US" w:eastAsia="zh-CN"/>
        </w:rPr>
        <w:t>改性玻化微珠外墙系统</w:t>
      </w:r>
      <w:r>
        <w:rPr>
          <w:rFonts w:hint="default" w:ascii="宋体" w:hAnsi="宋体" w:eastAsia="宋体" w:cs="Times New Roman"/>
          <w:color w:val="auto"/>
          <w:kern w:val="2"/>
          <w:sz w:val="24"/>
          <w:szCs w:val="24"/>
          <w:lang w:val="en-US" w:eastAsia="zh-CN" w:bidi="ar-SA"/>
        </w:rPr>
        <w:t>。</w:t>
      </w:r>
    </w:p>
    <w:p w14:paraId="275797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FF"/>
          <w:sz w:val="24"/>
          <w:szCs w:val="24"/>
          <w:lang w:val="en-US" w:eastAsia="zh-CN"/>
        </w:rPr>
      </w:pPr>
      <w:r>
        <w:rPr>
          <w:rFonts w:hint="eastAsia" w:ascii="Times New Roman" w:hAnsi="Times New Roman" w:eastAsia="宋体" w:cs="Times New Roman"/>
          <w:color w:val="0000FF"/>
          <w:sz w:val="24"/>
          <w:szCs w:val="24"/>
          <w:lang w:val="en-US" w:eastAsia="zh-CN"/>
        </w:rPr>
        <w:t>【条文说明】</w:t>
      </w:r>
      <w:r>
        <w:rPr>
          <w:rFonts w:hint="eastAsia" w:ascii="宋体" w:hAnsi="宋体"/>
          <w:color w:val="0000FF"/>
          <w:sz w:val="24"/>
          <w:szCs w:val="24"/>
          <w:lang w:val="en-US" w:eastAsia="zh-CN"/>
        </w:rPr>
        <w:t xml:space="preserve">2.0.3 </w:t>
      </w:r>
      <w:r>
        <w:rPr>
          <w:rFonts w:hint="eastAsia" w:ascii="宋体" w:hAnsi="宋体" w:eastAsia="宋体"/>
          <w:color w:val="0000FF"/>
          <w:sz w:val="24"/>
          <w:szCs w:val="24"/>
          <w:lang w:val="en-US" w:eastAsia="zh-CN"/>
        </w:rPr>
        <w:t>改性玻化微珠外墙干挂系统</w:t>
      </w:r>
      <w:r>
        <w:rPr>
          <w:rFonts w:hint="eastAsia" w:ascii="宋体" w:hAnsi="宋体"/>
          <w:color w:val="0000FF"/>
          <w:sz w:val="24"/>
          <w:szCs w:val="24"/>
          <w:lang w:val="en-US" w:eastAsia="zh-CN"/>
        </w:rPr>
        <w:t>应符合现行地方标准《湖南省膨胀玻化微珠保温装饰板外墙外保温系统应用技术标准》DBJ43/T354中采用托挂连接方式的膨胀玻化微珠保温装饰板外墙外保温系统的规定。</w:t>
      </w:r>
    </w:p>
    <w:p w14:paraId="7C4F5028">
      <w:pPr>
        <w:pStyle w:val="14"/>
        <w:jc w:val="center"/>
        <w:rPr>
          <w:rFonts w:hint="eastAsia" w:eastAsia="宋体"/>
          <w:highlight w:val="yellow"/>
          <w:lang w:val="en-US" w:eastAsia="zh-CN"/>
        </w:rPr>
      </w:pPr>
      <w:r>
        <w:drawing>
          <wp:inline distT="0" distB="0" distL="114300" distR="114300">
            <wp:extent cx="2131060" cy="2051050"/>
            <wp:effectExtent l="9525" t="9525" r="23495" b="1206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5"/>
                    <a:stretch>
                      <a:fillRect/>
                    </a:stretch>
                  </pic:blipFill>
                  <pic:spPr>
                    <a:xfrm>
                      <a:off x="0" y="0"/>
                      <a:ext cx="2131060" cy="2051050"/>
                    </a:xfrm>
                    <a:prstGeom prst="rect">
                      <a:avLst/>
                    </a:prstGeom>
                    <a:noFill/>
                    <a:ln w="6350" cmpd="sng">
                      <a:solidFill>
                        <a:schemeClr val="tx1"/>
                      </a:solidFill>
                      <a:prstDash val="solid"/>
                    </a:ln>
                  </pic:spPr>
                </pic:pic>
              </a:graphicData>
            </a:graphic>
          </wp:inline>
        </w:drawing>
      </w:r>
    </w:p>
    <w:p w14:paraId="10CECB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0000FF"/>
          <w:sz w:val="24"/>
          <w:szCs w:val="24"/>
          <w:lang w:val="en-US" w:eastAsia="zh-CN"/>
        </w:rPr>
      </w:pPr>
      <w:r>
        <w:rPr>
          <w:rFonts w:hint="eastAsia" w:ascii="宋体" w:hAnsi="宋体"/>
          <w:color w:val="0000FF"/>
          <w:sz w:val="24"/>
          <w:szCs w:val="24"/>
          <w:lang w:val="en-US" w:eastAsia="zh-CN"/>
        </w:rPr>
        <w:t>图1 改性玻化微珠外墙干挂系统示意图</w:t>
      </w:r>
    </w:p>
    <w:p w14:paraId="591BC4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r>
        <w:rPr>
          <w:rFonts w:hint="eastAsia" w:ascii="Times New Roman" w:hAnsi="Times New Roman" w:eastAsia="宋体" w:cs="Times New Roman"/>
          <w:b/>
          <w:bCs/>
          <w:color w:val="auto"/>
          <w:kern w:val="2"/>
          <w:sz w:val="24"/>
          <w:szCs w:val="24"/>
          <w:lang w:val="en-US" w:eastAsia="zh-CN" w:bidi="ar-SA"/>
        </w:rPr>
        <w:t>2.0.4</w:t>
      </w:r>
      <w:r>
        <w:rPr>
          <w:rFonts w:hint="eastAsia" w:ascii="宋体" w:hAnsi="宋体"/>
          <w:sz w:val="24"/>
          <w:szCs w:val="24"/>
          <w:lang w:val="en-US" w:eastAsia="zh-CN"/>
        </w:rPr>
        <w:t>改性玻化微珠外墙粘锚托系统</w:t>
      </w:r>
      <w:r>
        <w:rPr>
          <w:rFonts w:hint="eastAsia"/>
          <w:b w:val="0"/>
          <w:bCs w:val="0"/>
          <w:sz w:val="24"/>
          <w:szCs w:val="24"/>
          <w:lang w:val="en-US" w:eastAsia="zh-CN"/>
        </w:rPr>
        <w:t>modified vitrified microsphere external wall anchor system</w:t>
      </w:r>
    </w:p>
    <w:p w14:paraId="3B5841E4">
      <w:pPr>
        <w:pStyle w:val="14"/>
        <w:keepNext w:val="0"/>
        <w:keepLines w:val="0"/>
        <w:pageBreakBefore w:val="0"/>
        <w:widowControl w:val="0"/>
        <w:kinsoku/>
        <w:wordWrap/>
        <w:overflowPunct/>
        <w:topLinePunct w:val="0"/>
        <w:bidi w:val="0"/>
        <w:snapToGrid/>
        <w:spacing w:line="360" w:lineRule="auto"/>
        <w:ind w:firstLine="480" w:firstLineChars="200"/>
        <w:textAlignment w:val="auto"/>
        <w:rPr>
          <w:rFonts w:hint="default"/>
          <w:lang w:val="en-US" w:eastAsia="zh-CN"/>
        </w:rPr>
      </w:pPr>
      <w:r>
        <w:rPr>
          <w:rFonts w:hint="default" w:ascii="宋体" w:hAnsi="宋体" w:eastAsia="宋体" w:cs="Times New Roman"/>
          <w:color w:val="auto"/>
          <w:kern w:val="2"/>
          <w:sz w:val="24"/>
          <w:szCs w:val="24"/>
          <w:lang w:val="en-US" w:eastAsia="zh-CN" w:bidi="ar-SA"/>
        </w:rPr>
        <w:t>由</w:t>
      </w:r>
      <w:r>
        <w:rPr>
          <w:rFonts w:hint="eastAsia" w:hAnsi="宋体" w:cs="Times New Roman"/>
          <w:color w:val="auto"/>
          <w:kern w:val="2"/>
          <w:sz w:val="24"/>
          <w:szCs w:val="24"/>
          <w:lang w:val="en-US" w:eastAsia="zh-CN" w:bidi="ar-SA"/>
        </w:rPr>
        <w:t>防水型无机彩色砂浆层、</w:t>
      </w:r>
      <w:r>
        <w:rPr>
          <w:rFonts w:hint="eastAsia" w:ascii="宋体" w:hAnsi="宋体" w:eastAsia="宋体" w:cs="Times New Roman"/>
          <w:color w:val="auto"/>
          <w:kern w:val="2"/>
          <w:sz w:val="24"/>
          <w:szCs w:val="24"/>
          <w:lang w:val="en-US" w:eastAsia="zh-CN" w:bidi="ar-SA"/>
        </w:rPr>
        <w:t>改性</w:t>
      </w:r>
      <w:r>
        <w:rPr>
          <w:rFonts w:hint="default" w:ascii="宋体" w:hAnsi="宋体" w:eastAsia="宋体" w:cs="Times New Roman"/>
          <w:color w:val="auto"/>
          <w:kern w:val="2"/>
          <w:sz w:val="24"/>
          <w:szCs w:val="24"/>
          <w:lang w:val="en-US" w:eastAsia="zh-CN" w:bidi="ar-SA"/>
        </w:rPr>
        <w:t>玻化微珠</w:t>
      </w:r>
      <w:r>
        <w:rPr>
          <w:rFonts w:hint="eastAsia" w:hAnsi="宋体" w:cs="Times New Roman"/>
          <w:color w:val="auto"/>
          <w:kern w:val="2"/>
          <w:sz w:val="24"/>
          <w:szCs w:val="24"/>
          <w:lang w:val="en-US" w:eastAsia="zh-CN" w:bidi="ar-SA"/>
        </w:rPr>
        <w:t>轻质砂浆层</w:t>
      </w:r>
      <w:r>
        <w:rPr>
          <w:rFonts w:hint="default" w:ascii="宋体" w:hAnsi="宋体" w:eastAsia="宋体" w:cs="Times New Roman"/>
          <w:color w:val="auto"/>
          <w:kern w:val="2"/>
          <w:sz w:val="24"/>
          <w:szCs w:val="24"/>
          <w:lang w:val="en-US" w:eastAsia="zh-CN" w:bidi="ar-SA"/>
        </w:rPr>
        <w:t>、横向铝合金托挂件、锚固件、</w:t>
      </w:r>
      <w:r>
        <w:rPr>
          <w:rFonts w:hint="eastAsia" w:hAnsi="宋体" w:cs="Times New Roman"/>
          <w:color w:val="auto"/>
          <w:kern w:val="2"/>
          <w:sz w:val="24"/>
          <w:szCs w:val="24"/>
          <w:lang w:val="en-US" w:eastAsia="zh-CN" w:bidi="ar-SA"/>
        </w:rPr>
        <w:t>耐碱纤维网格布等</w:t>
      </w:r>
      <w:r>
        <w:rPr>
          <w:rFonts w:hint="default" w:ascii="宋体" w:hAnsi="宋体" w:eastAsia="宋体" w:cs="Times New Roman"/>
          <w:color w:val="auto"/>
          <w:kern w:val="2"/>
          <w:sz w:val="24"/>
          <w:szCs w:val="24"/>
          <w:lang w:val="en-US" w:eastAsia="zh-CN" w:bidi="ar-SA"/>
        </w:rPr>
        <w:t>组成的</w:t>
      </w:r>
      <w:r>
        <w:rPr>
          <w:rFonts w:hint="eastAsia" w:ascii="宋体" w:hAnsi="宋体"/>
          <w:sz w:val="24"/>
          <w:szCs w:val="24"/>
          <w:lang w:val="en-US" w:eastAsia="zh-CN"/>
        </w:rPr>
        <w:t>改性玻化微珠外墙系统</w:t>
      </w:r>
      <w:r>
        <w:rPr>
          <w:rFonts w:hint="default" w:ascii="宋体" w:hAnsi="宋体" w:eastAsia="宋体" w:cs="Times New Roman"/>
          <w:color w:val="auto"/>
          <w:kern w:val="2"/>
          <w:sz w:val="24"/>
          <w:szCs w:val="24"/>
          <w:lang w:val="en-US" w:eastAsia="zh-CN" w:bidi="ar-SA"/>
        </w:rPr>
        <w:t>。</w:t>
      </w:r>
    </w:p>
    <w:p w14:paraId="790487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FF"/>
          <w:sz w:val="24"/>
          <w:szCs w:val="24"/>
          <w:lang w:val="en-US" w:eastAsia="zh-CN"/>
        </w:rPr>
      </w:pPr>
      <w:r>
        <w:rPr>
          <w:rFonts w:hint="eastAsia" w:ascii="Times New Roman" w:hAnsi="Times New Roman" w:eastAsia="宋体" w:cs="Times New Roman"/>
          <w:color w:val="0000FF"/>
          <w:sz w:val="24"/>
          <w:szCs w:val="24"/>
          <w:lang w:val="en-US" w:eastAsia="zh-CN"/>
        </w:rPr>
        <w:t>【条文说明】</w:t>
      </w:r>
      <w:r>
        <w:rPr>
          <w:rFonts w:hint="eastAsia" w:ascii="宋体" w:hAnsi="宋体"/>
          <w:color w:val="0000FF"/>
          <w:sz w:val="24"/>
          <w:szCs w:val="24"/>
          <w:lang w:val="en-US" w:eastAsia="zh-CN"/>
        </w:rPr>
        <w:t>2.0.4改性玻化微珠外墙粘锚托系统应符合现行地方标准《湖南省改性玻化微珠轻质砂浆应用技术标准》DBJ43/T311的相关规定。</w:t>
      </w:r>
    </w:p>
    <w:p w14:paraId="1DAC57E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0000FF"/>
          <w:sz w:val="24"/>
          <w:szCs w:val="24"/>
          <w:lang w:val="en-US" w:eastAsia="zh-CN"/>
        </w:rPr>
      </w:pPr>
    </w:p>
    <w:p w14:paraId="2C108A2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sz w:val="24"/>
          <w:szCs w:val="24"/>
          <w:lang w:val="en-US" w:eastAsia="zh-CN"/>
        </w:rPr>
      </w:pPr>
    </w:p>
    <w:p w14:paraId="36BFD47C">
      <w:pPr>
        <w:pStyle w:val="14"/>
        <w:jc w:val="center"/>
        <w:rPr>
          <w:rFonts w:hint="default"/>
          <w:lang w:val="en-US" w:eastAsia="zh-CN"/>
        </w:rPr>
      </w:pPr>
      <w:r>
        <w:drawing>
          <wp:inline distT="0" distB="0" distL="114300" distR="114300">
            <wp:extent cx="2218055" cy="2091690"/>
            <wp:effectExtent l="9525" t="9525" r="12700" b="1714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6"/>
                    <a:stretch>
                      <a:fillRect/>
                    </a:stretch>
                  </pic:blipFill>
                  <pic:spPr>
                    <a:xfrm>
                      <a:off x="0" y="0"/>
                      <a:ext cx="2218055" cy="2091690"/>
                    </a:xfrm>
                    <a:prstGeom prst="rect">
                      <a:avLst/>
                    </a:prstGeom>
                    <a:noFill/>
                    <a:ln w="6350">
                      <a:solidFill>
                        <a:schemeClr val="tx1"/>
                      </a:solidFill>
                    </a:ln>
                  </pic:spPr>
                </pic:pic>
              </a:graphicData>
            </a:graphic>
          </wp:inline>
        </w:drawing>
      </w:r>
    </w:p>
    <w:p w14:paraId="366B8A1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sz w:val="24"/>
          <w:szCs w:val="24"/>
          <w:lang w:val="en-US" w:eastAsia="zh-CN"/>
        </w:rPr>
      </w:pPr>
      <w:r>
        <w:rPr>
          <w:rFonts w:hint="eastAsia" w:ascii="宋体" w:hAnsi="宋体"/>
          <w:color w:val="0000FF"/>
          <w:sz w:val="24"/>
          <w:szCs w:val="24"/>
          <w:lang w:val="en-US" w:eastAsia="zh-CN"/>
        </w:rPr>
        <w:t>图2 改性玻化微珠外墙粘锚托系统示意图</w:t>
      </w:r>
    </w:p>
    <w:p w14:paraId="431A60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r>
        <w:rPr>
          <w:rFonts w:hint="eastAsia"/>
          <w:b/>
          <w:bCs/>
          <w:sz w:val="24"/>
          <w:szCs w:val="24"/>
          <w:lang w:val="en-US" w:eastAsia="zh-CN"/>
        </w:rPr>
        <w:t>2.0.5</w:t>
      </w:r>
      <w:r>
        <w:rPr>
          <w:rFonts w:hint="eastAsia" w:ascii="宋体" w:hAnsi="宋体"/>
          <w:sz w:val="24"/>
          <w:szCs w:val="24"/>
          <w:lang w:val="en-US" w:eastAsia="zh-CN"/>
        </w:rPr>
        <w:t>缺陷</w:t>
      </w:r>
      <w:r>
        <w:rPr>
          <w:rFonts w:hint="eastAsia"/>
          <w:b w:val="0"/>
          <w:bCs w:val="0"/>
          <w:sz w:val="24"/>
          <w:szCs w:val="24"/>
          <w:lang w:val="en-US" w:eastAsia="zh-CN"/>
        </w:rPr>
        <w:t>defect</w:t>
      </w:r>
    </w:p>
    <w:p w14:paraId="5C94D6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本标准指外墙系统存在影响其安全性的裂缝、空鼓、脱落、渗水等。</w:t>
      </w:r>
    </w:p>
    <w:p w14:paraId="5F3DEF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FF"/>
          <w:sz w:val="24"/>
          <w:szCs w:val="24"/>
          <w:lang w:val="en-US" w:eastAsia="zh-CN"/>
        </w:rPr>
      </w:pPr>
      <w:r>
        <w:rPr>
          <w:rFonts w:hint="eastAsia" w:ascii="Times New Roman" w:hAnsi="Times New Roman" w:eastAsia="宋体" w:cs="Times New Roman"/>
          <w:color w:val="0000FF"/>
          <w:sz w:val="24"/>
          <w:szCs w:val="24"/>
          <w:lang w:val="en-US" w:eastAsia="zh-CN"/>
        </w:rPr>
        <w:t>【条文说明】</w:t>
      </w:r>
      <w:r>
        <w:rPr>
          <w:rFonts w:hint="eastAsia" w:ascii="宋体" w:hAnsi="宋体"/>
          <w:color w:val="0000FF"/>
          <w:sz w:val="24"/>
          <w:szCs w:val="24"/>
          <w:lang w:val="en-US" w:eastAsia="zh-CN"/>
        </w:rPr>
        <w:t>2.0.5 裂缝缺陷主要包括表面性裂缝、保温板拼缝处产生裂缝、保温层产生裂缝、基层结构引起裂缝等。空鼓根据其部位主要包括抹面层与饰面砖或涂料腻子层间空鼓、保温层与抹面层间空鼓、保温层本身强度不够引起空鼓、基层与保温层间空鼓等。渗水常见的包括阳台窗与墙交叉处渗水、门窗口部位渗水、女儿墙部位渗水、分隔缝部位渗水、铁爬梯和水落管等建筑构件根部渗水、墙面裂缝部位渗水等。</w:t>
      </w:r>
    </w:p>
    <w:p w14:paraId="7ED197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bookmarkStart w:id="22" w:name="_Toc5241_WPSOffice_Level1"/>
      <w:r>
        <w:rPr>
          <w:rFonts w:hint="eastAsia"/>
          <w:b/>
          <w:bCs/>
          <w:sz w:val="24"/>
          <w:szCs w:val="24"/>
          <w:lang w:val="en-US" w:eastAsia="zh-CN"/>
        </w:rPr>
        <w:t xml:space="preserve">2.0.6 </w:t>
      </w:r>
      <w:r>
        <w:rPr>
          <w:rFonts w:hint="eastAsia"/>
          <w:b w:val="0"/>
          <w:bCs w:val="0"/>
          <w:sz w:val="24"/>
          <w:szCs w:val="24"/>
          <w:lang w:val="en-US" w:eastAsia="zh-CN"/>
        </w:rPr>
        <w:t>损伤</w:t>
      </w:r>
      <w:bookmarkEnd w:id="22"/>
      <w:r>
        <w:rPr>
          <w:rFonts w:hint="eastAsia"/>
          <w:b w:val="0"/>
          <w:bCs w:val="0"/>
          <w:sz w:val="24"/>
          <w:szCs w:val="24"/>
          <w:lang w:val="en-US" w:eastAsia="zh-CN"/>
        </w:rPr>
        <w:t>damage</w:t>
      </w:r>
    </w:p>
    <w:p w14:paraId="0BB7B277">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b w:val="0"/>
          <w:bCs w:val="0"/>
          <w:sz w:val="24"/>
          <w:szCs w:val="24"/>
          <w:lang w:val="en-US" w:eastAsia="zh-CN"/>
        </w:rPr>
      </w:pPr>
      <w:r>
        <w:rPr>
          <w:rFonts w:hint="eastAsia"/>
          <w:b w:val="0"/>
          <w:bCs w:val="0"/>
          <w:sz w:val="24"/>
          <w:szCs w:val="24"/>
          <w:lang w:val="en-US" w:eastAsia="zh-CN"/>
        </w:rPr>
        <w:t>本标准指外墙系统受到外界各种创伤因素作用所引起质量破坏。</w:t>
      </w:r>
    </w:p>
    <w:p w14:paraId="226BEF6D">
      <w:pPr>
        <w:pStyle w:val="2"/>
        <w:pageBreakBefore w:val="0"/>
        <w:widowControl w:val="0"/>
        <w:kinsoku/>
        <w:wordWrap/>
        <w:overflowPunct/>
        <w:topLinePunct w:val="0"/>
        <w:bidi w:val="0"/>
        <w:snapToGrid/>
        <w:spacing w:line="360" w:lineRule="auto"/>
        <w:jc w:val="center"/>
        <w:textAlignment w:val="auto"/>
        <w:rPr>
          <w:rFonts w:hint="eastAsia" w:eastAsia="宋体"/>
          <w:szCs w:val="22"/>
          <w:lang w:val="en-US" w:eastAsia="zh-CN"/>
        </w:rPr>
        <w:sectPr>
          <w:pgSz w:w="11850" w:h="16783"/>
          <w:pgMar w:top="1440" w:right="1800" w:bottom="1440" w:left="1800" w:header="851" w:footer="992" w:gutter="0"/>
          <w:pgNumType w:fmt="decimal"/>
          <w:cols w:space="720" w:num="1"/>
          <w:docGrid w:type="lines" w:linePitch="312" w:charSpace="0"/>
        </w:sectPr>
      </w:pPr>
      <w:bookmarkStart w:id="23" w:name="_Toc31668"/>
    </w:p>
    <w:p w14:paraId="4BBA1EF4">
      <w:pPr>
        <w:pStyle w:val="2"/>
        <w:pageBreakBefore w:val="0"/>
        <w:widowControl w:val="0"/>
        <w:kinsoku/>
        <w:wordWrap/>
        <w:overflowPunct/>
        <w:topLinePunct w:val="0"/>
        <w:bidi w:val="0"/>
        <w:snapToGrid/>
        <w:spacing w:line="360" w:lineRule="auto"/>
        <w:jc w:val="center"/>
        <w:textAlignment w:val="auto"/>
        <w:rPr>
          <w:rFonts w:hint="eastAsia" w:eastAsia="宋体"/>
          <w:szCs w:val="22"/>
          <w:lang w:val="en-US" w:eastAsia="zh-CN"/>
        </w:rPr>
      </w:pPr>
      <w:r>
        <w:rPr>
          <w:rFonts w:hint="eastAsia" w:eastAsia="宋体"/>
          <w:szCs w:val="22"/>
          <w:lang w:val="en-US" w:eastAsia="zh-CN"/>
        </w:rPr>
        <w:t>3 基本规定</w:t>
      </w:r>
      <w:bookmarkEnd w:id="23"/>
    </w:p>
    <w:p w14:paraId="6E2671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b/>
          <w:bCs/>
          <w:sz w:val="24"/>
          <w:szCs w:val="24"/>
          <w:lang w:val="en-US" w:eastAsia="zh-CN"/>
        </w:rPr>
        <w:t>3.0.1</w:t>
      </w:r>
      <w:r>
        <w:rPr>
          <w:rFonts w:hint="eastAsia" w:ascii="宋体" w:hAnsi="宋体"/>
          <w:sz w:val="24"/>
          <w:szCs w:val="24"/>
          <w:lang w:val="en-US" w:eastAsia="zh-CN"/>
        </w:rPr>
        <w:t>改性玻化微珠复合材料外墙改造应安全可靠、节能环保、经济合理、美观适用。</w:t>
      </w:r>
    </w:p>
    <w:p w14:paraId="339D8B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bookmarkStart w:id="24" w:name="_Toc5378_WPSOffice_Level1"/>
      <w:r>
        <w:rPr>
          <w:rFonts w:hint="eastAsia"/>
          <w:b/>
          <w:bCs/>
          <w:sz w:val="24"/>
          <w:szCs w:val="24"/>
          <w:lang w:val="en-US" w:eastAsia="zh-CN"/>
        </w:rPr>
        <w:t xml:space="preserve">3.0.2 </w:t>
      </w:r>
      <w:r>
        <w:rPr>
          <w:rFonts w:hint="eastAsia" w:ascii="宋体" w:hAnsi="宋体"/>
          <w:sz w:val="24"/>
          <w:szCs w:val="24"/>
          <w:lang w:val="en-US" w:eastAsia="zh-CN"/>
        </w:rPr>
        <w:t>改性玻化微珠复合材料外墙改造应符合下列规定：</w:t>
      </w:r>
      <w:bookmarkEnd w:id="24"/>
    </w:p>
    <w:p w14:paraId="1A9BE8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1 应对原外墙系统进行检查与修复。</w:t>
      </w:r>
    </w:p>
    <w:p w14:paraId="04C729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2 应选定改造设计方案。</w:t>
      </w:r>
    </w:p>
    <w:p w14:paraId="154E36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3 应制定改造施工方案，明确施工要点。</w:t>
      </w:r>
    </w:p>
    <w:p w14:paraId="3543A4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4 应对改性玻化微珠复合材料外墙改造</w:t>
      </w:r>
      <w:r>
        <w:rPr>
          <w:rFonts w:hint="eastAsia"/>
          <w:sz w:val="24"/>
          <w:szCs w:val="24"/>
          <w:lang w:val="en-US" w:eastAsia="zh-CN"/>
        </w:rPr>
        <w:t>工程</w:t>
      </w:r>
      <w:r>
        <w:rPr>
          <w:rFonts w:hint="eastAsia" w:ascii="宋体" w:hAnsi="宋体"/>
          <w:sz w:val="24"/>
          <w:szCs w:val="24"/>
          <w:lang w:val="en-US" w:eastAsia="zh-CN"/>
        </w:rPr>
        <w:t>进行验收。</w:t>
      </w:r>
    </w:p>
    <w:p w14:paraId="0DA9FF3E">
      <w:pPr>
        <w:pStyle w:val="14"/>
        <w:keepNext w:val="0"/>
        <w:keepLines w:val="0"/>
        <w:pageBreakBefore w:val="0"/>
        <w:widowControl w:val="0"/>
        <w:kinsoku/>
        <w:wordWrap/>
        <w:overflowPunct/>
        <w:topLinePunct w:val="0"/>
        <w:bidi w:val="0"/>
        <w:snapToGrid/>
        <w:spacing w:line="360" w:lineRule="auto"/>
        <w:textAlignment w:val="auto"/>
        <w:rPr>
          <w:rFonts w:hint="default"/>
          <w:lang w:val="en-US" w:eastAsia="zh-CN"/>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3.0.</w:t>
      </w:r>
      <w:r>
        <w:rPr>
          <w:rFonts w:hint="eastAsia" w:hAnsi="宋体" w:cs="Times New Roman"/>
          <w:color w:val="0000FF"/>
          <w:kern w:val="2"/>
          <w:sz w:val="24"/>
          <w:szCs w:val="24"/>
          <w:lang w:val="en-US" w:eastAsia="zh-CN" w:bidi="ar-SA"/>
        </w:rPr>
        <w:t>2</w:t>
      </w:r>
      <w:r>
        <w:rPr>
          <w:rFonts w:hint="eastAsia" w:ascii="宋体" w:hAnsi="宋体" w:eastAsia="宋体" w:cs="Times New Roman"/>
          <w:color w:val="0000FF"/>
          <w:kern w:val="2"/>
          <w:sz w:val="24"/>
          <w:szCs w:val="24"/>
          <w:lang w:val="en-US" w:eastAsia="zh-CN" w:bidi="ar-SA"/>
        </w:rPr>
        <w:t>本条明确了建筑外墙系统</w:t>
      </w:r>
      <w:r>
        <w:rPr>
          <w:rFonts w:hint="eastAsia" w:hAnsi="宋体" w:cs="Times New Roman"/>
          <w:color w:val="0000FF"/>
          <w:kern w:val="2"/>
          <w:sz w:val="24"/>
          <w:szCs w:val="24"/>
          <w:lang w:val="en-US" w:eastAsia="zh-CN" w:bidi="ar-SA"/>
        </w:rPr>
        <w:t>改造</w:t>
      </w:r>
      <w:r>
        <w:rPr>
          <w:rFonts w:hint="eastAsia" w:ascii="宋体" w:hAnsi="宋体" w:eastAsia="宋体" w:cs="Times New Roman"/>
          <w:color w:val="0000FF"/>
          <w:kern w:val="2"/>
          <w:sz w:val="24"/>
          <w:szCs w:val="24"/>
          <w:lang w:val="en-US" w:eastAsia="zh-CN" w:bidi="ar-SA"/>
        </w:rPr>
        <w:t>的一般规定，应根据</w:t>
      </w:r>
      <w:r>
        <w:rPr>
          <w:rFonts w:hint="eastAsia" w:hAnsi="宋体" w:cs="Times New Roman"/>
          <w:color w:val="0000FF"/>
          <w:kern w:val="2"/>
          <w:sz w:val="24"/>
          <w:szCs w:val="24"/>
          <w:lang w:val="en-US" w:eastAsia="zh-CN" w:bidi="ar-SA"/>
        </w:rPr>
        <w:t>检查修复</w:t>
      </w:r>
      <w:r>
        <w:rPr>
          <w:rFonts w:hint="eastAsia" w:ascii="宋体" w:hAnsi="宋体" w:eastAsia="宋体" w:cs="Times New Roman"/>
          <w:color w:val="0000FF"/>
          <w:kern w:val="2"/>
          <w:sz w:val="24"/>
          <w:szCs w:val="24"/>
          <w:lang w:val="en-US" w:eastAsia="zh-CN" w:bidi="ar-SA"/>
        </w:rPr>
        <w:t>结果</w:t>
      </w:r>
      <w:r>
        <w:rPr>
          <w:rFonts w:hint="eastAsia" w:hAnsi="宋体" w:cs="Times New Roman"/>
          <w:color w:val="0000FF"/>
          <w:kern w:val="2"/>
          <w:sz w:val="24"/>
          <w:szCs w:val="24"/>
          <w:lang w:val="en-US" w:eastAsia="zh-CN" w:bidi="ar-SA"/>
        </w:rPr>
        <w:t>结合工程外立面实际情况</w:t>
      </w:r>
      <w:r>
        <w:rPr>
          <w:rFonts w:hint="eastAsia" w:ascii="宋体" w:hAnsi="宋体" w:eastAsia="宋体" w:cs="Times New Roman"/>
          <w:color w:val="0000FF"/>
          <w:kern w:val="2"/>
          <w:sz w:val="24"/>
          <w:szCs w:val="24"/>
          <w:lang w:val="en-US" w:eastAsia="zh-CN" w:bidi="ar-SA"/>
        </w:rPr>
        <w:t>确定</w:t>
      </w:r>
      <w:r>
        <w:rPr>
          <w:rFonts w:hint="eastAsia" w:hAnsi="宋体" w:cs="Times New Roman"/>
          <w:color w:val="0000FF"/>
          <w:kern w:val="2"/>
          <w:sz w:val="24"/>
          <w:szCs w:val="24"/>
          <w:lang w:val="en-US" w:eastAsia="zh-CN" w:bidi="ar-SA"/>
        </w:rPr>
        <w:t>改造设计方案，并依据设计方案制定施工方案并组织施工，竣工后应进行验收</w:t>
      </w:r>
      <w:r>
        <w:rPr>
          <w:rFonts w:hint="eastAsia" w:ascii="宋体" w:hAnsi="宋体" w:eastAsia="宋体" w:cs="Times New Roman"/>
          <w:color w:val="0000FF"/>
          <w:kern w:val="2"/>
          <w:sz w:val="24"/>
          <w:szCs w:val="24"/>
          <w:lang w:val="en-US" w:eastAsia="zh-CN" w:bidi="ar-SA"/>
        </w:rPr>
        <w:t>。</w:t>
      </w:r>
    </w:p>
    <w:p w14:paraId="75FD41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yellow"/>
          <w:lang w:val="en-US" w:eastAsia="zh-CN"/>
        </w:rPr>
      </w:pPr>
      <w:r>
        <w:rPr>
          <w:rFonts w:hint="eastAsia"/>
          <w:b/>
          <w:bCs/>
          <w:sz w:val="24"/>
          <w:szCs w:val="24"/>
          <w:lang w:val="en-US" w:eastAsia="zh-CN"/>
        </w:rPr>
        <w:t>3.0.3</w:t>
      </w:r>
      <w:r>
        <w:rPr>
          <w:rFonts w:hint="eastAsia" w:ascii="宋体" w:hAnsi="宋体"/>
          <w:sz w:val="24"/>
          <w:szCs w:val="24"/>
          <w:lang w:val="en-US" w:eastAsia="zh-CN"/>
        </w:rPr>
        <w:t>改性玻化微珠复合材料外墙改造前，应对原外墙进行检查，确定外墙缺陷部位、缺陷类型和缺陷程度，并应进行原因分析，提出修复建议，出具检查报告。</w:t>
      </w:r>
    </w:p>
    <w:p w14:paraId="46C3F3EB">
      <w:pPr>
        <w:pStyle w:val="14"/>
        <w:keepNext w:val="0"/>
        <w:keepLines w:val="0"/>
        <w:pageBreakBefore w:val="0"/>
        <w:widowControl w:val="0"/>
        <w:kinsoku/>
        <w:wordWrap/>
        <w:overflowPunct/>
        <w:topLinePunct w:val="0"/>
        <w:bidi w:val="0"/>
        <w:snapToGrid/>
        <w:spacing w:line="360" w:lineRule="auto"/>
        <w:textAlignment w:val="auto"/>
        <w:rPr>
          <w:rFonts w:hint="default"/>
          <w:lang w:val="en-US" w:eastAsia="zh-CN"/>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3.0.</w:t>
      </w:r>
      <w:r>
        <w:rPr>
          <w:rFonts w:hint="eastAsia" w:hAnsi="宋体" w:cs="Times New Roman"/>
          <w:color w:val="0000FF"/>
          <w:kern w:val="2"/>
          <w:sz w:val="24"/>
          <w:szCs w:val="24"/>
          <w:lang w:val="en-US" w:eastAsia="zh-CN" w:bidi="ar-SA"/>
        </w:rPr>
        <w:t>3</w:t>
      </w:r>
      <w:r>
        <w:rPr>
          <w:rFonts w:hint="eastAsia" w:ascii="宋体" w:hAnsi="宋体" w:eastAsia="宋体" w:cs="Times New Roman"/>
          <w:color w:val="0000FF"/>
          <w:kern w:val="2"/>
          <w:sz w:val="24"/>
          <w:szCs w:val="24"/>
          <w:lang w:val="en-US" w:eastAsia="zh-CN" w:bidi="ar-SA"/>
        </w:rPr>
        <w:t>建筑外墙系统的缺陷类型多样，引起缺陷的原因也不尽相同，只有找准原因，才能对症下药。因此，在建筑外墙系统</w:t>
      </w:r>
      <w:r>
        <w:rPr>
          <w:rFonts w:hint="eastAsia" w:hAnsi="宋体" w:cs="Times New Roman"/>
          <w:color w:val="0000FF"/>
          <w:kern w:val="2"/>
          <w:sz w:val="24"/>
          <w:szCs w:val="24"/>
          <w:lang w:val="en-US" w:eastAsia="zh-CN" w:bidi="ar-SA"/>
        </w:rPr>
        <w:t>改造</w:t>
      </w:r>
      <w:r>
        <w:rPr>
          <w:rFonts w:hint="eastAsia" w:ascii="宋体" w:hAnsi="宋体" w:eastAsia="宋体" w:cs="Times New Roman"/>
          <w:color w:val="0000FF"/>
          <w:kern w:val="2"/>
          <w:sz w:val="24"/>
          <w:szCs w:val="24"/>
          <w:lang w:val="en-US" w:eastAsia="zh-CN" w:bidi="ar-SA"/>
        </w:rPr>
        <w:t>前，需先进行</w:t>
      </w:r>
      <w:r>
        <w:rPr>
          <w:rFonts w:hint="eastAsia" w:hAnsi="宋体" w:cs="Times New Roman"/>
          <w:color w:val="0000FF"/>
          <w:kern w:val="2"/>
          <w:sz w:val="24"/>
          <w:szCs w:val="24"/>
          <w:lang w:val="en-US" w:eastAsia="zh-CN" w:bidi="ar-SA"/>
        </w:rPr>
        <w:t>检查</w:t>
      </w:r>
      <w:r>
        <w:rPr>
          <w:rFonts w:hint="eastAsia" w:ascii="宋体" w:hAnsi="宋体" w:eastAsia="宋体" w:cs="Times New Roman"/>
          <w:color w:val="0000FF"/>
          <w:kern w:val="2"/>
          <w:sz w:val="24"/>
          <w:szCs w:val="24"/>
          <w:lang w:val="en-US" w:eastAsia="zh-CN" w:bidi="ar-SA"/>
        </w:rPr>
        <w:t>，通过初步调查，以及敲击法、系统拉伸粘结强度等现场检测，</w:t>
      </w:r>
      <w:r>
        <w:rPr>
          <w:rFonts w:hint="eastAsia" w:hAnsi="宋体" w:cs="Times New Roman"/>
          <w:color w:val="0000FF"/>
          <w:kern w:val="2"/>
          <w:sz w:val="24"/>
          <w:szCs w:val="24"/>
          <w:lang w:val="en-US" w:eastAsia="zh-CN" w:bidi="ar-SA"/>
        </w:rPr>
        <w:t>分析</w:t>
      </w:r>
      <w:r>
        <w:rPr>
          <w:rFonts w:hint="eastAsia" w:ascii="宋体" w:hAnsi="宋体" w:eastAsia="宋体" w:cs="Times New Roman"/>
          <w:color w:val="0000FF"/>
          <w:kern w:val="2"/>
          <w:sz w:val="24"/>
          <w:szCs w:val="24"/>
          <w:lang w:val="en-US" w:eastAsia="zh-CN" w:bidi="ar-SA"/>
        </w:rPr>
        <w:t>外墙系统的缺陷部位、缺陷类型、缺陷程度以及成因等，并根据</w:t>
      </w:r>
      <w:r>
        <w:rPr>
          <w:rFonts w:hint="eastAsia" w:hAnsi="宋体" w:cs="Times New Roman"/>
          <w:color w:val="0000FF"/>
          <w:kern w:val="2"/>
          <w:sz w:val="24"/>
          <w:szCs w:val="24"/>
          <w:lang w:val="en-US" w:eastAsia="zh-CN" w:bidi="ar-SA"/>
        </w:rPr>
        <w:t>检查</w:t>
      </w:r>
      <w:r>
        <w:rPr>
          <w:rFonts w:hint="eastAsia" w:ascii="宋体" w:hAnsi="宋体" w:eastAsia="宋体" w:cs="Times New Roman"/>
          <w:color w:val="0000FF"/>
          <w:kern w:val="2"/>
          <w:sz w:val="24"/>
          <w:szCs w:val="24"/>
          <w:lang w:val="en-US" w:eastAsia="zh-CN" w:bidi="ar-SA"/>
        </w:rPr>
        <w:t>结果，</w:t>
      </w:r>
      <w:r>
        <w:rPr>
          <w:rFonts w:hint="eastAsia" w:hAnsi="宋体" w:cs="Times New Roman"/>
          <w:color w:val="0000FF"/>
          <w:kern w:val="2"/>
          <w:sz w:val="24"/>
          <w:szCs w:val="24"/>
          <w:lang w:val="en-US" w:eastAsia="zh-CN" w:bidi="ar-SA"/>
        </w:rPr>
        <w:t>提出</w:t>
      </w:r>
      <w:r>
        <w:rPr>
          <w:rFonts w:hint="eastAsia" w:ascii="宋体" w:hAnsi="宋体" w:eastAsia="宋体" w:cs="Times New Roman"/>
          <w:color w:val="0000FF"/>
          <w:kern w:val="2"/>
          <w:sz w:val="24"/>
          <w:szCs w:val="24"/>
          <w:lang w:val="en-US" w:eastAsia="zh-CN" w:bidi="ar-SA"/>
        </w:rPr>
        <w:t>具有针对性的</w:t>
      </w:r>
      <w:r>
        <w:rPr>
          <w:rFonts w:hint="eastAsia" w:hAnsi="宋体" w:cs="Times New Roman"/>
          <w:color w:val="0000FF"/>
          <w:kern w:val="2"/>
          <w:sz w:val="24"/>
          <w:szCs w:val="24"/>
          <w:lang w:val="en-US" w:eastAsia="zh-CN" w:bidi="ar-SA"/>
        </w:rPr>
        <w:t>修复建议</w:t>
      </w:r>
      <w:r>
        <w:rPr>
          <w:rFonts w:hint="eastAsia" w:ascii="宋体" w:hAnsi="宋体" w:eastAsia="宋体" w:cs="Times New Roman"/>
          <w:color w:val="0000FF"/>
          <w:kern w:val="2"/>
          <w:sz w:val="24"/>
          <w:szCs w:val="24"/>
          <w:lang w:val="en-US" w:eastAsia="zh-CN" w:bidi="ar-SA"/>
        </w:rPr>
        <w:t>。</w:t>
      </w:r>
    </w:p>
    <w:p w14:paraId="7EDC4BA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 w:val="24"/>
          <w:szCs w:val="24"/>
          <w:lang w:val="en-US" w:eastAsia="zh-CN"/>
        </w:rPr>
      </w:pPr>
      <w:r>
        <w:rPr>
          <w:rFonts w:hint="eastAsia"/>
          <w:b/>
          <w:bCs/>
          <w:sz w:val="24"/>
          <w:szCs w:val="24"/>
          <w:lang w:val="en-US" w:eastAsia="zh-CN"/>
        </w:rPr>
        <w:t>3.0.4</w:t>
      </w:r>
      <w:r>
        <w:rPr>
          <w:rFonts w:hint="eastAsia" w:ascii="宋体" w:hAnsi="宋体"/>
          <w:sz w:val="24"/>
          <w:szCs w:val="24"/>
          <w:lang w:val="en-US" w:eastAsia="zh-CN"/>
        </w:rPr>
        <w:t>改性玻化微珠复合材料外墙改造前应根据检查报告进行修复设计，再实施修复。修复设计文件应包括设计依据、修复要求及方法的说明、修复内容、修复用料及用量说明等，根据修复内容的复杂程度，用文字、符号、图纸等进行书面表达和记录。</w:t>
      </w:r>
    </w:p>
    <w:p w14:paraId="1C3E7E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sectPr>
          <w:pgSz w:w="11850" w:h="16783"/>
          <w:pgMar w:top="1440" w:right="1800" w:bottom="1440" w:left="1800" w:header="851" w:footer="992" w:gutter="0"/>
          <w:pgNumType w:fmt="decimal"/>
          <w:cols w:space="720" w:num="1"/>
          <w:docGrid w:type="lines" w:linePitch="312" w:charSpace="0"/>
        </w:sectPr>
      </w:pPr>
      <w:r>
        <w:rPr>
          <w:rFonts w:hint="eastAsia"/>
          <w:b/>
          <w:bCs/>
          <w:sz w:val="24"/>
          <w:szCs w:val="24"/>
          <w:lang w:val="en-US" w:eastAsia="zh-CN"/>
        </w:rPr>
        <w:t>3.0.5</w:t>
      </w:r>
      <w:r>
        <w:rPr>
          <w:rFonts w:hint="eastAsia" w:ascii="宋体" w:hAnsi="宋体"/>
          <w:sz w:val="24"/>
          <w:szCs w:val="24"/>
          <w:lang w:val="en-US" w:eastAsia="zh-CN"/>
        </w:rPr>
        <w:t>改性玻化微珠复合材料外墙改造除应符合本标准的规定外，尚应符合现行国家标准《既有建筑维护与改造通用规范》GB55022和现行行业标准《建筑外墙外保温系统修缮标准》JGJ376的规定。</w:t>
      </w:r>
    </w:p>
    <w:p w14:paraId="728C019B">
      <w:pPr>
        <w:pStyle w:val="2"/>
        <w:pageBreakBefore w:val="0"/>
        <w:widowControl w:val="0"/>
        <w:kinsoku/>
        <w:wordWrap/>
        <w:overflowPunct/>
        <w:topLinePunct w:val="0"/>
        <w:bidi w:val="0"/>
        <w:snapToGrid/>
        <w:spacing w:line="360" w:lineRule="auto"/>
        <w:jc w:val="center"/>
        <w:textAlignment w:val="auto"/>
        <w:rPr>
          <w:rFonts w:hint="default" w:eastAsia="宋体"/>
          <w:szCs w:val="22"/>
          <w:lang w:val="en-US" w:eastAsia="zh-CN"/>
        </w:rPr>
      </w:pPr>
      <w:bookmarkStart w:id="25" w:name="_Toc2203"/>
      <w:r>
        <w:rPr>
          <w:rFonts w:hint="eastAsia" w:eastAsia="宋体"/>
          <w:szCs w:val="22"/>
          <w:lang w:val="en-US" w:eastAsia="zh-CN"/>
        </w:rPr>
        <w:t xml:space="preserve">4 </w:t>
      </w:r>
      <w:r>
        <w:rPr>
          <w:rFonts w:hint="eastAsia"/>
          <w:szCs w:val="22"/>
          <w:lang w:val="en-US" w:eastAsia="zh-CN"/>
        </w:rPr>
        <w:t>检查与修复</w:t>
      </w:r>
      <w:bookmarkEnd w:id="25"/>
    </w:p>
    <w:p w14:paraId="71371A08">
      <w:pPr>
        <w:pStyle w:val="3"/>
        <w:bidi w:val="0"/>
        <w:jc w:val="center"/>
        <w:rPr>
          <w:rFonts w:hint="eastAsia"/>
          <w:lang w:val="en-US" w:eastAsia="zh-CN"/>
        </w:rPr>
      </w:pPr>
      <w:bookmarkStart w:id="26" w:name="_Toc5378_WPSOffice_Level2"/>
      <w:bookmarkStart w:id="27" w:name="_Toc9683"/>
      <w:r>
        <w:rPr>
          <w:rFonts w:hint="eastAsia"/>
          <w:lang w:val="en-US" w:eastAsia="zh-CN"/>
        </w:rPr>
        <w:t>4.1 一般规定</w:t>
      </w:r>
      <w:bookmarkEnd w:id="26"/>
      <w:bookmarkEnd w:id="27"/>
    </w:p>
    <w:p w14:paraId="29752F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bookmarkStart w:id="28" w:name="_Toc5378_WPSOffice_Level3"/>
      <w:r>
        <w:rPr>
          <w:rFonts w:hint="eastAsia"/>
          <w:b/>
          <w:bCs/>
          <w:sz w:val="24"/>
          <w:szCs w:val="24"/>
          <w:lang w:val="en-US" w:eastAsia="zh-CN"/>
        </w:rPr>
        <w:t>4.1.1</w:t>
      </w:r>
      <w:r>
        <w:rPr>
          <w:rFonts w:hint="eastAsia" w:ascii="宋体" w:hAnsi="宋体"/>
          <w:sz w:val="24"/>
          <w:szCs w:val="24"/>
          <w:lang w:val="en-US" w:eastAsia="zh-CN"/>
        </w:rPr>
        <w:t xml:space="preserve"> 既有建筑外墙系统检查宜按下列步骤进行：</w:t>
      </w:r>
      <w:bookmarkEnd w:id="28"/>
    </w:p>
    <w:p w14:paraId="0EDFB1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1 对项目建设基本情况、外墙系统缺陷情况等进行初步调查。</w:t>
      </w:r>
    </w:p>
    <w:p w14:paraId="65A61D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2 对外墙系统进行现场检查与现场检测。</w:t>
      </w:r>
    </w:p>
    <w:p w14:paraId="109B19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3 对现场检查和现场检测结果进行分析，提出修复建议，并编制检查报告。</w:t>
      </w:r>
    </w:p>
    <w:p w14:paraId="40C0A0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yellow"/>
          <w:lang w:val="en-US" w:eastAsia="zh-CN"/>
        </w:rPr>
      </w:pPr>
      <w:bookmarkStart w:id="29" w:name="_Toc29341_WPSOffice_Level3"/>
      <w:r>
        <w:rPr>
          <w:rFonts w:hint="eastAsia"/>
          <w:b/>
          <w:bCs/>
          <w:sz w:val="24"/>
          <w:szCs w:val="24"/>
          <w:lang w:val="en-US" w:eastAsia="zh-CN"/>
        </w:rPr>
        <w:t xml:space="preserve">4.1.2 </w:t>
      </w:r>
      <w:r>
        <w:rPr>
          <w:rFonts w:hint="eastAsia" w:ascii="宋体" w:hAnsi="宋体"/>
          <w:sz w:val="24"/>
          <w:szCs w:val="24"/>
          <w:lang w:val="en-US" w:eastAsia="zh-CN"/>
        </w:rPr>
        <w:t xml:space="preserve"> 既有建筑外墙系统现场检查和现场检测宜按国家和地方现行相关标准的规定执行。</w:t>
      </w:r>
      <w:bookmarkEnd w:id="29"/>
    </w:p>
    <w:p w14:paraId="1BD9B0BD">
      <w:pPr>
        <w:pStyle w:val="14"/>
        <w:keepNext w:val="0"/>
        <w:keepLines w:val="0"/>
        <w:pageBreakBefore w:val="0"/>
        <w:widowControl w:val="0"/>
        <w:kinsoku/>
        <w:wordWrap/>
        <w:overflowPunct/>
        <w:topLinePunct w:val="0"/>
        <w:bidi w:val="0"/>
        <w:snapToGrid/>
        <w:spacing w:line="360" w:lineRule="auto"/>
        <w:textAlignment w:val="auto"/>
        <w:rPr>
          <w:rFonts w:hint="default"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4.1.2 现场检查于现场检测方法宜按现行国家标准中的相关规定执行，当国家标准中无相关规定时，也可以选择湖南省地方标准推荐的相关试验方法。其中外墙外保温系统构造检查宜按现行国家标准《建筑节能工程施工质量验收标准》GB50411中的相关规定执行，外墙外装修系统构造检查宜按现行国家标准《建筑装饰装修工程质量验收标准》GB50210中的相关规定执行。</w:t>
      </w:r>
    </w:p>
    <w:p w14:paraId="63C066B6">
      <w:pPr>
        <w:pStyle w:val="3"/>
        <w:bidi w:val="0"/>
        <w:jc w:val="center"/>
        <w:rPr>
          <w:rFonts w:hint="default"/>
          <w:b/>
          <w:lang w:val="en-US" w:eastAsia="zh-CN"/>
        </w:rPr>
      </w:pPr>
      <w:bookmarkStart w:id="30" w:name="_Toc7572"/>
      <w:bookmarkStart w:id="31" w:name="_Toc29341_WPSOffice_Level2"/>
      <w:r>
        <w:rPr>
          <w:rFonts w:hint="eastAsia"/>
          <w:b/>
          <w:lang w:val="en-US" w:eastAsia="zh-CN"/>
        </w:rPr>
        <w:t>4.2 检查</w:t>
      </w:r>
      <w:bookmarkEnd w:id="30"/>
    </w:p>
    <w:p w14:paraId="03FF5EC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4"/>
          <w:szCs w:val="24"/>
          <w:lang w:val="en-US" w:eastAsia="zh-CN"/>
        </w:rPr>
      </w:pPr>
      <w:r>
        <w:rPr>
          <w:rFonts w:hint="eastAsia"/>
          <w:b/>
          <w:bCs/>
          <w:sz w:val="24"/>
          <w:szCs w:val="24"/>
          <w:lang w:val="en-US" w:eastAsia="zh-CN"/>
        </w:rPr>
        <w:t>Ⅰ初步调查</w:t>
      </w:r>
      <w:bookmarkEnd w:id="31"/>
    </w:p>
    <w:p w14:paraId="23B7DC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bookmarkStart w:id="32" w:name="_Toc32218_WPSOffice_Level3"/>
      <w:r>
        <w:rPr>
          <w:rFonts w:hint="eastAsia"/>
          <w:b/>
          <w:bCs/>
          <w:sz w:val="24"/>
          <w:szCs w:val="24"/>
          <w:lang w:val="en-US" w:eastAsia="zh-CN"/>
        </w:rPr>
        <w:t>4.2.1</w:t>
      </w:r>
      <w:r>
        <w:rPr>
          <w:rFonts w:hint="eastAsia" w:ascii="宋体" w:hAnsi="宋体"/>
          <w:sz w:val="24"/>
          <w:szCs w:val="24"/>
          <w:lang w:val="en-US" w:eastAsia="zh-CN"/>
        </w:rPr>
        <w:t xml:space="preserve"> 初步调查应进行资料收集和现场查勘。</w:t>
      </w:r>
      <w:bookmarkEnd w:id="32"/>
    </w:p>
    <w:p w14:paraId="2E9F73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bookmarkStart w:id="33" w:name="_Toc27623_WPSOffice_Level3"/>
      <w:r>
        <w:rPr>
          <w:rFonts w:hint="eastAsia"/>
          <w:b/>
          <w:bCs/>
          <w:sz w:val="24"/>
          <w:szCs w:val="24"/>
          <w:lang w:val="en-US" w:eastAsia="zh-CN"/>
        </w:rPr>
        <w:t xml:space="preserve">4.2.2 </w:t>
      </w:r>
      <w:r>
        <w:rPr>
          <w:rFonts w:hint="eastAsia" w:ascii="宋体" w:hAnsi="宋体"/>
          <w:sz w:val="24"/>
          <w:szCs w:val="24"/>
          <w:lang w:val="en-US" w:eastAsia="zh-CN"/>
        </w:rPr>
        <w:t>资料收集宜包括下列主要内容：</w:t>
      </w:r>
      <w:bookmarkEnd w:id="33"/>
    </w:p>
    <w:p w14:paraId="30C23A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1 项目概况，包括规模、建筑结构形式、外墙构造等。</w:t>
      </w:r>
    </w:p>
    <w:p w14:paraId="2D3DC8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2 建筑原设计文件，包括设计变更通知。  </w:t>
      </w:r>
    </w:p>
    <w:p w14:paraId="32AB619C">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sz w:val="24"/>
          <w:szCs w:val="24"/>
          <w:lang w:val="en-US" w:eastAsia="zh-CN"/>
        </w:rPr>
      </w:pPr>
      <w:r>
        <w:rPr>
          <w:rFonts w:hint="eastAsia" w:ascii="宋体" w:hAnsi="宋体"/>
          <w:sz w:val="24"/>
          <w:szCs w:val="24"/>
          <w:lang w:val="en-US" w:eastAsia="zh-CN"/>
        </w:rPr>
        <w:t>3 外墙节能设计和节能审查备案登记表。</w:t>
      </w:r>
    </w:p>
    <w:p w14:paraId="08506692">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sz w:val="24"/>
          <w:szCs w:val="24"/>
          <w:lang w:val="en-US" w:eastAsia="zh-CN"/>
        </w:rPr>
      </w:pPr>
      <w:r>
        <w:rPr>
          <w:rFonts w:hint="eastAsia" w:ascii="宋体" w:hAnsi="宋体"/>
          <w:sz w:val="24"/>
          <w:szCs w:val="24"/>
          <w:lang w:val="en-US" w:eastAsia="zh-CN"/>
        </w:rPr>
        <w:t>4 原外墙系统及其组成材料的性能检测报告，隐蔽工程记录及施工方案、施工记录、施工质量验收报告等施工技术资料。</w:t>
      </w:r>
    </w:p>
    <w:p w14:paraId="67EBB778">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sz w:val="24"/>
          <w:szCs w:val="24"/>
          <w:lang w:val="en-US" w:eastAsia="zh-CN"/>
        </w:rPr>
      </w:pPr>
      <w:r>
        <w:rPr>
          <w:rFonts w:hint="eastAsia" w:ascii="宋体" w:hAnsi="宋体"/>
          <w:sz w:val="24"/>
          <w:szCs w:val="24"/>
          <w:lang w:val="en-US" w:eastAsia="zh-CN"/>
        </w:rPr>
        <w:t>5 外墙材料的生产厂家或供应商信息、施工单位信息。</w:t>
      </w:r>
    </w:p>
    <w:p w14:paraId="0BB7457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sz w:val="24"/>
          <w:szCs w:val="24"/>
          <w:lang w:val="en-US" w:eastAsia="zh-CN"/>
        </w:rPr>
      </w:pPr>
      <w:r>
        <w:rPr>
          <w:rFonts w:hint="eastAsia" w:ascii="宋体" w:hAnsi="宋体"/>
          <w:sz w:val="24"/>
          <w:szCs w:val="24"/>
          <w:lang w:val="en-US" w:eastAsia="zh-CN"/>
        </w:rPr>
        <w:t>6 建筑外墙系统修缮记录。</w:t>
      </w:r>
    </w:p>
    <w:p w14:paraId="519914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bookmarkStart w:id="34" w:name="_Toc16034_WPSOffice_Level3"/>
      <w:r>
        <w:rPr>
          <w:rFonts w:hint="eastAsia"/>
          <w:b/>
          <w:bCs/>
          <w:sz w:val="24"/>
          <w:szCs w:val="24"/>
          <w:lang w:val="en-US" w:eastAsia="zh-CN"/>
        </w:rPr>
        <w:t xml:space="preserve">4.2.3 </w:t>
      </w:r>
      <w:r>
        <w:rPr>
          <w:rFonts w:hint="eastAsia" w:ascii="宋体" w:hAnsi="宋体"/>
          <w:sz w:val="24"/>
          <w:szCs w:val="24"/>
          <w:lang w:val="en-US" w:eastAsia="zh-CN"/>
        </w:rPr>
        <w:t>现场查勘宜包括下列主要内容：</w:t>
      </w:r>
      <w:bookmarkEnd w:id="34"/>
    </w:p>
    <w:p w14:paraId="7DFF40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1 建筑外墙系统开裂、空鼓、脱落、渗水等情况。</w:t>
      </w:r>
    </w:p>
    <w:p w14:paraId="325FDA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2 建筑物方位、朝向、日照、周边环境遮挡或反射等情况。</w:t>
      </w:r>
    </w:p>
    <w:p w14:paraId="31337D41">
      <w:pPr>
        <w:pStyle w:val="14"/>
        <w:keepNext w:val="0"/>
        <w:keepLines w:val="0"/>
        <w:pageBreakBefore w:val="0"/>
        <w:widowControl w:val="0"/>
        <w:kinsoku/>
        <w:wordWrap/>
        <w:overflowPunct/>
        <w:topLinePunct w:val="0"/>
        <w:bidi w:val="0"/>
        <w:snapToGrid/>
        <w:spacing w:line="360" w:lineRule="auto"/>
        <w:textAlignment w:val="auto"/>
        <w:rPr>
          <w:rFonts w:hint="default"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4.2.1-4.2.3规定了初步调查阶段应收集的资料和查勘的内容，收集的资料主要包括项目原有的相关记录和文件。外墙系统检测前的资料收集和现场查勘工作很重要，了解检测对象状况和收集有关资料不仅有利于制定检测方案，而且有助于确定检测内容的重点。当缺乏有关资料时，应向相关人员及单位进行调查。</w:t>
      </w:r>
    </w:p>
    <w:p w14:paraId="520C3A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4"/>
          <w:szCs w:val="24"/>
          <w:lang w:val="en-US" w:eastAsia="zh-CN"/>
        </w:rPr>
      </w:pPr>
      <w:bookmarkStart w:id="35" w:name="_Toc32218_WPSOffice_Level2"/>
      <w:r>
        <w:rPr>
          <w:rFonts w:hint="eastAsia"/>
          <w:b/>
          <w:bCs/>
          <w:sz w:val="24"/>
          <w:szCs w:val="24"/>
          <w:lang w:val="en-US" w:eastAsia="zh-CN"/>
        </w:rPr>
        <w:t>Ⅱ 现场检查与现场检测</w:t>
      </w:r>
      <w:bookmarkEnd w:id="35"/>
    </w:p>
    <w:p w14:paraId="52B0A2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b/>
          <w:bCs/>
          <w:sz w:val="24"/>
          <w:szCs w:val="24"/>
          <w:lang w:val="en-US" w:eastAsia="zh-CN"/>
        </w:rPr>
        <w:t xml:space="preserve">4.2.4 </w:t>
      </w:r>
      <w:r>
        <w:rPr>
          <w:rFonts w:hint="eastAsia" w:ascii="宋体" w:hAnsi="宋体"/>
          <w:sz w:val="24"/>
          <w:szCs w:val="24"/>
          <w:lang w:val="en-US" w:eastAsia="zh-CN"/>
        </w:rPr>
        <w:t>现场检查与现场检测前应制定技术方案，技术方案宜包括下列主要内容：</w:t>
      </w:r>
    </w:p>
    <w:p w14:paraId="0E315D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1 项目概况。</w:t>
      </w:r>
    </w:p>
    <w:p w14:paraId="543002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2 现场检查与现场检测的内容、依据。</w:t>
      </w:r>
    </w:p>
    <w:p w14:paraId="1A8310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3 现场检查与现场检测的方法、设备。</w:t>
      </w:r>
    </w:p>
    <w:p w14:paraId="1C10AE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4 现场检测期限。</w:t>
      </w:r>
    </w:p>
    <w:p w14:paraId="50350CEE">
      <w:pPr>
        <w:pStyle w:val="14"/>
        <w:keepNext w:val="0"/>
        <w:keepLines w:val="0"/>
        <w:pageBreakBefore w:val="0"/>
        <w:widowControl w:val="0"/>
        <w:kinsoku/>
        <w:wordWrap/>
        <w:overflowPunct/>
        <w:topLinePunct w:val="0"/>
        <w:bidi w:val="0"/>
        <w:snapToGrid/>
        <w:spacing w:line="360" w:lineRule="auto"/>
        <w:textAlignment w:val="auto"/>
        <w:rPr>
          <w:rFonts w:hint="default"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4.</w:t>
      </w:r>
      <w:r>
        <w:rPr>
          <w:rFonts w:hint="eastAsia" w:hAnsi="宋体" w:cs="Times New Roman"/>
          <w:color w:val="0000FF"/>
          <w:kern w:val="2"/>
          <w:sz w:val="24"/>
          <w:szCs w:val="24"/>
          <w:lang w:val="en-US" w:eastAsia="zh-CN" w:bidi="ar-SA"/>
        </w:rPr>
        <w:t>2.4</w:t>
      </w:r>
      <w:r>
        <w:rPr>
          <w:rFonts w:hint="eastAsia" w:ascii="宋体" w:hAnsi="宋体" w:eastAsia="宋体" w:cs="Times New Roman"/>
          <w:color w:val="0000FF"/>
          <w:kern w:val="2"/>
          <w:sz w:val="24"/>
          <w:szCs w:val="24"/>
          <w:lang w:val="en-US" w:eastAsia="zh-CN" w:bidi="ar-SA"/>
        </w:rPr>
        <w:t>本条规定了现场检查与现场检测技术方案的内容。</w:t>
      </w:r>
    </w:p>
    <w:p w14:paraId="610DD4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b/>
          <w:bCs/>
          <w:sz w:val="24"/>
          <w:szCs w:val="24"/>
          <w:lang w:val="en-US" w:eastAsia="zh-CN"/>
        </w:rPr>
        <w:t xml:space="preserve">4.2.5 </w:t>
      </w:r>
      <w:r>
        <w:rPr>
          <w:rFonts w:hint="eastAsia"/>
          <w:b w:val="0"/>
          <w:bCs w:val="0"/>
          <w:sz w:val="24"/>
          <w:szCs w:val="24"/>
          <w:lang w:val="en-US" w:eastAsia="zh-CN"/>
        </w:rPr>
        <w:t>外墙系统</w:t>
      </w:r>
      <w:r>
        <w:rPr>
          <w:rFonts w:hint="eastAsia" w:ascii="宋体" w:hAnsi="宋体"/>
          <w:sz w:val="24"/>
          <w:szCs w:val="24"/>
          <w:lang w:val="en-US" w:eastAsia="zh-CN"/>
        </w:rPr>
        <w:t>现场检查应符合下列规定：</w:t>
      </w:r>
    </w:p>
    <w:p w14:paraId="0BB2D4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1 应包括系统构造检查和系统损坏情况检查。</w:t>
      </w:r>
    </w:p>
    <w:p w14:paraId="361670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2 系统构造检查时，宜对外墙系统进行取样并分析。</w:t>
      </w:r>
    </w:p>
    <w:p w14:paraId="355A9F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3 系统损坏检查时，应记录缺陷部位、缺陷类型、缺陷面积和程度。</w:t>
      </w:r>
    </w:p>
    <w:p w14:paraId="2366AA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0000FF"/>
          <w:sz w:val="24"/>
          <w:szCs w:val="24"/>
          <w:lang w:val="en-US" w:eastAsia="zh-CN"/>
        </w:rPr>
      </w:pPr>
      <w:r>
        <w:rPr>
          <w:rFonts w:hint="eastAsia" w:ascii="Times New Roman" w:hAnsi="Times New Roman" w:eastAsia="宋体" w:cs="Times New Roman"/>
          <w:color w:val="0000FF"/>
          <w:sz w:val="24"/>
          <w:szCs w:val="24"/>
          <w:lang w:val="en-US" w:eastAsia="zh-CN"/>
        </w:rPr>
        <w:t>【条文说明】</w:t>
      </w:r>
      <w:r>
        <w:rPr>
          <w:rFonts w:hint="eastAsia" w:ascii="宋体" w:hAnsi="宋体"/>
          <w:color w:val="0000FF"/>
          <w:sz w:val="24"/>
          <w:szCs w:val="24"/>
          <w:lang w:val="en-US" w:eastAsia="zh-CN"/>
        </w:rPr>
        <w:t>4.2.5 现场检查应重点关注：1 外墙饰面的开裂、渗漏、空鼓和脱落等损伤；2 外墙门窗等围护结构的密封性、破损状况以及与主体结构连接的缺陷、变形、损伤情况；3 遮阳篷、雨篷、空调架、晾衣架、窗台花架、避雷装置等建筑外立面附加设施的损坏以及与主体结构链接的缺陷、变形、损伤情况。</w:t>
      </w:r>
    </w:p>
    <w:p w14:paraId="11831A7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olor w:val="0000FF"/>
          <w:sz w:val="24"/>
          <w:szCs w:val="24"/>
          <w:lang w:val="en-US" w:eastAsia="zh-CN"/>
        </w:rPr>
      </w:pPr>
      <w:r>
        <w:rPr>
          <w:rFonts w:hint="eastAsia" w:ascii="宋体" w:hAnsi="宋体" w:eastAsia="宋体"/>
          <w:color w:val="0000FF"/>
          <w:sz w:val="24"/>
          <w:szCs w:val="24"/>
          <w:lang w:val="en-US" w:eastAsia="zh-CN"/>
        </w:rPr>
        <w:t xml:space="preserve">    检查记录应采用文字、图纸、照片等方法着重对外墙系统的缺陷类型、缺陷面积和程度、缺陷部位进行记录。</w:t>
      </w:r>
    </w:p>
    <w:p w14:paraId="3B41B7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b/>
          <w:bCs/>
          <w:sz w:val="24"/>
          <w:szCs w:val="24"/>
          <w:lang w:val="en-US" w:eastAsia="zh-CN"/>
        </w:rPr>
        <w:t xml:space="preserve">4.2.6 </w:t>
      </w:r>
      <w:r>
        <w:rPr>
          <w:rFonts w:hint="eastAsia" w:ascii="宋体" w:hAnsi="宋体"/>
          <w:sz w:val="24"/>
          <w:szCs w:val="24"/>
          <w:lang w:val="en-US" w:eastAsia="zh-CN"/>
        </w:rPr>
        <w:t>现场检测为系统粘结性能检测，应符合下列规定：</w:t>
      </w:r>
    </w:p>
    <w:p w14:paraId="7E83E4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1 应检测外墙系统的拉伸粘结强度，记录检测结果及破坏状态。</w:t>
      </w:r>
    </w:p>
    <w:p w14:paraId="0BFA91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2 拉伸粘结强度检测，对于每幢单体建筑中的不同缺陷类型部位和未损坏部位，抽查数量均不应少于3处。</w:t>
      </w:r>
    </w:p>
    <w:p w14:paraId="01D7D3CA">
      <w:pPr>
        <w:pStyle w:val="14"/>
        <w:keepNext w:val="0"/>
        <w:keepLines w:val="0"/>
        <w:pageBreakBefore w:val="0"/>
        <w:widowControl w:val="0"/>
        <w:kinsoku/>
        <w:wordWrap/>
        <w:overflowPunct/>
        <w:topLinePunct w:val="0"/>
        <w:bidi w:val="0"/>
        <w:snapToGrid/>
        <w:spacing w:line="360" w:lineRule="auto"/>
        <w:textAlignment w:val="auto"/>
        <w:rPr>
          <w:rFonts w:hint="default" w:ascii="宋体" w:hAnsi="宋体" w:eastAsia="宋体" w:cs="Times New Roman"/>
          <w:color w:val="0000FF"/>
          <w:kern w:val="2"/>
          <w:sz w:val="24"/>
          <w:szCs w:val="24"/>
          <w:highlight w:val="none"/>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highlight w:val="none"/>
          <w:lang w:val="en-US" w:eastAsia="zh-CN" w:bidi="ar-SA"/>
        </w:rPr>
        <w:t>4.</w:t>
      </w:r>
      <w:r>
        <w:rPr>
          <w:rFonts w:hint="eastAsia" w:hAnsi="宋体" w:cs="Times New Roman"/>
          <w:color w:val="0000FF"/>
          <w:kern w:val="2"/>
          <w:sz w:val="24"/>
          <w:szCs w:val="24"/>
          <w:highlight w:val="none"/>
          <w:lang w:val="en-US" w:eastAsia="zh-CN" w:bidi="ar-SA"/>
        </w:rPr>
        <w:t>2.6</w:t>
      </w:r>
      <w:r>
        <w:rPr>
          <w:rFonts w:hint="eastAsia" w:ascii="宋体" w:hAnsi="宋体" w:eastAsia="宋体" w:cs="Times New Roman"/>
          <w:color w:val="0000FF"/>
          <w:kern w:val="2"/>
          <w:sz w:val="24"/>
          <w:szCs w:val="24"/>
          <w:highlight w:val="none"/>
          <w:lang w:val="en-US" w:eastAsia="zh-CN" w:bidi="ar-SA"/>
        </w:rPr>
        <w:t xml:space="preserve"> 外墙系统粘结性能检测着重判断饰面层与基层或保温材料层之间以及保温材料层与基层墙体之间的破坏状态。</w:t>
      </w:r>
    </w:p>
    <w:p w14:paraId="44D707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4"/>
          <w:szCs w:val="24"/>
          <w:lang w:val="en-US" w:eastAsia="zh-CN"/>
        </w:rPr>
      </w:pPr>
      <w:bookmarkStart w:id="36" w:name="_Toc27623_WPSOffice_Level2"/>
      <w:r>
        <w:rPr>
          <w:rFonts w:hint="eastAsia"/>
          <w:b/>
          <w:bCs/>
          <w:sz w:val="24"/>
          <w:szCs w:val="24"/>
          <w:lang w:val="en-US" w:eastAsia="zh-CN"/>
        </w:rPr>
        <w:t>Ⅲ 现场检查与现场检测结果</w:t>
      </w:r>
      <w:bookmarkEnd w:id="36"/>
    </w:p>
    <w:p w14:paraId="1B57AD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b/>
          <w:bCs/>
          <w:sz w:val="24"/>
          <w:szCs w:val="24"/>
          <w:lang w:val="en-US" w:eastAsia="zh-CN"/>
        </w:rPr>
        <w:t xml:space="preserve">4.2.7 </w:t>
      </w:r>
      <w:r>
        <w:rPr>
          <w:rFonts w:hint="eastAsia" w:ascii="宋体" w:hAnsi="宋体"/>
          <w:sz w:val="24"/>
          <w:szCs w:val="24"/>
          <w:lang w:val="en-US" w:eastAsia="zh-CN"/>
        </w:rPr>
        <w:t>对外墙系统粘结性能的检测结果评估可按现行行业标准《建筑工程饰面砖粘结强度检验标准》JGJ110执行，且检测报告中应注明抽样部位、检测结果和破坏状态。</w:t>
      </w:r>
    </w:p>
    <w:p w14:paraId="3DF6D5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b/>
          <w:bCs/>
          <w:sz w:val="24"/>
          <w:szCs w:val="24"/>
          <w:lang w:val="en-US" w:eastAsia="zh-CN"/>
        </w:rPr>
        <w:t>4.2.8</w:t>
      </w:r>
      <w:r>
        <w:rPr>
          <w:rFonts w:hint="eastAsia" w:ascii="宋体" w:hAnsi="宋体"/>
          <w:sz w:val="24"/>
          <w:szCs w:val="24"/>
          <w:lang w:val="en-US" w:eastAsia="zh-CN"/>
        </w:rPr>
        <w:t>外墙系统检查报告应根据初步调查、现场检查与现场检测的结果进行编制，并应包括以下主要内容：</w:t>
      </w:r>
    </w:p>
    <w:p w14:paraId="73086B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1 委托单位和检查检测时间。</w:t>
      </w:r>
    </w:p>
    <w:p w14:paraId="77D466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2 检查目的、范围、主要内容、依据。</w:t>
      </w:r>
    </w:p>
    <w:p w14:paraId="05F1B1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3 原外墙系统的设计、施工、使用等基本情况。</w:t>
      </w:r>
    </w:p>
    <w:p w14:paraId="4591FC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4 现场检查与现场检测的主要部位、过程、方法、数据资料、分析评价等。</w:t>
      </w:r>
    </w:p>
    <w:p w14:paraId="600F9C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5 原外墙系统的缺陷类型、缺陷面积及程度。</w:t>
      </w:r>
    </w:p>
    <w:p w14:paraId="663D7C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宋体" w:hAnsi="宋体"/>
          <w:sz w:val="24"/>
          <w:szCs w:val="24"/>
          <w:lang w:val="en-US" w:eastAsia="zh-CN"/>
        </w:rPr>
        <w:t xml:space="preserve">  6 检查结论和修复建议。</w:t>
      </w:r>
    </w:p>
    <w:p w14:paraId="0BBDBB83">
      <w:pPr>
        <w:pStyle w:val="14"/>
        <w:keepNext w:val="0"/>
        <w:keepLines w:val="0"/>
        <w:pageBreakBefore w:val="0"/>
        <w:widowControl w:val="0"/>
        <w:kinsoku/>
        <w:wordWrap/>
        <w:overflowPunct/>
        <w:topLinePunct w:val="0"/>
        <w:bidi w:val="0"/>
        <w:snapToGrid/>
        <w:spacing w:line="360" w:lineRule="auto"/>
        <w:textAlignment w:val="auto"/>
        <w:rPr>
          <w:rFonts w:hint="default"/>
          <w:lang w:val="en-US" w:eastAsia="zh-CN"/>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4.</w:t>
      </w:r>
      <w:r>
        <w:rPr>
          <w:rFonts w:hint="eastAsia" w:hAnsi="宋体" w:cs="Times New Roman"/>
          <w:color w:val="0000FF"/>
          <w:kern w:val="2"/>
          <w:sz w:val="24"/>
          <w:szCs w:val="24"/>
          <w:lang w:val="en-US" w:eastAsia="zh-CN" w:bidi="ar-SA"/>
        </w:rPr>
        <w:t>2.7、</w:t>
      </w:r>
      <w:r>
        <w:rPr>
          <w:rFonts w:hint="eastAsia" w:ascii="宋体" w:hAnsi="宋体" w:eastAsia="宋体" w:cs="Times New Roman"/>
          <w:color w:val="0000FF"/>
          <w:kern w:val="2"/>
          <w:sz w:val="24"/>
          <w:szCs w:val="24"/>
          <w:lang w:val="en-US" w:eastAsia="zh-CN" w:bidi="ar-SA"/>
        </w:rPr>
        <w:t>4.</w:t>
      </w:r>
      <w:r>
        <w:rPr>
          <w:rFonts w:hint="eastAsia" w:hAnsi="宋体" w:cs="Times New Roman"/>
          <w:color w:val="0000FF"/>
          <w:kern w:val="2"/>
          <w:sz w:val="24"/>
          <w:szCs w:val="24"/>
          <w:lang w:val="en-US" w:eastAsia="zh-CN" w:bidi="ar-SA"/>
        </w:rPr>
        <w:t>2.8</w:t>
      </w:r>
      <w:r>
        <w:rPr>
          <w:rFonts w:hint="eastAsia" w:ascii="宋体" w:hAnsi="宋体" w:eastAsia="宋体" w:cs="Times New Roman"/>
          <w:color w:val="0000FF"/>
          <w:kern w:val="2"/>
          <w:sz w:val="24"/>
          <w:szCs w:val="24"/>
          <w:lang w:val="en-US" w:eastAsia="zh-CN" w:bidi="ar-SA"/>
        </w:rPr>
        <w:t>现场检查与现场检测的目的，是利用现场检查与现场检测的结果评估外墙系统缺陷产生的原因、缺陷面积及程度等，为后续制定合理有效的修复方案提供依据。最终的</w:t>
      </w:r>
      <w:r>
        <w:rPr>
          <w:rFonts w:hint="eastAsia" w:hAnsi="宋体" w:cs="Times New Roman"/>
          <w:color w:val="0000FF"/>
          <w:kern w:val="2"/>
          <w:sz w:val="24"/>
          <w:szCs w:val="24"/>
          <w:lang w:val="en-US" w:eastAsia="zh-CN" w:bidi="ar-SA"/>
        </w:rPr>
        <w:t>检查</w:t>
      </w:r>
      <w:r>
        <w:rPr>
          <w:rFonts w:hint="eastAsia" w:ascii="宋体" w:hAnsi="宋体" w:eastAsia="宋体" w:cs="Times New Roman"/>
          <w:color w:val="0000FF"/>
          <w:kern w:val="2"/>
          <w:sz w:val="24"/>
          <w:szCs w:val="24"/>
          <w:lang w:val="en-US" w:eastAsia="zh-CN" w:bidi="ar-SA"/>
        </w:rPr>
        <w:t>报告内容应完整，包括外墙系统的基本情况、现场检查与现场检测的结果、缺陷类型分析、修复处理意见等。</w:t>
      </w:r>
    </w:p>
    <w:p w14:paraId="55C04F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yellow"/>
          <w:lang w:val="en-US" w:eastAsia="zh-CN"/>
        </w:rPr>
      </w:pPr>
      <w:r>
        <w:rPr>
          <w:rFonts w:hint="eastAsia"/>
          <w:b/>
          <w:bCs/>
          <w:sz w:val="24"/>
          <w:szCs w:val="24"/>
          <w:lang w:val="en-US" w:eastAsia="zh-CN"/>
        </w:rPr>
        <w:t xml:space="preserve">4.2.9 </w:t>
      </w:r>
      <w:r>
        <w:rPr>
          <w:rFonts w:hint="eastAsia" w:ascii="宋体" w:hAnsi="宋体"/>
          <w:color w:val="auto"/>
          <w:sz w:val="24"/>
          <w:szCs w:val="24"/>
          <w:lang w:val="en-US" w:eastAsia="zh-CN"/>
        </w:rPr>
        <w:t>外墙系统的检查报告应明确外墙系统的修复范围，当砂浆类外墙系统的空鼓面积比大于15%或板材类、现场喷涂类外墙系统的粘结强度低于原设计值70%，或出现明显的空鼓、脱落情况时，可采用</w:t>
      </w:r>
      <w:r>
        <w:rPr>
          <w:rFonts w:hint="eastAsia"/>
          <w:sz w:val="24"/>
          <w:szCs w:val="24"/>
          <w:lang w:val="en-US" w:eastAsia="zh-CN"/>
        </w:rPr>
        <w:t>改性玻化微珠复合材料外墙改造系统</w:t>
      </w:r>
      <w:r>
        <w:rPr>
          <w:rFonts w:hint="eastAsia" w:ascii="宋体" w:hAnsi="宋体"/>
          <w:color w:val="auto"/>
          <w:sz w:val="24"/>
          <w:szCs w:val="24"/>
          <w:lang w:val="en-US" w:eastAsia="zh-CN"/>
        </w:rPr>
        <w:t>进行整体改造。</w:t>
      </w:r>
    </w:p>
    <w:p w14:paraId="23A4A8B8">
      <w:pPr>
        <w:pStyle w:val="14"/>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4.</w:t>
      </w:r>
      <w:r>
        <w:rPr>
          <w:rFonts w:hint="eastAsia" w:hAnsi="宋体" w:cs="Times New Roman"/>
          <w:color w:val="0000FF"/>
          <w:kern w:val="2"/>
          <w:sz w:val="24"/>
          <w:szCs w:val="24"/>
          <w:lang w:val="en-US" w:eastAsia="zh-CN" w:bidi="ar-SA"/>
        </w:rPr>
        <w:t>2.9</w:t>
      </w:r>
      <w:r>
        <w:rPr>
          <w:rFonts w:hint="eastAsia" w:ascii="宋体" w:hAnsi="宋体" w:eastAsia="宋体" w:cs="Times New Roman"/>
          <w:color w:val="0000FF"/>
          <w:kern w:val="2"/>
          <w:sz w:val="24"/>
          <w:szCs w:val="24"/>
          <w:lang w:val="en-US" w:eastAsia="zh-CN" w:bidi="ar-SA"/>
        </w:rPr>
        <w:t>建筑外墙系统的常见缺陷类型包括裂缝、空鼓、渗水。裂缝缺陷主要包括表面性裂缝、保温板拼缝处产生裂缝、保温层产生裂缝、基层结构引起裂缝等；空鼓根据其部位主要包括抹面层与饰面砖或涂料腻子层间空鼓、保温层与抹面层间空鼓、保温层本身强度不够引起空鼓、基层与保温层间空鼓等；渗水常见的包括阳台窗与墙交叉处渗水、门窗口部位渗水、女儿墙部位渗水、分隔缝部位渗水、铁爬梯和水落管等建筑构件根部渗水、墙面裂缝部位渗水等。</w:t>
      </w:r>
    </w:p>
    <w:p w14:paraId="1480A3E8">
      <w:pPr>
        <w:pStyle w:val="14"/>
        <w:keepNext w:val="0"/>
        <w:keepLines w:val="0"/>
        <w:pageBreakBefore w:val="0"/>
        <w:widowControl w:val="0"/>
        <w:kinsoku/>
        <w:wordWrap/>
        <w:overflowPunct/>
        <w:topLinePunct w:val="0"/>
        <w:bidi w:val="0"/>
        <w:snapToGrid/>
        <w:spacing w:line="360" w:lineRule="auto"/>
        <w:ind w:firstLine="480"/>
        <w:textAlignment w:val="auto"/>
        <w:rPr>
          <w:rFonts w:hint="default"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根据外墙系统缺陷类型、缺陷面积和程度等，可采用局部修缮或</w:t>
      </w:r>
      <w:r>
        <w:rPr>
          <w:rFonts w:hint="eastAsia" w:hAnsi="宋体" w:cs="Times New Roman"/>
          <w:color w:val="0000FF"/>
          <w:kern w:val="2"/>
          <w:sz w:val="24"/>
          <w:szCs w:val="24"/>
          <w:lang w:val="en-US" w:eastAsia="zh-CN" w:bidi="ar-SA"/>
        </w:rPr>
        <w:t>整体改造</w:t>
      </w:r>
      <w:r>
        <w:rPr>
          <w:rFonts w:hint="eastAsia" w:ascii="宋体" w:hAnsi="宋体" w:eastAsia="宋体" w:cs="Times New Roman"/>
          <w:color w:val="0000FF"/>
          <w:kern w:val="2"/>
          <w:sz w:val="24"/>
          <w:szCs w:val="24"/>
          <w:lang w:val="en-US" w:eastAsia="zh-CN" w:bidi="ar-SA"/>
        </w:rPr>
        <w:t>方法。外墙系统缺陷之间会相互影响，例如：保温层开裂，雨水沿裂缝进入保温系统后，也会导致空鼓、渗水等缺陷。结合对实际工程项目的调研情况，本标准规定，当砂浆类外墙系统的空鼓面积比大于15%或板材类、现场喷涂类外墙系统的粘结强度低于原设计值70%，或出现明显的空鼓、脱落情况时，考虑到外墙系统的安全性，</w:t>
      </w:r>
      <w:r>
        <w:rPr>
          <w:rFonts w:hint="eastAsia" w:hAnsi="宋体" w:cs="Times New Roman"/>
          <w:color w:val="0000FF"/>
          <w:kern w:val="2"/>
          <w:sz w:val="24"/>
          <w:szCs w:val="24"/>
          <w:lang w:val="en-US" w:eastAsia="zh-CN" w:bidi="ar-SA"/>
        </w:rPr>
        <w:t>推荐采</w:t>
      </w:r>
      <w:r>
        <w:rPr>
          <w:rFonts w:hint="eastAsia" w:ascii="宋体" w:hAnsi="宋体" w:eastAsia="宋体" w:cs="Times New Roman"/>
          <w:color w:val="0000FF"/>
          <w:kern w:val="2"/>
          <w:sz w:val="24"/>
          <w:szCs w:val="24"/>
          <w:lang w:val="en-US" w:eastAsia="zh-CN" w:bidi="ar-SA"/>
        </w:rPr>
        <w:t>用改性玻化微珠复合材料外墙改造系统进行整体改造。而当砂浆类外墙系统的空鼓面积比不大于15%或板材类、现场喷涂类外墙系统的粘结强度不低于原设计值70%时，宜进行局部修缮。</w:t>
      </w:r>
    </w:p>
    <w:p w14:paraId="164380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b/>
          <w:bCs/>
          <w:sz w:val="24"/>
          <w:szCs w:val="24"/>
          <w:lang w:val="en-US" w:eastAsia="zh-CN"/>
        </w:rPr>
        <w:t xml:space="preserve">4.2.10 </w:t>
      </w:r>
      <w:r>
        <w:rPr>
          <w:rFonts w:hint="eastAsia" w:ascii="宋体" w:hAnsi="宋体"/>
          <w:sz w:val="24"/>
          <w:szCs w:val="24"/>
          <w:lang w:val="en-US" w:eastAsia="zh-CN"/>
        </w:rPr>
        <w:t>计算空鼓面积比时，应统计单个朝向立面的外墙系统空鼓部分面积和该朝向外墙建筑立面净面积，并应按式4.2.10进行计算。</w:t>
      </w:r>
    </w:p>
    <w:p w14:paraId="45A931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sz w:val="24"/>
          <w:szCs w:val="24"/>
          <w:lang w:val="en-US" w:eastAsia="zh-CN"/>
        </w:rPr>
      </w:pPr>
      <w:r>
        <w:rPr>
          <w:rFonts w:hint="eastAsia" w:hAnsi="Cambria Math"/>
          <w:i w:val="0"/>
          <w:sz w:val="24"/>
          <w:szCs w:val="24"/>
          <w:lang w:val="en-US" w:eastAsia="zh-CN"/>
        </w:rPr>
        <w:t xml:space="preserve">                </w:t>
      </w:r>
      <w:bookmarkStart w:id="37" w:name="_Toc29341_WPSOffice_Level1"/>
      <m:oMath>
        <m:sSub>
          <m:sSubPr>
            <m:ctrlPr>
              <w:rPr>
                <w:rFonts w:ascii="Cambria Math" w:hAnsi="Cambria Math"/>
                <w:i/>
                <w:sz w:val="24"/>
                <w:szCs w:val="24"/>
                <w:lang w:val="en-US"/>
              </w:rPr>
            </m:ctrlPr>
          </m:sSubPr>
          <m:e>
            <m:r>
              <m:rPr/>
              <w:rPr>
                <w:rFonts w:hint="eastAsia" w:ascii="Cambria Math" w:hAnsi="Cambria Math" w:eastAsia="微软雅黑" w:cs="微软雅黑"/>
                <w:sz w:val="24"/>
                <w:szCs w:val="24"/>
                <w:lang w:val="en-US"/>
              </w:rPr>
              <m:t>ℇ</m:t>
            </m:r>
            <m:ctrlPr>
              <w:rPr>
                <w:rFonts w:ascii="Cambria Math" w:hAnsi="Cambria Math"/>
                <w:i/>
                <w:sz w:val="24"/>
                <w:szCs w:val="24"/>
                <w:lang w:val="en-US"/>
              </w:rPr>
            </m:ctrlPr>
          </m:e>
          <m:sub>
            <m:r>
              <m:rPr/>
              <w:rPr>
                <w:rFonts w:hint="default" w:ascii="Cambria Math" w:hAnsi="Cambria Math"/>
                <w:sz w:val="24"/>
                <w:szCs w:val="24"/>
                <w:lang w:val="en-US" w:eastAsia="zh-CN"/>
              </w:rPr>
              <m:t>e</m:t>
            </m:r>
            <m:ctrlPr>
              <w:rPr>
                <w:rFonts w:ascii="Cambria Math" w:hAnsi="Cambria Math"/>
                <w:i/>
                <w:sz w:val="24"/>
                <w:szCs w:val="24"/>
                <w:lang w:val="en-US"/>
              </w:rPr>
            </m:ctrlPr>
          </m:sub>
        </m:sSub>
        <m:r>
          <m:rPr/>
          <w:rPr>
            <w:rFonts w:ascii="Cambria Math" w:hAnsi="Cambria Math"/>
            <w:sz w:val="24"/>
            <w:szCs w:val="24"/>
            <w:lang w:val="en-US"/>
          </w:rPr>
          <m:t>=</m:t>
        </m:r>
        <m:f>
          <m:fPr>
            <m:ctrlPr>
              <w:rPr>
                <w:rFonts w:ascii="Cambria Math" w:hAnsi="Cambria Math"/>
                <w:i/>
                <w:sz w:val="24"/>
                <w:szCs w:val="24"/>
                <w:lang w:val="en-US"/>
              </w:rPr>
            </m:ctrlPr>
          </m:fPr>
          <m:num>
            <m:sSub>
              <m:sSubPr>
                <m:ctrlPr>
                  <w:rPr>
                    <w:rFonts w:ascii="Cambria Math" w:hAnsi="Cambria Math"/>
                    <w:i/>
                    <w:sz w:val="24"/>
                    <w:szCs w:val="24"/>
                    <w:lang w:val="en-US"/>
                  </w:rPr>
                </m:ctrlPr>
              </m:sSubPr>
              <m:e>
                <m:r>
                  <m:rPr/>
                  <w:rPr>
                    <w:rFonts w:hint="default" w:ascii="Cambria Math" w:hAnsi="Cambria Math"/>
                    <w:sz w:val="24"/>
                    <w:szCs w:val="24"/>
                    <w:lang w:val="en-US" w:eastAsia="zh-CN"/>
                  </w:rPr>
                  <m:t>A</m:t>
                </m:r>
                <m:ctrlPr>
                  <w:rPr>
                    <w:rFonts w:ascii="Cambria Math" w:hAnsi="Cambria Math"/>
                    <w:i/>
                    <w:sz w:val="24"/>
                    <w:szCs w:val="24"/>
                    <w:lang w:val="en-US"/>
                  </w:rPr>
                </m:ctrlPr>
              </m:e>
              <m:sub>
                <m:r>
                  <m:rPr/>
                  <w:rPr>
                    <w:rFonts w:hint="default" w:ascii="Cambria Math" w:hAnsi="Cambria Math"/>
                    <w:sz w:val="24"/>
                    <w:szCs w:val="24"/>
                    <w:lang w:val="en-US" w:eastAsia="zh-CN"/>
                  </w:rPr>
                  <m:t>e</m:t>
                </m:r>
                <m:ctrlPr>
                  <w:rPr>
                    <w:rFonts w:ascii="Cambria Math" w:hAnsi="Cambria Math"/>
                    <w:i/>
                    <w:sz w:val="24"/>
                    <w:szCs w:val="24"/>
                    <w:lang w:val="en-US"/>
                  </w:rPr>
                </m:ctrlPr>
              </m:sub>
            </m:sSub>
            <m:ctrlPr>
              <w:rPr>
                <w:rFonts w:ascii="Cambria Math" w:hAnsi="Cambria Math"/>
                <w:i/>
                <w:sz w:val="24"/>
                <w:szCs w:val="24"/>
                <w:lang w:val="en-US"/>
              </w:rPr>
            </m:ctrlPr>
          </m:num>
          <m:den>
            <m:r>
              <m:rPr/>
              <w:rPr>
                <w:rFonts w:hint="default" w:ascii="Cambria Math" w:hAnsi="Cambria Math"/>
                <w:sz w:val="24"/>
                <w:szCs w:val="24"/>
                <w:lang w:val="en-US" w:eastAsia="zh-CN"/>
              </w:rPr>
              <m:t>A</m:t>
            </m:r>
            <m:ctrlPr>
              <w:rPr>
                <w:rFonts w:ascii="Cambria Math" w:hAnsi="Cambria Math"/>
                <w:i/>
                <w:sz w:val="24"/>
                <w:szCs w:val="24"/>
                <w:lang w:val="en-US"/>
              </w:rPr>
            </m:ctrlPr>
          </m:den>
        </m:f>
      </m:oMath>
      <w:r>
        <w:rPr>
          <w:rFonts w:hint="default" w:ascii="Arial" w:hAnsi="Arial" w:cs="Arial"/>
          <w:i w:val="0"/>
          <w:sz w:val="24"/>
          <w:szCs w:val="24"/>
          <w:lang w:val="en-US"/>
        </w:rPr>
        <w:t>×</w:t>
      </w:r>
      <w:r>
        <w:rPr>
          <w:rFonts w:hint="eastAsia" w:hAnsi="Cambria Math"/>
          <w:i w:val="0"/>
          <w:sz w:val="24"/>
          <w:szCs w:val="24"/>
          <w:lang w:val="en-US" w:eastAsia="zh-CN"/>
        </w:rPr>
        <w:t>100%                   (4.2.10)</w:t>
      </w:r>
      <w:bookmarkEnd w:id="37"/>
    </w:p>
    <w:p w14:paraId="68F3E5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Cambria Math"/>
          <w:i w:val="0"/>
          <w:sz w:val="24"/>
          <w:szCs w:val="24"/>
          <w:lang w:val="en-US" w:eastAsia="zh-CN"/>
        </w:rPr>
      </w:pPr>
      <w:r>
        <w:rPr>
          <w:rFonts w:hint="eastAsia" w:ascii="宋体" w:hAnsi="宋体"/>
          <w:sz w:val="24"/>
          <w:szCs w:val="24"/>
          <w:lang w:val="en-US" w:eastAsia="zh-CN"/>
        </w:rPr>
        <w:t>式中：</w:t>
      </w:r>
      <m:oMath>
        <m:sSub>
          <m:sSubPr>
            <m:ctrlPr>
              <w:rPr>
                <w:rFonts w:ascii="Cambria Math" w:hAnsi="Cambria Math"/>
                <w:i/>
                <w:sz w:val="24"/>
                <w:szCs w:val="24"/>
                <w:lang w:val="en-US"/>
              </w:rPr>
            </m:ctrlPr>
          </m:sSubPr>
          <m:e>
            <m:r>
              <m:rPr/>
              <w:rPr>
                <w:rFonts w:hint="eastAsia" w:ascii="Cambria Math" w:hAnsi="Cambria Math" w:eastAsia="微软雅黑" w:cs="微软雅黑"/>
                <w:sz w:val="24"/>
                <w:szCs w:val="24"/>
                <w:lang w:val="en-US"/>
              </w:rPr>
              <m:t>ℇ</m:t>
            </m:r>
            <m:ctrlPr>
              <w:rPr>
                <w:rFonts w:ascii="Cambria Math" w:hAnsi="Cambria Math"/>
                <w:i/>
                <w:sz w:val="24"/>
                <w:szCs w:val="24"/>
                <w:lang w:val="en-US"/>
              </w:rPr>
            </m:ctrlPr>
          </m:e>
          <m:sub>
            <m:r>
              <m:rPr/>
              <w:rPr>
                <w:rFonts w:hint="default" w:ascii="Cambria Math" w:hAnsi="Cambria Math"/>
                <w:sz w:val="24"/>
                <w:szCs w:val="24"/>
                <w:lang w:val="en-US" w:eastAsia="zh-CN"/>
              </w:rPr>
              <m:t>e</m:t>
            </m:r>
            <m:ctrlPr>
              <w:rPr>
                <w:rFonts w:ascii="Cambria Math" w:hAnsi="Cambria Math"/>
                <w:i/>
                <w:sz w:val="24"/>
                <w:szCs w:val="24"/>
                <w:lang w:val="en-US"/>
              </w:rPr>
            </m:ctrlPr>
          </m:sub>
        </m:sSub>
      </m:oMath>
      <w:r>
        <w:rPr>
          <w:rFonts w:hint="eastAsia" w:hAnsi="Cambria Math"/>
          <w:i w:val="0"/>
          <w:sz w:val="24"/>
          <w:szCs w:val="24"/>
          <w:lang w:val="en-US" w:eastAsia="zh-CN"/>
        </w:rPr>
        <w:t>——空鼓面积比（%），精确至1%。</w:t>
      </w:r>
    </w:p>
    <w:p w14:paraId="758FF3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Cambria Math"/>
          <w:i w:val="0"/>
          <w:sz w:val="24"/>
          <w:szCs w:val="24"/>
          <w:lang w:val="en-US" w:eastAsia="zh-CN"/>
        </w:rPr>
      </w:pPr>
      <w:r>
        <w:rPr>
          <w:rFonts w:hint="eastAsia" w:hAnsi="Cambria Math"/>
          <w:i w:val="0"/>
          <w:sz w:val="24"/>
          <w:szCs w:val="24"/>
          <w:lang w:val="en-US" w:eastAsia="zh-CN"/>
        </w:rPr>
        <w:t xml:space="preserve">      </w:t>
      </w:r>
      <m:oMath>
        <m:sSub>
          <m:sSubPr>
            <m:ctrlPr>
              <w:rPr>
                <w:rFonts w:ascii="Cambria Math" w:hAnsi="Cambria Math"/>
                <w:i/>
                <w:sz w:val="24"/>
                <w:szCs w:val="24"/>
                <w:lang w:val="en-US"/>
              </w:rPr>
            </m:ctrlPr>
          </m:sSubPr>
          <m:e>
            <m:r>
              <m:rPr/>
              <w:rPr>
                <w:rFonts w:hint="default" w:ascii="Cambria Math" w:hAnsi="Cambria Math"/>
                <w:sz w:val="24"/>
                <w:szCs w:val="24"/>
                <w:lang w:val="en-US" w:eastAsia="zh-CN"/>
              </w:rPr>
              <m:t>A</m:t>
            </m:r>
            <m:ctrlPr>
              <w:rPr>
                <w:rFonts w:ascii="Cambria Math" w:hAnsi="Cambria Math"/>
                <w:i/>
                <w:sz w:val="24"/>
                <w:szCs w:val="24"/>
                <w:lang w:val="en-US"/>
              </w:rPr>
            </m:ctrlPr>
          </m:e>
          <m:sub>
            <m:r>
              <m:rPr/>
              <w:rPr>
                <w:rFonts w:hint="default" w:ascii="Cambria Math" w:hAnsi="Cambria Math"/>
                <w:sz w:val="24"/>
                <w:szCs w:val="24"/>
                <w:lang w:val="en-US" w:eastAsia="zh-CN"/>
              </w:rPr>
              <m:t>e</m:t>
            </m:r>
            <m:ctrlPr>
              <w:rPr>
                <w:rFonts w:ascii="Cambria Math" w:hAnsi="Cambria Math"/>
                <w:i/>
                <w:sz w:val="24"/>
                <w:szCs w:val="24"/>
                <w:lang w:val="en-US"/>
              </w:rPr>
            </m:ctrlPr>
          </m:sub>
        </m:sSub>
      </m:oMath>
      <w:r>
        <w:rPr>
          <w:rFonts w:hint="eastAsia" w:hAnsi="Cambria Math"/>
          <w:i w:val="0"/>
          <w:sz w:val="24"/>
          <w:szCs w:val="24"/>
          <w:lang w:val="en-US" w:eastAsia="zh-CN"/>
        </w:rPr>
        <w:t>——被测墙体系统空鼓总面积（m</w:t>
      </w:r>
      <w:r>
        <w:rPr>
          <w:rFonts w:hint="eastAsia" w:hAnsi="Cambria Math"/>
          <w:i w:val="0"/>
          <w:sz w:val="24"/>
          <w:szCs w:val="24"/>
          <w:vertAlign w:val="superscript"/>
          <w:lang w:val="en-US" w:eastAsia="zh-CN"/>
        </w:rPr>
        <w:t>2</w:t>
      </w:r>
      <w:r>
        <w:rPr>
          <w:rFonts w:hint="eastAsia" w:hAnsi="Cambria Math"/>
          <w:i w:val="0"/>
          <w:sz w:val="24"/>
          <w:szCs w:val="24"/>
          <w:lang w:val="en-US" w:eastAsia="zh-CN"/>
        </w:rPr>
        <w:t>），精确至0.1m</w:t>
      </w:r>
      <w:r>
        <w:rPr>
          <w:rFonts w:hint="eastAsia" w:hAnsi="Cambria Math"/>
          <w:i w:val="0"/>
          <w:sz w:val="24"/>
          <w:szCs w:val="24"/>
          <w:vertAlign w:val="superscript"/>
          <w:lang w:val="en-US" w:eastAsia="zh-CN"/>
        </w:rPr>
        <w:t>2</w:t>
      </w:r>
      <w:r>
        <w:rPr>
          <w:rFonts w:hint="eastAsia" w:hAnsi="Cambria Math"/>
          <w:i w:val="0"/>
          <w:sz w:val="24"/>
          <w:szCs w:val="24"/>
          <w:lang w:val="en-US" w:eastAsia="zh-CN"/>
        </w:rPr>
        <w:t>。</w:t>
      </w:r>
    </w:p>
    <w:p w14:paraId="093599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Cambria Math"/>
          <w:i w:val="0"/>
          <w:sz w:val="24"/>
          <w:szCs w:val="24"/>
          <w:lang w:val="en-US" w:eastAsia="zh-CN"/>
        </w:rPr>
      </w:pPr>
      <w:r>
        <w:rPr>
          <w:rFonts w:hint="eastAsia" w:hAnsi="Cambria Math"/>
          <w:i w:val="0"/>
          <w:sz w:val="24"/>
          <w:szCs w:val="24"/>
          <w:lang w:val="en-US" w:eastAsia="zh-CN"/>
        </w:rPr>
        <w:t xml:space="preserve">      </w:t>
      </w:r>
      <m:oMath>
        <m:r>
          <m:rPr/>
          <w:rPr>
            <w:rFonts w:hint="default" w:ascii="Cambria Math" w:hAnsi="Cambria Math"/>
            <w:sz w:val="24"/>
            <w:szCs w:val="24"/>
            <w:lang w:val="en-US" w:eastAsia="zh-CN"/>
          </w:rPr>
          <m:t>A</m:t>
        </m:r>
      </m:oMath>
      <w:r>
        <w:rPr>
          <w:rFonts w:hint="eastAsia" w:hAnsi="Cambria Math"/>
          <w:i w:val="0"/>
          <w:sz w:val="24"/>
          <w:szCs w:val="24"/>
          <w:lang w:val="en-US" w:eastAsia="zh-CN"/>
        </w:rPr>
        <w:t>——被测墙体净面积（m</w:t>
      </w:r>
      <w:r>
        <w:rPr>
          <w:rFonts w:hint="eastAsia" w:hAnsi="Cambria Math"/>
          <w:i w:val="0"/>
          <w:sz w:val="24"/>
          <w:szCs w:val="24"/>
          <w:vertAlign w:val="superscript"/>
          <w:lang w:val="en-US" w:eastAsia="zh-CN"/>
        </w:rPr>
        <w:t>2</w:t>
      </w:r>
      <w:r>
        <w:rPr>
          <w:rFonts w:hint="eastAsia" w:hAnsi="Cambria Math"/>
          <w:i w:val="0"/>
          <w:sz w:val="24"/>
          <w:szCs w:val="24"/>
          <w:lang w:val="en-US" w:eastAsia="zh-CN"/>
        </w:rPr>
        <w:t>），精确至0.1m</w:t>
      </w:r>
      <w:r>
        <w:rPr>
          <w:rFonts w:hint="eastAsia" w:hAnsi="Cambria Math"/>
          <w:i w:val="0"/>
          <w:sz w:val="24"/>
          <w:szCs w:val="24"/>
          <w:vertAlign w:val="superscript"/>
          <w:lang w:val="en-US" w:eastAsia="zh-CN"/>
        </w:rPr>
        <w:t>2</w:t>
      </w:r>
      <w:r>
        <w:rPr>
          <w:rFonts w:hint="eastAsia" w:hAnsi="Cambria Math"/>
          <w:i w:val="0"/>
          <w:sz w:val="24"/>
          <w:szCs w:val="24"/>
          <w:lang w:val="en-US" w:eastAsia="zh-CN"/>
        </w:rPr>
        <w:t>。</w:t>
      </w:r>
    </w:p>
    <w:p w14:paraId="762EA97C">
      <w:pPr>
        <w:pStyle w:val="14"/>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4.</w:t>
      </w:r>
      <w:r>
        <w:rPr>
          <w:rFonts w:hint="eastAsia" w:hAnsi="宋体" w:cs="Times New Roman"/>
          <w:color w:val="0000FF"/>
          <w:kern w:val="2"/>
          <w:sz w:val="24"/>
          <w:szCs w:val="24"/>
          <w:lang w:val="en-US" w:eastAsia="zh-CN" w:bidi="ar-SA"/>
        </w:rPr>
        <w:t>2.10</w:t>
      </w:r>
      <w:r>
        <w:rPr>
          <w:rFonts w:hint="eastAsia" w:ascii="宋体" w:hAnsi="宋体" w:eastAsia="宋体" w:cs="Times New Roman"/>
          <w:color w:val="0000FF"/>
          <w:kern w:val="2"/>
          <w:sz w:val="24"/>
          <w:szCs w:val="24"/>
          <w:lang w:val="en-US" w:eastAsia="zh-CN" w:bidi="ar-SA"/>
        </w:rPr>
        <w:t xml:space="preserve"> 计算空鼓面积大小时，先确定拍摄对象与实际对象的比例尺，每幅图片至少取3个参照对象的尺寸与实际对象的尺寸进行比较，计算比例尺，并取平均值，然后计算红外热像图上空鼓部位的面积，最后根据比例尺确定实际空鼓部位面积。</w:t>
      </w:r>
    </w:p>
    <w:p w14:paraId="0F26C679">
      <w:pPr>
        <w:pStyle w:val="3"/>
        <w:bidi w:val="0"/>
        <w:jc w:val="center"/>
        <w:rPr>
          <w:rFonts w:hint="eastAsia"/>
          <w:b/>
          <w:szCs w:val="22"/>
          <w:lang w:val="en-US" w:eastAsia="zh-CN"/>
        </w:rPr>
      </w:pPr>
      <w:bookmarkStart w:id="38" w:name="_Toc13956"/>
      <w:r>
        <w:rPr>
          <w:rFonts w:hint="eastAsia"/>
          <w:b/>
          <w:szCs w:val="22"/>
          <w:lang w:val="en-US" w:eastAsia="zh-CN"/>
        </w:rPr>
        <w:t>4.3 修复</w:t>
      </w:r>
      <w:bookmarkEnd w:id="38"/>
    </w:p>
    <w:p w14:paraId="1E7D390E">
      <w:pPr>
        <w:keepNext w:val="0"/>
        <w:keepLines w:val="0"/>
        <w:pageBreakBefore w:val="0"/>
        <w:widowControl w:val="0"/>
        <w:kinsoku/>
        <w:wordWrap/>
        <w:overflowPunct/>
        <w:topLinePunct w:val="0"/>
        <w:bidi w:val="0"/>
        <w:snapToGrid/>
        <w:spacing w:line="360" w:lineRule="auto"/>
        <w:textAlignment w:val="auto"/>
        <w:rPr>
          <w:rFonts w:hint="default"/>
          <w:lang w:val="en-US" w:eastAsia="zh-CN"/>
        </w:rPr>
      </w:pPr>
      <w:r>
        <w:rPr>
          <w:rFonts w:hint="eastAsia"/>
          <w:b/>
          <w:bCs/>
          <w:sz w:val="24"/>
          <w:szCs w:val="24"/>
          <w:lang w:val="en-US" w:eastAsia="zh-CN"/>
        </w:rPr>
        <w:t xml:space="preserve">4.3.1 </w:t>
      </w:r>
      <w:r>
        <w:rPr>
          <w:rFonts w:hint="eastAsia" w:ascii="宋体" w:hAnsi="宋体"/>
          <w:sz w:val="24"/>
          <w:szCs w:val="24"/>
          <w:lang w:val="en-US" w:eastAsia="zh-CN"/>
        </w:rPr>
        <w:t>改性玻化微珠复合材料外墙改造前应按修复设计文件对原外墙系统进行修复。</w:t>
      </w:r>
    </w:p>
    <w:p w14:paraId="3300A67F">
      <w:pPr>
        <w:pStyle w:val="14"/>
        <w:keepNext w:val="0"/>
        <w:keepLines w:val="0"/>
        <w:pageBreakBefore w:val="0"/>
        <w:widowControl w:val="0"/>
        <w:kinsoku/>
        <w:wordWrap/>
        <w:overflowPunct/>
        <w:topLinePunct w:val="0"/>
        <w:bidi w:val="0"/>
        <w:snapToGrid/>
        <w:spacing w:line="360" w:lineRule="auto"/>
        <w:textAlignment w:val="auto"/>
        <w:rPr>
          <w:rFonts w:hint="default" w:ascii="宋体" w:hAnsi="宋体" w:eastAsia="宋体" w:cs="Times New Roman"/>
          <w:color w:val="auto"/>
          <w:kern w:val="2"/>
          <w:sz w:val="24"/>
          <w:szCs w:val="24"/>
          <w:highlight w:val="yellow"/>
          <w:lang w:val="en-US" w:eastAsia="zh-CN" w:bidi="ar-SA"/>
        </w:rPr>
      </w:pPr>
      <w:r>
        <w:rPr>
          <w:rFonts w:hint="eastAsia" w:ascii="Times New Roman" w:hAnsi="Times New Roman" w:eastAsia="宋体" w:cs="Times New Roman"/>
          <w:b/>
          <w:bCs/>
          <w:color w:val="auto"/>
          <w:kern w:val="2"/>
          <w:sz w:val="24"/>
          <w:szCs w:val="24"/>
          <w:lang w:val="en-US" w:eastAsia="zh-CN" w:bidi="ar-SA"/>
        </w:rPr>
        <w:t>4.</w:t>
      </w:r>
      <w:r>
        <w:rPr>
          <w:rFonts w:hint="eastAsia" w:ascii="Times New Roman" w:hAnsi="Times New Roman" w:cs="Times New Roman"/>
          <w:b/>
          <w:bCs/>
          <w:color w:val="auto"/>
          <w:kern w:val="2"/>
          <w:sz w:val="24"/>
          <w:szCs w:val="24"/>
          <w:lang w:val="en-US" w:eastAsia="zh-CN" w:bidi="ar-SA"/>
        </w:rPr>
        <w:t>3</w:t>
      </w:r>
      <w:r>
        <w:rPr>
          <w:rFonts w:hint="eastAsia" w:ascii="Times New Roman" w:hAnsi="Times New Roman" w:eastAsia="宋体" w:cs="Times New Roman"/>
          <w:b/>
          <w:bCs/>
          <w:color w:val="auto"/>
          <w:kern w:val="2"/>
          <w:sz w:val="24"/>
          <w:szCs w:val="24"/>
          <w:lang w:val="en-US" w:eastAsia="zh-CN" w:bidi="ar-SA"/>
        </w:rPr>
        <w:t xml:space="preserve">.2 </w:t>
      </w:r>
      <w:r>
        <w:rPr>
          <w:rFonts w:hint="eastAsia" w:ascii="宋体" w:hAnsi="宋体" w:eastAsia="宋体" w:cs="Times New Roman"/>
          <w:color w:val="auto"/>
          <w:kern w:val="2"/>
          <w:sz w:val="24"/>
          <w:szCs w:val="24"/>
          <w:lang w:val="en-US" w:eastAsia="zh-CN" w:bidi="ar-SA"/>
        </w:rPr>
        <w:t>抹灰、涂装类外墙系统修复，应按基层、面层、涂层的表里关系顺序，由里及表进行修复；新旧抹灰之间、面层与基层之间应粘结牢固。</w:t>
      </w:r>
    </w:p>
    <w:p w14:paraId="31D6CB5D">
      <w:pPr>
        <w:pStyle w:val="14"/>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Times New Roman"/>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4.</w:t>
      </w:r>
      <w:r>
        <w:rPr>
          <w:rFonts w:hint="eastAsia" w:ascii="Times New Roman" w:hAnsi="Times New Roman" w:cs="Times New Roman"/>
          <w:b/>
          <w:bCs/>
          <w:color w:val="auto"/>
          <w:kern w:val="2"/>
          <w:sz w:val="24"/>
          <w:szCs w:val="24"/>
          <w:lang w:val="en-US" w:eastAsia="zh-CN" w:bidi="ar-SA"/>
        </w:rPr>
        <w:t>3</w:t>
      </w:r>
      <w:r>
        <w:rPr>
          <w:rFonts w:hint="eastAsia" w:ascii="Times New Roman" w:hAnsi="Times New Roman" w:eastAsia="宋体" w:cs="Times New Roman"/>
          <w:b/>
          <w:bCs/>
          <w:color w:val="auto"/>
          <w:kern w:val="2"/>
          <w:sz w:val="24"/>
          <w:szCs w:val="24"/>
          <w:lang w:val="en-US" w:eastAsia="zh-CN" w:bidi="ar-SA"/>
        </w:rPr>
        <w:t xml:space="preserve">.3 </w:t>
      </w:r>
      <w:r>
        <w:rPr>
          <w:rFonts w:hint="eastAsia" w:ascii="宋体" w:hAnsi="宋体" w:eastAsia="宋体" w:cs="Times New Roman"/>
          <w:color w:val="auto"/>
          <w:kern w:val="2"/>
          <w:sz w:val="24"/>
          <w:szCs w:val="24"/>
          <w:lang w:val="en-US" w:eastAsia="zh-CN" w:bidi="ar-SA"/>
        </w:rPr>
        <w:t>饰面类外墙系统饰面层及砂浆层出现松动、起壳、开裂，应将松动、起壳、开裂部位凿除至基层后重铺，重铺宜采用改性玻化微珠轻质砂浆体系。</w:t>
      </w:r>
    </w:p>
    <w:p w14:paraId="47518D76">
      <w:pPr>
        <w:pStyle w:val="14"/>
        <w:keepNext w:val="0"/>
        <w:keepLines w:val="0"/>
        <w:pageBreakBefore w:val="0"/>
        <w:widowControl w:val="0"/>
        <w:kinsoku/>
        <w:wordWrap/>
        <w:overflowPunct/>
        <w:topLinePunct w:val="0"/>
        <w:bidi w:val="0"/>
        <w:snapToGrid/>
        <w:spacing w:line="360" w:lineRule="auto"/>
        <w:textAlignment w:val="auto"/>
        <w:rPr>
          <w:rFonts w:hint="eastAsia" w:ascii="宋体" w:hAnsi="宋体"/>
          <w:color w:val="0000FF"/>
          <w:sz w:val="24"/>
          <w:szCs w:val="24"/>
          <w:lang w:val="en-US" w:eastAsia="zh-CN"/>
        </w:rPr>
      </w:pPr>
      <w:r>
        <w:rPr>
          <w:rFonts w:hint="eastAsia" w:ascii="Times New Roman" w:hAnsi="Times New Roman" w:eastAsia="宋体" w:cs="Times New Roman"/>
          <w:color w:val="0000FF"/>
          <w:sz w:val="24"/>
          <w:szCs w:val="24"/>
          <w:lang w:val="en-US" w:eastAsia="zh-CN"/>
        </w:rPr>
        <w:t>【条文说明】</w:t>
      </w:r>
      <w:r>
        <w:rPr>
          <w:rFonts w:hint="eastAsia" w:hAnsi="宋体"/>
          <w:color w:val="0000FF"/>
          <w:sz w:val="24"/>
          <w:szCs w:val="24"/>
          <w:lang w:val="en-US" w:eastAsia="zh-CN"/>
        </w:rPr>
        <w:t xml:space="preserve">4.3.3 </w:t>
      </w:r>
      <w:r>
        <w:rPr>
          <w:rFonts w:hint="eastAsia" w:ascii="宋体" w:hAnsi="宋体"/>
          <w:color w:val="0000FF"/>
          <w:sz w:val="24"/>
          <w:szCs w:val="24"/>
          <w:lang w:val="en-US" w:eastAsia="zh-CN"/>
        </w:rPr>
        <w:t>改性玻化微珠轻质砂浆体系应符合现行地方标准《湖南省改性玻化微珠轻质砂浆应用技术标准》DBJ43/T311的相关规定。</w:t>
      </w:r>
    </w:p>
    <w:p w14:paraId="28740029">
      <w:pPr>
        <w:pStyle w:val="14"/>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Times New Roman"/>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4.</w:t>
      </w:r>
      <w:r>
        <w:rPr>
          <w:rFonts w:hint="eastAsia" w:ascii="Times New Roman" w:hAnsi="Times New Roman" w:cs="Times New Roman"/>
          <w:b/>
          <w:bCs/>
          <w:color w:val="auto"/>
          <w:kern w:val="2"/>
          <w:sz w:val="24"/>
          <w:szCs w:val="24"/>
          <w:lang w:val="en-US" w:eastAsia="zh-CN" w:bidi="ar-SA"/>
        </w:rPr>
        <w:t>3</w:t>
      </w:r>
      <w:r>
        <w:rPr>
          <w:rFonts w:hint="eastAsia" w:ascii="Times New Roman" w:hAnsi="Times New Roman" w:eastAsia="宋体" w:cs="Times New Roman"/>
          <w:b/>
          <w:bCs/>
          <w:color w:val="auto"/>
          <w:kern w:val="2"/>
          <w:sz w:val="24"/>
          <w:szCs w:val="24"/>
          <w:lang w:val="en-US" w:eastAsia="zh-CN" w:bidi="ar-SA"/>
        </w:rPr>
        <w:t xml:space="preserve">.4 </w:t>
      </w:r>
      <w:r>
        <w:rPr>
          <w:rFonts w:hint="eastAsia" w:ascii="宋体" w:hAnsi="宋体" w:eastAsia="宋体" w:cs="Times New Roman"/>
          <w:color w:val="auto"/>
          <w:kern w:val="2"/>
          <w:sz w:val="24"/>
          <w:szCs w:val="24"/>
          <w:lang w:val="en-US" w:eastAsia="zh-CN" w:bidi="ar-SA"/>
        </w:rPr>
        <w:t>应对检查报告中强度不足或与墙体连接不牢固的外墙悬挂物采取加固措施或拆除、更换。</w:t>
      </w:r>
    </w:p>
    <w:p w14:paraId="79F768CC">
      <w:pPr>
        <w:pStyle w:val="14"/>
        <w:keepNext w:val="0"/>
        <w:keepLines w:val="0"/>
        <w:pageBreakBefore w:val="0"/>
        <w:widowControl w:val="0"/>
        <w:kinsoku/>
        <w:wordWrap/>
        <w:overflowPunct/>
        <w:topLinePunct w:val="0"/>
        <w:bidi w:val="0"/>
        <w:snapToGrid/>
        <w:spacing w:line="360" w:lineRule="auto"/>
        <w:textAlignment w:val="auto"/>
        <w:rPr>
          <w:rFonts w:hint="default" w:ascii="宋体" w:hAnsi="宋体" w:eastAsia="宋体" w:cs="Times New Roman"/>
          <w:color w:val="auto"/>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hAnsi="宋体" w:cs="Times New Roman"/>
          <w:color w:val="0000FF"/>
          <w:kern w:val="2"/>
          <w:sz w:val="24"/>
          <w:szCs w:val="24"/>
          <w:lang w:val="en-US" w:eastAsia="zh-CN" w:bidi="ar-SA"/>
        </w:rPr>
        <w:t>4.3.4</w:t>
      </w:r>
      <w:r>
        <w:rPr>
          <w:rFonts w:hint="eastAsia" w:ascii="宋体" w:hAnsi="宋体" w:eastAsia="宋体" w:cs="Times New Roman"/>
          <w:color w:val="0000FF"/>
          <w:kern w:val="2"/>
          <w:sz w:val="24"/>
          <w:szCs w:val="24"/>
          <w:lang w:val="en-US" w:eastAsia="zh-CN" w:bidi="ar-SA"/>
        </w:rPr>
        <w:t>基于安全方面的考虑，外墙系统修复施工</w:t>
      </w:r>
      <w:r>
        <w:rPr>
          <w:rFonts w:hint="eastAsia" w:hAnsi="宋体" w:cs="Times New Roman"/>
          <w:color w:val="0000FF"/>
          <w:kern w:val="2"/>
          <w:sz w:val="24"/>
          <w:szCs w:val="24"/>
          <w:lang w:val="en-US" w:eastAsia="zh-CN" w:bidi="ar-SA"/>
        </w:rPr>
        <w:t>时</w:t>
      </w:r>
      <w:r>
        <w:rPr>
          <w:rFonts w:hint="eastAsia" w:ascii="宋体" w:hAnsi="宋体" w:eastAsia="宋体" w:cs="Times New Roman"/>
          <w:color w:val="0000FF"/>
          <w:kern w:val="2"/>
          <w:sz w:val="24"/>
          <w:szCs w:val="24"/>
          <w:lang w:val="en-US" w:eastAsia="zh-CN" w:bidi="ar-SA"/>
        </w:rPr>
        <w:t>，应对修复区域内空调机架、晾衣架、雨篷等外墙悬挂物进行安全质量检查。根据检查结果，当悬挂物强度不足或与墙体连接不牢固时，应采取加固措施或拆除、更换，以消除安全隐患。</w:t>
      </w:r>
    </w:p>
    <w:p w14:paraId="687A94CA">
      <w:pPr>
        <w:pStyle w:val="2"/>
        <w:pageBreakBefore w:val="0"/>
        <w:widowControl w:val="0"/>
        <w:kinsoku/>
        <w:wordWrap/>
        <w:overflowPunct/>
        <w:topLinePunct w:val="0"/>
        <w:bidi w:val="0"/>
        <w:snapToGrid/>
        <w:spacing w:line="360" w:lineRule="auto"/>
        <w:jc w:val="center"/>
        <w:textAlignment w:val="auto"/>
        <w:rPr>
          <w:rFonts w:hint="eastAsia" w:eastAsia="宋体"/>
          <w:szCs w:val="22"/>
          <w:lang w:val="en-US" w:eastAsia="zh-CN"/>
        </w:rPr>
        <w:sectPr>
          <w:pgSz w:w="11850" w:h="16783"/>
          <w:pgMar w:top="1440" w:right="1800" w:bottom="1440" w:left="1800" w:header="851" w:footer="992" w:gutter="0"/>
          <w:pgNumType w:fmt="decimal"/>
          <w:cols w:space="720" w:num="1"/>
          <w:docGrid w:type="lines" w:linePitch="312" w:charSpace="0"/>
        </w:sectPr>
      </w:pPr>
      <w:bookmarkStart w:id="39" w:name="_Toc24516"/>
    </w:p>
    <w:p w14:paraId="6E68023D">
      <w:pPr>
        <w:pStyle w:val="2"/>
        <w:pageBreakBefore w:val="0"/>
        <w:widowControl w:val="0"/>
        <w:kinsoku/>
        <w:wordWrap/>
        <w:overflowPunct/>
        <w:topLinePunct w:val="0"/>
        <w:bidi w:val="0"/>
        <w:snapToGrid/>
        <w:spacing w:line="360" w:lineRule="auto"/>
        <w:jc w:val="center"/>
        <w:textAlignment w:val="auto"/>
        <w:rPr>
          <w:rFonts w:hint="eastAsia" w:eastAsia="宋体"/>
          <w:szCs w:val="22"/>
          <w:lang w:val="en-US" w:eastAsia="zh-CN"/>
        </w:rPr>
      </w:pPr>
      <w:r>
        <w:rPr>
          <w:rFonts w:hint="eastAsia" w:eastAsia="宋体"/>
          <w:szCs w:val="22"/>
          <w:lang w:val="en-US" w:eastAsia="zh-CN"/>
        </w:rPr>
        <w:t>5 系统与材料</w:t>
      </w:r>
      <w:bookmarkEnd w:id="39"/>
    </w:p>
    <w:p w14:paraId="21A0CF7A">
      <w:pPr>
        <w:pStyle w:val="3"/>
        <w:bidi w:val="0"/>
        <w:jc w:val="center"/>
        <w:rPr>
          <w:rFonts w:hint="eastAsia"/>
          <w:lang w:val="en-US" w:eastAsia="zh-CN"/>
        </w:rPr>
      </w:pPr>
      <w:bookmarkStart w:id="40" w:name="_Toc16034_WPSOffice_Level2"/>
      <w:bookmarkStart w:id="41" w:name="_Toc27077"/>
      <w:r>
        <w:rPr>
          <w:rFonts w:hint="eastAsia"/>
          <w:lang w:val="en-US" w:eastAsia="zh-CN"/>
        </w:rPr>
        <w:t>5.1 一般规定</w:t>
      </w:r>
      <w:bookmarkEnd w:id="40"/>
      <w:bookmarkEnd w:id="41"/>
    </w:p>
    <w:p w14:paraId="43D100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highlight w:val="yellow"/>
          <w:lang w:val="en-US" w:eastAsia="zh-CN"/>
        </w:rPr>
      </w:pPr>
      <w:r>
        <w:rPr>
          <w:rFonts w:hint="eastAsia"/>
          <w:b/>
          <w:bCs/>
          <w:sz w:val="24"/>
          <w:szCs w:val="24"/>
          <w:lang w:val="en-US" w:eastAsia="zh-CN"/>
        </w:rPr>
        <w:t>5.1.1</w:t>
      </w:r>
      <w:r>
        <w:rPr>
          <w:rFonts w:hint="eastAsia" w:ascii="宋体" w:hAnsi="宋体"/>
          <w:sz w:val="24"/>
          <w:szCs w:val="24"/>
          <w:lang w:val="en-US" w:eastAsia="zh-CN"/>
        </w:rPr>
        <w:t>改性玻化微珠复合材料外墙修缮所用材料性能应符合国家和地方现行有关标准的规定，严禁使用国家和地方已明令禁止使用或淘汰的材料。</w:t>
      </w:r>
    </w:p>
    <w:p w14:paraId="5A18284C">
      <w:pPr>
        <w:pStyle w:val="14"/>
        <w:keepNext w:val="0"/>
        <w:keepLines w:val="0"/>
        <w:pageBreakBefore w:val="0"/>
        <w:widowControl w:val="0"/>
        <w:kinsoku/>
        <w:wordWrap/>
        <w:overflowPunct/>
        <w:topLinePunct w:val="0"/>
        <w:bidi w:val="0"/>
        <w:snapToGrid/>
        <w:spacing w:line="360" w:lineRule="auto"/>
        <w:textAlignment w:val="auto"/>
        <w:rPr>
          <w:rFonts w:hint="default" w:ascii="宋体" w:hAnsi="宋体" w:eastAsia="宋体" w:cs="Times New Roman"/>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5.1.2 </w:t>
      </w:r>
      <w:r>
        <w:rPr>
          <w:rFonts w:hint="eastAsia" w:ascii="宋体" w:hAnsi="宋体" w:eastAsia="宋体" w:cs="Times New Roman"/>
          <w:color w:val="auto"/>
          <w:kern w:val="2"/>
          <w:sz w:val="24"/>
          <w:szCs w:val="24"/>
          <w:lang w:val="en-US" w:eastAsia="zh-CN" w:bidi="ar-SA"/>
        </w:rPr>
        <w:t>修缮材料进入施工现场时，应具有出厂合格证、说明书及型式检验报告，且外观和包装应完整、无破损。</w:t>
      </w:r>
    </w:p>
    <w:p w14:paraId="3BE95C56">
      <w:pPr>
        <w:pStyle w:val="3"/>
        <w:bidi w:val="0"/>
        <w:jc w:val="center"/>
        <w:rPr>
          <w:rFonts w:hint="eastAsia"/>
          <w:szCs w:val="22"/>
          <w:lang w:val="en-US" w:eastAsia="zh-CN"/>
        </w:rPr>
      </w:pPr>
      <w:bookmarkStart w:id="42" w:name="_Toc21680"/>
      <w:r>
        <w:rPr>
          <w:rFonts w:hint="eastAsia"/>
          <w:szCs w:val="22"/>
          <w:lang w:val="en-US" w:eastAsia="zh-CN"/>
        </w:rPr>
        <w:t>5.2改性玻化微珠外墙干挂系统</w:t>
      </w:r>
      <w:bookmarkEnd w:id="42"/>
    </w:p>
    <w:p w14:paraId="5D0F1FB5">
      <w:pPr>
        <w:rPr>
          <w:rFonts w:hint="eastAsia"/>
          <w:b w:val="0"/>
          <w:bCs w:val="0"/>
          <w:sz w:val="24"/>
          <w:szCs w:val="24"/>
          <w:lang w:val="en-US" w:eastAsia="zh-CN"/>
        </w:rPr>
      </w:pPr>
      <w:r>
        <w:rPr>
          <w:rFonts w:hint="eastAsia" w:eastAsia="宋体"/>
          <w:b/>
          <w:bCs/>
          <w:sz w:val="24"/>
          <w:szCs w:val="24"/>
          <w:lang w:val="en-US" w:eastAsia="zh-CN"/>
        </w:rPr>
        <w:t>5.2.1</w:t>
      </w:r>
      <w:r>
        <w:rPr>
          <w:rFonts w:hint="eastAsia"/>
          <w:b w:val="0"/>
          <w:bCs w:val="0"/>
          <w:sz w:val="24"/>
          <w:szCs w:val="24"/>
          <w:lang w:val="en-US" w:eastAsia="zh-CN"/>
        </w:rPr>
        <w:t>改性玻化微珠外墙干挂系统的性能指标应符合表5.2.1的要求。</w:t>
      </w:r>
    </w:p>
    <w:p w14:paraId="06F18B5A">
      <w:pPr>
        <w:spacing w:before="58" w:after="56"/>
        <w:ind w:left="114" w:right="0" w:firstLine="0"/>
        <w:jc w:val="center"/>
        <w:rPr>
          <w:rFonts w:hint="eastAsia" w:ascii="黑体" w:eastAsia="黑体"/>
          <w:sz w:val="17"/>
        </w:rPr>
      </w:pPr>
      <w:r>
        <w:rPr>
          <w:rFonts w:hint="eastAsia"/>
          <w:b/>
          <w:bCs/>
          <w:sz w:val="21"/>
          <w:szCs w:val="21"/>
          <w:lang w:val="en-US" w:eastAsia="zh-CN"/>
        </w:rPr>
        <w:t>表5.2.1 改性玻化微珠外墙干挂系统的性能指标</w:t>
      </w:r>
    </w:p>
    <w:tbl>
      <w:tblPr>
        <w:tblStyle w:val="11"/>
        <w:tblW w:w="8311"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897"/>
        <w:gridCol w:w="767"/>
        <w:gridCol w:w="3887"/>
        <w:gridCol w:w="2760"/>
      </w:tblGrid>
      <w:tr w14:paraId="317F5F8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4" w:hRule="atLeast"/>
          <w:jc w:val="center"/>
        </w:trPr>
        <w:tc>
          <w:tcPr>
            <w:tcW w:w="1664" w:type="dxa"/>
            <w:gridSpan w:val="2"/>
            <w:vAlign w:val="center"/>
          </w:tcPr>
          <w:p w14:paraId="740B4C24">
            <w:pPr>
              <w:pStyle w:val="19"/>
              <w:ind w:right="513"/>
              <w:jc w:val="center"/>
              <w:rPr>
                <w:rFonts w:hint="eastAsia" w:eastAsia="宋体"/>
                <w:sz w:val="21"/>
                <w:szCs w:val="21"/>
                <w:lang w:val="en-US" w:eastAsia="zh-CN"/>
              </w:rPr>
            </w:pPr>
            <w:r>
              <w:rPr>
                <w:rFonts w:hint="eastAsia"/>
                <w:color w:val="231F20"/>
                <w:sz w:val="21"/>
                <w:szCs w:val="21"/>
                <w:lang w:val="en-US" w:eastAsia="zh-CN"/>
              </w:rPr>
              <w:t xml:space="preserve">    </w:t>
            </w:r>
            <w:r>
              <w:rPr>
                <w:color w:val="231F20"/>
                <w:sz w:val="21"/>
                <w:szCs w:val="21"/>
              </w:rPr>
              <w:t>项目</w:t>
            </w:r>
            <w:r>
              <w:rPr>
                <w:rFonts w:hint="eastAsia"/>
                <w:color w:val="231F20"/>
                <w:sz w:val="21"/>
                <w:szCs w:val="21"/>
                <w:lang w:val="en-US" w:eastAsia="zh-CN"/>
              </w:rPr>
              <w:t xml:space="preserve"> </w:t>
            </w:r>
          </w:p>
        </w:tc>
        <w:tc>
          <w:tcPr>
            <w:tcW w:w="3887" w:type="dxa"/>
            <w:vAlign w:val="center"/>
          </w:tcPr>
          <w:p w14:paraId="213D021C">
            <w:pPr>
              <w:pStyle w:val="19"/>
              <w:spacing w:before="14"/>
              <w:ind w:left="1090" w:right="1078"/>
              <w:jc w:val="center"/>
              <w:rPr>
                <w:sz w:val="21"/>
                <w:szCs w:val="21"/>
              </w:rPr>
            </w:pPr>
            <w:r>
              <w:rPr>
                <w:color w:val="231F20"/>
                <w:sz w:val="21"/>
                <w:szCs w:val="21"/>
              </w:rPr>
              <w:t>性能指标</w:t>
            </w:r>
          </w:p>
        </w:tc>
        <w:tc>
          <w:tcPr>
            <w:tcW w:w="2760" w:type="dxa"/>
            <w:vAlign w:val="center"/>
          </w:tcPr>
          <w:p w14:paraId="70A13787">
            <w:pPr>
              <w:pStyle w:val="19"/>
              <w:jc w:val="center"/>
              <w:rPr>
                <w:sz w:val="21"/>
                <w:szCs w:val="21"/>
              </w:rPr>
            </w:pPr>
            <w:r>
              <w:rPr>
                <w:color w:val="231F20"/>
                <w:sz w:val="21"/>
                <w:szCs w:val="21"/>
              </w:rPr>
              <w:t>试验方法</w:t>
            </w:r>
          </w:p>
        </w:tc>
      </w:tr>
      <w:tr w14:paraId="063EB40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34" w:hRule="atLeast"/>
          <w:jc w:val="center"/>
        </w:trPr>
        <w:tc>
          <w:tcPr>
            <w:tcW w:w="897" w:type="dxa"/>
          </w:tcPr>
          <w:p w14:paraId="41DCB205">
            <w:pPr>
              <w:pStyle w:val="19"/>
              <w:spacing w:before="9"/>
              <w:rPr>
                <w:rFonts w:ascii="黑体"/>
                <w:sz w:val="21"/>
                <w:szCs w:val="21"/>
              </w:rPr>
            </w:pPr>
          </w:p>
          <w:p w14:paraId="1E114E4E">
            <w:pPr>
              <w:pStyle w:val="19"/>
              <w:ind w:left="135"/>
              <w:rPr>
                <w:sz w:val="21"/>
                <w:szCs w:val="21"/>
              </w:rPr>
            </w:pPr>
            <w:r>
              <w:rPr>
                <w:color w:val="231F20"/>
                <w:sz w:val="21"/>
                <w:szCs w:val="21"/>
              </w:rPr>
              <w:t>耐候性</w:t>
            </w:r>
          </w:p>
        </w:tc>
        <w:tc>
          <w:tcPr>
            <w:tcW w:w="767" w:type="dxa"/>
          </w:tcPr>
          <w:p w14:paraId="1D74DB2E">
            <w:pPr>
              <w:pStyle w:val="19"/>
              <w:spacing w:before="9"/>
              <w:rPr>
                <w:rFonts w:ascii="黑体"/>
                <w:sz w:val="21"/>
                <w:szCs w:val="21"/>
              </w:rPr>
            </w:pPr>
          </w:p>
          <w:p w14:paraId="192F15C3">
            <w:pPr>
              <w:pStyle w:val="19"/>
              <w:ind w:left="186"/>
              <w:rPr>
                <w:sz w:val="21"/>
                <w:szCs w:val="21"/>
              </w:rPr>
            </w:pPr>
            <w:r>
              <w:rPr>
                <w:color w:val="231F20"/>
                <w:sz w:val="21"/>
                <w:szCs w:val="21"/>
              </w:rPr>
              <w:t>外观</w:t>
            </w:r>
          </w:p>
        </w:tc>
        <w:tc>
          <w:tcPr>
            <w:tcW w:w="3887" w:type="dxa"/>
          </w:tcPr>
          <w:p w14:paraId="6E6C2DB8">
            <w:pPr>
              <w:pStyle w:val="19"/>
              <w:spacing w:before="82" w:line="225" w:lineRule="auto"/>
              <w:ind w:left="226" w:right="104" w:firstLine="37"/>
              <w:rPr>
                <w:sz w:val="21"/>
                <w:szCs w:val="21"/>
              </w:rPr>
            </w:pPr>
            <w:r>
              <w:rPr>
                <w:color w:val="231F20"/>
                <w:sz w:val="21"/>
                <w:szCs w:val="21"/>
              </w:rPr>
              <w:t>无粉化、起鼓、起泡、脱落现象，无宽度大于0.1mm的裂缝，无水渗透现象</w:t>
            </w:r>
          </w:p>
        </w:tc>
        <w:tc>
          <w:tcPr>
            <w:tcW w:w="2760" w:type="dxa"/>
          </w:tcPr>
          <w:p w14:paraId="5D95813A">
            <w:pPr>
              <w:pStyle w:val="19"/>
              <w:spacing w:before="82" w:line="225" w:lineRule="auto"/>
              <w:ind w:left="172" w:right="75" w:hanging="150"/>
              <w:rPr>
                <w:sz w:val="21"/>
                <w:szCs w:val="21"/>
              </w:rPr>
            </w:pPr>
            <w:r>
              <w:rPr>
                <w:color w:val="231F20"/>
                <w:sz w:val="21"/>
                <w:szCs w:val="21"/>
              </w:rPr>
              <w:t>《保温装饰板外墙外保温系统材料》JG/T 287</w:t>
            </w:r>
          </w:p>
        </w:tc>
      </w:tr>
      <w:tr w14:paraId="13E8288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37" w:hRule="atLeast"/>
          <w:jc w:val="center"/>
        </w:trPr>
        <w:tc>
          <w:tcPr>
            <w:tcW w:w="1664" w:type="dxa"/>
            <w:gridSpan w:val="2"/>
          </w:tcPr>
          <w:p w14:paraId="50D6C2F7">
            <w:pPr>
              <w:pStyle w:val="19"/>
              <w:spacing w:before="11"/>
              <w:rPr>
                <w:rFonts w:ascii="黑体"/>
                <w:sz w:val="21"/>
                <w:szCs w:val="21"/>
              </w:rPr>
            </w:pPr>
          </w:p>
          <w:p w14:paraId="1870DFA8">
            <w:pPr>
              <w:pStyle w:val="19"/>
              <w:ind w:left="149"/>
              <w:rPr>
                <w:sz w:val="21"/>
                <w:szCs w:val="21"/>
              </w:rPr>
            </w:pPr>
            <w:r>
              <w:rPr>
                <w:color w:val="231F20"/>
                <w:sz w:val="21"/>
                <w:szCs w:val="21"/>
              </w:rPr>
              <w:t>热阻（m²•K/W）</w:t>
            </w:r>
          </w:p>
        </w:tc>
        <w:tc>
          <w:tcPr>
            <w:tcW w:w="3887" w:type="dxa"/>
          </w:tcPr>
          <w:p w14:paraId="7C471965">
            <w:pPr>
              <w:pStyle w:val="19"/>
              <w:spacing w:before="11"/>
              <w:rPr>
                <w:rFonts w:ascii="黑体"/>
                <w:sz w:val="21"/>
                <w:szCs w:val="21"/>
              </w:rPr>
            </w:pPr>
          </w:p>
          <w:p w14:paraId="23A748BC">
            <w:pPr>
              <w:pStyle w:val="19"/>
              <w:ind w:left="1162"/>
              <w:rPr>
                <w:sz w:val="21"/>
                <w:szCs w:val="21"/>
              </w:rPr>
            </w:pPr>
            <w:r>
              <w:rPr>
                <w:color w:val="231F20"/>
                <w:sz w:val="21"/>
                <w:szCs w:val="21"/>
              </w:rPr>
              <w:t>给出热阻值</w:t>
            </w:r>
          </w:p>
        </w:tc>
        <w:tc>
          <w:tcPr>
            <w:tcW w:w="2760" w:type="dxa"/>
          </w:tcPr>
          <w:p w14:paraId="719E65BC">
            <w:pPr>
              <w:pStyle w:val="19"/>
              <w:spacing w:before="57" w:line="225" w:lineRule="auto"/>
              <w:ind w:left="59" w:right="113"/>
              <w:jc w:val="center"/>
              <w:rPr>
                <w:sz w:val="21"/>
                <w:szCs w:val="21"/>
              </w:rPr>
            </w:pPr>
            <w:r>
              <w:rPr>
                <w:color w:val="231F20"/>
                <w:spacing w:val="-2"/>
                <w:sz w:val="21"/>
                <w:szCs w:val="21"/>
              </w:rPr>
              <w:t>《绝热 稳态传热性质的</w:t>
            </w:r>
            <w:r>
              <w:rPr>
                <w:color w:val="231F20"/>
                <w:sz w:val="21"/>
                <w:szCs w:val="21"/>
              </w:rPr>
              <w:t>测定 标定和防护热箱 法》GB/T 13475</w:t>
            </w:r>
          </w:p>
        </w:tc>
      </w:tr>
    </w:tbl>
    <w:p w14:paraId="6F1C3C2F">
      <w:pPr>
        <w:pStyle w:val="18"/>
        <w:keepNext w:val="0"/>
        <w:keepLines w:val="0"/>
        <w:pageBreakBefore w:val="0"/>
        <w:widowControl w:val="0"/>
        <w:numPr>
          <w:ilvl w:val="0"/>
          <w:numId w:val="0"/>
        </w:numPr>
        <w:tabs>
          <w:tab w:val="left" w:pos="1023"/>
        </w:tabs>
        <w:kinsoku/>
        <w:wordWrap/>
        <w:overflowPunct/>
        <w:topLinePunct w:val="0"/>
        <w:autoSpaceDE/>
        <w:autoSpaceDN/>
        <w:bidi w:val="0"/>
        <w:adjustRightInd/>
        <w:snapToGrid/>
        <w:spacing w:before="151" w:after="0" w:line="360" w:lineRule="auto"/>
        <w:ind w:right="142" w:rightChars="0"/>
        <w:jc w:val="both"/>
        <w:textAlignment w:val="auto"/>
        <w:rPr>
          <w:rFonts w:hint="eastAsia"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5.2.1改性玻化微珠外墙干挂系统在实际使用过程中受到相当大的热应力作用，这种应力主要作用在饰面及面板层上，具体体现为周期性的热湿和热冷气候条件的长期作用，耐候性试验正是人工模拟这种严酷的高温、降雨、冷热循环的组合。</w:t>
      </w:r>
    </w:p>
    <w:p w14:paraId="1B94FB1D">
      <w:pPr>
        <w:pStyle w:val="18"/>
        <w:keepNext w:val="0"/>
        <w:keepLines w:val="0"/>
        <w:pageBreakBefore w:val="0"/>
        <w:widowControl w:val="0"/>
        <w:numPr>
          <w:ilvl w:val="0"/>
          <w:numId w:val="0"/>
        </w:numPr>
        <w:tabs>
          <w:tab w:val="left" w:pos="1023"/>
        </w:tabs>
        <w:kinsoku/>
        <w:wordWrap/>
        <w:overflowPunct/>
        <w:topLinePunct w:val="0"/>
        <w:autoSpaceDE/>
        <w:autoSpaceDN/>
        <w:bidi w:val="0"/>
        <w:adjustRightInd/>
        <w:snapToGrid/>
        <w:spacing w:before="151" w:after="0" w:line="360" w:lineRule="auto"/>
        <w:ind w:right="142" w:rightChars="0"/>
        <w:jc w:val="both"/>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5.2.2</w:t>
      </w:r>
      <w:r>
        <w:rPr>
          <w:rFonts w:hint="eastAsia"/>
          <w:b w:val="0"/>
          <w:bCs w:val="0"/>
          <w:sz w:val="24"/>
          <w:szCs w:val="24"/>
          <w:highlight w:val="none"/>
          <w:lang w:val="en-US" w:eastAsia="zh-CN"/>
        </w:rPr>
        <w:t>改性玻化微珠</w:t>
      </w:r>
      <w:r>
        <w:rPr>
          <w:rFonts w:hint="eastAsia" w:ascii="Times New Roman" w:hAnsi="Times New Roman" w:eastAsia="宋体" w:cs="Times New Roman"/>
          <w:b w:val="0"/>
          <w:bCs w:val="0"/>
          <w:kern w:val="2"/>
          <w:sz w:val="24"/>
          <w:szCs w:val="24"/>
          <w:highlight w:val="none"/>
          <w:lang w:val="en-US" w:eastAsia="zh-CN" w:bidi="ar-SA"/>
        </w:rPr>
        <w:t>保温装饰板其保温层密度不应大于280kg/m³</w:t>
      </w:r>
      <w:r>
        <w:rPr>
          <w:rFonts w:hint="eastAsia" w:ascii="Times New Roman" w:hAnsi="Times New Roman" w:eastAsia="宋体" w:cs="Times New Roman"/>
          <w:b w:val="0"/>
          <w:bCs w:val="0"/>
          <w:kern w:val="2"/>
          <w:sz w:val="24"/>
          <w:szCs w:val="24"/>
          <w:lang w:val="en-US" w:eastAsia="zh-CN" w:bidi="ar-SA"/>
        </w:rPr>
        <w:t>， 保温层厚度应按计算确定。尺寸允许偏差、性能指标应符合表</w:t>
      </w:r>
      <w:r>
        <w:rPr>
          <w:rFonts w:hint="eastAsia" w:ascii="Times New Roman" w:hAnsi="Times New Roman" w:cs="Times New Roman"/>
          <w:b w:val="0"/>
          <w:bCs w:val="0"/>
          <w:kern w:val="2"/>
          <w:sz w:val="24"/>
          <w:szCs w:val="24"/>
          <w:lang w:val="en-US" w:eastAsia="zh-CN" w:bidi="ar-SA"/>
        </w:rPr>
        <w:t>5.2.2</w:t>
      </w:r>
      <w:r>
        <w:rPr>
          <w:rFonts w:hint="eastAsia" w:ascii="Times New Roman" w:hAnsi="Times New Roman" w:eastAsia="宋体" w:cs="Times New Roman"/>
          <w:b w:val="0"/>
          <w:bCs w:val="0"/>
          <w:kern w:val="2"/>
          <w:sz w:val="24"/>
          <w:szCs w:val="24"/>
          <w:lang w:val="en-US" w:eastAsia="zh-CN" w:bidi="ar-SA"/>
        </w:rPr>
        <w:t>-1、表</w:t>
      </w:r>
      <w:r>
        <w:rPr>
          <w:rFonts w:hint="eastAsia" w:ascii="Times New Roman" w:hAnsi="Times New Roman" w:cs="Times New Roman"/>
          <w:b w:val="0"/>
          <w:bCs w:val="0"/>
          <w:kern w:val="2"/>
          <w:sz w:val="24"/>
          <w:szCs w:val="24"/>
          <w:lang w:val="en-US" w:eastAsia="zh-CN" w:bidi="ar-SA"/>
        </w:rPr>
        <w:t>5.2.2</w:t>
      </w:r>
      <w:r>
        <w:rPr>
          <w:rFonts w:hint="eastAsia" w:ascii="Times New Roman" w:hAnsi="Times New Roman" w:eastAsia="宋体" w:cs="Times New Roman"/>
          <w:b w:val="0"/>
          <w:bCs w:val="0"/>
          <w:kern w:val="2"/>
          <w:sz w:val="24"/>
          <w:szCs w:val="24"/>
          <w:lang w:val="en-US" w:eastAsia="zh-CN" w:bidi="ar-SA"/>
        </w:rPr>
        <w:t>-2、表</w:t>
      </w:r>
      <w:r>
        <w:rPr>
          <w:rFonts w:hint="eastAsia" w:ascii="Times New Roman" w:hAnsi="Times New Roman" w:cs="Times New Roman"/>
          <w:b w:val="0"/>
          <w:bCs w:val="0"/>
          <w:kern w:val="2"/>
          <w:sz w:val="24"/>
          <w:szCs w:val="24"/>
          <w:lang w:val="en-US" w:eastAsia="zh-CN" w:bidi="ar-SA"/>
        </w:rPr>
        <w:t>5.2.2</w:t>
      </w:r>
      <w:r>
        <w:rPr>
          <w:rFonts w:hint="eastAsia" w:ascii="Times New Roman" w:hAnsi="Times New Roman" w:eastAsia="宋体" w:cs="Times New Roman"/>
          <w:b w:val="0"/>
          <w:bCs w:val="0"/>
          <w:kern w:val="2"/>
          <w:sz w:val="24"/>
          <w:szCs w:val="24"/>
          <w:lang w:val="en-US" w:eastAsia="zh-CN" w:bidi="ar-SA"/>
        </w:rPr>
        <w:t>-3的规定。</w:t>
      </w:r>
    </w:p>
    <w:p w14:paraId="2A8BE11E">
      <w:pPr>
        <w:spacing w:before="58" w:after="56"/>
        <w:ind w:left="114" w:right="0" w:firstLine="0"/>
        <w:jc w:val="center"/>
        <w:rPr>
          <w:rFonts w:hint="eastAsia"/>
          <w:b/>
          <w:bCs/>
          <w:sz w:val="21"/>
          <w:szCs w:val="21"/>
          <w:lang w:val="en-US" w:eastAsia="zh-CN"/>
        </w:rPr>
      </w:pPr>
      <w:r>
        <w:rPr>
          <w:rFonts w:hint="eastAsia"/>
          <w:b/>
          <w:bCs/>
          <w:sz w:val="21"/>
          <w:szCs w:val="21"/>
          <w:lang w:val="en-US" w:eastAsia="zh-CN"/>
        </w:rPr>
        <w:t>表5.2.2-1 改性玻化微珠保温装饰板尺寸允许偏差</w:t>
      </w:r>
    </w:p>
    <w:p w14:paraId="02C8D892">
      <w:pPr>
        <w:pStyle w:val="5"/>
        <w:spacing w:before="7"/>
        <w:rPr>
          <w:rFonts w:ascii="黑体"/>
          <w:sz w:val="8"/>
        </w:rPr>
      </w:pPr>
    </w:p>
    <w:tbl>
      <w:tblPr>
        <w:tblStyle w:val="11"/>
        <w:tblW w:w="8340" w:type="dxa"/>
        <w:tblInd w:w="-71"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387"/>
        <w:gridCol w:w="2799"/>
        <w:gridCol w:w="3154"/>
      </w:tblGrid>
      <w:tr w14:paraId="4E88CB1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90" w:hRule="atLeast"/>
        </w:trPr>
        <w:tc>
          <w:tcPr>
            <w:tcW w:w="2387" w:type="dxa"/>
          </w:tcPr>
          <w:p w14:paraId="5847595A">
            <w:pPr>
              <w:pStyle w:val="19"/>
              <w:spacing w:before="116"/>
              <w:ind w:left="94" w:right="64"/>
              <w:jc w:val="center"/>
              <w:rPr>
                <w:sz w:val="21"/>
                <w:szCs w:val="21"/>
              </w:rPr>
            </w:pPr>
            <w:r>
              <w:rPr>
                <w:color w:val="231F20"/>
                <w:sz w:val="21"/>
                <w:szCs w:val="21"/>
              </w:rPr>
              <w:t>项目</w:t>
            </w:r>
          </w:p>
        </w:tc>
        <w:tc>
          <w:tcPr>
            <w:tcW w:w="2799" w:type="dxa"/>
          </w:tcPr>
          <w:p w14:paraId="4FF6331F">
            <w:pPr>
              <w:pStyle w:val="19"/>
              <w:spacing w:before="116"/>
              <w:ind w:left="480" w:right="484"/>
              <w:jc w:val="center"/>
              <w:rPr>
                <w:sz w:val="21"/>
                <w:szCs w:val="21"/>
              </w:rPr>
            </w:pPr>
            <w:r>
              <w:rPr>
                <w:color w:val="231F20"/>
                <w:sz w:val="21"/>
                <w:szCs w:val="21"/>
              </w:rPr>
              <w:t>允许偏差</w:t>
            </w:r>
          </w:p>
        </w:tc>
        <w:tc>
          <w:tcPr>
            <w:tcW w:w="3154" w:type="dxa"/>
          </w:tcPr>
          <w:p w14:paraId="2035EBD0">
            <w:pPr>
              <w:pStyle w:val="19"/>
              <w:spacing w:before="117"/>
              <w:ind w:left="913" w:right="902"/>
              <w:jc w:val="center"/>
              <w:rPr>
                <w:sz w:val="21"/>
                <w:szCs w:val="21"/>
              </w:rPr>
            </w:pPr>
            <w:r>
              <w:rPr>
                <w:color w:val="231F20"/>
                <w:sz w:val="21"/>
                <w:szCs w:val="21"/>
              </w:rPr>
              <w:t>试验方法</w:t>
            </w:r>
          </w:p>
        </w:tc>
      </w:tr>
      <w:tr w14:paraId="3A6B456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90" w:hRule="atLeast"/>
        </w:trPr>
        <w:tc>
          <w:tcPr>
            <w:tcW w:w="2387" w:type="dxa"/>
            <w:vAlign w:val="center"/>
          </w:tcPr>
          <w:p w14:paraId="06781DF9">
            <w:pPr>
              <w:pStyle w:val="19"/>
              <w:ind w:left="94" w:right="64"/>
              <w:jc w:val="center"/>
              <w:rPr>
                <w:sz w:val="21"/>
                <w:szCs w:val="21"/>
              </w:rPr>
            </w:pPr>
            <w:r>
              <w:rPr>
                <w:color w:val="231F20"/>
                <w:sz w:val="21"/>
                <w:szCs w:val="21"/>
              </w:rPr>
              <w:t>长度、厚度、宽度（mm）</w:t>
            </w:r>
          </w:p>
        </w:tc>
        <w:tc>
          <w:tcPr>
            <w:tcW w:w="2799" w:type="dxa"/>
            <w:vAlign w:val="center"/>
          </w:tcPr>
          <w:p w14:paraId="47CA4B41">
            <w:pPr>
              <w:pStyle w:val="19"/>
              <w:ind w:left="447" w:right="484"/>
              <w:jc w:val="center"/>
              <w:rPr>
                <w:sz w:val="21"/>
                <w:szCs w:val="21"/>
              </w:rPr>
            </w:pPr>
            <w:r>
              <w:rPr>
                <w:color w:val="231F20"/>
                <w:sz w:val="21"/>
                <w:szCs w:val="21"/>
              </w:rPr>
              <w:t>±2.0</w:t>
            </w:r>
          </w:p>
        </w:tc>
        <w:tc>
          <w:tcPr>
            <w:tcW w:w="3154" w:type="dxa"/>
            <w:vMerge w:val="restart"/>
          </w:tcPr>
          <w:p w14:paraId="0A0E9D0B">
            <w:pPr>
              <w:pStyle w:val="19"/>
              <w:rPr>
                <w:rFonts w:ascii="黑体"/>
                <w:sz w:val="21"/>
                <w:szCs w:val="21"/>
              </w:rPr>
            </w:pPr>
          </w:p>
          <w:p w14:paraId="686E4DCB">
            <w:pPr>
              <w:pStyle w:val="19"/>
              <w:spacing w:before="124" w:line="225" w:lineRule="auto"/>
              <w:ind w:left="933" w:right="19" w:hanging="900"/>
              <w:rPr>
                <w:sz w:val="21"/>
                <w:szCs w:val="21"/>
              </w:rPr>
            </w:pPr>
            <w:r>
              <w:rPr>
                <w:color w:val="231F20"/>
                <w:sz w:val="21"/>
                <w:szCs w:val="21"/>
              </w:rPr>
              <w:t>《保温装饰板外墙外保温系统材料》JG/T 287</w:t>
            </w:r>
          </w:p>
        </w:tc>
      </w:tr>
      <w:tr w14:paraId="6292A00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17" w:hRule="atLeast"/>
        </w:trPr>
        <w:tc>
          <w:tcPr>
            <w:tcW w:w="2387" w:type="dxa"/>
            <w:vAlign w:val="center"/>
          </w:tcPr>
          <w:p w14:paraId="0DDCC6BB">
            <w:pPr>
              <w:pStyle w:val="19"/>
              <w:ind w:left="94" w:right="64"/>
              <w:jc w:val="center"/>
              <w:rPr>
                <w:sz w:val="21"/>
                <w:szCs w:val="21"/>
              </w:rPr>
            </w:pPr>
            <w:r>
              <w:rPr>
                <w:color w:val="231F20"/>
                <w:sz w:val="21"/>
                <w:szCs w:val="21"/>
              </w:rPr>
              <w:t>对角线差（mm）</w:t>
            </w:r>
          </w:p>
        </w:tc>
        <w:tc>
          <w:tcPr>
            <w:tcW w:w="2799" w:type="dxa"/>
            <w:vAlign w:val="center"/>
          </w:tcPr>
          <w:p w14:paraId="5B8793F8">
            <w:pPr>
              <w:pStyle w:val="19"/>
              <w:ind w:left="447" w:right="484"/>
              <w:jc w:val="center"/>
              <w:rPr>
                <w:sz w:val="21"/>
                <w:szCs w:val="21"/>
              </w:rPr>
            </w:pPr>
            <w:r>
              <w:rPr>
                <w:color w:val="231F20"/>
                <w:sz w:val="21"/>
                <w:szCs w:val="21"/>
              </w:rPr>
              <w:t>≤3.0</w:t>
            </w:r>
          </w:p>
        </w:tc>
        <w:tc>
          <w:tcPr>
            <w:tcW w:w="3154" w:type="dxa"/>
            <w:vMerge w:val="continue"/>
            <w:tcBorders>
              <w:top w:val="nil"/>
            </w:tcBorders>
          </w:tcPr>
          <w:p w14:paraId="26C4672F">
            <w:pPr>
              <w:rPr>
                <w:sz w:val="21"/>
                <w:szCs w:val="21"/>
              </w:rPr>
            </w:pPr>
          </w:p>
        </w:tc>
      </w:tr>
      <w:tr w14:paraId="7DE7C7E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29" w:hRule="atLeast"/>
        </w:trPr>
        <w:tc>
          <w:tcPr>
            <w:tcW w:w="2387" w:type="dxa"/>
            <w:vAlign w:val="center"/>
          </w:tcPr>
          <w:p w14:paraId="5BB3087E">
            <w:pPr>
              <w:pStyle w:val="19"/>
              <w:spacing w:before="104"/>
              <w:ind w:left="94" w:right="64"/>
              <w:jc w:val="center"/>
              <w:rPr>
                <w:sz w:val="21"/>
                <w:szCs w:val="21"/>
              </w:rPr>
            </w:pPr>
            <w:r>
              <w:rPr>
                <w:color w:val="231F20"/>
                <w:sz w:val="21"/>
                <w:szCs w:val="21"/>
              </w:rPr>
              <w:t>板面平整度（mm）</w:t>
            </w:r>
          </w:p>
        </w:tc>
        <w:tc>
          <w:tcPr>
            <w:tcW w:w="2799" w:type="dxa"/>
            <w:vAlign w:val="center"/>
          </w:tcPr>
          <w:p w14:paraId="2863C7AC">
            <w:pPr>
              <w:pStyle w:val="19"/>
              <w:spacing w:before="104"/>
              <w:ind w:left="447" w:right="484"/>
              <w:jc w:val="center"/>
              <w:rPr>
                <w:sz w:val="21"/>
                <w:szCs w:val="21"/>
              </w:rPr>
            </w:pPr>
            <w:r>
              <w:rPr>
                <w:color w:val="231F20"/>
                <w:sz w:val="21"/>
                <w:szCs w:val="21"/>
              </w:rPr>
              <w:t>≤2.0</w:t>
            </w:r>
          </w:p>
        </w:tc>
        <w:tc>
          <w:tcPr>
            <w:tcW w:w="3154" w:type="dxa"/>
            <w:vMerge w:val="continue"/>
            <w:tcBorders>
              <w:top w:val="nil"/>
            </w:tcBorders>
          </w:tcPr>
          <w:p w14:paraId="36E0FC80">
            <w:pPr>
              <w:rPr>
                <w:sz w:val="21"/>
                <w:szCs w:val="21"/>
              </w:rPr>
            </w:pPr>
          </w:p>
        </w:tc>
      </w:tr>
    </w:tbl>
    <w:p w14:paraId="1541946A">
      <w:pPr>
        <w:spacing w:before="58" w:after="56"/>
        <w:ind w:left="114" w:right="0" w:firstLine="0"/>
        <w:jc w:val="center"/>
        <w:rPr>
          <w:rFonts w:hint="eastAsia"/>
          <w:b/>
          <w:bCs/>
          <w:sz w:val="21"/>
          <w:szCs w:val="21"/>
          <w:lang w:val="en-US" w:eastAsia="zh-CN"/>
        </w:rPr>
      </w:pPr>
      <w:r>
        <w:rPr>
          <w:rFonts w:hint="eastAsia"/>
          <w:b/>
          <w:bCs/>
          <w:sz w:val="21"/>
          <w:szCs w:val="21"/>
          <w:lang w:val="en-US" w:eastAsia="zh-CN"/>
        </w:rPr>
        <w:t>表5.2.2-2 改性玻化微珠保温装饰板性能指标</w:t>
      </w:r>
    </w:p>
    <w:p w14:paraId="0BC6BCB6">
      <w:pPr>
        <w:pStyle w:val="5"/>
        <w:spacing w:before="9"/>
        <w:rPr>
          <w:rFonts w:ascii="黑体"/>
          <w:sz w:val="6"/>
        </w:rPr>
      </w:pPr>
    </w:p>
    <w:tbl>
      <w:tblPr>
        <w:tblStyle w:val="11"/>
        <w:tblW w:w="8331" w:type="dxa"/>
        <w:tblInd w:w="-45"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201"/>
        <w:gridCol w:w="1299"/>
        <w:gridCol w:w="1686"/>
        <w:gridCol w:w="3145"/>
      </w:tblGrid>
      <w:tr w14:paraId="3894148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38" w:hRule="atLeast"/>
        </w:trPr>
        <w:tc>
          <w:tcPr>
            <w:tcW w:w="2201" w:type="dxa"/>
            <w:vMerge w:val="restart"/>
          </w:tcPr>
          <w:p w14:paraId="177FBB8E">
            <w:pPr>
              <w:pStyle w:val="19"/>
              <w:spacing w:before="8"/>
              <w:rPr>
                <w:rFonts w:ascii="黑体"/>
                <w:sz w:val="21"/>
                <w:szCs w:val="21"/>
              </w:rPr>
            </w:pPr>
          </w:p>
          <w:p w14:paraId="316F0C73">
            <w:pPr>
              <w:pStyle w:val="19"/>
              <w:ind w:left="72" w:right="1"/>
              <w:jc w:val="center"/>
              <w:rPr>
                <w:sz w:val="21"/>
                <w:szCs w:val="21"/>
              </w:rPr>
            </w:pPr>
            <w:r>
              <w:rPr>
                <w:color w:val="231F20"/>
                <w:sz w:val="21"/>
                <w:szCs w:val="21"/>
              </w:rPr>
              <w:t>项目</w:t>
            </w:r>
          </w:p>
        </w:tc>
        <w:tc>
          <w:tcPr>
            <w:tcW w:w="2985" w:type="dxa"/>
            <w:gridSpan w:val="2"/>
          </w:tcPr>
          <w:p w14:paraId="678F2E1C">
            <w:pPr>
              <w:pStyle w:val="19"/>
              <w:spacing w:before="82"/>
              <w:ind w:left="979" w:right="877"/>
              <w:jc w:val="center"/>
              <w:rPr>
                <w:sz w:val="21"/>
                <w:szCs w:val="21"/>
              </w:rPr>
            </w:pPr>
            <w:r>
              <w:rPr>
                <w:color w:val="231F20"/>
                <w:sz w:val="21"/>
                <w:szCs w:val="21"/>
              </w:rPr>
              <w:t>性能指标</w:t>
            </w:r>
          </w:p>
        </w:tc>
        <w:tc>
          <w:tcPr>
            <w:tcW w:w="3145" w:type="dxa"/>
            <w:vMerge w:val="restart"/>
          </w:tcPr>
          <w:p w14:paraId="7353AE72">
            <w:pPr>
              <w:pStyle w:val="19"/>
              <w:spacing w:before="8"/>
              <w:rPr>
                <w:rFonts w:ascii="黑体"/>
                <w:sz w:val="21"/>
                <w:szCs w:val="21"/>
              </w:rPr>
            </w:pPr>
          </w:p>
          <w:p w14:paraId="4ADBA45A">
            <w:pPr>
              <w:pStyle w:val="19"/>
              <w:jc w:val="center"/>
              <w:rPr>
                <w:sz w:val="21"/>
                <w:szCs w:val="21"/>
              </w:rPr>
            </w:pPr>
            <w:r>
              <w:rPr>
                <w:color w:val="231F20"/>
                <w:sz w:val="21"/>
                <w:szCs w:val="21"/>
              </w:rPr>
              <w:t>试验方法</w:t>
            </w:r>
          </w:p>
        </w:tc>
      </w:tr>
      <w:tr w14:paraId="4FB450E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29" w:hRule="atLeast"/>
        </w:trPr>
        <w:tc>
          <w:tcPr>
            <w:tcW w:w="2201" w:type="dxa"/>
            <w:vMerge w:val="continue"/>
            <w:tcBorders>
              <w:top w:val="nil"/>
            </w:tcBorders>
          </w:tcPr>
          <w:p w14:paraId="5A2CBAF8">
            <w:pPr>
              <w:rPr>
                <w:sz w:val="21"/>
                <w:szCs w:val="21"/>
              </w:rPr>
            </w:pPr>
          </w:p>
        </w:tc>
        <w:tc>
          <w:tcPr>
            <w:tcW w:w="1299" w:type="dxa"/>
          </w:tcPr>
          <w:p w14:paraId="447763AD">
            <w:pPr>
              <w:pStyle w:val="19"/>
              <w:spacing w:before="70"/>
              <w:ind w:right="467"/>
              <w:jc w:val="center"/>
              <w:rPr>
                <w:rFonts w:hint="eastAsia" w:eastAsia="宋体"/>
                <w:sz w:val="21"/>
                <w:szCs w:val="21"/>
                <w:lang w:val="en-US" w:eastAsia="zh-CN"/>
              </w:rPr>
            </w:pPr>
            <w:r>
              <w:rPr>
                <w:color w:val="231F20"/>
                <w:sz w:val="21"/>
                <w:szCs w:val="21"/>
              </w:rPr>
              <w:t>Ⅰ</w:t>
            </w:r>
            <w:r>
              <w:rPr>
                <w:rFonts w:hint="eastAsia"/>
                <w:color w:val="231F20"/>
                <w:sz w:val="21"/>
                <w:szCs w:val="21"/>
                <w:lang w:val="en-US" w:eastAsia="zh-CN"/>
              </w:rPr>
              <w:t>型</w:t>
            </w:r>
          </w:p>
        </w:tc>
        <w:tc>
          <w:tcPr>
            <w:tcW w:w="1686" w:type="dxa"/>
          </w:tcPr>
          <w:p w14:paraId="1C97EB41">
            <w:pPr>
              <w:pStyle w:val="19"/>
              <w:spacing w:before="70"/>
              <w:ind w:left="342" w:right="364"/>
              <w:jc w:val="center"/>
              <w:rPr>
                <w:sz w:val="21"/>
                <w:szCs w:val="21"/>
              </w:rPr>
            </w:pPr>
            <w:r>
              <w:rPr>
                <w:color w:val="231F20"/>
                <w:sz w:val="21"/>
                <w:szCs w:val="21"/>
              </w:rPr>
              <w:t>Ⅱ型</w:t>
            </w:r>
          </w:p>
        </w:tc>
        <w:tc>
          <w:tcPr>
            <w:tcW w:w="3145" w:type="dxa"/>
            <w:vMerge w:val="continue"/>
            <w:tcBorders>
              <w:top w:val="nil"/>
            </w:tcBorders>
          </w:tcPr>
          <w:p w14:paraId="12F01D38">
            <w:pPr>
              <w:rPr>
                <w:sz w:val="21"/>
                <w:szCs w:val="21"/>
              </w:rPr>
            </w:pPr>
          </w:p>
        </w:tc>
      </w:tr>
      <w:tr w14:paraId="4AE951A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61" w:hRule="atLeast"/>
        </w:trPr>
        <w:tc>
          <w:tcPr>
            <w:tcW w:w="2201" w:type="dxa"/>
            <w:vAlign w:val="center"/>
          </w:tcPr>
          <w:p w14:paraId="43780D81">
            <w:pPr>
              <w:pStyle w:val="19"/>
              <w:ind w:right="1"/>
              <w:jc w:val="center"/>
              <w:rPr>
                <w:sz w:val="21"/>
                <w:szCs w:val="21"/>
              </w:rPr>
            </w:pPr>
            <w:r>
              <w:rPr>
                <w:color w:val="231F20"/>
                <w:sz w:val="21"/>
                <w:szCs w:val="21"/>
              </w:rPr>
              <w:t>单位面积质量（kg/m²）</w:t>
            </w:r>
          </w:p>
        </w:tc>
        <w:tc>
          <w:tcPr>
            <w:tcW w:w="1299" w:type="dxa"/>
            <w:vAlign w:val="center"/>
          </w:tcPr>
          <w:p w14:paraId="5465643D">
            <w:pPr>
              <w:pStyle w:val="19"/>
              <w:spacing w:before="10"/>
              <w:jc w:val="center"/>
              <w:rPr>
                <w:rFonts w:ascii="黑体"/>
                <w:sz w:val="21"/>
                <w:szCs w:val="21"/>
              </w:rPr>
            </w:pPr>
          </w:p>
          <w:p w14:paraId="6C567620">
            <w:pPr>
              <w:pStyle w:val="19"/>
              <w:ind w:right="455"/>
              <w:jc w:val="center"/>
              <w:rPr>
                <w:sz w:val="21"/>
                <w:szCs w:val="21"/>
              </w:rPr>
            </w:pPr>
            <w:r>
              <w:rPr>
                <w:color w:val="231F20"/>
                <w:sz w:val="21"/>
                <w:szCs w:val="21"/>
              </w:rPr>
              <w:t>＜20</w:t>
            </w:r>
          </w:p>
        </w:tc>
        <w:tc>
          <w:tcPr>
            <w:tcW w:w="1686" w:type="dxa"/>
            <w:vAlign w:val="center"/>
          </w:tcPr>
          <w:p w14:paraId="755EF28E">
            <w:pPr>
              <w:pStyle w:val="19"/>
              <w:spacing w:before="10"/>
              <w:jc w:val="center"/>
              <w:rPr>
                <w:rFonts w:ascii="黑体"/>
                <w:sz w:val="21"/>
                <w:szCs w:val="21"/>
              </w:rPr>
            </w:pPr>
          </w:p>
          <w:p w14:paraId="07617AC1">
            <w:pPr>
              <w:pStyle w:val="19"/>
              <w:spacing w:before="1"/>
              <w:ind w:left="342" w:right="364"/>
              <w:jc w:val="center"/>
              <w:rPr>
                <w:sz w:val="21"/>
                <w:szCs w:val="21"/>
              </w:rPr>
            </w:pPr>
            <w:r>
              <w:rPr>
                <w:color w:val="231F20"/>
                <w:sz w:val="21"/>
                <w:szCs w:val="21"/>
              </w:rPr>
              <w:t>20～30</w:t>
            </w:r>
          </w:p>
        </w:tc>
        <w:tc>
          <w:tcPr>
            <w:tcW w:w="3145" w:type="dxa"/>
            <w:vAlign w:val="center"/>
          </w:tcPr>
          <w:p w14:paraId="4C84F27A">
            <w:pPr>
              <w:pStyle w:val="19"/>
              <w:spacing w:before="109" w:line="225" w:lineRule="auto"/>
              <w:ind w:left="171" w:right="45" w:hanging="150"/>
              <w:jc w:val="center"/>
              <w:rPr>
                <w:sz w:val="21"/>
                <w:szCs w:val="21"/>
              </w:rPr>
            </w:pPr>
            <w:r>
              <w:rPr>
                <w:color w:val="231F20"/>
                <w:sz w:val="21"/>
                <w:szCs w:val="21"/>
              </w:rPr>
              <w:t>《保温装饰板外墙外保温系统材料》JG/T 287</w:t>
            </w:r>
          </w:p>
        </w:tc>
      </w:tr>
      <w:tr w14:paraId="5B24E38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78" w:hRule="atLeast"/>
        </w:trPr>
        <w:tc>
          <w:tcPr>
            <w:tcW w:w="2201" w:type="dxa"/>
          </w:tcPr>
          <w:p w14:paraId="5CDDE2F9">
            <w:pPr>
              <w:pStyle w:val="19"/>
              <w:spacing w:before="10"/>
              <w:rPr>
                <w:rFonts w:ascii="黑体"/>
                <w:sz w:val="21"/>
                <w:szCs w:val="21"/>
              </w:rPr>
            </w:pPr>
          </w:p>
          <w:p w14:paraId="74E1A4DA">
            <w:pPr>
              <w:pStyle w:val="19"/>
              <w:spacing w:before="1" w:line="186" w:lineRule="exact"/>
              <w:ind w:left="32" w:right="1"/>
              <w:jc w:val="center"/>
              <w:rPr>
                <w:sz w:val="21"/>
                <w:szCs w:val="21"/>
              </w:rPr>
            </w:pPr>
            <w:r>
              <w:rPr>
                <w:color w:val="231F20"/>
                <w:sz w:val="21"/>
                <w:szCs w:val="21"/>
              </w:rPr>
              <w:t>导热系数[W/（m•K）]</w:t>
            </w:r>
          </w:p>
          <w:p w14:paraId="120C224E">
            <w:pPr>
              <w:pStyle w:val="19"/>
              <w:spacing w:line="186" w:lineRule="exact"/>
              <w:ind w:left="32" w:right="1"/>
              <w:jc w:val="center"/>
              <w:rPr>
                <w:sz w:val="21"/>
                <w:szCs w:val="21"/>
              </w:rPr>
            </w:pPr>
            <w:r>
              <w:rPr>
                <w:color w:val="231F20"/>
                <w:sz w:val="21"/>
                <w:szCs w:val="21"/>
              </w:rPr>
              <w:t>（保温层）</w:t>
            </w:r>
          </w:p>
        </w:tc>
        <w:tc>
          <w:tcPr>
            <w:tcW w:w="2985" w:type="dxa"/>
            <w:gridSpan w:val="2"/>
          </w:tcPr>
          <w:p w14:paraId="05A9D1FC">
            <w:pPr>
              <w:pStyle w:val="19"/>
              <w:spacing w:before="7"/>
              <w:rPr>
                <w:rFonts w:ascii="黑体"/>
                <w:sz w:val="21"/>
                <w:szCs w:val="21"/>
              </w:rPr>
            </w:pPr>
          </w:p>
          <w:p w14:paraId="55634B03">
            <w:pPr>
              <w:pStyle w:val="19"/>
              <w:ind w:left="979" w:right="877"/>
              <w:jc w:val="center"/>
              <w:rPr>
                <w:sz w:val="21"/>
                <w:szCs w:val="21"/>
              </w:rPr>
            </w:pPr>
            <w:r>
              <w:rPr>
                <w:color w:val="231F20"/>
                <w:sz w:val="21"/>
                <w:szCs w:val="21"/>
              </w:rPr>
              <w:t>≤0.058</w:t>
            </w:r>
          </w:p>
        </w:tc>
        <w:tc>
          <w:tcPr>
            <w:tcW w:w="3145" w:type="dxa"/>
          </w:tcPr>
          <w:p w14:paraId="31876F87">
            <w:pPr>
              <w:pStyle w:val="19"/>
              <w:spacing w:before="81" w:line="225" w:lineRule="auto"/>
              <w:ind w:left="21" w:right="45"/>
              <w:jc w:val="center"/>
              <w:rPr>
                <w:sz w:val="21"/>
                <w:szCs w:val="21"/>
              </w:rPr>
            </w:pPr>
            <w:r>
              <w:rPr>
                <w:color w:val="231F20"/>
                <w:sz w:val="21"/>
                <w:szCs w:val="21"/>
              </w:rPr>
              <w:t>《绝热材料稳态热阻及有关特性的测定 防护热板法》GB/T 10294</w:t>
            </w:r>
          </w:p>
        </w:tc>
      </w:tr>
      <w:tr w14:paraId="68E54E4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20" w:hRule="atLeast"/>
        </w:trPr>
        <w:tc>
          <w:tcPr>
            <w:tcW w:w="2201" w:type="dxa"/>
          </w:tcPr>
          <w:p w14:paraId="749F7874">
            <w:pPr>
              <w:pStyle w:val="19"/>
              <w:rPr>
                <w:rFonts w:ascii="黑体"/>
                <w:sz w:val="21"/>
                <w:szCs w:val="21"/>
              </w:rPr>
            </w:pPr>
          </w:p>
          <w:p w14:paraId="75848E99">
            <w:pPr>
              <w:pStyle w:val="19"/>
              <w:ind w:left="72" w:right="1"/>
              <w:jc w:val="center"/>
              <w:rPr>
                <w:sz w:val="21"/>
                <w:szCs w:val="21"/>
              </w:rPr>
            </w:pPr>
            <w:r>
              <w:rPr>
                <w:color w:val="231F20"/>
                <w:sz w:val="21"/>
                <w:szCs w:val="21"/>
              </w:rPr>
              <w:t>抗冲击性（J）</w:t>
            </w:r>
          </w:p>
        </w:tc>
        <w:tc>
          <w:tcPr>
            <w:tcW w:w="2985" w:type="dxa"/>
            <w:gridSpan w:val="2"/>
          </w:tcPr>
          <w:p w14:paraId="1198FE4E">
            <w:pPr>
              <w:pStyle w:val="19"/>
              <w:spacing w:before="107" w:line="273" w:lineRule="auto"/>
              <w:ind w:right="32"/>
              <w:rPr>
                <w:sz w:val="21"/>
                <w:szCs w:val="21"/>
              </w:rPr>
            </w:pPr>
            <w:r>
              <w:rPr>
                <w:color w:val="231F20"/>
                <w:sz w:val="21"/>
                <w:szCs w:val="21"/>
              </w:rPr>
              <w:t>用于建筑物首层部位10J冲击合格，二层及以上部位3J冲击合格</w:t>
            </w:r>
          </w:p>
        </w:tc>
        <w:tc>
          <w:tcPr>
            <w:tcW w:w="3145" w:type="dxa"/>
          </w:tcPr>
          <w:p w14:paraId="237B3C8A">
            <w:pPr>
              <w:pStyle w:val="19"/>
              <w:spacing w:line="225" w:lineRule="auto"/>
              <w:ind w:right="45"/>
              <w:rPr>
                <w:sz w:val="21"/>
                <w:szCs w:val="21"/>
              </w:rPr>
            </w:pPr>
            <w:r>
              <w:rPr>
                <w:color w:val="231F20"/>
                <w:sz w:val="21"/>
                <w:szCs w:val="21"/>
              </w:rPr>
              <w:t>《保温装饰板外墙外保温系统材料》JG/T 287</w:t>
            </w:r>
          </w:p>
        </w:tc>
      </w:tr>
      <w:tr w14:paraId="5C58060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20" w:hRule="atLeast"/>
        </w:trPr>
        <w:tc>
          <w:tcPr>
            <w:tcW w:w="2201" w:type="dxa"/>
            <w:vAlign w:val="center"/>
          </w:tcPr>
          <w:p w14:paraId="46C66E40">
            <w:pPr>
              <w:pStyle w:val="19"/>
              <w:spacing w:before="3"/>
              <w:jc w:val="center"/>
              <w:rPr>
                <w:rFonts w:ascii="黑体"/>
                <w:sz w:val="21"/>
                <w:szCs w:val="21"/>
              </w:rPr>
            </w:pPr>
          </w:p>
          <w:p w14:paraId="43009293">
            <w:pPr>
              <w:pStyle w:val="19"/>
              <w:ind w:right="1"/>
              <w:jc w:val="center"/>
              <w:rPr>
                <w:sz w:val="21"/>
                <w:szCs w:val="21"/>
              </w:rPr>
            </w:pPr>
            <w:r>
              <w:rPr>
                <w:color w:val="231F20"/>
                <w:sz w:val="21"/>
                <w:szCs w:val="21"/>
              </w:rPr>
              <w:t>蓄热系数[W/（m²•K）]</w:t>
            </w:r>
          </w:p>
        </w:tc>
        <w:tc>
          <w:tcPr>
            <w:tcW w:w="2985" w:type="dxa"/>
            <w:gridSpan w:val="2"/>
            <w:vAlign w:val="center"/>
          </w:tcPr>
          <w:p w14:paraId="2C96FA5C">
            <w:pPr>
              <w:pStyle w:val="19"/>
              <w:spacing w:before="9"/>
              <w:jc w:val="center"/>
              <w:rPr>
                <w:rFonts w:ascii="黑体"/>
                <w:sz w:val="21"/>
                <w:szCs w:val="21"/>
              </w:rPr>
            </w:pPr>
          </w:p>
          <w:p w14:paraId="49452583">
            <w:pPr>
              <w:pStyle w:val="19"/>
              <w:ind w:left="979" w:right="877"/>
              <w:jc w:val="center"/>
              <w:rPr>
                <w:sz w:val="21"/>
                <w:szCs w:val="21"/>
              </w:rPr>
            </w:pPr>
            <w:r>
              <w:rPr>
                <w:color w:val="231F20"/>
                <w:sz w:val="21"/>
                <w:szCs w:val="21"/>
              </w:rPr>
              <w:t>1.20</w:t>
            </w:r>
          </w:p>
        </w:tc>
        <w:tc>
          <w:tcPr>
            <w:tcW w:w="3145" w:type="dxa"/>
            <w:vAlign w:val="center"/>
          </w:tcPr>
          <w:p w14:paraId="4429DDC5">
            <w:pPr>
              <w:pStyle w:val="19"/>
              <w:spacing w:line="225" w:lineRule="auto"/>
              <w:ind w:right="120"/>
              <w:jc w:val="center"/>
              <w:rPr>
                <w:sz w:val="21"/>
                <w:szCs w:val="21"/>
              </w:rPr>
            </w:pPr>
            <w:r>
              <w:rPr>
                <w:color w:val="231F20"/>
                <w:sz w:val="21"/>
                <w:szCs w:val="21"/>
              </w:rPr>
              <w:t>《膨胀玻化微珠轻质砂浆》JG/T 283</w:t>
            </w:r>
          </w:p>
        </w:tc>
      </w:tr>
      <w:tr w14:paraId="18AB722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20" w:hRule="atLeast"/>
        </w:trPr>
        <w:tc>
          <w:tcPr>
            <w:tcW w:w="2201" w:type="dxa"/>
            <w:vAlign w:val="center"/>
          </w:tcPr>
          <w:p w14:paraId="69AAE952">
            <w:pPr>
              <w:pStyle w:val="19"/>
              <w:ind w:right="1"/>
              <w:jc w:val="center"/>
              <w:rPr>
                <w:sz w:val="21"/>
                <w:szCs w:val="21"/>
              </w:rPr>
            </w:pPr>
            <w:r>
              <w:rPr>
                <w:color w:val="231F20"/>
                <w:sz w:val="21"/>
                <w:szCs w:val="21"/>
              </w:rPr>
              <w:t>抗弯荷载（N）</w:t>
            </w:r>
          </w:p>
        </w:tc>
        <w:tc>
          <w:tcPr>
            <w:tcW w:w="2985" w:type="dxa"/>
            <w:gridSpan w:val="2"/>
            <w:vAlign w:val="center"/>
          </w:tcPr>
          <w:p w14:paraId="7EFD9256">
            <w:pPr>
              <w:pStyle w:val="19"/>
              <w:jc w:val="center"/>
              <w:rPr>
                <w:sz w:val="21"/>
                <w:szCs w:val="21"/>
              </w:rPr>
            </w:pPr>
            <w:r>
              <w:rPr>
                <w:color w:val="231F20"/>
                <w:sz w:val="21"/>
                <w:szCs w:val="21"/>
              </w:rPr>
              <w:t>不小于板材自重</w:t>
            </w:r>
          </w:p>
        </w:tc>
        <w:tc>
          <w:tcPr>
            <w:tcW w:w="3145" w:type="dxa"/>
            <w:vAlign w:val="center"/>
          </w:tcPr>
          <w:p w14:paraId="307101DF">
            <w:pPr>
              <w:pStyle w:val="19"/>
              <w:spacing w:line="225" w:lineRule="auto"/>
              <w:ind w:right="24"/>
              <w:jc w:val="center"/>
              <w:rPr>
                <w:sz w:val="21"/>
                <w:szCs w:val="21"/>
              </w:rPr>
            </w:pPr>
            <w:r>
              <w:rPr>
                <w:color w:val="231F20"/>
                <w:sz w:val="21"/>
                <w:szCs w:val="21"/>
              </w:rPr>
              <w:t>《保温装饰板外墙外保温系统材料》JG/T 287</w:t>
            </w:r>
          </w:p>
        </w:tc>
      </w:tr>
      <w:tr w14:paraId="3D1BCDF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20" w:hRule="atLeast"/>
        </w:trPr>
        <w:tc>
          <w:tcPr>
            <w:tcW w:w="2201" w:type="dxa"/>
            <w:vAlign w:val="center"/>
          </w:tcPr>
          <w:p w14:paraId="692426C9">
            <w:pPr>
              <w:pStyle w:val="19"/>
              <w:ind w:right="1"/>
              <w:jc w:val="center"/>
              <w:rPr>
                <w:sz w:val="21"/>
                <w:szCs w:val="21"/>
              </w:rPr>
            </w:pPr>
            <w:r>
              <w:rPr>
                <w:color w:val="231F20"/>
                <w:sz w:val="21"/>
                <w:szCs w:val="21"/>
              </w:rPr>
              <w:t>吸水量（g/m²）</w:t>
            </w:r>
          </w:p>
        </w:tc>
        <w:tc>
          <w:tcPr>
            <w:tcW w:w="2985" w:type="dxa"/>
            <w:gridSpan w:val="2"/>
            <w:vAlign w:val="center"/>
          </w:tcPr>
          <w:p w14:paraId="46BB1EEB">
            <w:pPr>
              <w:pStyle w:val="19"/>
              <w:ind w:right="877"/>
              <w:jc w:val="center"/>
              <w:rPr>
                <w:sz w:val="21"/>
                <w:szCs w:val="21"/>
              </w:rPr>
            </w:pPr>
            <w:r>
              <w:rPr>
                <w:color w:val="231F20"/>
                <w:sz w:val="21"/>
                <w:szCs w:val="21"/>
              </w:rPr>
              <w:t>≤500</w:t>
            </w:r>
          </w:p>
        </w:tc>
        <w:tc>
          <w:tcPr>
            <w:tcW w:w="3145" w:type="dxa"/>
            <w:vAlign w:val="center"/>
          </w:tcPr>
          <w:p w14:paraId="33D6AACD">
            <w:pPr>
              <w:pStyle w:val="19"/>
              <w:spacing w:line="225" w:lineRule="auto"/>
              <w:ind w:right="45"/>
              <w:jc w:val="center"/>
              <w:rPr>
                <w:sz w:val="21"/>
                <w:szCs w:val="21"/>
              </w:rPr>
            </w:pPr>
            <w:r>
              <w:rPr>
                <w:color w:val="231F20"/>
                <w:sz w:val="21"/>
                <w:szCs w:val="21"/>
              </w:rPr>
              <w:t>《保温装饰板外墙外保温系统材料》JG/T 287</w:t>
            </w:r>
          </w:p>
        </w:tc>
      </w:tr>
      <w:tr w14:paraId="705D9C2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20" w:hRule="atLeast"/>
        </w:trPr>
        <w:tc>
          <w:tcPr>
            <w:tcW w:w="2201" w:type="dxa"/>
            <w:vAlign w:val="center"/>
          </w:tcPr>
          <w:p w14:paraId="043185B6">
            <w:pPr>
              <w:pStyle w:val="19"/>
              <w:spacing w:before="1"/>
              <w:ind w:right="1"/>
              <w:jc w:val="center"/>
              <w:rPr>
                <w:sz w:val="21"/>
                <w:szCs w:val="21"/>
              </w:rPr>
            </w:pPr>
            <w:r>
              <w:rPr>
                <w:color w:val="231F20"/>
                <w:sz w:val="21"/>
                <w:szCs w:val="21"/>
              </w:rPr>
              <w:t>不透水性</w:t>
            </w:r>
          </w:p>
        </w:tc>
        <w:tc>
          <w:tcPr>
            <w:tcW w:w="2985" w:type="dxa"/>
            <w:gridSpan w:val="2"/>
            <w:vAlign w:val="center"/>
          </w:tcPr>
          <w:p w14:paraId="4ED920C1">
            <w:pPr>
              <w:pStyle w:val="19"/>
              <w:jc w:val="center"/>
              <w:rPr>
                <w:sz w:val="21"/>
                <w:szCs w:val="21"/>
              </w:rPr>
            </w:pPr>
            <w:r>
              <w:rPr>
                <w:color w:val="231F20"/>
                <w:sz w:val="21"/>
                <w:szCs w:val="21"/>
              </w:rPr>
              <w:t>系统内侧未渗透</w:t>
            </w:r>
          </w:p>
        </w:tc>
        <w:tc>
          <w:tcPr>
            <w:tcW w:w="3145" w:type="dxa"/>
            <w:vAlign w:val="center"/>
          </w:tcPr>
          <w:p w14:paraId="2BA459EF">
            <w:pPr>
              <w:pStyle w:val="19"/>
              <w:spacing w:line="225" w:lineRule="auto"/>
              <w:ind w:right="45"/>
              <w:jc w:val="center"/>
              <w:rPr>
                <w:sz w:val="21"/>
                <w:szCs w:val="21"/>
              </w:rPr>
            </w:pPr>
            <w:r>
              <w:rPr>
                <w:color w:val="231F20"/>
                <w:sz w:val="21"/>
                <w:szCs w:val="21"/>
              </w:rPr>
              <w:t>《保温装饰板外墙外保温系统材料》JG/T 287</w:t>
            </w:r>
          </w:p>
        </w:tc>
      </w:tr>
      <w:tr w14:paraId="30D72B2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20" w:hRule="atLeast"/>
        </w:trPr>
        <w:tc>
          <w:tcPr>
            <w:tcW w:w="2201" w:type="dxa"/>
            <w:vAlign w:val="center"/>
          </w:tcPr>
          <w:p w14:paraId="74D8A205">
            <w:pPr>
              <w:pStyle w:val="19"/>
              <w:ind w:right="1"/>
              <w:jc w:val="center"/>
              <w:rPr>
                <w:sz w:val="21"/>
                <w:szCs w:val="21"/>
              </w:rPr>
            </w:pPr>
            <w:r>
              <w:rPr>
                <w:color w:val="231F20"/>
                <w:sz w:val="21"/>
                <w:szCs w:val="21"/>
              </w:rPr>
              <w:t>燃烧性能</w:t>
            </w:r>
          </w:p>
        </w:tc>
        <w:tc>
          <w:tcPr>
            <w:tcW w:w="2985" w:type="dxa"/>
            <w:gridSpan w:val="2"/>
            <w:vAlign w:val="center"/>
          </w:tcPr>
          <w:p w14:paraId="299F83CD">
            <w:pPr>
              <w:pStyle w:val="19"/>
              <w:ind w:right="877"/>
              <w:jc w:val="center"/>
              <w:rPr>
                <w:sz w:val="21"/>
                <w:szCs w:val="21"/>
              </w:rPr>
            </w:pPr>
            <w:r>
              <w:rPr>
                <w:color w:val="231F20"/>
                <w:sz w:val="21"/>
                <w:szCs w:val="21"/>
              </w:rPr>
              <w:t>A(A1级)</w:t>
            </w:r>
          </w:p>
        </w:tc>
        <w:tc>
          <w:tcPr>
            <w:tcW w:w="3145" w:type="dxa"/>
            <w:vAlign w:val="center"/>
          </w:tcPr>
          <w:p w14:paraId="32D293B2">
            <w:pPr>
              <w:pStyle w:val="19"/>
              <w:spacing w:line="225" w:lineRule="auto"/>
              <w:ind w:right="45"/>
              <w:jc w:val="center"/>
              <w:rPr>
                <w:sz w:val="21"/>
                <w:szCs w:val="21"/>
              </w:rPr>
            </w:pPr>
            <w:r>
              <w:rPr>
                <w:rFonts w:hint="eastAsia"/>
                <w:color w:val="231F20"/>
                <w:sz w:val="21"/>
                <w:szCs w:val="21"/>
                <w:lang w:eastAsia="zh-CN"/>
              </w:rPr>
              <w:t>《</w:t>
            </w:r>
            <w:r>
              <w:rPr>
                <w:color w:val="231F20"/>
                <w:sz w:val="21"/>
                <w:szCs w:val="21"/>
              </w:rPr>
              <w:t>建筑材料及制品燃烧性能分级》GB 8624</w:t>
            </w:r>
          </w:p>
        </w:tc>
      </w:tr>
    </w:tbl>
    <w:p w14:paraId="2FBB73CB">
      <w:pPr>
        <w:spacing w:before="58" w:after="56"/>
        <w:ind w:left="114" w:right="0" w:firstLine="0"/>
        <w:jc w:val="center"/>
        <w:rPr>
          <w:rFonts w:hint="eastAsia"/>
          <w:b/>
          <w:bCs/>
          <w:sz w:val="21"/>
          <w:szCs w:val="21"/>
          <w:lang w:val="en-US" w:eastAsia="zh-CN"/>
        </w:rPr>
      </w:pPr>
      <w:r>
        <w:rPr>
          <w:rFonts w:hint="eastAsia"/>
          <w:b/>
          <w:bCs/>
          <w:sz w:val="21"/>
          <w:szCs w:val="21"/>
          <w:lang w:val="en-US" w:eastAsia="zh-CN"/>
        </w:rPr>
        <w:t>表5.2.2-3 改性玻化微珠保温装饰板装饰面性能指标</w:t>
      </w:r>
    </w:p>
    <w:p w14:paraId="341A6BCF">
      <w:pPr>
        <w:pStyle w:val="5"/>
        <w:spacing w:before="11"/>
        <w:rPr>
          <w:rFonts w:ascii="黑体"/>
          <w:sz w:val="7"/>
        </w:rPr>
      </w:pPr>
    </w:p>
    <w:tbl>
      <w:tblPr>
        <w:tblStyle w:val="11"/>
        <w:tblW w:w="8773"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531"/>
        <w:gridCol w:w="1732"/>
        <w:gridCol w:w="4510"/>
      </w:tblGrid>
      <w:tr w14:paraId="2481C13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60" w:hRule="atLeast"/>
          <w:jc w:val="center"/>
        </w:trPr>
        <w:tc>
          <w:tcPr>
            <w:tcW w:w="2531" w:type="dxa"/>
          </w:tcPr>
          <w:p w14:paraId="31378161">
            <w:pPr>
              <w:pStyle w:val="19"/>
              <w:spacing w:before="32"/>
              <w:ind w:left="107" w:right="75"/>
              <w:jc w:val="center"/>
              <w:rPr>
                <w:sz w:val="21"/>
                <w:szCs w:val="21"/>
              </w:rPr>
            </w:pPr>
            <w:r>
              <w:rPr>
                <w:color w:val="231F20"/>
                <w:sz w:val="21"/>
                <w:szCs w:val="21"/>
              </w:rPr>
              <w:t>项目</w:t>
            </w:r>
          </w:p>
        </w:tc>
        <w:tc>
          <w:tcPr>
            <w:tcW w:w="1732" w:type="dxa"/>
          </w:tcPr>
          <w:p w14:paraId="61A82030">
            <w:pPr>
              <w:pStyle w:val="19"/>
              <w:spacing w:before="32"/>
              <w:ind w:right="449"/>
              <w:jc w:val="center"/>
              <w:rPr>
                <w:sz w:val="21"/>
                <w:szCs w:val="21"/>
              </w:rPr>
            </w:pPr>
            <w:r>
              <w:rPr>
                <w:color w:val="231F20"/>
                <w:sz w:val="21"/>
                <w:szCs w:val="21"/>
              </w:rPr>
              <w:t>允许偏差</w:t>
            </w:r>
          </w:p>
        </w:tc>
        <w:tc>
          <w:tcPr>
            <w:tcW w:w="4510" w:type="dxa"/>
          </w:tcPr>
          <w:p w14:paraId="35AB3981">
            <w:pPr>
              <w:pStyle w:val="19"/>
              <w:spacing w:before="32"/>
              <w:ind w:left="93" w:right="79"/>
              <w:jc w:val="center"/>
              <w:rPr>
                <w:sz w:val="21"/>
                <w:szCs w:val="21"/>
              </w:rPr>
            </w:pPr>
            <w:r>
              <w:rPr>
                <w:color w:val="231F20"/>
                <w:sz w:val="21"/>
                <w:szCs w:val="21"/>
              </w:rPr>
              <w:t>试验方法</w:t>
            </w:r>
          </w:p>
        </w:tc>
      </w:tr>
      <w:tr w14:paraId="6ABC003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49" w:hRule="atLeast"/>
          <w:jc w:val="center"/>
        </w:trPr>
        <w:tc>
          <w:tcPr>
            <w:tcW w:w="2531" w:type="dxa"/>
          </w:tcPr>
          <w:p w14:paraId="34CA3520">
            <w:pPr>
              <w:pStyle w:val="19"/>
              <w:ind w:left="107" w:right="75"/>
              <w:jc w:val="center"/>
              <w:rPr>
                <w:sz w:val="21"/>
                <w:szCs w:val="21"/>
              </w:rPr>
            </w:pPr>
            <w:r>
              <w:rPr>
                <w:color w:val="231F20"/>
                <w:sz w:val="21"/>
                <w:szCs w:val="21"/>
              </w:rPr>
              <w:t>装饰面耐酸性（48h）</w:t>
            </w:r>
          </w:p>
        </w:tc>
        <w:tc>
          <w:tcPr>
            <w:tcW w:w="1732" w:type="dxa"/>
          </w:tcPr>
          <w:p w14:paraId="4B1DDBD7">
            <w:pPr>
              <w:pStyle w:val="19"/>
              <w:ind w:left="434" w:right="449"/>
              <w:jc w:val="center"/>
              <w:rPr>
                <w:sz w:val="21"/>
                <w:szCs w:val="21"/>
              </w:rPr>
            </w:pPr>
            <w:r>
              <w:rPr>
                <w:color w:val="231F20"/>
                <w:sz w:val="21"/>
                <w:szCs w:val="21"/>
              </w:rPr>
              <w:t>无异常</w:t>
            </w:r>
          </w:p>
        </w:tc>
        <w:tc>
          <w:tcPr>
            <w:tcW w:w="4510" w:type="dxa"/>
          </w:tcPr>
          <w:p w14:paraId="1F38041B">
            <w:pPr>
              <w:pStyle w:val="19"/>
              <w:spacing w:before="70" w:line="225" w:lineRule="auto"/>
              <w:ind w:left="957" w:right="117" w:hanging="825"/>
              <w:rPr>
                <w:sz w:val="21"/>
                <w:szCs w:val="21"/>
              </w:rPr>
            </w:pPr>
            <w:r>
              <w:rPr>
                <w:color w:val="231F20"/>
                <w:sz w:val="21"/>
                <w:szCs w:val="21"/>
              </w:rPr>
              <w:t>《色漆和清漆 耐液体介质的测定》GB/T 9274</w:t>
            </w:r>
          </w:p>
        </w:tc>
      </w:tr>
      <w:tr w14:paraId="513F715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42" w:hRule="atLeast"/>
          <w:jc w:val="center"/>
        </w:trPr>
        <w:tc>
          <w:tcPr>
            <w:tcW w:w="2531" w:type="dxa"/>
          </w:tcPr>
          <w:p w14:paraId="62AC0C5D">
            <w:pPr>
              <w:pStyle w:val="19"/>
              <w:ind w:left="107" w:right="75"/>
              <w:jc w:val="center"/>
              <w:rPr>
                <w:sz w:val="21"/>
                <w:szCs w:val="21"/>
              </w:rPr>
            </w:pPr>
            <w:r>
              <w:rPr>
                <w:color w:val="231F20"/>
                <w:sz w:val="21"/>
                <w:szCs w:val="21"/>
              </w:rPr>
              <w:t>装饰面耐碱性（96h）</w:t>
            </w:r>
          </w:p>
        </w:tc>
        <w:tc>
          <w:tcPr>
            <w:tcW w:w="1732" w:type="dxa"/>
          </w:tcPr>
          <w:p w14:paraId="00552105">
            <w:pPr>
              <w:pStyle w:val="19"/>
              <w:ind w:left="434" w:right="449"/>
              <w:jc w:val="center"/>
              <w:rPr>
                <w:sz w:val="21"/>
                <w:szCs w:val="21"/>
              </w:rPr>
            </w:pPr>
            <w:r>
              <w:rPr>
                <w:color w:val="231F20"/>
                <w:sz w:val="21"/>
                <w:szCs w:val="21"/>
              </w:rPr>
              <w:t>无异常</w:t>
            </w:r>
          </w:p>
        </w:tc>
        <w:tc>
          <w:tcPr>
            <w:tcW w:w="4510" w:type="dxa"/>
          </w:tcPr>
          <w:p w14:paraId="01CF49DA">
            <w:pPr>
              <w:pStyle w:val="19"/>
              <w:spacing w:before="64" w:line="225" w:lineRule="auto"/>
              <w:ind w:left="957" w:right="192" w:hanging="750"/>
              <w:rPr>
                <w:sz w:val="21"/>
                <w:szCs w:val="21"/>
              </w:rPr>
            </w:pPr>
            <w:r>
              <w:rPr>
                <w:color w:val="231F20"/>
                <w:sz w:val="21"/>
                <w:szCs w:val="21"/>
              </w:rPr>
              <w:t>《建筑涂料 涂层耐碱性的测定》GB/T 9265</w:t>
            </w:r>
          </w:p>
        </w:tc>
      </w:tr>
      <w:tr w14:paraId="7EEB0F0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66" w:hRule="atLeast"/>
          <w:jc w:val="center"/>
        </w:trPr>
        <w:tc>
          <w:tcPr>
            <w:tcW w:w="2531" w:type="dxa"/>
          </w:tcPr>
          <w:p w14:paraId="7C7622CE">
            <w:pPr>
              <w:pStyle w:val="19"/>
              <w:ind w:left="107" w:right="75"/>
              <w:jc w:val="center"/>
              <w:rPr>
                <w:sz w:val="21"/>
                <w:szCs w:val="21"/>
              </w:rPr>
            </w:pPr>
            <w:r>
              <w:rPr>
                <w:color w:val="231F20"/>
                <w:sz w:val="21"/>
                <w:szCs w:val="21"/>
              </w:rPr>
              <w:t>装饰面耐盐雾（500h）</w:t>
            </w:r>
          </w:p>
        </w:tc>
        <w:tc>
          <w:tcPr>
            <w:tcW w:w="1732" w:type="dxa"/>
          </w:tcPr>
          <w:p w14:paraId="34198CD4">
            <w:pPr>
              <w:pStyle w:val="19"/>
              <w:ind w:left="434" w:right="449"/>
              <w:jc w:val="center"/>
              <w:rPr>
                <w:sz w:val="21"/>
                <w:szCs w:val="21"/>
              </w:rPr>
            </w:pPr>
            <w:r>
              <w:rPr>
                <w:color w:val="231F20"/>
                <w:sz w:val="21"/>
                <w:szCs w:val="21"/>
              </w:rPr>
              <w:t>无损伤</w:t>
            </w:r>
          </w:p>
        </w:tc>
        <w:tc>
          <w:tcPr>
            <w:tcW w:w="4510" w:type="dxa"/>
          </w:tcPr>
          <w:p w14:paraId="4A40EBAB">
            <w:pPr>
              <w:pStyle w:val="19"/>
              <w:spacing w:before="73" w:line="225" w:lineRule="auto"/>
              <w:ind w:left="957" w:right="-44" w:hanging="975"/>
              <w:rPr>
                <w:sz w:val="21"/>
                <w:szCs w:val="21"/>
              </w:rPr>
            </w:pPr>
            <w:r>
              <w:rPr>
                <w:color w:val="231F20"/>
                <w:sz w:val="21"/>
                <w:szCs w:val="21"/>
              </w:rPr>
              <w:t>《色漆和清漆 耐中性盐雾性能的测定》GB/T 1771</w:t>
            </w:r>
          </w:p>
        </w:tc>
      </w:tr>
      <w:tr w14:paraId="56786BD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891" w:hRule="atLeast"/>
          <w:jc w:val="center"/>
        </w:trPr>
        <w:tc>
          <w:tcPr>
            <w:tcW w:w="2531" w:type="dxa"/>
          </w:tcPr>
          <w:p w14:paraId="28BE72C8">
            <w:pPr>
              <w:pStyle w:val="19"/>
              <w:spacing w:before="11"/>
              <w:rPr>
                <w:rFonts w:ascii="黑体"/>
                <w:sz w:val="21"/>
                <w:szCs w:val="21"/>
              </w:rPr>
            </w:pPr>
          </w:p>
          <w:p w14:paraId="6FE4EC49">
            <w:pPr>
              <w:pStyle w:val="19"/>
              <w:ind w:left="107" w:right="75"/>
              <w:jc w:val="center"/>
              <w:rPr>
                <w:sz w:val="21"/>
                <w:szCs w:val="21"/>
              </w:rPr>
            </w:pPr>
            <w:r>
              <w:rPr>
                <w:color w:val="231F20"/>
                <w:sz w:val="21"/>
                <w:szCs w:val="21"/>
              </w:rPr>
              <w:t>装饰面耐老化（1000h）</w:t>
            </w:r>
          </w:p>
        </w:tc>
        <w:tc>
          <w:tcPr>
            <w:tcW w:w="1732" w:type="dxa"/>
          </w:tcPr>
          <w:p w14:paraId="577FE14E">
            <w:pPr>
              <w:pStyle w:val="19"/>
              <w:spacing w:before="11"/>
              <w:rPr>
                <w:rFonts w:ascii="黑体"/>
                <w:sz w:val="21"/>
                <w:szCs w:val="21"/>
              </w:rPr>
            </w:pPr>
          </w:p>
          <w:p w14:paraId="7B84E2AD">
            <w:pPr>
              <w:pStyle w:val="19"/>
              <w:ind w:left="434" w:right="449"/>
              <w:jc w:val="center"/>
              <w:rPr>
                <w:sz w:val="21"/>
                <w:szCs w:val="21"/>
              </w:rPr>
            </w:pPr>
            <w:r>
              <w:rPr>
                <w:color w:val="231F20"/>
                <w:sz w:val="21"/>
                <w:szCs w:val="21"/>
              </w:rPr>
              <w:t>合格</w:t>
            </w:r>
          </w:p>
        </w:tc>
        <w:tc>
          <w:tcPr>
            <w:tcW w:w="4510" w:type="dxa"/>
          </w:tcPr>
          <w:p w14:paraId="4C4266A6">
            <w:pPr>
              <w:pStyle w:val="19"/>
              <w:spacing w:before="98" w:line="225" w:lineRule="auto"/>
              <w:ind w:left="95" w:right="79"/>
              <w:jc w:val="center"/>
              <w:rPr>
                <w:sz w:val="21"/>
                <w:szCs w:val="21"/>
              </w:rPr>
            </w:pPr>
            <w:r>
              <w:rPr>
                <w:color w:val="231F20"/>
                <w:sz w:val="21"/>
                <w:szCs w:val="21"/>
              </w:rPr>
              <w:t>《色漆和清漆 人工气候老化和人工辐射曝露滤过的氙弧辐射 标准》GB/T 1865，《色漆和清漆 涂层老化的评级方法》GB/T 1766</w:t>
            </w:r>
          </w:p>
        </w:tc>
      </w:tr>
      <w:tr w14:paraId="60EA0E2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64" w:hRule="atLeast"/>
          <w:jc w:val="center"/>
        </w:trPr>
        <w:tc>
          <w:tcPr>
            <w:tcW w:w="2531" w:type="dxa"/>
          </w:tcPr>
          <w:p w14:paraId="2733717F">
            <w:pPr>
              <w:pStyle w:val="19"/>
              <w:ind w:left="107" w:right="75"/>
              <w:jc w:val="center"/>
              <w:rPr>
                <w:sz w:val="21"/>
                <w:szCs w:val="21"/>
              </w:rPr>
            </w:pPr>
            <w:r>
              <w:rPr>
                <w:color w:val="231F20"/>
                <w:sz w:val="21"/>
                <w:szCs w:val="21"/>
              </w:rPr>
              <w:t>耐沾污性（%）</w:t>
            </w:r>
          </w:p>
        </w:tc>
        <w:tc>
          <w:tcPr>
            <w:tcW w:w="1732" w:type="dxa"/>
          </w:tcPr>
          <w:p w14:paraId="2ED2F3A4">
            <w:pPr>
              <w:pStyle w:val="19"/>
              <w:ind w:left="434" w:right="449"/>
              <w:jc w:val="center"/>
              <w:rPr>
                <w:sz w:val="21"/>
                <w:szCs w:val="21"/>
              </w:rPr>
            </w:pPr>
            <w:r>
              <w:rPr>
                <w:color w:val="231F20"/>
                <w:sz w:val="21"/>
                <w:szCs w:val="21"/>
              </w:rPr>
              <w:t>≤10</w:t>
            </w:r>
          </w:p>
        </w:tc>
        <w:tc>
          <w:tcPr>
            <w:tcW w:w="4510" w:type="dxa"/>
          </w:tcPr>
          <w:p w14:paraId="178F72A1">
            <w:pPr>
              <w:pStyle w:val="19"/>
              <w:spacing w:before="49" w:line="225" w:lineRule="auto"/>
              <w:ind w:left="957" w:right="79" w:hanging="863"/>
              <w:rPr>
                <w:sz w:val="21"/>
                <w:szCs w:val="21"/>
              </w:rPr>
            </w:pPr>
            <w:r>
              <w:rPr>
                <w:color w:val="231F20"/>
                <w:sz w:val="21"/>
                <w:szCs w:val="21"/>
              </w:rPr>
              <w:t>《建筑涂料涂层耐沾污性试验方法》GB/T 9780</w:t>
            </w:r>
          </w:p>
        </w:tc>
      </w:tr>
      <w:tr w14:paraId="588D638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49" w:hRule="atLeast"/>
          <w:jc w:val="center"/>
        </w:trPr>
        <w:tc>
          <w:tcPr>
            <w:tcW w:w="2531" w:type="dxa"/>
          </w:tcPr>
          <w:p w14:paraId="2169334D">
            <w:pPr>
              <w:pStyle w:val="19"/>
              <w:ind w:left="107" w:right="75"/>
              <w:jc w:val="center"/>
              <w:rPr>
                <w:sz w:val="21"/>
                <w:szCs w:val="21"/>
              </w:rPr>
            </w:pPr>
            <w:r>
              <w:rPr>
                <w:color w:val="231F20"/>
                <w:sz w:val="21"/>
                <w:szCs w:val="21"/>
              </w:rPr>
              <w:t>附着力（级）</w:t>
            </w:r>
          </w:p>
        </w:tc>
        <w:tc>
          <w:tcPr>
            <w:tcW w:w="1732" w:type="dxa"/>
          </w:tcPr>
          <w:p w14:paraId="6074449E">
            <w:pPr>
              <w:pStyle w:val="19"/>
              <w:ind w:left="434" w:right="449"/>
              <w:jc w:val="center"/>
              <w:rPr>
                <w:sz w:val="21"/>
                <w:szCs w:val="21"/>
              </w:rPr>
            </w:pPr>
            <w:r>
              <w:rPr>
                <w:color w:val="231F20"/>
                <w:sz w:val="21"/>
                <w:szCs w:val="21"/>
              </w:rPr>
              <w:t>≤1</w:t>
            </w:r>
          </w:p>
        </w:tc>
        <w:tc>
          <w:tcPr>
            <w:tcW w:w="4510" w:type="dxa"/>
          </w:tcPr>
          <w:p w14:paraId="1AADB1CF">
            <w:pPr>
              <w:pStyle w:val="19"/>
              <w:spacing w:before="71" w:line="225" w:lineRule="auto"/>
              <w:ind w:left="957" w:right="192" w:hanging="750"/>
              <w:rPr>
                <w:sz w:val="21"/>
                <w:szCs w:val="21"/>
              </w:rPr>
            </w:pPr>
            <w:r>
              <w:rPr>
                <w:color w:val="231F20"/>
                <w:sz w:val="21"/>
                <w:szCs w:val="21"/>
              </w:rPr>
              <w:t>《色漆和清漆 漆膜的划格试验》GB/T 9286</w:t>
            </w:r>
          </w:p>
        </w:tc>
      </w:tr>
      <w:tr w14:paraId="45FAEE6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5" w:hRule="atLeast"/>
          <w:jc w:val="center"/>
        </w:trPr>
        <w:tc>
          <w:tcPr>
            <w:tcW w:w="8773" w:type="dxa"/>
            <w:gridSpan w:val="3"/>
          </w:tcPr>
          <w:p w14:paraId="3052CD20">
            <w:pPr>
              <w:pStyle w:val="19"/>
              <w:spacing w:before="68"/>
              <w:ind w:left="129"/>
              <w:rPr>
                <w:sz w:val="21"/>
                <w:szCs w:val="21"/>
              </w:rPr>
            </w:pPr>
            <w:r>
              <w:rPr>
                <w:color w:val="231F20"/>
                <w:sz w:val="21"/>
                <w:szCs w:val="21"/>
              </w:rPr>
              <w:t>注：耐沾污性、附着力仅限平涂饰面。</w:t>
            </w:r>
          </w:p>
        </w:tc>
      </w:tr>
    </w:tbl>
    <w:p w14:paraId="6D4AE269">
      <w:pPr>
        <w:pStyle w:val="5"/>
        <w:spacing w:before="14" w:line="278" w:lineRule="auto"/>
        <w:ind w:right="151"/>
        <w:jc w:val="both"/>
        <w:rPr>
          <w:rFonts w:hint="eastAsia"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5.2.2</w:t>
      </w:r>
      <w:r>
        <w:rPr>
          <w:rFonts w:hint="eastAsia" w:cs="Times New Roman"/>
          <w:color w:val="0000FF"/>
          <w:kern w:val="2"/>
          <w:sz w:val="24"/>
          <w:szCs w:val="24"/>
          <w:lang w:val="en-US" w:eastAsia="zh-CN" w:bidi="ar-SA"/>
        </w:rPr>
        <w:t>改性</w:t>
      </w:r>
      <w:r>
        <w:rPr>
          <w:rFonts w:hint="eastAsia" w:ascii="宋体" w:hAnsi="宋体" w:eastAsia="宋体" w:cs="Times New Roman"/>
          <w:color w:val="0000FF"/>
          <w:kern w:val="2"/>
          <w:sz w:val="24"/>
          <w:szCs w:val="24"/>
          <w:lang w:val="en-US" w:eastAsia="zh-CN" w:bidi="ar-SA"/>
        </w:rPr>
        <w:t>玻化微珠保温装饰板按单位面积质量的不同分为I型和II型，I型单位面积质量应小于20kg/m²，II型单位面积质量为20kg/m²～30kg/m²。</w:t>
      </w:r>
    </w:p>
    <w:p w14:paraId="6F9448B5">
      <w:pPr>
        <w:pStyle w:val="5"/>
        <w:spacing w:before="14" w:line="278" w:lineRule="auto"/>
        <w:ind w:right="151" w:firstLine="480" w:firstLineChars="200"/>
        <w:jc w:val="both"/>
        <w:rPr>
          <w:rFonts w:hint="eastAsia" w:ascii="宋体" w:hAnsi="宋体" w:eastAsia="宋体" w:cs="Times New Roman"/>
          <w:color w:val="0000FF"/>
          <w:kern w:val="2"/>
          <w:sz w:val="24"/>
          <w:szCs w:val="24"/>
          <w:lang w:val="en-US" w:eastAsia="zh-CN" w:bidi="ar-SA"/>
        </w:rPr>
      </w:pPr>
      <w:r>
        <w:rPr>
          <w:rFonts w:hint="eastAsia" w:cs="Times New Roman"/>
          <w:color w:val="0000FF"/>
          <w:kern w:val="2"/>
          <w:sz w:val="24"/>
          <w:szCs w:val="24"/>
          <w:lang w:val="en-US" w:eastAsia="zh-CN" w:bidi="ar-SA"/>
        </w:rPr>
        <w:t>改性</w:t>
      </w:r>
      <w:r>
        <w:rPr>
          <w:rFonts w:hint="eastAsia" w:ascii="宋体" w:hAnsi="宋体" w:eastAsia="宋体" w:cs="Times New Roman"/>
          <w:color w:val="0000FF"/>
          <w:kern w:val="2"/>
          <w:sz w:val="24"/>
          <w:szCs w:val="24"/>
          <w:lang w:val="en-US" w:eastAsia="zh-CN" w:bidi="ar-SA"/>
        </w:rPr>
        <w:t>玻化微珠保温装饰板保温层厚度一般为25mm～100mm。其常用规格尺寸为900mm×600mm</w:t>
      </w:r>
      <w:r>
        <w:rPr>
          <w:rFonts w:hint="eastAsia" w:cs="Times New Roman"/>
          <w:color w:val="0000FF"/>
          <w:kern w:val="2"/>
          <w:sz w:val="24"/>
          <w:szCs w:val="24"/>
          <w:lang w:val="en-US" w:eastAsia="zh-CN" w:bidi="ar-SA"/>
        </w:rPr>
        <w:t>、</w:t>
      </w:r>
      <w:r>
        <w:rPr>
          <w:rFonts w:hint="eastAsia" w:ascii="宋体" w:hAnsi="宋体" w:eastAsia="宋体" w:cs="Times New Roman"/>
          <w:color w:val="0000FF"/>
          <w:kern w:val="2"/>
          <w:sz w:val="24"/>
          <w:szCs w:val="24"/>
          <w:lang w:val="en-US" w:eastAsia="zh-CN" w:bidi="ar-SA"/>
        </w:rPr>
        <w:t>1200mm×600mm。单板规格尺寸可按表1确定。</w:t>
      </w:r>
    </w:p>
    <w:p w14:paraId="2418CB24">
      <w:pPr>
        <w:pStyle w:val="5"/>
        <w:spacing w:before="14" w:line="278" w:lineRule="auto"/>
        <w:ind w:right="151"/>
        <w:jc w:val="center"/>
        <w:rPr>
          <w:rFonts w:hint="eastAsia" w:ascii="宋体" w:hAnsi="宋体" w:eastAsia="宋体" w:cs="Times New Roman"/>
          <w:color w:val="0000FF"/>
          <w:kern w:val="2"/>
          <w:sz w:val="21"/>
          <w:szCs w:val="21"/>
          <w:lang w:val="en-US" w:eastAsia="zh-CN" w:bidi="ar-SA"/>
        </w:rPr>
      </w:pPr>
      <w:r>
        <w:rPr>
          <w:rFonts w:hint="eastAsia" w:ascii="宋体" w:hAnsi="宋体" w:eastAsia="宋体" w:cs="Times New Roman"/>
          <w:color w:val="0000FF"/>
          <w:kern w:val="2"/>
          <w:sz w:val="21"/>
          <w:szCs w:val="21"/>
          <w:lang w:val="en-US" w:eastAsia="zh-CN" w:bidi="ar-SA"/>
        </w:rPr>
        <w:t xml:space="preserve">表1 </w:t>
      </w:r>
      <w:r>
        <w:rPr>
          <w:rFonts w:hint="eastAsia" w:cs="Times New Roman"/>
          <w:color w:val="0000FF"/>
          <w:kern w:val="2"/>
          <w:sz w:val="21"/>
          <w:szCs w:val="21"/>
          <w:lang w:val="en-US" w:eastAsia="zh-CN" w:bidi="ar-SA"/>
        </w:rPr>
        <w:t>改性</w:t>
      </w:r>
      <w:r>
        <w:rPr>
          <w:rFonts w:hint="eastAsia" w:ascii="宋体" w:hAnsi="宋体" w:eastAsia="宋体" w:cs="Times New Roman"/>
          <w:color w:val="0000FF"/>
          <w:kern w:val="2"/>
          <w:sz w:val="21"/>
          <w:szCs w:val="21"/>
          <w:lang w:val="en-US" w:eastAsia="zh-CN" w:bidi="ar-SA"/>
        </w:rPr>
        <w:t>玻化微珠保温装饰板规格尺寸</w:t>
      </w:r>
    </w:p>
    <w:tbl>
      <w:tblPr>
        <w:tblStyle w:val="11"/>
        <w:tblW w:w="8751" w:type="dxa"/>
        <w:tblInd w:w="-273"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268"/>
        <w:gridCol w:w="6483"/>
      </w:tblGrid>
      <w:tr w14:paraId="61406A2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2" w:hRule="atLeast"/>
        </w:trPr>
        <w:tc>
          <w:tcPr>
            <w:tcW w:w="2268" w:type="dxa"/>
          </w:tcPr>
          <w:p w14:paraId="6646CAA8">
            <w:pPr>
              <w:pStyle w:val="19"/>
              <w:spacing w:before="72"/>
              <w:ind w:left="374" w:right="364"/>
              <w:jc w:val="center"/>
              <w:rPr>
                <w:color w:val="0000FF"/>
                <w:sz w:val="21"/>
                <w:szCs w:val="21"/>
              </w:rPr>
            </w:pPr>
            <w:r>
              <w:rPr>
                <w:color w:val="0000FF"/>
                <w:sz w:val="21"/>
                <w:szCs w:val="21"/>
              </w:rPr>
              <w:t>项目</w:t>
            </w:r>
          </w:p>
        </w:tc>
        <w:tc>
          <w:tcPr>
            <w:tcW w:w="6483" w:type="dxa"/>
          </w:tcPr>
          <w:p w14:paraId="2B7FB2B7">
            <w:pPr>
              <w:pStyle w:val="19"/>
              <w:spacing w:before="72"/>
              <w:ind w:left="1872" w:right="1859"/>
              <w:jc w:val="center"/>
              <w:rPr>
                <w:color w:val="0000FF"/>
                <w:sz w:val="21"/>
                <w:szCs w:val="21"/>
              </w:rPr>
            </w:pPr>
            <w:r>
              <w:rPr>
                <w:color w:val="0000FF"/>
                <w:sz w:val="21"/>
                <w:szCs w:val="21"/>
              </w:rPr>
              <w:t>指标</w:t>
            </w:r>
          </w:p>
        </w:tc>
      </w:tr>
      <w:tr w14:paraId="26E0779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1" w:hRule="atLeast"/>
        </w:trPr>
        <w:tc>
          <w:tcPr>
            <w:tcW w:w="2268" w:type="dxa"/>
          </w:tcPr>
          <w:p w14:paraId="63428C04">
            <w:pPr>
              <w:pStyle w:val="19"/>
              <w:spacing w:before="67"/>
              <w:ind w:left="374" w:right="364"/>
              <w:jc w:val="center"/>
              <w:rPr>
                <w:color w:val="0000FF"/>
                <w:sz w:val="21"/>
                <w:szCs w:val="21"/>
              </w:rPr>
            </w:pPr>
            <w:r>
              <w:rPr>
                <w:color w:val="0000FF"/>
                <w:sz w:val="21"/>
                <w:szCs w:val="21"/>
              </w:rPr>
              <w:t>长度（mm）</w:t>
            </w:r>
          </w:p>
        </w:tc>
        <w:tc>
          <w:tcPr>
            <w:tcW w:w="6483" w:type="dxa"/>
          </w:tcPr>
          <w:p w14:paraId="6DBBCDBE">
            <w:pPr>
              <w:pStyle w:val="19"/>
              <w:spacing w:before="1" w:line="280" w:lineRule="exact"/>
              <w:ind w:left="1872" w:right="1859"/>
              <w:jc w:val="center"/>
              <w:rPr>
                <w:color w:val="0000FF"/>
                <w:sz w:val="21"/>
                <w:szCs w:val="21"/>
              </w:rPr>
            </w:pPr>
            <w:r>
              <w:rPr>
                <w:color w:val="0000FF"/>
                <w:sz w:val="21"/>
                <w:szCs w:val="21"/>
              </w:rPr>
              <w:t>600</w:t>
            </w:r>
            <w:r>
              <w:rPr>
                <w:rFonts w:hint="eastAsia" w:ascii="宋体" w:hAnsi="宋体" w:eastAsia="宋体" w:cs="Times New Roman"/>
                <w:color w:val="0000FF"/>
                <w:kern w:val="2"/>
                <w:sz w:val="24"/>
                <w:szCs w:val="24"/>
                <w:lang w:val="en-US" w:eastAsia="zh-CN" w:bidi="ar-SA"/>
              </w:rPr>
              <w:t>～</w:t>
            </w:r>
            <w:r>
              <w:rPr>
                <w:color w:val="0000FF"/>
                <w:sz w:val="21"/>
                <w:szCs w:val="21"/>
              </w:rPr>
              <w:t>1200</w:t>
            </w:r>
          </w:p>
        </w:tc>
      </w:tr>
      <w:tr w14:paraId="17B566E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99" w:hRule="atLeast"/>
        </w:trPr>
        <w:tc>
          <w:tcPr>
            <w:tcW w:w="2268" w:type="dxa"/>
          </w:tcPr>
          <w:p w14:paraId="7825696A">
            <w:pPr>
              <w:pStyle w:val="19"/>
              <w:spacing w:before="49"/>
              <w:ind w:left="374" w:right="364"/>
              <w:jc w:val="center"/>
              <w:rPr>
                <w:color w:val="0000FF"/>
                <w:sz w:val="21"/>
                <w:szCs w:val="21"/>
              </w:rPr>
            </w:pPr>
            <w:r>
              <w:rPr>
                <w:color w:val="0000FF"/>
                <w:sz w:val="21"/>
                <w:szCs w:val="21"/>
              </w:rPr>
              <w:t>宽度（mm）</w:t>
            </w:r>
          </w:p>
        </w:tc>
        <w:tc>
          <w:tcPr>
            <w:tcW w:w="6483" w:type="dxa"/>
          </w:tcPr>
          <w:p w14:paraId="18A2D0BB">
            <w:pPr>
              <w:pStyle w:val="19"/>
              <w:spacing w:line="280" w:lineRule="exact"/>
              <w:ind w:left="1872" w:right="1859"/>
              <w:jc w:val="center"/>
              <w:rPr>
                <w:color w:val="0000FF"/>
                <w:sz w:val="21"/>
                <w:szCs w:val="21"/>
              </w:rPr>
            </w:pPr>
            <w:r>
              <w:rPr>
                <w:color w:val="0000FF"/>
                <w:sz w:val="21"/>
                <w:szCs w:val="21"/>
              </w:rPr>
              <w:t>300</w:t>
            </w:r>
            <w:r>
              <w:rPr>
                <w:rFonts w:hint="eastAsia" w:ascii="宋体" w:hAnsi="宋体" w:eastAsia="宋体" w:cs="Times New Roman"/>
                <w:color w:val="0000FF"/>
                <w:kern w:val="2"/>
                <w:sz w:val="24"/>
                <w:szCs w:val="24"/>
                <w:lang w:val="en-US" w:eastAsia="zh-CN" w:bidi="ar-SA"/>
              </w:rPr>
              <w:t>～</w:t>
            </w:r>
            <w:r>
              <w:rPr>
                <w:rFonts w:hint="eastAsia"/>
                <w:color w:val="0000FF"/>
                <w:sz w:val="21"/>
                <w:szCs w:val="21"/>
                <w:lang w:val="en-US" w:eastAsia="zh-CN"/>
              </w:rPr>
              <w:t>9</w:t>
            </w:r>
            <w:r>
              <w:rPr>
                <w:color w:val="0000FF"/>
                <w:sz w:val="21"/>
                <w:szCs w:val="21"/>
              </w:rPr>
              <w:t>00</w:t>
            </w:r>
          </w:p>
        </w:tc>
      </w:tr>
    </w:tbl>
    <w:p w14:paraId="0CFB3E4F">
      <w:pPr>
        <w:pStyle w:val="18"/>
        <w:numPr>
          <w:ilvl w:val="0"/>
          <w:numId w:val="0"/>
        </w:numPr>
        <w:tabs>
          <w:tab w:val="left" w:pos="1023"/>
        </w:tabs>
        <w:spacing w:before="151" w:after="0" w:line="278" w:lineRule="auto"/>
        <w:ind w:right="143" w:rightChars="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5.2.3</w:t>
      </w:r>
      <w:r>
        <w:rPr>
          <w:rFonts w:hint="eastAsia" w:ascii="Times New Roman" w:hAnsi="Times New Roman" w:eastAsia="宋体" w:cs="Times New Roman"/>
          <w:b w:val="0"/>
          <w:bCs w:val="0"/>
          <w:kern w:val="2"/>
          <w:sz w:val="24"/>
          <w:szCs w:val="24"/>
          <w:lang w:val="en-US" w:eastAsia="zh-CN" w:bidi="ar-SA"/>
        </w:rPr>
        <w:t>铝合金托挂件及连接件宜采用高精级合金牌号为6063、供应状态为T6的铝合金型材，型材应符合现行国家标准《变形铝及铝合金牌号表示方法》GB/T 16474、《铝合金建筑型材 第1部分：基材》GB 5237.1的有关规定。铝合金托挂件及连接件主要性能指标应符合表</w:t>
      </w:r>
      <w:r>
        <w:rPr>
          <w:rFonts w:hint="eastAsia" w:ascii="Times New Roman" w:hAnsi="Times New Roman" w:cs="Times New Roman"/>
          <w:b w:val="0"/>
          <w:bCs w:val="0"/>
          <w:kern w:val="2"/>
          <w:sz w:val="24"/>
          <w:szCs w:val="24"/>
          <w:lang w:val="en-US" w:eastAsia="zh-CN" w:bidi="ar-SA"/>
        </w:rPr>
        <w:t>5.2.3</w:t>
      </w:r>
      <w:r>
        <w:rPr>
          <w:rFonts w:hint="eastAsia" w:ascii="Times New Roman" w:hAnsi="Times New Roman" w:eastAsia="宋体" w:cs="Times New Roman"/>
          <w:b w:val="0"/>
          <w:bCs w:val="0"/>
          <w:kern w:val="2"/>
          <w:sz w:val="24"/>
          <w:szCs w:val="24"/>
          <w:lang w:val="en-US" w:eastAsia="zh-CN" w:bidi="ar-SA"/>
        </w:rPr>
        <w:t>的规定。</w:t>
      </w:r>
    </w:p>
    <w:p w14:paraId="2D7BC1AD">
      <w:pPr>
        <w:spacing w:before="58" w:after="56"/>
        <w:ind w:left="114" w:right="0" w:firstLine="0"/>
        <w:jc w:val="center"/>
        <w:rPr>
          <w:rFonts w:hint="eastAsia"/>
          <w:b/>
          <w:bCs/>
          <w:sz w:val="21"/>
          <w:szCs w:val="21"/>
          <w:lang w:val="en-US" w:eastAsia="zh-CN"/>
        </w:rPr>
      </w:pPr>
      <w:r>
        <w:rPr>
          <w:rFonts w:hint="eastAsia"/>
          <w:b/>
          <w:bCs/>
          <w:sz w:val="21"/>
          <w:szCs w:val="21"/>
          <w:lang w:val="en-US" w:eastAsia="zh-CN"/>
        </w:rPr>
        <w:t>表5.2.3 托挂件及连接件主要性能指标</w:t>
      </w:r>
    </w:p>
    <w:tbl>
      <w:tblPr>
        <w:tblStyle w:val="11"/>
        <w:tblW w:w="8403" w:type="dxa"/>
        <w:tblInd w:w="13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413"/>
        <w:gridCol w:w="1559"/>
        <w:gridCol w:w="1682"/>
        <w:gridCol w:w="2195"/>
        <w:gridCol w:w="2554"/>
      </w:tblGrid>
      <w:tr w14:paraId="4F262F7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0" w:hRule="atLeast"/>
        </w:trPr>
        <w:tc>
          <w:tcPr>
            <w:tcW w:w="3654" w:type="dxa"/>
            <w:gridSpan w:val="3"/>
          </w:tcPr>
          <w:p w14:paraId="6B76FDFC">
            <w:pPr>
              <w:pStyle w:val="19"/>
              <w:spacing w:before="93"/>
              <w:ind w:left="47" w:right="64"/>
              <w:jc w:val="center"/>
              <w:rPr>
                <w:sz w:val="21"/>
                <w:szCs w:val="21"/>
              </w:rPr>
            </w:pPr>
            <w:r>
              <w:rPr>
                <w:color w:val="231F20"/>
                <w:sz w:val="21"/>
                <w:szCs w:val="21"/>
              </w:rPr>
              <w:t>项目</w:t>
            </w:r>
          </w:p>
        </w:tc>
        <w:tc>
          <w:tcPr>
            <w:tcW w:w="2195" w:type="dxa"/>
          </w:tcPr>
          <w:p w14:paraId="3FE262AA">
            <w:pPr>
              <w:pStyle w:val="19"/>
              <w:spacing w:before="101"/>
              <w:ind w:right="982"/>
              <w:jc w:val="center"/>
              <w:rPr>
                <w:sz w:val="21"/>
                <w:szCs w:val="21"/>
              </w:rPr>
            </w:pPr>
            <w:r>
              <w:rPr>
                <w:color w:val="231F20"/>
                <w:sz w:val="21"/>
                <w:szCs w:val="21"/>
              </w:rPr>
              <w:t>性能指标</w:t>
            </w:r>
          </w:p>
        </w:tc>
        <w:tc>
          <w:tcPr>
            <w:tcW w:w="2554" w:type="dxa"/>
          </w:tcPr>
          <w:p w14:paraId="65B5EB2C">
            <w:pPr>
              <w:pStyle w:val="19"/>
              <w:spacing w:before="101"/>
              <w:ind w:left="510"/>
              <w:rPr>
                <w:sz w:val="21"/>
                <w:szCs w:val="21"/>
              </w:rPr>
            </w:pPr>
            <w:r>
              <w:rPr>
                <w:color w:val="231F20"/>
                <w:sz w:val="21"/>
                <w:szCs w:val="21"/>
              </w:rPr>
              <w:t>试验方法</w:t>
            </w:r>
          </w:p>
        </w:tc>
      </w:tr>
      <w:tr w14:paraId="6E4C2A4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1" w:hRule="atLeast"/>
        </w:trPr>
        <w:tc>
          <w:tcPr>
            <w:tcW w:w="413" w:type="dxa"/>
            <w:vMerge w:val="restart"/>
          </w:tcPr>
          <w:p w14:paraId="61CD9286">
            <w:pPr>
              <w:pStyle w:val="19"/>
              <w:spacing w:before="10"/>
              <w:rPr>
                <w:rFonts w:ascii="黑体"/>
                <w:sz w:val="21"/>
                <w:szCs w:val="21"/>
              </w:rPr>
            </w:pPr>
          </w:p>
          <w:p w14:paraId="3BDDCBB1">
            <w:pPr>
              <w:pStyle w:val="19"/>
              <w:spacing w:line="225" w:lineRule="auto"/>
              <w:ind w:left="139" w:right="111"/>
              <w:jc w:val="both"/>
              <w:rPr>
                <w:sz w:val="21"/>
                <w:szCs w:val="21"/>
              </w:rPr>
            </w:pPr>
            <w:r>
              <w:rPr>
                <w:color w:val="231F20"/>
                <w:sz w:val="21"/>
                <w:szCs w:val="21"/>
              </w:rPr>
              <w:t>拉伸性能</w:t>
            </w:r>
          </w:p>
        </w:tc>
        <w:tc>
          <w:tcPr>
            <w:tcW w:w="3241" w:type="dxa"/>
            <w:gridSpan w:val="2"/>
          </w:tcPr>
          <w:p w14:paraId="7C71D7CF">
            <w:pPr>
              <w:pStyle w:val="19"/>
              <w:spacing w:before="20" w:line="186" w:lineRule="exact"/>
              <w:ind w:left="181" w:right="165"/>
              <w:jc w:val="center"/>
              <w:rPr>
                <w:sz w:val="21"/>
                <w:szCs w:val="21"/>
              </w:rPr>
            </w:pPr>
            <w:r>
              <w:rPr>
                <w:color w:val="231F20"/>
                <w:sz w:val="21"/>
                <w:szCs w:val="21"/>
              </w:rPr>
              <w:t>抗拉强度（Rm）</w:t>
            </w:r>
          </w:p>
          <w:p w14:paraId="3AE1DEC3">
            <w:pPr>
              <w:pStyle w:val="19"/>
              <w:spacing w:line="175" w:lineRule="exact"/>
              <w:ind w:left="181" w:right="165"/>
              <w:jc w:val="center"/>
              <w:rPr>
                <w:sz w:val="21"/>
                <w:szCs w:val="21"/>
              </w:rPr>
            </w:pPr>
            <w:r>
              <w:rPr>
                <w:color w:val="231F20"/>
                <w:sz w:val="21"/>
                <w:szCs w:val="21"/>
              </w:rPr>
              <w:t>（N/mm²）</w:t>
            </w:r>
          </w:p>
        </w:tc>
        <w:tc>
          <w:tcPr>
            <w:tcW w:w="2195" w:type="dxa"/>
          </w:tcPr>
          <w:p w14:paraId="4593A361">
            <w:pPr>
              <w:pStyle w:val="19"/>
              <w:spacing w:before="90"/>
              <w:ind w:right="982"/>
              <w:jc w:val="center"/>
              <w:rPr>
                <w:sz w:val="21"/>
                <w:szCs w:val="21"/>
              </w:rPr>
            </w:pPr>
            <w:r>
              <w:rPr>
                <w:color w:val="231F20"/>
                <w:sz w:val="21"/>
                <w:szCs w:val="21"/>
              </w:rPr>
              <w:t>≥205</w:t>
            </w:r>
          </w:p>
        </w:tc>
        <w:tc>
          <w:tcPr>
            <w:tcW w:w="2554" w:type="dxa"/>
            <w:vMerge w:val="restart"/>
          </w:tcPr>
          <w:p w14:paraId="1087B15A">
            <w:pPr>
              <w:pStyle w:val="19"/>
              <w:rPr>
                <w:rFonts w:ascii="黑体"/>
                <w:sz w:val="21"/>
                <w:szCs w:val="21"/>
              </w:rPr>
            </w:pPr>
          </w:p>
          <w:p w14:paraId="3FFD261D">
            <w:pPr>
              <w:pStyle w:val="19"/>
              <w:spacing w:before="10"/>
              <w:rPr>
                <w:rFonts w:ascii="黑体"/>
                <w:sz w:val="21"/>
                <w:szCs w:val="21"/>
              </w:rPr>
            </w:pPr>
          </w:p>
          <w:p w14:paraId="41400676">
            <w:pPr>
              <w:pStyle w:val="19"/>
              <w:spacing w:line="225" w:lineRule="auto"/>
              <w:ind w:left="199" w:right="186"/>
              <w:jc w:val="center"/>
              <w:rPr>
                <w:sz w:val="21"/>
                <w:szCs w:val="21"/>
              </w:rPr>
            </w:pPr>
            <w:r>
              <w:rPr>
                <w:color w:val="231F20"/>
                <w:sz w:val="21"/>
                <w:szCs w:val="21"/>
              </w:rPr>
              <w:t>《铝合金建筑型材第1部分：基材》GB 5237.1</w:t>
            </w:r>
          </w:p>
        </w:tc>
      </w:tr>
      <w:tr w14:paraId="4778700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27" w:hRule="atLeast"/>
        </w:trPr>
        <w:tc>
          <w:tcPr>
            <w:tcW w:w="413" w:type="dxa"/>
            <w:vMerge w:val="continue"/>
            <w:tcBorders>
              <w:top w:val="nil"/>
            </w:tcBorders>
          </w:tcPr>
          <w:p w14:paraId="243CBC6C">
            <w:pPr>
              <w:rPr>
                <w:sz w:val="21"/>
                <w:szCs w:val="21"/>
              </w:rPr>
            </w:pPr>
          </w:p>
        </w:tc>
        <w:tc>
          <w:tcPr>
            <w:tcW w:w="3241" w:type="dxa"/>
            <w:gridSpan w:val="2"/>
          </w:tcPr>
          <w:p w14:paraId="076579DF">
            <w:pPr>
              <w:pStyle w:val="19"/>
              <w:spacing w:line="225" w:lineRule="auto"/>
              <w:ind w:left="201" w:right="32" w:hanging="150"/>
              <w:rPr>
                <w:sz w:val="21"/>
                <w:szCs w:val="21"/>
              </w:rPr>
            </w:pPr>
            <w:r>
              <w:rPr>
                <w:color w:val="231F20"/>
                <w:sz w:val="21"/>
                <w:szCs w:val="21"/>
              </w:rPr>
              <w:t>规定非比例延伸强度(Rp0.2)(N/mm²)</w:t>
            </w:r>
          </w:p>
        </w:tc>
        <w:tc>
          <w:tcPr>
            <w:tcW w:w="2195" w:type="dxa"/>
          </w:tcPr>
          <w:p w14:paraId="1A4CADB9">
            <w:pPr>
              <w:pStyle w:val="19"/>
              <w:ind w:right="982"/>
              <w:jc w:val="center"/>
              <w:rPr>
                <w:sz w:val="21"/>
                <w:szCs w:val="21"/>
              </w:rPr>
            </w:pPr>
            <w:r>
              <w:rPr>
                <w:color w:val="231F20"/>
                <w:sz w:val="21"/>
                <w:szCs w:val="21"/>
              </w:rPr>
              <w:t>≥180</w:t>
            </w:r>
          </w:p>
        </w:tc>
        <w:tc>
          <w:tcPr>
            <w:tcW w:w="2554" w:type="dxa"/>
            <w:vMerge w:val="continue"/>
            <w:tcBorders>
              <w:top w:val="nil"/>
            </w:tcBorders>
          </w:tcPr>
          <w:p w14:paraId="34999D5A">
            <w:pPr>
              <w:rPr>
                <w:sz w:val="21"/>
                <w:szCs w:val="21"/>
              </w:rPr>
            </w:pPr>
          </w:p>
        </w:tc>
      </w:tr>
      <w:tr w14:paraId="38E29C8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1" w:hRule="atLeast"/>
        </w:trPr>
        <w:tc>
          <w:tcPr>
            <w:tcW w:w="413" w:type="dxa"/>
            <w:vMerge w:val="continue"/>
            <w:tcBorders>
              <w:top w:val="nil"/>
            </w:tcBorders>
          </w:tcPr>
          <w:p w14:paraId="6E962DCE">
            <w:pPr>
              <w:rPr>
                <w:sz w:val="21"/>
                <w:szCs w:val="21"/>
              </w:rPr>
            </w:pPr>
          </w:p>
        </w:tc>
        <w:tc>
          <w:tcPr>
            <w:tcW w:w="1559" w:type="dxa"/>
            <w:vMerge w:val="restart"/>
          </w:tcPr>
          <w:p w14:paraId="3289DDE7">
            <w:pPr>
              <w:pStyle w:val="19"/>
              <w:spacing w:before="5"/>
              <w:rPr>
                <w:rFonts w:ascii="黑体"/>
                <w:sz w:val="21"/>
                <w:szCs w:val="21"/>
              </w:rPr>
            </w:pPr>
          </w:p>
          <w:p w14:paraId="3F05BC61">
            <w:pPr>
              <w:pStyle w:val="19"/>
              <w:spacing w:before="1" w:line="225" w:lineRule="auto"/>
              <w:ind w:left="127" w:right="47" w:hanging="75"/>
              <w:rPr>
                <w:sz w:val="21"/>
                <w:szCs w:val="21"/>
              </w:rPr>
            </w:pPr>
            <w:r>
              <w:rPr>
                <w:color w:val="231F20"/>
                <w:spacing w:val="-6"/>
                <w:sz w:val="21"/>
                <w:szCs w:val="21"/>
              </w:rPr>
              <w:t>断后伸</w:t>
            </w:r>
            <w:r>
              <w:rPr>
                <w:color w:val="231F20"/>
                <w:sz w:val="21"/>
                <w:szCs w:val="21"/>
              </w:rPr>
              <w:t>长率</w:t>
            </w:r>
          </w:p>
          <w:p w14:paraId="56D3D5CD">
            <w:pPr>
              <w:pStyle w:val="19"/>
              <w:spacing w:line="182" w:lineRule="exact"/>
              <w:ind w:left="90"/>
              <w:rPr>
                <w:sz w:val="21"/>
                <w:szCs w:val="21"/>
              </w:rPr>
            </w:pPr>
            <w:r>
              <w:rPr>
                <w:color w:val="231F20"/>
                <w:sz w:val="21"/>
                <w:szCs w:val="21"/>
              </w:rPr>
              <w:t>（%）</w:t>
            </w:r>
          </w:p>
        </w:tc>
        <w:tc>
          <w:tcPr>
            <w:tcW w:w="1682" w:type="dxa"/>
          </w:tcPr>
          <w:p w14:paraId="2857E44E">
            <w:pPr>
              <w:pStyle w:val="19"/>
              <w:spacing w:before="101"/>
              <w:ind w:right="11"/>
              <w:jc w:val="center"/>
              <w:rPr>
                <w:sz w:val="21"/>
                <w:szCs w:val="21"/>
              </w:rPr>
            </w:pPr>
            <w:r>
              <w:rPr>
                <w:color w:val="231F20"/>
                <w:sz w:val="21"/>
                <w:szCs w:val="21"/>
              </w:rPr>
              <w:t>A</w:t>
            </w:r>
          </w:p>
        </w:tc>
        <w:tc>
          <w:tcPr>
            <w:tcW w:w="2195" w:type="dxa"/>
          </w:tcPr>
          <w:p w14:paraId="6614158A">
            <w:pPr>
              <w:pStyle w:val="19"/>
              <w:spacing w:before="59"/>
              <w:ind w:right="982"/>
              <w:jc w:val="center"/>
              <w:rPr>
                <w:sz w:val="21"/>
                <w:szCs w:val="21"/>
              </w:rPr>
            </w:pPr>
            <w:r>
              <w:rPr>
                <w:color w:val="231F20"/>
                <w:sz w:val="21"/>
                <w:szCs w:val="21"/>
              </w:rPr>
              <w:t>≥8</w:t>
            </w:r>
          </w:p>
        </w:tc>
        <w:tc>
          <w:tcPr>
            <w:tcW w:w="2554" w:type="dxa"/>
            <w:vMerge w:val="continue"/>
            <w:tcBorders>
              <w:top w:val="nil"/>
            </w:tcBorders>
          </w:tcPr>
          <w:p w14:paraId="7133575E">
            <w:pPr>
              <w:rPr>
                <w:sz w:val="21"/>
                <w:szCs w:val="21"/>
              </w:rPr>
            </w:pPr>
          </w:p>
        </w:tc>
      </w:tr>
      <w:tr w14:paraId="2BC2264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15" w:hRule="atLeast"/>
        </w:trPr>
        <w:tc>
          <w:tcPr>
            <w:tcW w:w="413" w:type="dxa"/>
            <w:vMerge w:val="continue"/>
            <w:tcBorders>
              <w:top w:val="nil"/>
            </w:tcBorders>
          </w:tcPr>
          <w:p w14:paraId="7F5AF41C">
            <w:pPr>
              <w:rPr>
                <w:sz w:val="21"/>
                <w:szCs w:val="21"/>
              </w:rPr>
            </w:pPr>
          </w:p>
        </w:tc>
        <w:tc>
          <w:tcPr>
            <w:tcW w:w="1559" w:type="dxa"/>
            <w:vMerge w:val="continue"/>
            <w:tcBorders>
              <w:top w:val="nil"/>
            </w:tcBorders>
          </w:tcPr>
          <w:p w14:paraId="04AA78AB">
            <w:pPr>
              <w:rPr>
                <w:sz w:val="21"/>
                <w:szCs w:val="21"/>
              </w:rPr>
            </w:pPr>
          </w:p>
        </w:tc>
        <w:tc>
          <w:tcPr>
            <w:tcW w:w="1682" w:type="dxa"/>
          </w:tcPr>
          <w:p w14:paraId="504F3D78">
            <w:pPr>
              <w:pStyle w:val="19"/>
              <w:ind w:left="314" w:right="326"/>
              <w:jc w:val="center"/>
              <w:rPr>
                <w:sz w:val="21"/>
                <w:szCs w:val="21"/>
              </w:rPr>
            </w:pPr>
            <w:r>
              <w:rPr>
                <w:color w:val="231F20"/>
                <w:spacing w:val="-1"/>
                <w:sz w:val="21"/>
                <w:szCs w:val="21"/>
              </w:rPr>
              <w:t>A</w:t>
            </w:r>
            <w:r>
              <w:rPr>
                <w:color w:val="231F20"/>
                <w:sz w:val="21"/>
                <w:szCs w:val="21"/>
              </w:rPr>
              <w:t>50mm</w:t>
            </w:r>
          </w:p>
        </w:tc>
        <w:tc>
          <w:tcPr>
            <w:tcW w:w="2195" w:type="dxa"/>
          </w:tcPr>
          <w:p w14:paraId="29E70E78">
            <w:pPr>
              <w:pStyle w:val="19"/>
              <w:ind w:right="982"/>
              <w:jc w:val="center"/>
              <w:rPr>
                <w:sz w:val="21"/>
                <w:szCs w:val="21"/>
              </w:rPr>
            </w:pPr>
            <w:r>
              <w:rPr>
                <w:color w:val="231F20"/>
                <w:sz w:val="21"/>
                <w:szCs w:val="21"/>
              </w:rPr>
              <w:t>≥8</w:t>
            </w:r>
          </w:p>
        </w:tc>
        <w:tc>
          <w:tcPr>
            <w:tcW w:w="2554" w:type="dxa"/>
            <w:vMerge w:val="continue"/>
            <w:tcBorders>
              <w:top w:val="nil"/>
            </w:tcBorders>
          </w:tcPr>
          <w:p w14:paraId="5F728160">
            <w:pPr>
              <w:rPr>
                <w:sz w:val="21"/>
                <w:szCs w:val="21"/>
              </w:rPr>
            </w:pPr>
          </w:p>
        </w:tc>
      </w:tr>
    </w:tbl>
    <w:p w14:paraId="56B62AC8">
      <w:pPr>
        <w:pStyle w:val="18"/>
        <w:numPr>
          <w:ilvl w:val="0"/>
          <w:numId w:val="0"/>
        </w:numPr>
        <w:tabs>
          <w:tab w:val="left" w:pos="1023"/>
        </w:tabs>
        <w:spacing w:before="151" w:after="0" w:line="278" w:lineRule="auto"/>
        <w:ind w:right="143" w:rightChars="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5.2.4</w:t>
      </w:r>
      <w:r>
        <w:rPr>
          <w:rFonts w:hint="eastAsia" w:ascii="Times New Roman" w:hAnsi="Times New Roman" w:eastAsia="宋体" w:cs="Times New Roman"/>
          <w:b w:val="0"/>
          <w:bCs w:val="0"/>
          <w:kern w:val="2"/>
          <w:sz w:val="24"/>
          <w:szCs w:val="24"/>
          <w:lang w:val="en-US" w:eastAsia="zh-CN" w:bidi="ar-SA"/>
        </w:rPr>
        <w:t>锚固件应符合现行行业标准《外墙保温用锚栓》JG/T 366 的有关规定，其主要性能指标应符合表</w:t>
      </w:r>
      <w:r>
        <w:rPr>
          <w:rFonts w:hint="eastAsia" w:ascii="Times New Roman" w:hAnsi="Times New Roman" w:cs="Times New Roman"/>
          <w:b w:val="0"/>
          <w:bCs w:val="0"/>
          <w:kern w:val="2"/>
          <w:sz w:val="24"/>
          <w:szCs w:val="24"/>
          <w:lang w:val="en-US" w:eastAsia="zh-CN" w:bidi="ar-SA"/>
        </w:rPr>
        <w:t>5.2.4</w:t>
      </w:r>
      <w:r>
        <w:rPr>
          <w:rFonts w:hint="eastAsia" w:ascii="Times New Roman" w:hAnsi="Times New Roman" w:eastAsia="宋体" w:cs="Times New Roman"/>
          <w:b w:val="0"/>
          <w:bCs w:val="0"/>
          <w:kern w:val="2"/>
          <w:sz w:val="24"/>
          <w:szCs w:val="24"/>
          <w:lang w:val="en-US" w:eastAsia="zh-CN" w:bidi="ar-SA"/>
        </w:rPr>
        <w:t>的要求。</w:t>
      </w:r>
    </w:p>
    <w:p w14:paraId="2C885981">
      <w:pPr>
        <w:spacing w:before="58" w:after="56"/>
        <w:ind w:left="114" w:right="0" w:firstLine="0"/>
        <w:jc w:val="center"/>
        <w:rPr>
          <w:rFonts w:ascii="黑体"/>
          <w:sz w:val="6"/>
        </w:rPr>
      </w:pPr>
      <w:r>
        <w:rPr>
          <w:rFonts w:hint="eastAsia"/>
          <w:b/>
          <w:bCs/>
          <w:sz w:val="21"/>
          <w:szCs w:val="21"/>
          <w:lang w:val="en-US" w:eastAsia="zh-CN"/>
        </w:rPr>
        <w:t>表5.2.4 锚固件主要性能指标</w:t>
      </w:r>
    </w:p>
    <w:tbl>
      <w:tblPr>
        <w:tblStyle w:val="11"/>
        <w:tblW w:w="8246" w:type="dxa"/>
        <w:tblInd w:w="49"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855"/>
        <w:gridCol w:w="2751"/>
        <w:gridCol w:w="2640"/>
      </w:tblGrid>
      <w:tr w14:paraId="26C7603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52" w:hRule="atLeast"/>
        </w:trPr>
        <w:tc>
          <w:tcPr>
            <w:tcW w:w="2855" w:type="dxa"/>
          </w:tcPr>
          <w:p w14:paraId="6CBA3324">
            <w:pPr>
              <w:pStyle w:val="19"/>
              <w:spacing w:before="82"/>
              <w:ind w:left="137" w:right="185"/>
              <w:jc w:val="center"/>
              <w:rPr>
                <w:sz w:val="21"/>
                <w:szCs w:val="21"/>
              </w:rPr>
            </w:pPr>
            <w:r>
              <w:rPr>
                <w:color w:val="231F20"/>
                <w:sz w:val="21"/>
                <w:szCs w:val="21"/>
              </w:rPr>
              <w:t>项目</w:t>
            </w:r>
          </w:p>
        </w:tc>
        <w:tc>
          <w:tcPr>
            <w:tcW w:w="2751" w:type="dxa"/>
          </w:tcPr>
          <w:p w14:paraId="6947E86C">
            <w:pPr>
              <w:pStyle w:val="19"/>
              <w:spacing w:before="79"/>
              <w:ind w:left="1032" w:right="1108"/>
              <w:jc w:val="center"/>
              <w:rPr>
                <w:sz w:val="21"/>
                <w:szCs w:val="21"/>
              </w:rPr>
            </w:pPr>
            <w:r>
              <w:rPr>
                <w:color w:val="231F20"/>
                <w:sz w:val="21"/>
                <w:szCs w:val="21"/>
              </w:rPr>
              <w:t>指标</w:t>
            </w:r>
          </w:p>
        </w:tc>
        <w:tc>
          <w:tcPr>
            <w:tcW w:w="2640" w:type="dxa"/>
          </w:tcPr>
          <w:p w14:paraId="1E92FA16">
            <w:pPr>
              <w:pStyle w:val="19"/>
              <w:spacing w:before="79"/>
              <w:ind w:left="521"/>
              <w:rPr>
                <w:sz w:val="21"/>
                <w:szCs w:val="21"/>
              </w:rPr>
            </w:pPr>
            <w:r>
              <w:rPr>
                <w:color w:val="231F20"/>
                <w:sz w:val="21"/>
                <w:szCs w:val="21"/>
              </w:rPr>
              <w:t>试验方法</w:t>
            </w:r>
          </w:p>
        </w:tc>
      </w:tr>
      <w:tr w14:paraId="06A345E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52" w:hRule="atLeast"/>
        </w:trPr>
        <w:tc>
          <w:tcPr>
            <w:tcW w:w="2855" w:type="dxa"/>
          </w:tcPr>
          <w:p w14:paraId="7ECD22F2">
            <w:pPr>
              <w:pStyle w:val="19"/>
              <w:spacing w:before="100"/>
              <w:ind w:left="137" w:right="185"/>
              <w:jc w:val="center"/>
              <w:rPr>
                <w:sz w:val="21"/>
                <w:szCs w:val="21"/>
              </w:rPr>
            </w:pPr>
            <w:r>
              <w:rPr>
                <w:color w:val="231F20"/>
                <w:sz w:val="21"/>
                <w:szCs w:val="21"/>
              </w:rPr>
              <w:t>拉拔力标准值（kN）</w:t>
            </w:r>
          </w:p>
        </w:tc>
        <w:tc>
          <w:tcPr>
            <w:tcW w:w="2751" w:type="dxa"/>
          </w:tcPr>
          <w:p w14:paraId="1224230C">
            <w:pPr>
              <w:pStyle w:val="19"/>
              <w:spacing w:before="97"/>
              <w:ind w:right="1108"/>
              <w:jc w:val="both"/>
              <w:rPr>
                <w:sz w:val="21"/>
                <w:szCs w:val="21"/>
              </w:rPr>
            </w:pPr>
            <w:r>
              <w:rPr>
                <w:color w:val="231F20"/>
                <w:sz w:val="21"/>
                <w:szCs w:val="21"/>
              </w:rPr>
              <w:t>≥0.60</w:t>
            </w:r>
          </w:p>
        </w:tc>
        <w:tc>
          <w:tcPr>
            <w:tcW w:w="2640" w:type="dxa"/>
            <w:vMerge w:val="restart"/>
          </w:tcPr>
          <w:p w14:paraId="5468ACA8">
            <w:pPr>
              <w:pStyle w:val="19"/>
              <w:spacing w:before="81" w:line="225" w:lineRule="auto"/>
              <w:ind w:left="81" w:right="121"/>
              <w:jc w:val="center"/>
              <w:rPr>
                <w:sz w:val="21"/>
                <w:szCs w:val="21"/>
              </w:rPr>
            </w:pPr>
            <w:r>
              <w:rPr>
                <w:color w:val="231F20"/>
                <w:spacing w:val="-2"/>
                <w:sz w:val="21"/>
                <w:szCs w:val="21"/>
              </w:rPr>
              <w:t>《保温装饰板外墙外</w:t>
            </w:r>
            <w:r>
              <w:rPr>
                <w:color w:val="231F20"/>
                <w:sz w:val="21"/>
                <w:szCs w:val="21"/>
              </w:rPr>
              <w:t>保温系统材料》 JG/T 287</w:t>
            </w:r>
          </w:p>
        </w:tc>
      </w:tr>
      <w:tr w14:paraId="16116FB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52" w:hRule="atLeast"/>
        </w:trPr>
        <w:tc>
          <w:tcPr>
            <w:tcW w:w="2855" w:type="dxa"/>
          </w:tcPr>
          <w:p w14:paraId="48194F6A">
            <w:pPr>
              <w:pStyle w:val="19"/>
              <w:spacing w:before="81"/>
              <w:ind w:left="137" w:right="185"/>
              <w:jc w:val="center"/>
              <w:rPr>
                <w:sz w:val="21"/>
                <w:szCs w:val="21"/>
              </w:rPr>
            </w:pPr>
            <w:r>
              <w:rPr>
                <w:color w:val="231F20"/>
                <w:sz w:val="21"/>
                <w:szCs w:val="21"/>
              </w:rPr>
              <w:t>悬挂力(kN)</w:t>
            </w:r>
          </w:p>
        </w:tc>
        <w:tc>
          <w:tcPr>
            <w:tcW w:w="2751" w:type="dxa"/>
          </w:tcPr>
          <w:p w14:paraId="5EF4E6F8">
            <w:pPr>
              <w:pStyle w:val="19"/>
              <w:spacing w:before="78"/>
              <w:ind w:right="1108"/>
              <w:jc w:val="both"/>
              <w:rPr>
                <w:sz w:val="21"/>
                <w:szCs w:val="21"/>
              </w:rPr>
            </w:pPr>
            <w:r>
              <w:rPr>
                <w:color w:val="231F20"/>
                <w:sz w:val="21"/>
                <w:szCs w:val="21"/>
              </w:rPr>
              <w:t>≥0.10</w:t>
            </w:r>
          </w:p>
        </w:tc>
        <w:tc>
          <w:tcPr>
            <w:tcW w:w="2640" w:type="dxa"/>
            <w:vMerge w:val="continue"/>
            <w:tcBorders>
              <w:top w:val="nil"/>
            </w:tcBorders>
          </w:tcPr>
          <w:p w14:paraId="7243D1C5">
            <w:pPr>
              <w:rPr>
                <w:sz w:val="21"/>
                <w:szCs w:val="21"/>
              </w:rPr>
            </w:pPr>
          </w:p>
        </w:tc>
      </w:tr>
    </w:tbl>
    <w:p w14:paraId="4730B7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5.2.</w:t>
      </w:r>
      <w:r>
        <w:rPr>
          <w:rFonts w:hint="eastAsia" w:cs="Times New Roman"/>
          <w:b/>
          <w:bCs/>
          <w:kern w:val="2"/>
          <w:sz w:val="24"/>
          <w:szCs w:val="24"/>
          <w:lang w:val="en-US" w:eastAsia="zh-CN" w:bidi="ar-SA"/>
        </w:rPr>
        <w:t>5</w:t>
      </w:r>
      <w:r>
        <w:rPr>
          <w:rFonts w:hint="eastAsia" w:ascii="Times New Roman" w:hAnsi="Times New Roman" w:eastAsia="宋体" w:cs="Times New Roman"/>
          <w:b w:val="0"/>
          <w:bCs w:val="0"/>
          <w:kern w:val="2"/>
          <w:sz w:val="24"/>
          <w:szCs w:val="24"/>
          <w:lang w:val="en-US" w:eastAsia="zh-CN" w:bidi="ar-SA"/>
        </w:rPr>
        <w:t>硅酮耐候密封胶应符合现行国家标准《硅酮和改性硅酮建筑密封胶》GB/T 14683的要求，阻燃密封胶应符合现行国家标准《建筑用阻燃密封胶》GB/T 24267的要求，环氧胶粘剂应符合现行行业标准《干挂石材幕墙用环氧胶粘剂》JC 887的要求。</w:t>
      </w:r>
    </w:p>
    <w:p w14:paraId="7C41D5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b/>
          <w:bCs/>
          <w:sz w:val="24"/>
          <w:szCs w:val="24"/>
          <w:lang w:val="en-US" w:eastAsia="zh-CN"/>
        </w:rPr>
        <w:t>5.2.6</w:t>
      </w:r>
      <w:r>
        <w:rPr>
          <w:rFonts w:hint="eastAsia"/>
          <w:sz w:val="24"/>
          <w:szCs w:val="24"/>
          <w:lang w:val="en-US" w:eastAsia="zh-CN"/>
        </w:rPr>
        <w:t xml:space="preserve"> 其他配套材料及附件应符合国家、行业、地方现行相关标准的规定。</w:t>
      </w:r>
    </w:p>
    <w:p w14:paraId="0CEC999F">
      <w:pPr>
        <w:pStyle w:val="3"/>
        <w:bidi w:val="0"/>
        <w:jc w:val="center"/>
        <w:rPr>
          <w:rFonts w:hint="eastAsia"/>
          <w:szCs w:val="22"/>
          <w:lang w:val="en-US" w:eastAsia="zh-CN"/>
        </w:rPr>
      </w:pPr>
      <w:bookmarkStart w:id="43" w:name="_Toc27286"/>
      <w:r>
        <w:rPr>
          <w:rFonts w:hint="eastAsia"/>
          <w:szCs w:val="22"/>
          <w:lang w:val="en-US" w:eastAsia="zh-CN"/>
        </w:rPr>
        <w:t>5.3改性玻化微珠外墙粘锚托系统</w:t>
      </w:r>
      <w:bookmarkEnd w:id="43"/>
    </w:p>
    <w:p w14:paraId="0D8D40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r>
        <w:rPr>
          <w:rFonts w:hint="eastAsia"/>
          <w:b/>
          <w:bCs/>
          <w:sz w:val="24"/>
          <w:szCs w:val="24"/>
          <w:lang w:val="en-US" w:eastAsia="zh-CN"/>
        </w:rPr>
        <w:t xml:space="preserve">5.3.1 </w:t>
      </w:r>
      <w:r>
        <w:rPr>
          <w:rFonts w:hint="eastAsia"/>
          <w:b w:val="0"/>
          <w:bCs w:val="0"/>
          <w:sz w:val="24"/>
          <w:szCs w:val="24"/>
          <w:lang w:val="en-US" w:eastAsia="zh-CN"/>
        </w:rPr>
        <w:t>改性玻化微珠外墙粘锚托系统的性能指标应符合表5.3.1的要求。</w:t>
      </w:r>
    </w:p>
    <w:p w14:paraId="0B2EC23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lang w:val="en-US" w:eastAsia="zh-CN"/>
        </w:rPr>
      </w:pPr>
      <w:r>
        <w:rPr>
          <w:rFonts w:hint="eastAsia"/>
          <w:b/>
          <w:bCs/>
          <w:sz w:val="21"/>
          <w:szCs w:val="21"/>
          <w:lang w:val="en-US" w:eastAsia="zh-CN"/>
        </w:rPr>
        <w:t>表5.3.1 改性玻化微珠外墙粘锚托系统的性能指标</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2087"/>
        <w:gridCol w:w="3123"/>
        <w:gridCol w:w="2131"/>
      </w:tblGrid>
      <w:tr w14:paraId="77533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8" w:type="dxa"/>
            <w:gridSpan w:val="2"/>
            <w:noWrap w:val="0"/>
            <w:vAlign w:val="top"/>
          </w:tcPr>
          <w:p w14:paraId="0A4A2ADD">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项目</w:t>
            </w:r>
          </w:p>
        </w:tc>
        <w:tc>
          <w:tcPr>
            <w:tcW w:w="3123" w:type="dxa"/>
            <w:noWrap w:val="0"/>
            <w:vAlign w:val="top"/>
          </w:tcPr>
          <w:p w14:paraId="241D828A">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性能指标</w:t>
            </w:r>
          </w:p>
        </w:tc>
        <w:tc>
          <w:tcPr>
            <w:tcW w:w="2131" w:type="dxa"/>
            <w:noWrap w:val="0"/>
            <w:vAlign w:val="top"/>
          </w:tcPr>
          <w:p w14:paraId="19F8BF0B">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试验方法</w:t>
            </w:r>
          </w:p>
        </w:tc>
      </w:tr>
      <w:tr w14:paraId="17A94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vMerge w:val="restart"/>
            <w:noWrap w:val="0"/>
            <w:vAlign w:val="center"/>
          </w:tcPr>
          <w:p w14:paraId="701A4749">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耐候性</w:t>
            </w:r>
          </w:p>
        </w:tc>
        <w:tc>
          <w:tcPr>
            <w:tcW w:w="2087" w:type="dxa"/>
            <w:noWrap w:val="0"/>
            <w:vAlign w:val="center"/>
          </w:tcPr>
          <w:p w14:paraId="1A9B265B">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外观</w:t>
            </w:r>
          </w:p>
        </w:tc>
        <w:tc>
          <w:tcPr>
            <w:tcW w:w="3123" w:type="dxa"/>
            <w:noWrap w:val="0"/>
            <w:vAlign w:val="top"/>
          </w:tcPr>
          <w:p w14:paraId="622450E3">
            <w:pPr>
              <w:rPr>
                <w:rFonts w:hint="default"/>
                <w:b w:val="0"/>
                <w:bCs w:val="0"/>
                <w:sz w:val="21"/>
                <w:szCs w:val="21"/>
                <w:vertAlign w:val="baseline"/>
                <w:lang w:val="en-US" w:eastAsia="zh-CN"/>
              </w:rPr>
            </w:pPr>
            <w:r>
              <w:rPr>
                <w:rFonts w:hint="eastAsia"/>
                <w:b w:val="0"/>
                <w:bCs w:val="0"/>
                <w:sz w:val="21"/>
                <w:szCs w:val="21"/>
                <w:vertAlign w:val="baseline"/>
                <w:lang w:val="en-US" w:eastAsia="zh-CN"/>
              </w:rPr>
              <w:t>不得出现空鼓、剥落或脱落、开裂等破坏，不得产生裂缝出现渗水</w:t>
            </w:r>
          </w:p>
        </w:tc>
        <w:tc>
          <w:tcPr>
            <w:tcW w:w="2131" w:type="dxa"/>
            <w:vMerge w:val="restart"/>
            <w:noWrap w:val="0"/>
            <w:vAlign w:val="center"/>
          </w:tcPr>
          <w:p w14:paraId="6C013F98">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《外墙外保温工程技术标准》JGJ144</w:t>
            </w:r>
          </w:p>
        </w:tc>
      </w:tr>
      <w:tr w14:paraId="72D7E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vMerge w:val="continue"/>
            <w:noWrap w:val="0"/>
            <w:vAlign w:val="center"/>
          </w:tcPr>
          <w:p w14:paraId="204CB0E7">
            <w:pPr>
              <w:jc w:val="both"/>
              <w:rPr>
                <w:rFonts w:hint="default"/>
                <w:b w:val="0"/>
                <w:bCs w:val="0"/>
                <w:sz w:val="21"/>
                <w:szCs w:val="21"/>
                <w:vertAlign w:val="baseline"/>
                <w:lang w:val="en-US" w:eastAsia="zh-CN"/>
              </w:rPr>
            </w:pPr>
          </w:p>
        </w:tc>
        <w:tc>
          <w:tcPr>
            <w:tcW w:w="2087" w:type="dxa"/>
            <w:noWrap w:val="0"/>
            <w:vAlign w:val="center"/>
          </w:tcPr>
          <w:p w14:paraId="1293128A">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拉伸粘结强度（MPa）</w:t>
            </w:r>
          </w:p>
        </w:tc>
        <w:tc>
          <w:tcPr>
            <w:tcW w:w="3123" w:type="dxa"/>
            <w:noWrap w:val="0"/>
            <w:vAlign w:val="top"/>
          </w:tcPr>
          <w:p w14:paraId="618B69A6">
            <w:pPr>
              <w:rPr>
                <w:rFonts w:hint="default"/>
                <w:b w:val="0"/>
                <w:bCs w:val="0"/>
                <w:sz w:val="21"/>
                <w:szCs w:val="21"/>
                <w:highlight w:val="none"/>
                <w:vertAlign w:val="baseline"/>
                <w:lang w:val="en-US" w:eastAsia="zh-CN"/>
              </w:rPr>
            </w:pPr>
            <w:r>
              <w:rPr>
                <w:rFonts w:hint="eastAsia"/>
                <w:b w:val="0"/>
                <w:bCs w:val="0"/>
                <w:sz w:val="21"/>
                <w:szCs w:val="21"/>
                <w:highlight w:val="none"/>
                <w:vertAlign w:val="baseline"/>
                <w:lang w:val="en-US" w:eastAsia="zh-CN"/>
              </w:rPr>
              <w:t>≥0.10，且破坏发生在轻质砂浆层内</w:t>
            </w:r>
          </w:p>
        </w:tc>
        <w:tc>
          <w:tcPr>
            <w:tcW w:w="2131" w:type="dxa"/>
            <w:vMerge w:val="continue"/>
            <w:noWrap w:val="0"/>
            <w:vAlign w:val="top"/>
          </w:tcPr>
          <w:p w14:paraId="5831471B">
            <w:pPr>
              <w:rPr>
                <w:rFonts w:hint="default"/>
                <w:b w:val="0"/>
                <w:bCs w:val="0"/>
                <w:sz w:val="21"/>
                <w:szCs w:val="21"/>
                <w:vertAlign w:val="baseline"/>
                <w:lang w:val="en-US" w:eastAsia="zh-CN"/>
              </w:rPr>
            </w:pPr>
          </w:p>
        </w:tc>
      </w:tr>
      <w:tr w14:paraId="46045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vMerge w:val="restart"/>
            <w:noWrap w:val="0"/>
            <w:vAlign w:val="center"/>
          </w:tcPr>
          <w:p w14:paraId="4E052E10">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耐冻融性</w:t>
            </w:r>
          </w:p>
        </w:tc>
        <w:tc>
          <w:tcPr>
            <w:tcW w:w="2087" w:type="dxa"/>
            <w:noWrap w:val="0"/>
            <w:vAlign w:val="center"/>
          </w:tcPr>
          <w:p w14:paraId="43406FB7">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外观</w:t>
            </w:r>
          </w:p>
        </w:tc>
        <w:tc>
          <w:tcPr>
            <w:tcW w:w="3123" w:type="dxa"/>
            <w:noWrap w:val="0"/>
            <w:vAlign w:val="top"/>
          </w:tcPr>
          <w:p w14:paraId="2A67249E">
            <w:pPr>
              <w:rPr>
                <w:rFonts w:hint="default"/>
                <w:b w:val="0"/>
                <w:bCs w:val="0"/>
                <w:sz w:val="21"/>
                <w:szCs w:val="21"/>
                <w:vertAlign w:val="baseline"/>
                <w:lang w:val="en-US" w:eastAsia="zh-CN"/>
              </w:rPr>
            </w:pPr>
            <w:r>
              <w:rPr>
                <w:rFonts w:hint="eastAsia"/>
                <w:b w:val="0"/>
                <w:bCs w:val="0"/>
                <w:sz w:val="21"/>
                <w:szCs w:val="21"/>
                <w:vertAlign w:val="baseline"/>
                <w:lang w:val="en-US" w:eastAsia="zh-CN"/>
              </w:rPr>
              <w:t>经30次冻融循环后，系统无空鼓、剥落，无可见裂缝</w:t>
            </w:r>
          </w:p>
        </w:tc>
        <w:tc>
          <w:tcPr>
            <w:tcW w:w="2131" w:type="dxa"/>
            <w:vMerge w:val="continue"/>
            <w:noWrap w:val="0"/>
            <w:vAlign w:val="top"/>
          </w:tcPr>
          <w:p w14:paraId="6B06E5A6">
            <w:pPr>
              <w:rPr>
                <w:rFonts w:hint="default"/>
                <w:b w:val="0"/>
                <w:bCs w:val="0"/>
                <w:sz w:val="21"/>
                <w:szCs w:val="21"/>
                <w:vertAlign w:val="baseline"/>
                <w:lang w:val="en-US" w:eastAsia="zh-CN"/>
              </w:rPr>
            </w:pPr>
          </w:p>
        </w:tc>
      </w:tr>
      <w:tr w14:paraId="69F3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vMerge w:val="continue"/>
            <w:noWrap w:val="0"/>
            <w:vAlign w:val="center"/>
          </w:tcPr>
          <w:p w14:paraId="2136F56A">
            <w:pPr>
              <w:jc w:val="both"/>
              <w:rPr>
                <w:rFonts w:hint="default"/>
                <w:b w:val="0"/>
                <w:bCs w:val="0"/>
                <w:sz w:val="21"/>
                <w:szCs w:val="21"/>
                <w:vertAlign w:val="baseline"/>
                <w:lang w:val="en-US" w:eastAsia="zh-CN"/>
              </w:rPr>
            </w:pPr>
          </w:p>
        </w:tc>
        <w:tc>
          <w:tcPr>
            <w:tcW w:w="2087" w:type="dxa"/>
            <w:noWrap w:val="0"/>
            <w:vAlign w:val="center"/>
          </w:tcPr>
          <w:p w14:paraId="693F0137">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拉伸粘结强度（MPa）</w:t>
            </w:r>
          </w:p>
        </w:tc>
        <w:tc>
          <w:tcPr>
            <w:tcW w:w="3123" w:type="dxa"/>
            <w:noWrap w:val="0"/>
            <w:vAlign w:val="top"/>
          </w:tcPr>
          <w:p w14:paraId="5153CFCC">
            <w:pPr>
              <w:rPr>
                <w:rFonts w:hint="default"/>
                <w:b w:val="0"/>
                <w:bCs w:val="0"/>
                <w:sz w:val="21"/>
                <w:szCs w:val="21"/>
                <w:highlight w:val="none"/>
                <w:vertAlign w:val="baseline"/>
                <w:lang w:val="en-US" w:eastAsia="zh-CN"/>
              </w:rPr>
            </w:pPr>
            <w:r>
              <w:rPr>
                <w:rFonts w:hint="eastAsia"/>
                <w:b w:val="0"/>
                <w:bCs w:val="0"/>
                <w:sz w:val="21"/>
                <w:szCs w:val="21"/>
                <w:highlight w:val="none"/>
                <w:vertAlign w:val="baseline"/>
                <w:lang w:val="en-US" w:eastAsia="zh-CN"/>
              </w:rPr>
              <w:t>≥0.10，且破坏发生在轻质砂浆层内</w:t>
            </w:r>
          </w:p>
        </w:tc>
        <w:tc>
          <w:tcPr>
            <w:tcW w:w="2131" w:type="dxa"/>
            <w:vMerge w:val="continue"/>
            <w:noWrap w:val="0"/>
            <w:vAlign w:val="top"/>
          </w:tcPr>
          <w:p w14:paraId="14577367">
            <w:pPr>
              <w:rPr>
                <w:rFonts w:hint="default"/>
                <w:b w:val="0"/>
                <w:bCs w:val="0"/>
                <w:sz w:val="21"/>
                <w:szCs w:val="21"/>
                <w:vertAlign w:val="baseline"/>
                <w:lang w:val="en-US" w:eastAsia="zh-CN"/>
              </w:rPr>
            </w:pPr>
          </w:p>
        </w:tc>
      </w:tr>
      <w:tr w14:paraId="3A2ED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181" w:type="dxa"/>
            <w:vMerge w:val="restart"/>
            <w:noWrap w:val="0"/>
            <w:vAlign w:val="center"/>
          </w:tcPr>
          <w:p w14:paraId="09DF8485">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抗冲击性</w:t>
            </w:r>
          </w:p>
        </w:tc>
        <w:tc>
          <w:tcPr>
            <w:tcW w:w="2087" w:type="dxa"/>
            <w:noWrap w:val="0"/>
            <w:vAlign w:val="center"/>
          </w:tcPr>
          <w:p w14:paraId="098A108A">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二层及以上</w:t>
            </w:r>
          </w:p>
        </w:tc>
        <w:tc>
          <w:tcPr>
            <w:tcW w:w="3123" w:type="dxa"/>
            <w:noWrap w:val="0"/>
            <w:vAlign w:val="top"/>
          </w:tcPr>
          <w:p w14:paraId="0A7F471C">
            <w:pPr>
              <w:rPr>
                <w:rFonts w:hint="default"/>
                <w:b w:val="0"/>
                <w:bCs w:val="0"/>
                <w:sz w:val="21"/>
                <w:szCs w:val="21"/>
                <w:vertAlign w:val="baseline"/>
                <w:lang w:val="en-US" w:eastAsia="zh-CN"/>
              </w:rPr>
            </w:pPr>
            <w:r>
              <w:rPr>
                <w:rFonts w:hint="eastAsia"/>
                <w:b w:val="0"/>
                <w:bCs w:val="0"/>
                <w:sz w:val="21"/>
                <w:szCs w:val="21"/>
                <w:vertAlign w:val="baseline"/>
                <w:lang w:val="en-US" w:eastAsia="zh-CN"/>
              </w:rPr>
              <w:t>3J级</w:t>
            </w:r>
          </w:p>
        </w:tc>
        <w:tc>
          <w:tcPr>
            <w:tcW w:w="2131" w:type="dxa"/>
            <w:vMerge w:val="continue"/>
            <w:noWrap w:val="0"/>
            <w:vAlign w:val="top"/>
          </w:tcPr>
          <w:p w14:paraId="1B1E5FEF">
            <w:pPr>
              <w:rPr>
                <w:rFonts w:hint="default"/>
                <w:b w:val="0"/>
                <w:bCs w:val="0"/>
                <w:sz w:val="21"/>
                <w:szCs w:val="21"/>
                <w:vertAlign w:val="baseline"/>
                <w:lang w:val="en-US" w:eastAsia="zh-CN"/>
              </w:rPr>
            </w:pPr>
          </w:p>
        </w:tc>
      </w:tr>
      <w:tr w14:paraId="633E4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vMerge w:val="continue"/>
            <w:noWrap w:val="0"/>
            <w:vAlign w:val="top"/>
          </w:tcPr>
          <w:p w14:paraId="3BD51F12">
            <w:pPr>
              <w:rPr>
                <w:rFonts w:hint="default"/>
                <w:b w:val="0"/>
                <w:bCs w:val="0"/>
                <w:sz w:val="21"/>
                <w:szCs w:val="21"/>
                <w:vertAlign w:val="baseline"/>
                <w:lang w:val="en-US" w:eastAsia="zh-CN"/>
              </w:rPr>
            </w:pPr>
          </w:p>
        </w:tc>
        <w:tc>
          <w:tcPr>
            <w:tcW w:w="2087" w:type="dxa"/>
            <w:noWrap w:val="0"/>
            <w:vAlign w:val="center"/>
          </w:tcPr>
          <w:p w14:paraId="5D3F0928">
            <w:p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首层</w:t>
            </w:r>
          </w:p>
        </w:tc>
        <w:tc>
          <w:tcPr>
            <w:tcW w:w="3123" w:type="dxa"/>
            <w:noWrap w:val="0"/>
            <w:vAlign w:val="top"/>
          </w:tcPr>
          <w:p w14:paraId="7CE1DE24">
            <w:pPr>
              <w:rPr>
                <w:rFonts w:hint="default"/>
                <w:b w:val="0"/>
                <w:bCs w:val="0"/>
                <w:sz w:val="21"/>
                <w:szCs w:val="21"/>
                <w:vertAlign w:val="baseline"/>
                <w:lang w:val="en-US" w:eastAsia="zh-CN"/>
              </w:rPr>
            </w:pPr>
            <w:r>
              <w:rPr>
                <w:rFonts w:hint="eastAsia"/>
                <w:b w:val="0"/>
                <w:bCs w:val="0"/>
                <w:sz w:val="21"/>
                <w:szCs w:val="21"/>
                <w:vertAlign w:val="baseline"/>
                <w:lang w:val="en-US" w:eastAsia="zh-CN"/>
              </w:rPr>
              <w:t>10J级</w:t>
            </w:r>
          </w:p>
        </w:tc>
        <w:tc>
          <w:tcPr>
            <w:tcW w:w="2131" w:type="dxa"/>
            <w:vMerge w:val="continue"/>
            <w:noWrap w:val="0"/>
            <w:vAlign w:val="top"/>
          </w:tcPr>
          <w:p w14:paraId="2F1FC9BB">
            <w:pPr>
              <w:rPr>
                <w:rFonts w:hint="default"/>
                <w:b w:val="0"/>
                <w:bCs w:val="0"/>
                <w:sz w:val="21"/>
                <w:szCs w:val="21"/>
                <w:vertAlign w:val="baseline"/>
                <w:lang w:val="en-US" w:eastAsia="zh-CN"/>
              </w:rPr>
            </w:pPr>
          </w:p>
        </w:tc>
      </w:tr>
      <w:tr w14:paraId="27510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8" w:type="dxa"/>
            <w:gridSpan w:val="2"/>
            <w:noWrap w:val="0"/>
            <w:vAlign w:val="top"/>
          </w:tcPr>
          <w:p w14:paraId="29A1DDF6">
            <w:pPr>
              <w:rPr>
                <w:rFonts w:hint="default"/>
                <w:b w:val="0"/>
                <w:bCs w:val="0"/>
                <w:sz w:val="21"/>
                <w:szCs w:val="21"/>
                <w:vertAlign w:val="baseline"/>
                <w:lang w:val="en-US" w:eastAsia="zh-CN"/>
              </w:rPr>
            </w:pPr>
            <w:r>
              <w:rPr>
                <w:rFonts w:hint="eastAsia"/>
                <w:b w:val="0"/>
                <w:bCs w:val="0"/>
                <w:sz w:val="21"/>
                <w:szCs w:val="21"/>
                <w:vertAlign w:val="baseline"/>
                <w:lang w:val="en-US" w:eastAsia="zh-CN"/>
              </w:rPr>
              <w:t>吸水量（g/m</w:t>
            </w:r>
            <w:r>
              <w:rPr>
                <w:rFonts w:hint="eastAsia"/>
                <w:b w:val="0"/>
                <w:bCs w:val="0"/>
                <w:sz w:val="21"/>
                <w:szCs w:val="21"/>
                <w:vertAlign w:val="superscript"/>
                <w:lang w:val="en-US" w:eastAsia="zh-CN"/>
              </w:rPr>
              <w:t>2</w:t>
            </w:r>
            <w:r>
              <w:rPr>
                <w:rFonts w:hint="eastAsia"/>
                <w:b w:val="0"/>
                <w:bCs w:val="0"/>
                <w:sz w:val="21"/>
                <w:szCs w:val="21"/>
                <w:vertAlign w:val="baseline"/>
                <w:lang w:val="en-US" w:eastAsia="zh-CN"/>
              </w:rPr>
              <w:t>）</w:t>
            </w:r>
          </w:p>
        </w:tc>
        <w:tc>
          <w:tcPr>
            <w:tcW w:w="3123" w:type="dxa"/>
            <w:noWrap w:val="0"/>
            <w:vAlign w:val="top"/>
          </w:tcPr>
          <w:p w14:paraId="5792C5D2">
            <w:pPr>
              <w:rPr>
                <w:rFonts w:hint="default"/>
                <w:b w:val="0"/>
                <w:bCs w:val="0"/>
                <w:sz w:val="21"/>
                <w:szCs w:val="21"/>
                <w:vertAlign w:val="baseline"/>
                <w:lang w:val="en-US" w:eastAsia="zh-CN"/>
              </w:rPr>
            </w:pPr>
            <w:r>
              <w:rPr>
                <w:rFonts w:hint="eastAsia"/>
                <w:b w:val="0"/>
                <w:bCs w:val="0"/>
                <w:sz w:val="21"/>
                <w:szCs w:val="21"/>
                <w:vertAlign w:val="baseline"/>
                <w:lang w:val="en-US" w:eastAsia="zh-CN"/>
              </w:rPr>
              <w:t>≤500</w:t>
            </w:r>
          </w:p>
        </w:tc>
        <w:tc>
          <w:tcPr>
            <w:tcW w:w="2131" w:type="dxa"/>
            <w:vMerge w:val="continue"/>
            <w:noWrap w:val="0"/>
            <w:vAlign w:val="top"/>
          </w:tcPr>
          <w:p w14:paraId="0A034F16">
            <w:pPr>
              <w:rPr>
                <w:rFonts w:hint="default"/>
                <w:b w:val="0"/>
                <w:bCs w:val="0"/>
                <w:sz w:val="21"/>
                <w:szCs w:val="21"/>
                <w:vertAlign w:val="baseline"/>
                <w:lang w:val="en-US" w:eastAsia="zh-CN"/>
              </w:rPr>
            </w:pPr>
          </w:p>
        </w:tc>
      </w:tr>
      <w:tr w14:paraId="16ABC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8" w:type="dxa"/>
            <w:gridSpan w:val="2"/>
            <w:noWrap w:val="0"/>
            <w:vAlign w:val="top"/>
          </w:tcPr>
          <w:p w14:paraId="06369BD4">
            <w:pPr>
              <w:rPr>
                <w:rFonts w:hint="default"/>
                <w:b w:val="0"/>
                <w:bCs w:val="0"/>
                <w:sz w:val="21"/>
                <w:szCs w:val="21"/>
                <w:vertAlign w:val="baseline"/>
                <w:lang w:val="en-US" w:eastAsia="zh-CN"/>
              </w:rPr>
            </w:pPr>
            <w:r>
              <w:rPr>
                <w:rFonts w:hint="eastAsia"/>
                <w:b w:val="0"/>
                <w:bCs w:val="0"/>
                <w:sz w:val="21"/>
                <w:szCs w:val="21"/>
                <w:vertAlign w:val="baseline"/>
                <w:lang w:val="en-US" w:eastAsia="zh-CN"/>
              </w:rPr>
              <w:t>热阻</w:t>
            </w:r>
          </w:p>
        </w:tc>
        <w:tc>
          <w:tcPr>
            <w:tcW w:w="3123" w:type="dxa"/>
            <w:noWrap w:val="0"/>
            <w:vAlign w:val="top"/>
          </w:tcPr>
          <w:p w14:paraId="5DEBDADE">
            <w:pPr>
              <w:rPr>
                <w:rFonts w:hint="default"/>
                <w:b w:val="0"/>
                <w:bCs w:val="0"/>
                <w:sz w:val="21"/>
                <w:szCs w:val="21"/>
                <w:vertAlign w:val="baseline"/>
                <w:lang w:val="en-US" w:eastAsia="zh-CN"/>
              </w:rPr>
            </w:pPr>
            <w:r>
              <w:rPr>
                <w:rFonts w:hint="eastAsia"/>
                <w:b w:val="0"/>
                <w:bCs w:val="0"/>
                <w:sz w:val="21"/>
                <w:szCs w:val="21"/>
                <w:vertAlign w:val="baseline"/>
                <w:lang w:val="en-US" w:eastAsia="zh-CN"/>
              </w:rPr>
              <w:t>符合设计要求</w:t>
            </w:r>
          </w:p>
        </w:tc>
        <w:tc>
          <w:tcPr>
            <w:tcW w:w="2131" w:type="dxa"/>
            <w:vMerge w:val="continue"/>
            <w:noWrap w:val="0"/>
            <w:vAlign w:val="top"/>
          </w:tcPr>
          <w:p w14:paraId="5AD2B9D0">
            <w:pPr>
              <w:rPr>
                <w:rFonts w:hint="default"/>
                <w:b w:val="0"/>
                <w:bCs w:val="0"/>
                <w:sz w:val="21"/>
                <w:szCs w:val="21"/>
                <w:vertAlign w:val="baseline"/>
                <w:lang w:val="en-US" w:eastAsia="zh-CN"/>
              </w:rPr>
            </w:pPr>
          </w:p>
        </w:tc>
      </w:tr>
      <w:tr w14:paraId="277EF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8" w:type="dxa"/>
            <w:gridSpan w:val="2"/>
            <w:noWrap w:val="0"/>
            <w:vAlign w:val="top"/>
          </w:tcPr>
          <w:p w14:paraId="267B8C73">
            <w:pPr>
              <w:rPr>
                <w:rFonts w:hint="default"/>
                <w:b w:val="0"/>
                <w:bCs w:val="0"/>
                <w:sz w:val="21"/>
                <w:szCs w:val="21"/>
                <w:vertAlign w:val="baseline"/>
                <w:lang w:val="en-US" w:eastAsia="zh-CN"/>
              </w:rPr>
            </w:pPr>
            <w:r>
              <w:rPr>
                <w:rFonts w:hint="eastAsia"/>
                <w:b w:val="0"/>
                <w:bCs w:val="0"/>
                <w:sz w:val="21"/>
                <w:szCs w:val="21"/>
                <w:vertAlign w:val="baseline"/>
                <w:lang w:val="en-US" w:eastAsia="zh-CN"/>
              </w:rPr>
              <w:t>抹面层不透水性</w:t>
            </w:r>
          </w:p>
        </w:tc>
        <w:tc>
          <w:tcPr>
            <w:tcW w:w="3123" w:type="dxa"/>
            <w:noWrap w:val="0"/>
            <w:vAlign w:val="top"/>
          </w:tcPr>
          <w:p w14:paraId="77143C03">
            <w:pPr>
              <w:rPr>
                <w:rFonts w:hint="default"/>
                <w:b w:val="0"/>
                <w:bCs w:val="0"/>
                <w:sz w:val="21"/>
                <w:szCs w:val="21"/>
                <w:vertAlign w:val="baseline"/>
                <w:lang w:val="en-US" w:eastAsia="zh-CN"/>
              </w:rPr>
            </w:pPr>
            <w:r>
              <w:rPr>
                <w:rFonts w:hint="eastAsia"/>
                <w:b w:val="0"/>
                <w:bCs w:val="0"/>
                <w:sz w:val="21"/>
                <w:szCs w:val="21"/>
                <w:vertAlign w:val="baseline"/>
                <w:lang w:val="en-US" w:eastAsia="zh-CN"/>
              </w:rPr>
              <w:t>2h不透水</w:t>
            </w:r>
          </w:p>
        </w:tc>
        <w:tc>
          <w:tcPr>
            <w:tcW w:w="2131" w:type="dxa"/>
            <w:vMerge w:val="continue"/>
            <w:noWrap w:val="0"/>
            <w:vAlign w:val="top"/>
          </w:tcPr>
          <w:p w14:paraId="4E57B6A8">
            <w:pPr>
              <w:rPr>
                <w:rFonts w:hint="default"/>
                <w:b w:val="0"/>
                <w:bCs w:val="0"/>
                <w:sz w:val="21"/>
                <w:szCs w:val="21"/>
                <w:vertAlign w:val="baseline"/>
                <w:lang w:val="en-US" w:eastAsia="zh-CN"/>
              </w:rPr>
            </w:pPr>
          </w:p>
        </w:tc>
      </w:tr>
      <w:tr w14:paraId="5E0AA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8" w:type="dxa"/>
            <w:gridSpan w:val="2"/>
            <w:noWrap w:val="0"/>
            <w:vAlign w:val="top"/>
          </w:tcPr>
          <w:p w14:paraId="15D3A16E">
            <w:pPr>
              <w:rPr>
                <w:rFonts w:hint="default"/>
                <w:b w:val="0"/>
                <w:bCs w:val="0"/>
                <w:sz w:val="21"/>
                <w:szCs w:val="21"/>
                <w:vertAlign w:val="baseline"/>
                <w:lang w:val="en-US" w:eastAsia="zh-CN"/>
              </w:rPr>
            </w:pPr>
            <w:r>
              <w:rPr>
                <w:rFonts w:hint="eastAsia"/>
                <w:b w:val="0"/>
                <w:bCs w:val="0"/>
                <w:sz w:val="21"/>
                <w:szCs w:val="21"/>
                <w:vertAlign w:val="baseline"/>
                <w:lang w:val="en-US" w:eastAsia="zh-CN"/>
              </w:rPr>
              <w:t>防护层水蒸气渗透阻</w:t>
            </w:r>
          </w:p>
        </w:tc>
        <w:tc>
          <w:tcPr>
            <w:tcW w:w="3123" w:type="dxa"/>
            <w:noWrap w:val="0"/>
            <w:vAlign w:val="top"/>
          </w:tcPr>
          <w:p w14:paraId="33097E70">
            <w:pPr>
              <w:rPr>
                <w:rFonts w:hint="default"/>
                <w:b w:val="0"/>
                <w:bCs w:val="0"/>
                <w:sz w:val="21"/>
                <w:szCs w:val="21"/>
                <w:vertAlign w:val="baseline"/>
                <w:lang w:val="en-US" w:eastAsia="zh-CN"/>
              </w:rPr>
            </w:pPr>
            <w:r>
              <w:rPr>
                <w:rFonts w:hint="eastAsia"/>
                <w:b w:val="0"/>
                <w:bCs w:val="0"/>
                <w:sz w:val="21"/>
                <w:szCs w:val="21"/>
                <w:vertAlign w:val="baseline"/>
                <w:lang w:val="en-US" w:eastAsia="zh-CN"/>
              </w:rPr>
              <w:t>符合设计要求</w:t>
            </w:r>
          </w:p>
        </w:tc>
        <w:tc>
          <w:tcPr>
            <w:tcW w:w="2131" w:type="dxa"/>
            <w:vMerge w:val="continue"/>
            <w:noWrap w:val="0"/>
            <w:vAlign w:val="top"/>
          </w:tcPr>
          <w:p w14:paraId="32D2750E">
            <w:pPr>
              <w:rPr>
                <w:rFonts w:hint="default"/>
                <w:b w:val="0"/>
                <w:bCs w:val="0"/>
                <w:sz w:val="21"/>
                <w:szCs w:val="21"/>
                <w:vertAlign w:val="baseline"/>
                <w:lang w:val="en-US" w:eastAsia="zh-CN"/>
              </w:rPr>
            </w:pPr>
          </w:p>
        </w:tc>
      </w:tr>
    </w:tbl>
    <w:p w14:paraId="5F41B3AB">
      <w:pPr>
        <w:rPr>
          <w:rFonts w:hint="eastAsia"/>
          <w:b w:val="0"/>
          <w:bCs w:val="0"/>
          <w:sz w:val="24"/>
          <w:szCs w:val="24"/>
          <w:lang w:val="en-US" w:eastAsia="zh-CN"/>
        </w:rPr>
      </w:pPr>
      <w:r>
        <w:rPr>
          <w:rFonts w:hint="eastAsia"/>
          <w:b w:val="0"/>
          <w:bCs w:val="0"/>
          <w:sz w:val="21"/>
          <w:szCs w:val="21"/>
          <w:lang w:val="en-US" w:eastAsia="zh-CN"/>
        </w:rPr>
        <w:t>注：当需要检验系统抗风荷载性能时，其性能指标应符合相关国家标准的规定。</w:t>
      </w:r>
    </w:p>
    <w:p w14:paraId="188291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r>
        <w:rPr>
          <w:rFonts w:hint="eastAsia"/>
          <w:b/>
          <w:sz w:val="24"/>
          <w:szCs w:val="24"/>
          <w:lang w:val="en-US" w:eastAsia="zh-CN"/>
        </w:rPr>
        <w:t xml:space="preserve">5.3.2 </w:t>
      </w:r>
      <w:r>
        <w:rPr>
          <w:rFonts w:hint="eastAsia" w:ascii="Times New Roman" w:hAnsi="Times New Roman" w:eastAsia="宋体" w:cs="Times New Roman"/>
          <w:b w:val="0"/>
          <w:bCs w:val="0"/>
          <w:sz w:val="24"/>
          <w:szCs w:val="24"/>
          <w:lang w:val="en-US" w:eastAsia="zh-CN"/>
        </w:rPr>
        <w:t>改性玻化微珠轻质砂浆的原材料及制备要求应符合现行地方标准《改性玻化微珠轻质砂浆通用技术条件》DB43/T2722的要求，</w:t>
      </w:r>
      <w:r>
        <w:rPr>
          <w:rFonts w:hint="eastAsia"/>
          <w:b w:val="0"/>
          <w:bCs w:val="0"/>
          <w:sz w:val="24"/>
          <w:szCs w:val="24"/>
          <w:lang w:val="en-US" w:eastAsia="zh-CN"/>
        </w:rPr>
        <w:t>厚度应按计算确定，性能指标应符合表5.3.2的要求。</w:t>
      </w:r>
    </w:p>
    <w:p w14:paraId="4337676D">
      <w:pPr>
        <w:autoSpaceDE w:val="0"/>
        <w:autoSpaceDN w:val="0"/>
        <w:spacing w:line="360" w:lineRule="auto"/>
        <w:ind w:firstLine="2319" w:firstLineChars="1100"/>
        <w:rPr>
          <w:rFonts w:hint="default" w:eastAsia="宋体"/>
          <w:b/>
          <w:sz w:val="21"/>
          <w:szCs w:val="21"/>
          <w:highlight w:val="green"/>
          <w:lang w:val="en-US" w:eastAsia="zh-CN"/>
        </w:rPr>
      </w:pPr>
      <w:r>
        <w:rPr>
          <w:rFonts w:hint="eastAsia" w:eastAsia="宋体"/>
          <w:b/>
          <w:sz w:val="21"/>
          <w:szCs w:val="21"/>
          <w:highlight w:val="none"/>
        </w:rPr>
        <w:t>表</w:t>
      </w:r>
      <w:r>
        <w:rPr>
          <w:rFonts w:hint="eastAsia" w:eastAsia="宋体"/>
          <w:b/>
          <w:sz w:val="21"/>
          <w:szCs w:val="21"/>
          <w:highlight w:val="none"/>
          <w:lang w:val="en-US" w:eastAsia="zh-CN"/>
        </w:rPr>
        <w:t>5.3.2</w:t>
      </w:r>
      <w:r>
        <w:rPr>
          <w:rFonts w:hint="eastAsia" w:eastAsia="宋体"/>
          <w:b/>
          <w:sz w:val="21"/>
          <w:szCs w:val="21"/>
          <w:highlight w:val="none"/>
        </w:rPr>
        <w:t xml:space="preserve"> 改性玻化微珠轻质砂浆性能要求</w:t>
      </w:r>
    </w:p>
    <w:tbl>
      <w:tblPr>
        <w:tblStyle w:val="11"/>
        <w:tblW w:w="6962" w:type="dxa"/>
        <w:jc w:val="center"/>
        <w:tblLayout w:type="fixed"/>
        <w:tblCellMar>
          <w:top w:w="0" w:type="dxa"/>
          <w:left w:w="108" w:type="dxa"/>
          <w:bottom w:w="0" w:type="dxa"/>
          <w:right w:w="108" w:type="dxa"/>
        </w:tblCellMar>
      </w:tblPr>
      <w:tblGrid>
        <w:gridCol w:w="1970"/>
        <w:gridCol w:w="1385"/>
        <w:gridCol w:w="1186"/>
        <w:gridCol w:w="1392"/>
        <w:gridCol w:w="1029"/>
      </w:tblGrid>
      <w:tr w14:paraId="3A0B7343">
        <w:tblPrEx>
          <w:tblCellMar>
            <w:top w:w="0" w:type="dxa"/>
            <w:left w:w="108" w:type="dxa"/>
            <w:bottom w:w="0" w:type="dxa"/>
            <w:right w:w="108" w:type="dxa"/>
          </w:tblCellMar>
        </w:tblPrEx>
        <w:trPr>
          <w:trHeight w:val="400" w:hRule="atLeast"/>
          <w:jc w:val="center"/>
        </w:trPr>
        <w:tc>
          <w:tcPr>
            <w:tcW w:w="1970" w:type="dxa"/>
            <w:tcBorders>
              <w:top w:val="single" w:color="auto" w:sz="4" w:space="0"/>
              <w:left w:val="single" w:color="auto" w:sz="4" w:space="0"/>
              <w:bottom w:val="single" w:color="auto" w:sz="4" w:space="0"/>
              <w:right w:val="single" w:color="auto" w:sz="4" w:space="0"/>
            </w:tcBorders>
            <w:vAlign w:val="center"/>
          </w:tcPr>
          <w:p w14:paraId="59F7FA61">
            <w:pPr>
              <w:jc w:val="center"/>
              <w:rPr>
                <w:rFonts w:ascii="宋体" w:hAnsi="宋体" w:eastAsia="宋体" w:cs="宋体"/>
                <w:b/>
                <w:bCs/>
                <w:color w:val="auto"/>
                <w:kern w:val="2"/>
                <w:sz w:val="16"/>
                <w:szCs w:val="16"/>
              </w:rPr>
            </w:pPr>
            <w:r>
              <w:rPr>
                <w:rFonts w:hint="eastAsia" w:ascii="宋体" w:hAnsi="宋体" w:eastAsia="宋体" w:cs="宋体"/>
                <w:b/>
                <w:bCs/>
                <w:color w:val="auto"/>
                <w:sz w:val="16"/>
                <w:szCs w:val="16"/>
              </w:rPr>
              <w:t>项目</w:t>
            </w:r>
          </w:p>
        </w:tc>
        <w:tc>
          <w:tcPr>
            <w:tcW w:w="1385" w:type="dxa"/>
            <w:tcBorders>
              <w:top w:val="single" w:color="auto" w:sz="4" w:space="0"/>
              <w:left w:val="single" w:color="auto" w:sz="4" w:space="0"/>
              <w:bottom w:val="single" w:color="auto" w:sz="4" w:space="0"/>
              <w:right w:val="single" w:color="auto" w:sz="4" w:space="0"/>
            </w:tcBorders>
            <w:vAlign w:val="center"/>
          </w:tcPr>
          <w:p w14:paraId="00A5FED7">
            <w:pPr>
              <w:widowControl/>
              <w:jc w:val="center"/>
              <w:textAlignment w:val="center"/>
              <w:rPr>
                <w:rFonts w:ascii="宋体" w:hAnsi="宋体" w:eastAsia="宋体" w:cs="宋体"/>
                <w:color w:val="auto"/>
                <w:kern w:val="2"/>
                <w:sz w:val="16"/>
                <w:szCs w:val="16"/>
                <w:highlight w:val="none"/>
              </w:rPr>
            </w:pPr>
            <w:r>
              <w:rPr>
                <w:rFonts w:hint="eastAsia" w:ascii="宋体" w:hAnsi="宋体" w:eastAsia="宋体" w:cs="宋体"/>
                <w:color w:val="auto"/>
                <w:sz w:val="16"/>
                <w:szCs w:val="16"/>
                <w:highlight w:val="none"/>
                <w:lang w:bidi="ar"/>
              </w:rPr>
              <w:t>GM6</w:t>
            </w:r>
          </w:p>
        </w:tc>
        <w:tc>
          <w:tcPr>
            <w:tcW w:w="1186" w:type="dxa"/>
            <w:tcBorders>
              <w:top w:val="single" w:color="auto" w:sz="4" w:space="0"/>
              <w:left w:val="single" w:color="auto" w:sz="4" w:space="0"/>
              <w:bottom w:val="single" w:color="auto" w:sz="4" w:space="0"/>
              <w:right w:val="single" w:color="auto" w:sz="4" w:space="0"/>
            </w:tcBorders>
            <w:vAlign w:val="center"/>
          </w:tcPr>
          <w:p w14:paraId="4C5649B3">
            <w:pPr>
              <w:widowControl/>
              <w:jc w:val="center"/>
              <w:textAlignment w:val="center"/>
              <w:rPr>
                <w:rFonts w:ascii="宋体" w:hAnsi="宋体" w:eastAsia="宋体" w:cs="宋体"/>
                <w:color w:val="auto"/>
                <w:kern w:val="2"/>
                <w:sz w:val="16"/>
                <w:szCs w:val="16"/>
                <w:highlight w:val="none"/>
              </w:rPr>
            </w:pPr>
            <w:r>
              <w:rPr>
                <w:rFonts w:hint="eastAsia" w:ascii="宋体" w:hAnsi="宋体" w:eastAsia="宋体" w:cs="宋体"/>
                <w:color w:val="auto"/>
                <w:sz w:val="16"/>
                <w:szCs w:val="16"/>
                <w:highlight w:val="none"/>
                <w:lang w:bidi="ar"/>
              </w:rPr>
              <w:t>GM8</w:t>
            </w:r>
          </w:p>
        </w:tc>
        <w:tc>
          <w:tcPr>
            <w:tcW w:w="1392" w:type="dxa"/>
            <w:tcBorders>
              <w:top w:val="single" w:color="auto" w:sz="4" w:space="0"/>
              <w:left w:val="single" w:color="auto" w:sz="4" w:space="0"/>
              <w:bottom w:val="single" w:color="auto" w:sz="4" w:space="0"/>
              <w:right w:val="single" w:color="auto" w:sz="4" w:space="0"/>
            </w:tcBorders>
            <w:vAlign w:val="center"/>
          </w:tcPr>
          <w:p w14:paraId="708FE7C0">
            <w:pPr>
              <w:widowControl/>
              <w:jc w:val="center"/>
              <w:textAlignment w:val="center"/>
              <w:rPr>
                <w:rFonts w:ascii="宋体" w:hAnsi="宋体" w:eastAsia="宋体" w:cs="宋体"/>
                <w:color w:val="auto"/>
                <w:kern w:val="2"/>
                <w:sz w:val="16"/>
                <w:szCs w:val="16"/>
                <w:highlight w:val="none"/>
              </w:rPr>
            </w:pPr>
            <w:r>
              <w:rPr>
                <w:rFonts w:hint="eastAsia" w:ascii="宋体" w:hAnsi="宋体" w:eastAsia="宋体" w:cs="宋体"/>
                <w:color w:val="auto"/>
                <w:sz w:val="16"/>
                <w:szCs w:val="16"/>
                <w:highlight w:val="none"/>
                <w:lang w:bidi="ar"/>
              </w:rPr>
              <w:t>GM10</w:t>
            </w:r>
          </w:p>
        </w:tc>
        <w:tc>
          <w:tcPr>
            <w:tcW w:w="1029" w:type="dxa"/>
            <w:tcBorders>
              <w:top w:val="single" w:color="auto" w:sz="4" w:space="0"/>
              <w:left w:val="single" w:color="auto" w:sz="4" w:space="0"/>
              <w:bottom w:val="single" w:color="auto" w:sz="4" w:space="0"/>
              <w:right w:val="single" w:color="auto" w:sz="4" w:space="0"/>
            </w:tcBorders>
            <w:vAlign w:val="center"/>
          </w:tcPr>
          <w:p w14:paraId="033AAF18">
            <w:pPr>
              <w:widowControl/>
              <w:jc w:val="center"/>
              <w:textAlignment w:val="center"/>
              <w:rPr>
                <w:rFonts w:ascii="宋体" w:hAnsi="宋体" w:eastAsia="宋体" w:cs="宋体"/>
                <w:strike/>
                <w:dstrike w:val="0"/>
                <w:color w:val="FF0000"/>
                <w:kern w:val="2"/>
                <w:sz w:val="16"/>
                <w:szCs w:val="16"/>
                <w:highlight w:val="none"/>
              </w:rPr>
            </w:pPr>
            <w:r>
              <w:rPr>
                <w:rFonts w:hint="eastAsia" w:ascii="宋体" w:hAnsi="宋体" w:eastAsia="宋体" w:cs="宋体"/>
                <w:strike w:val="0"/>
                <w:dstrike w:val="0"/>
                <w:color w:val="auto"/>
                <w:sz w:val="16"/>
                <w:szCs w:val="16"/>
                <w:highlight w:val="none"/>
                <w:lang w:bidi="ar"/>
              </w:rPr>
              <w:t>GM15</w:t>
            </w:r>
          </w:p>
        </w:tc>
      </w:tr>
      <w:tr w14:paraId="770E558B">
        <w:tblPrEx>
          <w:tblCellMar>
            <w:top w:w="0" w:type="dxa"/>
            <w:left w:w="108" w:type="dxa"/>
            <w:bottom w:w="0" w:type="dxa"/>
            <w:right w:w="108" w:type="dxa"/>
          </w:tblCellMar>
        </w:tblPrEx>
        <w:trPr>
          <w:trHeight w:val="400" w:hRule="atLeast"/>
          <w:jc w:val="center"/>
        </w:trPr>
        <w:tc>
          <w:tcPr>
            <w:tcW w:w="1970" w:type="dxa"/>
            <w:tcBorders>
              <w:top w:val="single" w:color="auto" w:sz="4" w:space="0"/>
              <w:left w:val="single" w:color="000000" w:sz="8" w:space="0"/>
              <w:bottom w:val="single" w:color="000000" w:sz="8" w:space="0"/>
              <w:right w:val="single" w:color="000000" w:sz="8" w:space="0"/>
            </w:tcBorders>
            <w:vAlign w:val="center"/>
          </w:tcPr>
          <w:p w14:paraId="499E9A0E">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抗压强度/MPa</w:t>
            </w:r>
          </w:p>
        </w:tc>
        <w:tc>
          <w:tcPr>
            <w:tcW w:w="1385" w:type="dxa"/>
            <w:tcBorders>
              <w:top w:val="single" w:color="auto" w:sz="4" w:space="0"/>
              <w:left w:val="single" w:color="000000" w:sz="8" w:space="0"/>
              <w:bottom w:val="single" w:color="000000" w:sz="8" w:space="0"/>
              <w:right w:val="single" w:color="000000" w:sz="8" w:space="0"/>
            </w:tcBorders>
            <w:vAlign w:val="center"/>
          </w:tcPr>
          <w:p w14:paraId="2F1ECA7B">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≥6.0</w:t>
            </w:r>
          </w:p>
        </w:tc>
        <w:tc>
          <w:tcPr>
            <w:tcW w:w="1186" w:type="dxa"/>
            <w:tcBorders>
              <w:top w:val="single" w:color="auto" w:sz="4" w:space="0"/>
              <w:left w:val="single" w:color="000000" w:sz="8" w:space="0"/>
              <w:bottom w:val="single" w:color="000000" w:sz="8" w:space="0"/>
              <w:right w:val="single" w:color="000000" w:sz="8" w:space="0"/>
            </w:tcBorders>
            <w:vAlign w:val="center"/>
          </w:tcPr>
          <w:p w14:paraId="6F8D7A9F">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≥8.0</w:t>
            </w:r>
          </w:p>
        </w:tc>
        <w:tc>
          <w:tcPr>
            <w:tcW w:w="1392" w:type="dxa"/>
            <w:tcBorders>
              <w:top w:val="single" w:color="auto" w:sz="4" w:space="0"/>
              <w:left w:val="single" w:color="000000" w:sz="8" w:space="0"/>
              <w:bottom w:val="single" w:color="000000" w:sz="8" w:space="0"/>
              <w:right w:val="single" w:color="000000" w:sz="8" w:space="0"/>
            </w:tcBorders>
            <w:vAlign w:val="center"/>
          </w:tcPr>
          <w:p w14:paraId="48CEE67F">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≥10.0</w:t>
            </w:r>
          </w:p>
        </w:tc>
        <w:tc>
          <w:tcPr>
            <w:tcW w:w="1029" w:type="dxa"/>
            <w:tcBorders>
              <w:top w:val="single" w:color="auto" w:sz="4" w:space="0"/>
              <w:left w:val="single" w:color="000000" w:sz="8" w:space="0"/>
              <w:bottom w:val="single" w:color="000000" w:sz="8" w:space="0"/>
              <w:right w:val="single" w:color="000000" w:sz="8" w:space="0"/>
            </w:tcBorders>
            <w:vAlign w:val="center"/>
          </w:tcPr>
          <w:p w14:paraId="108E6C4C">
            <w:pPr>
              <w:widowControl/>
              <w:jc w:val="center"/>
              <w:textAlignment w:val="center"/>
              <w:rPr>
                <w:rFonts w:ascii="宋体" w:hAnsi="宋体" w:eastAsia="宋体" w:cs="宋体"/>
                <w:strike/>
                <w:dstrike w:val="0"/>
                <w:color w:val="FF0000"/>
                <w:sz w:val="16"/>
                <w:szCs w:val="16"/>
              </w:rPr>
            </w:pPr>
            <w:r>
              <w:rPr>
                <w:rFonts w:hint="eastAsia" w:ascii="宋体" w:hAnsi="宋体" w:eastAsia="宋体" w:cs="宋体"/>
                <w:color w:val="auto"/>
                <w:sz w:val="16"/>
                <w:szCs w:val="16"/>
                <w:lang w:bidi="ar"/>
              </w:rPr>
              <w:t>≥15.0</w:t>
            </w:r>
          </w:p>
        </w:tc>
      </w:tr>
      <w:tr w14:paraId="1C3D33C0">
        <w:tblPrEx>
          <w:tblCellMar>
            <w:top w:w="0" w:type="dxa"/>
            <w:left w:w="108" w:type="dxa"/>
            <w:bottom w:w="0" w:type="dxa"/>
            <w:right w:w="108" w:type="dxa"/>
          </w:tblCellMar>
        </w:tblPrEx>
        <w:trPr>
          <w:trHeight w:val="480" w:hRule="atLeast"/>
          <w:jc w:val="center"/>
        </w:trPr>
        <w:tc>
          <w:tcPr>
            <w:tcW w:w="1970" w:type="dxa"/>
            <w:tcBorders>
              <w:top w:val="nil"/>
              <w:left w:val="single" w:color="000000" w:sz="8" w:space="0"/>
              <w:bottom w:val="single" w:color="000000" w:sz="8" w:space="0"/>
              <w:right w:val="single" w:color="000000" w:sz="8" w:space="0"/>
            </w:tcBorders>
            <w:vAlign w:val="center"/>
          </w:tcPr>
          <w:p w14:paraId="6C2D9272">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14d拉伸粘结强度/MPa</w:t>
            </w:r>
          </w:p>
        </w:tc>
        <w:tc>
          <w:tcPr>
            <w:tcW w:w="1385" w:type="dxa"/>
            <w:tcBorders>
              <w:top w:val="nil"/>
              <w:left w:val="single" w:color="000000" w:sz="8" w:space="0"/>
              <w:bottom w:val="single" w:color="000000" w:sz="8" w:space="0"/>
              <w:right w:val="single" w:color="000000" w:sz="8" w:space="0"/>
            </w:tcBorders>
            <w:vAlign w:val="center"/>
          </w:tcPr>
          <w:p w14:paraId="6D827780">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≥0.</w:t>
            </w:r>
            <w:r>
              <w:rPr>
                <w:rFonts w:hint="eastAsia" w:ascii="宋体" w:hAnsi="宋体" w:cs="宋体"/>
                <w:color w:val="auto"/>
                <w:sz w:val="16"/>
                <w:szCs w:val="16"/>
                <w:lang w:bidi="ar"/>
              </w:rPr>
              <w:t>30</w:t>
            </w:r>
          </w:p>
        </w:tc>
        <w:tc>
          <w:tcPr>
            <w:tcW w:w="1186" w:type="dxa"/>
            <w:tcBorders>
              <w:top w:val="nil"/>
              <w:left w:val="single" w:color="000000" w:sz="8" w:space="0"/>
              <w:bottom w:val="single" w:color="000000" w:sz="8" w:space="0"/>
              <w:right w:val="single" w:color="000000" w:sz="8" w:space="0"/>
            </w:tcBorders>
            <w:vAlign w:val="center"/>
          </w:tcPr>
          <w:p w14:paraId="410E96EE">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≥0.</w:t>
            </w:r>
            <w:r>
              <w:rPr>
                <w:rFonts w:hint="eastAsia" w:ascii="宋体" w:hAnsi="宋体" w:cs="宋体"/>
                <w:color w:val="auto"/>
                <w:sz w:val="16"/>
                <w:szCs w:val="16"/>
                <w:lang w:bidi="ar"/>
              </w:rPr>
              <w:t>4</w:t>
            </w:r>
            <w:r>
              <w:rPr>
                <w:rFonts w:hint="eastAsia" w:ascii="宋体" w:hAnsi="宋体" w:eastAsia="宋体" w:cs="宋体"/>
                <w:color w:val="auto"/>
                <w:sz w:val="16"/>
                <w:szCs w:val="16"/>
                <w:lang w:bidi="ar"/>
              </w:rPr>
              <w:t>0</w:t>
            </w:r>
          </w:p>
        </w:tc>
        <w:tc>
          <w:tcPr>
            <w:tcW w:w="1392" w:type="dxa"/>
            <w:tcBorders>
              <w:top w:val="nil"/>
              <w:left w:val="single" w:color="000000" w:sz="8" w:space="0"/>
              <w:bottom w:val="single" w:color="000000" w:sz="8" w:space="0"/>
              <w:right w:val="single" w:color="000000" w:sz="8" w:space="0"/>
            </w:tcBorders>
            <w:vAlign w:val="center"/>
          </w:tcPr>
          <w:p w14:paraId="3D7E9BDF">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≥0.</w:t>
            </w:r>
            <w:r>
              <w:rPr>
                <w:rFonts w:hint="eastAsia" w:ascii="宋体" w:hAnsi="宋体" w:cs="宋体"/>
                <w:color w:val="auto"/>
                <w:sz w:val="16"/>
                <w:szCs w:val="16"/>
                <w:lang w:bidi="ar"/>
              </w:rPr>
              <w:t>5</w:t>
            </w:r>
            <w:r>
              <w:rPr>
                <w:rFonts w:hint="eastAsia" w:ascii="宋体" w:hAnsi="宋体" w:eastAsia="宋体" w:cs="宋体"/>
                <w:color w:val="auto"/>
                <w:sz w:val="16"/>
                <w:szCs w:val="16"/>
                <w:lang w:bidi="ar"/>
              </w:rPr>
              <w:t>0</w:t>
            </w:r>
          </w:p>
        </w:tc>
        <w:tc>
          <w:tcPr>
            <w:tcW w:w="1029" w:type="dxa"/>
            <w:tcBorders>
              <w:top w:val="nil"/>
              <w:left w:val="single" w:color="000000" w:sz="8" w:space="0"/>
              <w:bottom w:val="single" w:color="000000" w:sz="8" w:space="0"/>
              <w:right w:val="single" w:color="000000" w:sz="8" w:space="0"/>
            </w:tcBorders>
            <w:vAlign w:val="center"/>
          </w:tcPr>
          <w:p w14:paraId="18BDB0B7">
            <w:pPr>
              <w:widowControl/>
              <w:jc w:val="center"/>
              <w:textAlignment w:val="center"/>
              <w:rPr>
                <w:rFonts w:ascii="宋体" w:hAnsi="宋体" w:eastAsia="宋体" w:cs="宋体"/>
                <w:strike/>
                <w:dstrike w:val="0"/>
                <w:color w:val="FF0000"/>
                <w:sz w:val="16"/>
                <w:szCs w:val="16"/>
              </w:rPr>
            </w:pPr>
            <w:r>
              <w:rPr>
                <w:rFonts w:hint="eastAsia" w:ascii="宋体" w:hAnsi="宋体" w:eastAsia="宋体" w:cs="宋体"/>
                <w:color w:val="auto"/>
                <w:sz w:val="16"/>
                <w:szCs w:val="16"/>
                <w:lang w:bidi="ar"/>
              </w:rPr>
              <w:t>≥0.</w:t>
            </w:r>
            <w:r>
              <w:rPr>
                <w:rFonts w:hint="eastAsia" w:ascii="宋体" w:hAnsi="宋体" w:cs="宋体"/>
                <w:color w:val="auto"/>
                <w:sz w:val="16"/>
                <w:szCs w:val="16"/>
                <w:lang w:bidi="ar"/>
              </w:rPr>
              <w:t>80</w:t>
            </w:r>
          </w:p>
        </w:tc>
      </w:tr>
      <w:tr w14:paraId="0FDDBA80">
        <w:tblPrEx>
          <w:tblCellMar>
            <w:top w:w="0" w:type="dxa"/>
            <w:left w:w="108" w:type="dxa"/>
            <w:bottom w:w="0" w:type="dxa"/>
            <w:right w:w="108" w:type="dxa"/>
          </w:tblCellMar>
        </w:tblPrEx>
        <w:trPr>
          <w:trHeight w:val="480" w:hRule="atLeast"/>
          <w:jc w:val="center"/>
        </w:trPr>
        <w:tc>
          <w:tcPr>
            <w:tcW w:w="1970" w:type="dxa"/>
            <w:tcBorders>
              <w:top w:val="nil"/>
              <w:left w:val="single" w:color="000000" w:sz="8" w:space="0"/>
              <w:bottom w:val="single" w:color="000000" w:sz="8" w:space="0"/>
              <w:right w:val="single" w:color="000000" w:sz="8" w:space="0"/>
            </w:tcBorders>
            <w:vAlign w:val="center"/>
          </w:tcPr>
          <w:p w14:paraId="45D543E5">
            <w:pPr>
              <w:widowControl/>
              <w:jc w:val="center"/>
              <w:textAlignment w:val="center"/>
              <w:rPr>
                <w:rFonts w:ascii="宋体" w:hAnsi="宋体" w:eastAsia="宋体" w:cs="宋体"/>
                <w:color w:val="auto"/>
                <w:sz w:val="16"/>
                <w:szCs w:val="16"/>
                <w:lang w:bidi="ar"/>
              </w:rPr>
            </w:pPr>
            <w:r>
              <w:rPr>
                <w:rFonts w:hint="eastAsia" w:ascii="宋体" w:hAnsi="宋体" w:cs="宋体"/>
                <w:color w:val="auto"/>
                <w:sz w:val="16"/>
                <w:szCs w:val="16"/>
                <w:lang w:bidi="ar"/>
              </w:rPr>
              <w:t>28</w:t>
            </w:r>
            <w:r>
              <w:rPr>
                <w:rFonts w:hint="eastAsia" w:ascii="宋体" w:hAnsi="宋体" w:eastAsia="宋体" w:cs="宋体"/>
                <w:color w:val="auto"/>
                <w:sz w:val="16"/>
                <w:szCs w:val="16"/>
                <w:lang w:bidi="ar"/>
              </w:rPr>
              <w:t>d</w:t>
            </w:r>
            <w:r>
              <w:rPr>
                <w:rFonts w:hint="eastAsia" w:ascii="宋体" w:hAnsi="宋体" w:cs="宋体"/>
                <w:color w:val="auto"/>
                <w:sz w:val="16"/>
                <w:szCs w:val="16"/>
                <w:lang w:bidi="ar"/>
              </w:rPr>
              <w:t>抗折强度/</w:t>
            </w:r>
            <w:r>
              <w:rPr>
                <w:rFonts w:hint="eastAsia" w:ascii="宋体" w:hAnsi="宋体" w:eastAsia="宋体" w:cs="宋体"/>
                <w:color w:val="auto"/>
                <w:sz w:val="16"/>
                <w:szCs w:val="16"/>
                <w:lang w:bidi="ar"/>
              </w:rPr>
              <w:t>MPa</w:t>
            </w:r>
          </w:p>
        </w:tc>
        <w:tc>
          <w:tcPr>
            <w:tcW w:w="3963" w:type="dxa"/>
            <w:gridSpan w:val="3"/>
            <w:tcBorders>
              <w:top w:val="nil"/>
              <w:left w:val="single" w:color="000000" w:sz="8" w:space="0"/>
              <w:bottom w:val="single" w:color="000000" w:sz="8" w:space="0"/>
              <w:right w:val="single" w:color="000000" w:sz="8" w:space="0"/>
            </w:tcBorders>
            <w:vAlign w:val="center"/>
          </w:tcPr>
          <w:p w14:paraId="59B6C37F">
            <w:pPr>
              <w:widowControl/>
              <w:jc w:val="center"/>
              <w:textAlignment w:val="center"/>
              <w:rPr>
                <w:rFonts w:ascii="宋体" w:hAnsi="宋体" w:eastAsia="宋体" w:cs="宋体"/>
                <w:color w:val="auto"/>
                <w:sz w:val="16"/>
                <w:szCs w:val="16"/>
                <w:lang w:bidi="ar"/>
              </w:rPr>
            </w:pPr>
            <w:r>
              <w:rPr>
                <w:rFonts w:hint="eastAsia" w:ascii="宋体" w:hAnsi="宋体" w:eastAsia="宋体" w:cs="宋体"/>
                <w:color w:val="auto"/>
                <w:sz w:val="16"/>
                <w:szCs w:val="16"/>
                <w:lang w:bidi="ar"/>
              </w:rPr>
              <w:t>≥</w:t>
            </w:r>
            <w:r>
              <w:rPr>
                <w:rFonts w:hint="eastAsia" w:ascii="宋体" w:hAnsi="宋体" w:cs="宋体"/>
                <w:color w:val="auto"/>
                <w:sz w:val="16"/>
                <w:szCs w:val="16"/>
                <w:lang w:bidi="ar"/>
              </w:rPr>
              <w:t>2.</w:t>
            </w:r>
            <w:r>
              <w:rPr>
                <w:rFonts w:hint="eastAsia" w:ascii="宋体" w:hAnsi="宋体" w:eastAsia="宋体" w:cs="宋体"/>
                <w:color w:val="auto"/>
                <w:sz w:val="16"/>
                <w:szCs w:val="16"/>
                <w:lang w:bidi="ar"/>
              </w:rPr>
              <w:t>0</w:t>
            </w:r>
          </w:p>
        </w:tc>
        <w:tc>
          <w:tcPr>
            <w:tcW w:w="1029" w:type="dxa"/>
            <w:tcBorders>
              <w:top w:val="nil"/>
              <w:left w:val="single" w:color="000000" w:sz="8" w:space="0"/>
              <w:bottom w:val="single" w:color="000000" w:sz="8" w:space="0"/>
              <w:right w:val="single" w:color="auto" w:sz="4" w:space="0"/>
            </w:tcBorders>
            <w:vAlign w:val="center"/>
          </w:tcPr>
          <w:p w14:paraId="3FD7BF29">
            <w:pPr>
              <w:widowControl/>
              <w:jc w:val="center"/>
              <w:textAlignment w:val="center"/>
              <w:rPr>
                <w:rFonts w:ascii="宋体" w:hAnsi="宋体" w:eastAsia="宋体" w:cs="宋体"/>
                <w:color w:val="auto"/>
                <w:sz w:val="16"/>
                <w:szCs w:val="16"/>
                <w:lang w:bidi="ar"/>
              </w:rPr>
            </w:pPr>
            <w:r>
              <w:rPr>
                <w:rFonts w:hint="eastAsia" w:ascii="宋体" w:hAnsi="宋体" w:eastAsia="宋体" w:cs="宋体"/>
                <w:color w:val="auto"/>
                <w:sz w:val="16"/>
                <w:szCs w:val="16"/>
                <w:lang w:bidi="ar"/>
              </w:rPr>
              <w:t>≥</w:t>
            </w:r>
            <w:r>
              <w:rPr>
                <w:rFonts w:hint="eastAsia" w:ascii="宋体" w:hAnsi="宋体" w:cs="宋体"/>
                <w:color w:val="auto"/>
                <w:sz w:val="16"/>
                <w:szCs w:val="16"/>
                <w:lang w:bidi="ar"/>
              </w:rPr>
              <w:t>5.</w:t>
            </w:r>
            <w:r>
              <w:rPr>
                <w:rFonts w:hint="eastAsia" w:ascii="宋体" w:hAnsi="宋体" w:eastAsia="宋体" w:cs="宋体"/>
                <w:color w:val="auto"/>
                <w:sz w:val="16"/>
                <w:szCs w:val="16"/>
                <w:lang w:bidi="ar"/>
              </w:rPr>
              <w:t>0</w:t>
            </w:r>
          </w:p>
        </w:tc>
      </w:tr>
      <w:tr w14:paraId="2B48D2B0">
        <w:tblPrEx>
          <w:tblCellMar>
            <w:top w:w="0" w:type="dxa"/>
            <w:left w:w="108" w:type="dxa"/>
            <w:bottom w:w="0" w:type="dxa"/>
            <w:right w:w="108" w:type="dxa"/>
          </w:tblCellMar>
        </w:tblPrEx>
        <w:trPr>
          <w:trHeight w:val="540" w:hRule="atLeast"/>
          <w:jc w:val="center"/>
        </w:trPr>
        <w:tc>
          <w:tcPr>
            <w:tcW w:w="1970" w:type="dxa"/>
            <w:tcBorders>
              <w:top w:val="nil"/>
              <w:left w:val="single" w:color="000000" w:sz="8" w:space="0"/>
              <w:bottom w:val="single" w:color="000000" w:sz="8" w:space="0"/>
              <w:right w:val="single" w:color="000000" w:sz="8" w:space="0"/>
            </w:tcBorders>
            <w:vAlign w:val="center"/>
          </w:tcPr>
          <w:p w14:paraId="2153F4A1">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导热系数</w:t>
            </w:r>
            <w:r>
              <w:rPr>
                <w:rStyle w:val="20"/>
                <w:color w:val="auto"/>
                <w:lang w:bidi="ar"/>
              </w:rPr>
              <w:t>/[W/(m.k)]</w:t>
            </w:r>
          </w:p>
        </w:tc>
        <w:tc>
          <w:tcPr>
            <w:tcW w:w="1385" w:type="dxa"/>
            <w:tcBorders>
              <w:top w:val="nil"/>
              <w:left w:val="single" w:color="000000" w:sz="8" w:space="0"/>
              <w:bottom w:val="single" w:color="000000" w:sz="8" w:space="0"/>
              <w:right w:val="single" w:color="000000" w:sz="8" w:space="0"/>
            </w:tcBorders>
            <w:vAlign w:val="center"/>
          </w:tcPr>
          <w:p w14:paraId="1C8BF5B1">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≤0.10</w:t>
            </w:r>
          </w:p>
        </w:tc>
        <w:tc>
          <w:tcPr>
            <w:tcW w:w="1186" w:type="dxa"/>
            <w:tcBorders>
              <w:top w:val="nil"/>
              <w:left w:val="single" w:color="000000" w:sz="8" w:space="0"/>
              <w:bottom w:val="single" w:color="000000" w:sz="8" w:space="0"/>
              <w:right w:val="single" w:color="000000" w:sz="8" w:space="0"/>
            </w:tcBorders>
            <w:vAlign w:val="center"/>
          </w:tcPr>
          <w:p w14:paraId="0BFBFBA1">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≤0.15</w:t>
            </w:r>
          </w:p>
        </w:tc>
        <w:tc>
          <w:tcPr>
            <w:tcW w:w="1392" w:type="dxa"/>
            <w:tcBorders>
              <w:top w:val="nil"/>
              <w:left w:val="single" w:color="000000" w:sz="8" w:space="0"/>
              <w:bottom w:val="single" w:color="000000" w:sz="8" w:space="0"/>
              <w:right w:val="single" w:color="000000" w:sz="8" w:space="0"/>
            </w:tcBorders>
            <w:vAlign w:val="center"/>
          </w:tcPr>
          <w:p w14:paraId="7FD78035">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≤0.18</w:t>
            </w:r>
          </w:p>
        </w:tc>
        <w:tc>
          <w:tcPr>
            <w:tcW w:w="1029" w:type="dxa"/>
            <w:tcBorders>
              <w:top w:val="nil"/>
              <w:left w:val="single" w:color="000000" w:sz="8" w:space="0"/>
              <w:bottom w:val="single" w:color="000000" w:sz="8" w:space="0"/>
              <w:right w:val="single" w:color="auto" w:sz="4" w:space="0"/>
            </w:tcBorders>
            <w:vAlign w:val="center"/>
          </w:tcPr>
          <w:p w14:paraId="2D704EA1">
            <w:pPr>
              <w:widowControl/>
              <w:jc w:val="center"/>
              <w:textAlignment w:val="center"/>
              <w:rPr>
                <w:rFonts w:ascii="宋体" w:hAnsi="宋体" w:eastAsia="宋体" w:cs="宋体"/>
                <w:strike/>
                <w:dstrike w:val="0"/>
                <w:color w:val="FF0000"/>
                <w:sz w:val="16"/>
                <w:szCs w:val="16"/>
              </w:rPr>
            </w:pPr>
            <w:r>
              <w:rPr>
                <w:rFonts w:hint="eastAsia" w:ascii="宋体" w:hAnsi="宋体" w:eastAsia="宋体" w:cs="宋体"/>
                <w:color w:val="auto"/>
                <w:sz w:val="16"/>
                <w:szCs w:val="16"/>
                <w:lang w:bidi="ar"/>
              </w:rPr>
              <w:t>≤0.20</w:t>
            </w:r>
          </w:p>
        </w:tc>
      </w:tr>
      <w:tr w14:paraId="755F42E5">
        <w:tblPrEx>
          <w:tblCellMar>
            <w:top w:w="0" w:type="dxa"/>
            <w:left w:w="108" w:type="dxa"/>
            <w:bottom w:w="0" w:type="dxa"/>
            <w:right w:w="108" w:type="dxa"/>
          </w:tblCellMar>
        </w:tblPrEx>
        <w:trPr>
          <w:trHeight w:val="660" w:hRule="atLeast"/>
          <w:jc w:val="center"/>
        </w:trPr>
        <w:tc>
          <w:tcPr>
            <w:tcW w:w="1970" w:type="dxa"/>
            <w:tcBorders>
              <w:top w:val="nil"/>
              <w:left w:val="single" w:color="000000" w:sz="8" w:space="0"/>
              <w:bottom w:val="single" w:color="000000" w:sz="8" w:space="0"/>
              <w:right w:val="single" w:color="000000" w:sz="8" w:space="0"/>
            </w:tcBorders>
            <w:vAlign w:val="center"/>
          </w:tcPr>
          <w:p w14:paraId="41189DAB">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干密度</w:t>
            </w:r>
            <w:r>
              <w:rPr>
                <w:rStyle w:val="20"/>
                <w:color w:val="auto"/>
                <w:lang w:bidi="ar"/>
              </w:rPr>
              <w:t>/</w:t>
            </w:r>
            <w:r>
              <w:rPr>
                <w:rStyle w:val="21"/>
                <w:rFonts w:hint="default"/>
                <w:color w:val="auto"/>
                <w:lang w:bidi="ar"/>
              </w:rPr>
              <w:t>（</w:t>
            </w:r>
            <w:r>
              <w:rPr>
                <w:rStyle w:val="20"/>
                <w:color w:val="auto"/>
                <w:lang w:bidi="ar"/>
              </w:rPr>
              <w:t>kg/m</w:t>
            </w:r>
            <w:r>
              <w:rPr>
                <w:rStyle w:val="22"/>
                <w:color w:val="auto"/>
                <w:lang w:bidi="ar"/>
              </w:rPr>
              <w:t>3</w:t>
            </w:r>
            <w:r>
              <w:rPr>
                <w:rStyle w:val="21"/>
                <w:rFonts w:hint="default"/>
                <w:color w:val="auto"/>
                <w:lang w:bidi="ar"/>
              </w:rPr>
              <w:t>）</w:t>
            </w:r>
          </w:p>
        </w:tc>
        <w:tc>
          <w:tcPr>
            <w:tcW w:w="1385" w:type="dxa"/>
            <w:tcBorders>
              <w:top w:val="nil"/>
              <w:left w:val="single" w:color="000000" w:sz="8" w:space="0"/>
              <w:bottom w:val="single" w:color="000000" w:sz="8" w:space="0"/>
              <w:right w:val="single" w:color="000000" w:sz="8" w:space="0"/>
            </w:tcBorders>
            <w:vAlign w:val="center"/>
          </w:tcPr>
          <w:p w14:paraId="14F0B5A9">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≤600</w:t>
            </w:r>
          </w:p>
        </w:tc>
        <w:tc>
          <w:tcPr>
            <w:tcW w:w="1186" w:type="dxa"/>
            <w:tcBorders>
              <w:top w:val="nil"/>
              <w:left w:val="single" w:color="000000" w:sz="8" w:space="0"/>
              <w:bottom w:val="single" w:color="000000" w:sz="8" w:space="0"/>
              <w:right w:val="single" w:color="000000" w:sz="8" w:space="0"/>
            </w:tcBorders>
            <w:vAlign w:val="center"/>
          </w:tcPr>
          <w:p w14:paraId="406C3340">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≤800</w:t>
            </w:r>
          </w:p>
        </w:tc>
        <w:tc>
          <w:tcPr>
            <w:tcW w:w="1392" w:type="dxa"/>
            <w:tcBorders>
              <w:top w:val="nil"/>
              <w:left w:val="single" w:color="000000" w:sz="8" w:space="0"/>
              <w:bottom w:val="single" w:color="000000" w:sz="8" w:space="0"/>
              <w:right w:val="single" w:color="000000" w:sz="8" w:space="0"/>
            </w:tcBorders>
            <w:vAlign w:val="center"/>
          </w:tcPr>
          <w:p w14:paraId="6222F170">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≤1000</w:t>
            </w:r>
          </w:p>
        </w:tc>
        <w:tc>
          <w:tcPr>
            <w:tcW w:w="1029" w:type="dxa"/>
            <w:tcBorders>
              <w:top w:val="nil"/>
              <w:left w:val="single" w:color="000000" w:sz="8" w:space="0"/>
              <w:bottom w:val="single" w:color="000000" w:sz="8" w:space="0"/>
              <w:right w:val="single" w:color="auto" w:sz="4" w:space="0"/>
            </w:tcBorders>
            <w:vAlign w:val="center"/>
          </w:tcPr>
          <w:p w14:paraId="515E0530">
            <w:pPr>
              <w:widowControl/>
              <w:jc w:val="center"/>
              <w:textAlignment w:val="center"/>
              <w:rPr>
                <w:rFonts w:ascii="宋体" w:hAnsi="宋体" w:eastAsia="宋体" w:cs="宋体"/>
                <w:strike/>
                <w:dstrike w:val="0"/>
                <w:color w:val="FF0000"/>
                <w:sz w:val="16"/>
                <w:szCs w:val="16"/>
              </w:rPr>
            </w:pPr>
            <w:r>
              <w:rPr>
                <w:rFonts w:hint="eastAsia" w:ascii="宋体" w:hAnsi="宋体" w:eastAsia="宋体" w:cs="宋体"/>
                <w:color w:val="auto"/>
                <w:sz w:val="16"/>
                <w:szCs w:val="16"/>
                <w:lang w:bidi="ar"/>
              </w:rPr>
              <w:t>≤1200</w:t>
            </w:r>
          </w:p>
        </w:tc>
      </w:tr>
      <w:tr w14:paraId="588700CA">
        <w:tblPrEx>
          <w:tblCellMar>
            <w:top w:w="0" w:type="dxa"/>
            <w:left w:w="108" w:type="dxa"/>
            <w:bottom w:w="0" w:type="dxa"/>
            <w:right w:w="108" w:type="dxa"/>
          </w:tblCellMar>
        </w:tblPrEx>
        <w:trPr>
          <w:trHeight w:val="400" w:hRule="atLeast"/>
          <w:jc w:val="center"/>
        </w:trPr>
        <w:tc>
          <w:tcPr>
            <w:tcW w:w="1970" w:type="dxa"/>
            <w:tcBorders>
              <w:top w:val="nil"/>
              <w:left w:val="single" w:color="000000" w:sz="8" w:space="0"/>
              <w:bottom w:val="single" w:color="000000" w:sz="8" w:space="0"/>
              <w:right w:val="single" w:color="000000" w:sz="8" w:space="0"/>
            </w:tcBorders>
            <w:vAlign w:val="center"/>
          </w:tcPr>
          <w:p w14:paraId="7DA211F2">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保水率/%</w:t>
            </w:r>
          </w:p>
        </w:tc>
        <w:tc>
          <w:tcPr>
            <w:tcW w:w="1385" w:type="dxa"/>
            <w:tcBorders>
              <w:top w:val="nil"/>
              <w:left w:val="single" w:color="000000" w:sz="8" w:space="0"/>
              <w:bottom w:val="single" w:color="000000" w:sz="8" w:space="0"/>
              <w:right w:val="single" w:color="000000" w:sz="8" w:space="0"/>
            </w:tcBorders>
            <w:vAlign w:val="center"/>
          </w:tcPr>
          <w:p w14:paraId="5F84EB05">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≥99.0</w:t>
            </w:r>
          </w:p>
        </w:tc>
        <w:tc>
          <w:tcPr>
            <w:tcW w:w="3607" w:type="dxa"/>
            <w:gridSpan w:val="3"/>
            <w:tcBorders>
              <w:top w:val="nil"/>
              <w:left w:val="single" w:color="000000" w:sz="8" w:space="0"/>
              <w:bottom w:val="single" w:color="000000" w:sz="8" w:space="0"/>
              <w:right w:val="single" w:color="auto" w:sz="4" w:space="0"/>
            </w:tcBorders>
            <w:vAlign w:val="center"/>
          </w:tcPr>
          <w:p w14:paraId="30C972A5">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≥95.0</w:t>
            </w:r>
          </w:p>
        </w:tc>
      </w:tr>
      <w:tr w14:paraId="2453A00B">
        <w:tblPrEx>
          <w:tblCellMar>
            <w:top w:w="0" w:type="dxa"/>
            <w:left w:w="108" w:type="dxa"/>
            <w:bottom w:w="0" w:type="dxa"/>
            <w:right w:w="108" w:type="dxa"/>
          </w:tblCellMar>
        </w:tblPrEx>
        <w:trPr>
          <w:trHeight w:val="387" w:hRule="atLeast"/>
          <w:jc w:val="center"/>
        </w:trPr>
        <w:tc>
          <w:tcPr>
            <w:tcW w:w="1970" w:type="dxa"/>
            <w:tcBorders>
              <w:top w:val="nil"/>
              <w:left w:val="single" w:color="000000" w:sz="8" w:space="0"/>
              <w:bottom w:val="single" w:color="000000" w:sz="8" w:space="0"/>
              <w:right w:val="single" w:color="000000" w:sz="8" w:space="0"/>
            </w:tcBorders>
            <w:vAlign w:val="center"/>
          </w:tcPr>
          <w:p w14:paraId="3672B485">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凝结时间/h</w:t>
            </w:r>
          </w:p>
        </w:tc>
        <w:tc>
          <w:tcPr>
            <w:tcW w:w="1385" w:type="dxa"/>
            <w:tcBorders>
              <w:top w:val="nil"/>
              <w:left w:val="single" w:color="000000" w:sz="8" w:space="0"/>
              <w:bottom w:val="single" w:color="000000" w:sz="8" w:space="0"/>
              <w:right w:val="nil"/>
            </w:tcBorders>
            <w:vAlign w:val="center"/>
          </w:tcPr>
          <w:p w14:paraId="79584ECF">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3</w:t>
            </w:r>
            <w:r>
              <w:rPr>
                <w:rStyle w:val="23"/>
                <w:color w:val="auto"/>
                <w:lang w:bidi="ar"/>
              </w:rPr>
              <w:t>~</w:t>
            </w:r>
            <w:r>
              <w:rPr>
                <w:rStyle w:val="21"/>
                <w:rFonts w:hint="default"/>
                <w:color w:val="auto"/>
                <w:lang w:bidi="ar"/>
              </w:rPr>
              <w:t>12</w:t>
            </w:r>
          </w:p>
        </w:tc>
        <w:tc>
          <w:tcPr>
            <w:tcW w:w="3607" w:type="dxa"/>
            <w:gridSpan w:val="3"/>
            <w:tcBorders>
              <w:top w:val="nil"/>
              <w:left w:val="single" w:color="000000" w:sz="8" w:space="0"/>
              <w:bottom w:val="single" w:color="000000" w:sz="8" w:space="0"/>
              <w:right w:val="single" w:color="auto" w:sz="4" w:space="0"/>
            </w:tcBorders>
            <w:vAlign w:val="center"/>
          </w:tcPr>
          <w:p w14:paraId="78C68996">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3</w:t>
            </w:r>
            <w:r>
              <w:rPr>
                <w:rStyle w:val="23"/>
                <w:color w:val="auto"/>
                <w:lang w:bidi="ar"/>
              </w:rPr>
              <w:t>~</w:t>
            </w:r>
            <w:r>
              <w:rPr>
                <w:rStyle w:val="21"/>
                <w:rFonts w:hint="default"/>
                <w:color w:val="auto"/>
                <w:lang w:bidi="ar"/>
              </w:rPr>
              <w:t>8</w:t>
            </w:r>
          </w:p>
        </w:tc>
      </w:tr>
      <w:tr w14:paraId="046EC569">
        <w:tblPrEx>
          <w:tblCellMar>
            <w:top w:w="0" w:type="dxa"/>
            <w:left w:w="108" w:type="dxa"/>
            <w:bottom w:w="0" w:type="dxa"/>
            <w:right w:w="108" w:type="dxa"/>
          </w:tblCellMar>
        </w:tblPrEx>
        <w:trPr>
          <w:trHeight w:val="400" w:hRule="atLeast"/>
          <w:jc w:val="center"/>
        </w:trPr>
        <w:tc>
          <w:tcPr>
            <w:tcW w:w="1970" w:type="dxa"/>
            <w:tcBorders>
              <w:top w:val="nil"/>
              <w:left w:val="single" w:color="000000" w:sz="8" w:space="0"/>
              <w:bottom w:val="single" w:color="000000" w:sz="8" w:space="0"/>
              <w:right w:val="single" w:color="000000" w:sz="8" w:space="0"/>
            </w:tcBorders>
            <w:vAlign w:val="center"/>
          </w:tcPr>
          <w:p w14:paraId="72FB57A8">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28d收缩率/%</w:t>
            </w:r>
          </w:p>
        </w:tc>
        <w:tc>
          <w:tcPr>
            <w:tcW w:w="1385" w:type="dxa"/>
            <w:tcBorders>
              <w:top w:val="nil"/>
              <w:left w:val="single" w:color="000000" w:sz="8" w:space="0"/>
              <w:bottom w:val="single" w:color="000000" w:sz="8" w:space="0"/>
              <w:right w:val="nil"/>
            </w:tcBorders>
            <w:vAlign w:val="center"/>
          </w:tcPr>
          <w:p w14:paraId="34F077C1">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 xml:space="preserve"> </w:t>
            </w:r>
            <w:r>
              <w:rPr>
                <w:rStyle w:val="21"/>
                <w:rFonts w:hint="default"/>
                <w:color w:val="auto"/>
                <w:lang w:bidi="ar"/>
              </w:rPr>
              <w:t>≤0.15</w:t>
            </w:r>
          </w:p>
        </w:tc>
        <w:tc>
          <w:tcPr>
            <w:tcW w:w="3607" w:type="dxa"/>
            <w:gridSpan w:val="3"/>
            <w:tcBorders>
              <w:top w:val="nil"/>
              <w:left w:val="single" w:color="000000" w:sz="8" w:space="0"/>
              <w:bottom w:val="single" w:color="000000" w:sz="8" w:space="0"/>
              <w:right w:val="single" w:color="auto" w:sz="4" w:space="0"/>
            </w:tcBorders>
            <w:vAlign w:val="center"/>
          </w:tcPr>
          <w:p w14:paraId="09C54F8C">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≤0.20</w:t>
            </w:r>
          </w:p>
        </w:tc>
      </w:tr>
      <w:tr w14:paraId="1DB94545">
        <w:tblPrEx>
          <w:tblCellMar>
            <w:top w:w="0" w:type="dxa"/>
            <w:left w:w="108" w:type="dxa"/>
            <w:bottom w:w="0" w:type="dxa"/>
            <w:right w:w="108" w:type="dxa"/>
          </w:tblCellMar>
        </w:tblPrEx>
        <w:trPr>
          <w:trHeight w:val="400" w:hRule="atLeast"/>
          <w:jc w:val="center"/>
        </w:trPr>
        <w:tc>
          <w:tcPr>
            <w:tcW w:w="1970" w:type="dxa"/>
            <w:tcBorders>
              <w:top w:val="nil"/>
              <w:left w:val="single" w:color="000000" w:sz="8" w:space="0"/>
              <w:bottom w:val="single" w:color="000000" w:sz="8" w:space="0"/>
              <w:right w:val="single" w:color="000000" w:sz="8" w:space="0"/>
            </w:tcBorders>
            <w:vAlign w:val="center"/>
          </w:tcPr>
          <w:p w14:paraId="5EA7A65D">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燃烧性能</w:t>
            </w:r>
          </w:p>
        </w:tc>
        <w:tc>
          <w:tcPr>
            <w:tcW w:w="4992" w:type="dxa"/>
            <w:gridSpan w:val="4"/>
            <w:tcBorders>
              <w:top w:val="nil"/>
              <w:left w:val="single" w:color="000000" w:sz="8" w:space="0"/>
              <w:bottom w:val="single" w:color="000000" w:sz="8" w:space="0"/>
              <w:right w:val="single" w:color="auto" w:sz="4" w:space="0"/>
            </w:tcBorders>
            <w:vAlign w:val="center"/>
          </w:tcPr>
          <w:p w14:paraId="7FB68F04">
            <w:pPr>
              <w:widowControl/>
              <w:jc w:val="center"/>
              <w:textAlignment w:val="center"/>
              <w:rPr>
                <w:rFonts w:eastAsia="宋体" w:cs="Calibri"/>
                <w:color w:val="auto"/>
                <w:sz w:val="16"/>
                <w:szCs w:val="16"/>
              </w:rPr>
            </w:pPr>
            <w:r>
              <w:rPr>
                <w:rFonts w:eastAsia="宋体" w:cs="Calibri"/>
                <w:color w:val="auto"/>
                <w:sz w:val="16"/>
                <w:szCs w:val="16"/>
                <w:lang w:bidi="ar"/>
              </w:rPr>
              <w:t>A</w:t>
            </w:r>
            <w:r>
              <w:rPr>
                <w:rFonts w:hint="eastAsia" w:eastAsia="宋体" w:cs="Calibri"/>
                <w:color w:val="auto"/>
                <w:sz w:val="16"/>
                <w:szCs w:val="16"/>
                <w:lang w:bidi="ar"/>
              </w:rPr>
              <w:t>1</w:t>
            </w:r>
            <w:r>
              <w:rPr>
                <w:rStyle w:val="21"/>
                <w:rFonts w:hint="default"/>
                <w:color w:val="auto"/>
                <w:lang w:bidi="ar"/>
              </w:rPr>
              <w:t>级</w:t>
            </w:r>
          </w:p>
        </w:tc>
      </w:tr>
      <w:tr w14:paraId="6C4FC22C">
        <w:tblPrEx>
          <w:tblCellMar>
            <w:top w:w="0" w:type="dxa"/>
            <w:left w:w="108" w:type="dxa"/>
            <w:bottom w:w="0" w:type="dxa"/>
            <w:right w:w="108" w:type="dxa"/>
          </w:tblCellMar>
        </w:tblPrEx>
        <w:trPr>
          <w:trHeight w:val="400" w:hRule="atLeast"/>
          <w:jc w:val="center"/>
        </w:trPr>
        <w:tc>
          <w:tcPr>
            <w:tcW w:w="1970" w:type="dxa"/>
            <w:tcBorders>
              <w:top w:val="nil"/>
              <w:left w:val="single" w:color="000000" w:sz="8" w:space="0"/>
              <w:bottom w:val="single" w:color="000000" w:sz="8" w:space="0"/>
              <w:right w:val="single" w:color="000000" w:sz="8" w:space="0"/>
            </w:tcBorders>
            <w:vAlign w:val="center"/>
          </w:tcPr>
          <w:p w14:paraId="6D61D923">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软化系数</w:t>
            </w:r>
          </w:p>
        </w:tc>
        <w:tc>
          <w:tcPr>
            <w:tcW w:w="4992" w:type="dxa"/>
            <w:gridSpan w:val="4"/>
            <w:tcBorders>
              <w:top w:val="nil"/>
              <w:left w:val="single" w:color="000000" w:sz="8" w:space="0"/>
              <w:bottom w:val="single" w:color="000000" w:sz="8" w:space="0"/>
              <w:right w:val="single" w:color="auto" w:sz="4" w:space="0"/>
            </w:tcBorders>
            <w:vAlign w:val="center"/>
          </w:tcPr>
          <w:p w14:paraId="262B50F6">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≥0.6</w:t>
            </w:r>
          </w:p>
        </w:tc>
      </w:tr>
      <w:tr w14:paraId="48AA01C7">
        <w:tblPrEx>
          <w:tblCellMar>
            <w:top w:w="0" w:type="dxa"/>
            <w:left w:w="108" w:type="dxa"/>
            <w:bottom w:w="0" w:type="dxa"/>
            <w:right w:w="108" w:type="dxa"/>
          </w:tblCellMar>
        </w:tblPrEx>
        <w:trPr>
          <w:trHeight w:val="400" w:hRule="atLeast"/>
          <w:jc w:val="center"/>
        </w:trPr>
        <w:tc>
          <w:tcPr>
            <w:tcW w:w="1970" w:type="dxa"/>
            <w:tcBorders>
              <w:top w:val="nil"/>
              <w:left w:val="single" w:color="000000" w:sz="8" w:space="0"/>
              <w:bottom w:val="single" w:color="000000" w:sz="8" w:space="0"/>
              <w:right w:val="single" w:color="000000" w:sz="8" w:space="0"/>
            </w:tcBorders>
            <w:vAlign w:val="center"/>
          </w:tcPr>
          <w:p w14:paraId="75225B1B">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抗裂性</w:t>
            </w:r>
          </w:p>
        </w:tc>
        <w:tc>
          <w:tcPr>
            <w:tcW w:w="4992" w:type="dxa"/>
            <w:gridSpan w:val="4"/>
            <w:tcBorders>
              <w:top w:val="nil"/>
              <w:left w:val="single" w:color="000000" w:sz="8" w:space="0"/>
              <w:bottom w:val="single" w:color="000000" w:sz="8" w:space="0"/>
              <w:right w:val="single" w:color="auto" w:sz="4" w:space="0"/>
            </w:tcBorders>
            <w:vAlign w:val="center"/>
          </w:tcPr>
          <w:p w14:paraId="168F1978">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无裂纹</w:t>
            </w:r>
          </w:p>
        </w:tc>
      </w:tr>
      <w:tr w14:paraId="4E7E395A">
        <w:tblPrEx>
          <w:tblCellMar>
            <w:top w:w="0" w:type="dxa"/>
            <w:left w:w="108" w:type="dxa"/>
            <w:bottom w:w="0" w:type="dxa"/>
            <w:right w:w="108" w:type="dxa"/>
          </w:tblCellMar>
        </w:tblPrEx>
        <w:trPr>
          <w:trHeight w:val="400" w:hRule="atLeast"/>
          <w:jc w:val="center"/>
        </w:trPr>
        <w:tc>
          <w:tcPr>
            <w:tcW w:w="1970" w:type="dxa"/>
            <w:tcBorders>
              <w:top w:val="nil"/>
              <w:left w:val="single" w:color="000000" w:sz="8" w:space="0"/>
              <w:bottom w:val="single" w:color="000000" w:sz="8" w:space="0"/>
              <w:right w:val="single" w:color="000000" w:sz="8" w:space="0"/>
            </w:tcBorders>
            <w:vAlign w:val="center"/>
          </w:tcPr>
          <w:p w14:paraId="2C86A3F5">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放射性</w:t>
            </w:r>
          </w:p>
        </w:tc>
        <w:tc>
          <w:tcPr>
            <w:tcW w:w="4992" w:type="dxa"/>
            <w:gridSpan w:val="4"/>
            <w:tcBorders>
              <w:top w:val="nil"/>
              <w:left w:val="single" w:color="000000" w:sz="8" w:space="0"/>
              <w:bottom w:val="single" w:color="000000" w:sz="8" w:space="0"/>
              <w:right w:val="single" w:color="auto" w:sz="4" w:space="0"/>
            </w:tcBorders>
            <w:vAlign w:val="center"/>
          </w:tcPr>
          <w:p w14:paraId="0DC56602">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内照射指数Ira不大于</w:t>
            </w:r>
            <w:r>
              <w:rPr>
                <w:rStyle w:val="20"/>
                <w:color w:val="auto"/>
                <w:lang w:bidi="ar"/>
              </w:rPr>
              <w:t>1.0</w:t>
            </w:r>
            <w:r>
              <w:rPr>
                <w:rStyle w:val="21"/>
                <w:rFonts w:hint="default"/>
                <w:color w:val="auto"/>
                <w:lang w:bidi="ar"/>
              </w:rPr>
              <w:t>，外照射指数Ir不大于</w:t>
            </w:r>
            <w:r>
              <w:rPr>
                <w:rStyle w:val="20"/>
                <w:color w:val="auto"/>
                <w:lang w:bidi="ar"/>
              </w:rPr>
              <w:t>1.</w:t>
            </w:r>
            <w:r>
              <w:rPr>
                <w:rStyle w:val="20"/>
                <w:rFonts w:hint="eastAsia"/>
                <w:color w:val="auto"/>
                <w:lang w:bidi="ar"/>
              </w:rPr>
              <w:t>0</w:t>
            </w:r>
          </w:p>
        </w:tc>
      </w:tr>
      <w:tr w14:paraId="4C14A986">
        <w:tblPrEx>
          <w:tblCellMar>
            <w:top w:w="0" w:type="dxa"/>
            <w:left w:w="108" w:type="dxa"/>
            <w:bottom w:w="0" w:type="dxa"/>
            <w:right w:w="108" w:type="dxa"/>
          </w:tblCellMar>
        </w:tblPrEx>
        <w:trPr>
          <w:trHeight w:val="400" w:hRule="atLeast"/>
          <w:jc w:val="center"/>
        </w:trPr>
        <w:tc>
          <w:tcPr>
            <w:tcW w:w="1970" w:type="dxa"/>
            <w:tcBorders>
              <w:top w:val="nil"/>
              <w:left w:val="single" w:color="000000" w:sz="8" w:space="0"/>
              <w:bottom w:val="single" w:color="000000" w:sz="8" w:space="0"/>
              <w:right w:val="single" w:color="000000" w:sz="8" w:space="0"/>
            </w:tcBorders>
            <w:vAlign w:val="center"/>
          </w:tcPr>
          <w:p w14:paraId="35D3DA31">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2h稠度损失率/%</w:t>
            </w:r>
          </w:p>
        </w:tc>
        <w:tc>
          <w:tcPr>
            <w:tcW w:w="4992" w:type="dxa"/>
            <w:gridSpan w:val="4"/>
            <w:tcBorders>
              <w:top w:val="nil"/>
              <w:left w:val="single" w:color="000000" w:sz="8" w:space="0"/>
              <w:bottom w:val="single" w:color="000000" w:sz="8" w:space="0"/>
              <w:right w:val="single" w:color="auto" w:sz="4" w:space="0"/>
            </w:tcBorders>
            <w:vAlign w:val="center"/>
          </w:tcPr>
          <w:p w14:paraId="7942AB58">
            <w:pPr>
              <w:widowControl/>
              <w:jc w:val="center"/>
              <w:textAlignment w:val="center"/>
              <w:rPr>
                <w:rFonts w:ascii="宋体" w:hAnsi="宋体" w:eastAsia="宋体" w:cs="宋体"/>
                <w:color w:val="auto"/>
                <w:sz w:val="16"/>
                <w:szCs w:val="16"/>
              </w:rPr>
            </w:pPr>
            <w:r>
              <w:rPr>
                <w:rFonts w:hint="eastAsia" w:ascii="宋体" w:hAnsi="宋体" w:eastAsia="宋体" w:cs="宋体"/>
                <w:color w:val="auto"/>
                <w:sz w:val="16"/>
                <w:szCs w:val="16"/>
                <w:lang w:bidi="ar"/>
              </w:rPr>
              <w:t>≤30</w:t>
            </w:r>
          </w:p>
        </w:tc>
      </w:tr>
      <w:tr w14:paraId="7C792EC6">
        <w:tblPrEx>
          <w:tblCellMar>
            <w:top w:w="0" w:type="dxa"/>
            <w:left w:w="108" w:type="dxa"/>
            <w:bottom w:w="0" w:type="dxa"/>
            <w:right w:w="108" w:type="dxa"/>
          </w:tblCellMar>
        </w:tblPrEx>
        <w:trPr>
          <w:trHeight w:val="400" w:hRule="atLeast"/>
          <w:jc w:val="center"/>
        </w:trPr>
        <w:tc>
          <w:tcPr>
            <w:tcW w:w="6962" w:type="dxa"/>
            <w:gridSpan w:val="5"/>
            <w:tcBorders>
              <w:top w:val="nil"/>
              <w:left w:val="single" w:color="000000" w:sz="8" w:space="0"/>
              <w:bottom w:val="single" w:color="000000" w:sz="8" w:space="0"/>
              <w:right w:val="single" w:color="auto" w:sz="4" w:space="0"/>
            </w:tcBorders>
            <w:vAlign w:val="center"/>
          </w:tcPr>
          <w:p w14:paraId="49377AA6">
            <w:pPr>
              <w:widowControl/>
              <w:jc w:val="left"/>
              <w:textAlignment w:val="center"/>
              <w:rPr>
                <w:rStyle w:val="21"/>
                <w:rFonts w:hint="default"/>
                <w:color w:val="auto"/>
                <w:lang w:bidi="ar"/>
              </w:rPr>
            </w:pPr>
            <w:r>
              <w:rPr>
                <w:rFonts w:hint="eastAsia" w:cs="Calibri"/>
                <w:color w:val="auto"/>
                <w:sz w:val="16"/>
                <w:szCs w:val="16"/>
                <w:lang w:val="en-US" w:eastAsia="zh-CN" w:bidi="ar"/>
              </w:rPr>
              <w:t>注：</w:t>
            </w:r>
            <w:r>
              <w:rPr>
                <w:rStyle w:val="21"/>
                <w:rFonts w:hint="default"/>
                <w:color w:val="auto"/>
                <w:lang w:bidi="ar"/>
              </w:rPr>
              <w:t>有抗冻性要求时，应进行抗冻性试验。</w:t>
            </w:r>
          </w:p>
        </w:tc>
      </w:tr>
    </w:tbl>
    <w:p w14:paraId="470BF1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r>
        <w:rPr>
          <w:rFonts w:hint="eastAsia"/>
          <w:b/>
          <w:bCs/>
          <w:sz w:val="24"/>
          <w:szCs w:val="24"/>
          <w:lang w:val="en-US" w:eastAsia="zh-CN"/>
        </w:rPr>
        <w:t xml:space="preserve">5.3.3 </w:t>
      </w:r>
      <w:r>
        <w:rPr>
          <w:rFonts w:hint="eastAsia"/>
          <w:sz w:val="24"/>
          <w:szCs w:val="24"/>
          <w:lang w:val="en-US" w:eastAsia="zh-CN"/>
        </w:rPr>
        <w:t>耐碱玻璃纤维网格布</w:t>
      </w:r>
      <w:r>
        <w:rPr>
          <w:rFonts w:hint="eastAsia"/>
          <w:b w:val="0"/>
          <w:bCs w:val="0"/>
          <w:sz w:val="24"/>
          <w:szCs w:val="24"/>
          <w:lang w:val="en-US" w:eastAsia="zh-CN"/>
        </w:rPr>
        <w:t>的性能指标应符合表5.3.3的要求。</w:t>
      </w:r>
    </w:p>
    <w:p w14:paraId="06A08E18">
      <w:pPr>
        <w:jc w:val="center"/>
        <w:rPr>
          <w:rFonts w:hint="default"/>
          <w:b/>
          <w:bCs/>
          <w:sz w:val="21"/>
          <w:szCs w:val="21"/>
          <w:lang w:val="en-US" w:eastAsia="zh-CN"/>
        </w:rPr>
      </w:pPr>
      <w:r>
        <w:rPr>
          <w:rFonts w:hint="eastAsia"/>
          <w:b/>
          <w:bCs/>
          <w:sz w:val="21"/>
          <w:szCs w:val="21"/>
          <w:lang w:val="en-US" w:eastAsia="zh-CN"/>
        </w:rPr>
        <w:t>表5.3.3 耐碱玻璃纤维网格布性能指标</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5"/>
        <w:gridCol w:w="1166"/>
        <w:gridCol w:w="2841"/>
      </w:tblGrid>
      <w:tr w14:paraId="573C0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5" w:type="dxa"/>
            <w:noWrap w:val="0"/>
            <w:vAlign w:val="top"/>
          </w:tcPr>
          <w:p w14:paraId="575134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项目</w:t>
            </w:r>
          </w:p>
        </w:tc>
        <w:tc>
          <w:tcPr>
            <w:tcW w:w="1166" w:type="dxa"/>
            <w:noWrap w:val="0"/>
            <w:vAlign w:val="top"/>
          </w:tcPr>
          <w:p w14:paraId="7E30324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性能指标</w:t>
            </w:r>
          </w:p>
        </w:tc>
        <w:tc>
          <w:tcPr>
            <w:tcW w:w="2841" w:type="dxa"/>
            <w:noWrap w:val="0"/>
            <w:vAlign w:val="top"/>
          </w:tcPr>
          <w:p w14:paraId="2B7F59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试验方法</w:t>
            </w:r>
          </w:p>
        </w:tc>
      </w:tr>
      <w:tr w14:paraId="0625E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5" w:type="dxa"/>
            <w:noWrap w:val="0"/>
            <w:vAlign w:val="center"/>
          </w:tcPr>
          <w:p w14:paraId="4E92BB4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单位面积质量（g/m</w:t>
            </w:r>
            <w:r>
              <w:rPr>
                <w:rFonts w:hint="eastAsia"/>
                <w:b w:val="0"/>
                <w:bCs w:val="0"/>
                <w:sz w:val="21"/>
                <w:szCs w:val="21"/>
                <w:vertAlign w:val="superscript"/>
                <w:lang w:val="en-US" w:eastAsia="zh-CN"/>
              </w:rPr>
              <w:t>2</w:t>
            </w:r>
            <w:r>
              <w:rPr>
                <w:rFonts w:hint="eastAsia"/>
                <w:b w:val="0"/>
                <w:bCs w:val="0"/>
                <w:sz w:val="21"/>
                <w:szCs w:val="21"/>
                <w:vertAlign w:val="baseline"/>
                <w:lang w:val="en-US" w:eastAsia="zh-CN"/>
              </w:rPr>
              <w:t>）</w:t>
            </w:r>
          </w:p>
        </w:tc>
        <w:tc>
          <w:tcPr>
            <w:tcW w:w="1166" w:type="dxa"/>
            <w:noWrap w:val="0"/>
            <w:vAlign w:val="center"/>
          </w:tcPr>
          <w:p w14:paraId="101DA5A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≥160</w:t>
            </w:r>
          </w:p>
        </w:tc>
        <w:tc>
          <w:tcPr>
            <w:tcW w:w="2841" w:type="dxa"/>
            <w:noWrap w:val="0"/>
            <w:vAlign w:val="center"/>
          </w:tcPr>
          <w:p w14:paraId="762DBDC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《增强制品试验方法 第3部分单位面积质量的测定》GB/T9914.3</w:t>
            </w:r>
          </w:p>
        </w:tc>
      </w:tr>
      <w:tr w14:paraId="2EFCE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5" w:type="dxa"/>
            <w:noWrap w:val="0"/>
            <w:vAlign w:val="center"/>
          </w:tcPr>
          <w:p w14:paraId="34F226F8">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耐碱断裂强力（经、纬向）（N/50mm）</w:t>
            </w:r>
          </w:p>
        </w:tc>
        <w:tc>
          <w:tcPr>
            <w:tcW w:w="1166" w:type="dxa"/>
            <w:noWrap w:val="0"/>
            <w:vAlign w:val="center"/>
          </w:tcPr>
          <w:p w14:paraId="127FE746">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≥1000</w:t>
            </w:r>
          </w:p>
        </w:tc>
        <w:tc>
          <w:tcPr>
            <w:tcW w:w="2841" w:type="dxa"/>
            <w:noWrap w:val="0"/>
            <w:vAlign w:val="center"/>
          </w:tcPr>
          <w:p w14:paraId="0345B37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《模塑聚苯板薄抹灰外墙外保温系统材料》GB/T29906</w:t>
            </w:r>
          </w:p>
        </w:tc>
      </w:tr>
      <w:tr w14:paraId="13C17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5" w:type="dxa"/>
            <w:noWrap w:val="0"/>
            <w:vAlign w:val="center"/>
          </w:tcPr>
          <w:p w14:paraId="56F59BD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断裂伸长率（%）</w:t>
            </w:r>
          </w:p>
        </w:tc>
        <w:tc>
          <w:tcPr>
            <w:tcW w:w="1166" w:type="dxa"/>
            <w:noWrap w:val="0"/>
            <w:vAlign w:val="center"/>
          </w:tcPr>
          <w:p w14:paraId="068929A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≤5.0</w:t>
            </w:r>
          </w:p>
        </w:tc>
        <w:tc>
          <w:tcPr>
            <w:tcW w:w="2841" w:type="dxa"/>
            <w:noWrap w:val="0"/>
            <w:vAlign w:val="center"/>
          </w:tcPr>
          <w:p w14:paraId="74D3481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《增强材料机织物试验方法第5部分：玻璃纤维拉伸断裂强力和断裂伸长的测定》GB/T7689.5</w:t>
            </w:r>
          </w:p>
        </w:tc>
      </w:tr>
      <w:tr w14:paraId="20F1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5" w:type="dxa"/>
            <w:noWrap w:val="0"/>
            <w:vAlign w:val="center"/>
          </w:tcPr>
          <w:p w14:paraId="2FBFF57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耐碱断裂强力保留率（经、纬向）（%）</w:t>
            </w:r>
          </w:p>
        </w:tc>
        <w:tc>
          <w:tcPr>
            <w:tcW w:w="1166" w:type="dxa"/>
            <w:noWrap w:val="0"/>
            <w:vAlign w:val="center"/>
          </w:tcPr>
          <w:p w14:paraId="4D73A62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≥50</w:t>
            </w:r>
          </w:p>
        </w:tc>
        <w:tc>
          <w:tcPr>
            <w:tcW w:w="2841" w:type="dxa"/>
            <w:noWrap w:val="0"/>
            <w:vAlign w:val="center"/>
          </w:tcPr>
          <w:p w14:paraId="28513BB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《模塑聚苯板薄抹灰外墙外保温系统材料》GB/T29906</w:t>
            </w:r>
          </w:p>
        </w:tc>
      </w:tr>
    </w:tbl>
    <w:p w14:paraId="55E838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r>
        <w:rPr>
          <w:rFonts w:hint="eastAsia"/>
          <w:b/>
          <w:bCs/>
          <w:sz w:val="24"/>
          <w:szCs w:val="24"/>
          <w:lang w:val="en-US" w:eastAsia="zh-CN"/>
        </w:rPr>
        <w:t xml:space="preserve">5.3.5 </w:t>
      </w:r>
      <w:r>
        <w:rPr>
          <w:rFonts w:hint="eastAsia"/>
          <w:b w:val="0"/>
          <w:bCs w:val="0"/>
          <w:sz w:val="24"/>
          <w:szCs w:val="24"/>
          <w:lang w:val="en-US" w:eastAsia="zh-CN"/>
        </w:rPr>
        <w:t>无机彩色砂浆应符合现行地方标准《湖南省改性玻化微珠轻质砂浆应用技术标准》DBJ43/T311的要求。</w:t>
      </w:r>
    </w:p>
    <w:p w14:paraId="5D1F7A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b/>
          <w:bCs/>
          <w:sz w:val="24"/>
          <w:szCs w:val="24"/>
          <w:lang w:val="en-US" w:eastAsia="zh-CN"/>
        </w:rPr>
        <w:t>5.3.6</w:t>
      </w:r>
      <w:r>
        <w:rPr>
          <w:rFonts w:hint="eastAsia"/>
          <w:sz w:val="24"/>
          <w:szCs w:val="24"/>
          <w:lang w:val="en-US" w:eastAsia="zh-CN"/>
        </w:rPr>
        <w:t>铝合金托挂件应符合本标准5.2.3条的规定。</w:t>
      </w:r>
    </w:p>
    <w:p w14:paraId="49CD12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b/>
          <w:bCs/>
          <w:sz w:val="24"/>
          <w:szCs w:val="24"/>
          <w:lang w:val="en-US" w:eastAsia="zh-CN"/>
        </w:rPr>
        <w:t xml:space="preserve">5.3.7 </w:t>
      </w:r>
      <w:r>
        <w:rPr>
          <w:rFonts w:hint="eastAsia"/>
          <w:sz w:val="24"/>
          <w:szCs w:val="24"/>
          <w:lang w:val="en-US" w:eastAsia="zh-CN"/>
        </w:rPr>
        <w:t>锚栓应符合以下规定，其性能指标应符合表 5.3.7 的要求。</w:t>
      </w:r>
    </w:p>
    <w:p w14:paraId="220930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 塑料膨胀件和塑料膨胀套管应采用聚酰胺（PA6、PA66）、聚乙烯（PE）</w:t>
      </w:r>
    </w:p>
    <w:p w14:paraId="2953CA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或聚丙烯（PP）制造，不得使用再生材料。</w:t>
      </w:r>
    </w:p>
    <w:p w14:paraId="1CDD01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 钢制膨胀件和膨胀套管应采用不锈钢或经过表面防腐处理的碳钢制造。</w:t>
      </w:r>
    </w:p>
    <w:p w14:paraId="5D6B7C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 圆盘锚栓的圆盘公称直径不应小于 60mm，公差为±1.0mm。膨胀套管的</w:t>
      </w:r>
    </w:p>
    <w:p w14:paraId="1D672A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公称直径不应小于 8mm，公差为±0.5mm。</w:t>
      </w:r>
    </w:p>
    <w:p w14:paraId="6CA5E7E9">
      <w:pPr>
        <w:jc w:val="center"/>
        <w:rPr>
          <w:rFonts w:hint="eastAsia"/>
          <w:b/>
          <w:bCs/>
          <w:sz w:val="21"/>
          <w:szCs w:val="21"/>
          <w:lang w:val="en-US" w:eastAsia="zh-CN"/>
        </w:rPr>
      </w:pPr>
      <w:r>
        <w:rPr>
          <w:rFonts w:hint="eastAsia"/>
          <w:b/>
          <w:bCs/>
          <w:sz w:val="21"/>
          <w:szCs w:val="21"/>
          <w:lang w:val="en-US" w:eastAsia="zh-CN"/>
        </w:rPr>
        <w:t>表5.3.7 锚栓性能指标</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4"/>
        <w:gridCol w:w="3591"/>
        <w:gridCol w:w="1680"/>
        <w:gridCol w:w="1497"/>
      </w:tblGrid>
      <w:tr w14:paraId="6980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5" w:type="dxa"/>
            <w:gridSpan w:val="2"/>
            <w:noWrap w:val="0"/>
            <w:vAlign w:val="top"/>
          </w:tcPr>
          <w:p w14:paraId="00A3154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项目</w:t>
            </w:r>
          </w:p>
        </w:tc>
        <w:tc>
          <w:tcPr>
            <w:tcW w:w="1680" w:type="dxa"/>
            <w:noWrap w:val="0"/>
            <w:vAlign w:val="top"/>
          </w:tcPr>
          <w:p w14:paraId="072F37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性能指标</w:t>
            </w:r>
          </w:p>
        </w:tc>
        <w:tc>
          <w:tcPr>
            <w:tcW w:w="1497" w:type="dxa"/>
            <w:noWrap w:val="0"/>
            <w:vAlign w:val="top"/>
          </w:tcPr>
          <w:p w14:paraId="21DDC5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试验方法</w:t>
            </w:r>
          </w:p>
        </w:tc>
      </w:tr>
      <w:tr w14:paraId="786D1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5" w:type="dxa"/>
            <w:gridSpan w:val="2"/>
            <w:noWrap w:val="0"/>
            <w:vAlign w:val="top"/>
          </w:tcPr>
          <w:p w14:paraId="22B4CF1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sz w:val="21"/>
                <w:szCs w:val="21"/>
                <w:vertAlign w:val="baseline"/>
                <w:lang w:val="en-US" w:eastAsia="zh-CN"/>
              </w:rPr>
              <w:t>锚栓抗拉承载力标准值（与C25混凝土）（KN）</w:t>
            </w:r>
          </w:p>
        </w:tc>
        <w:tc>
          <w:tcPr>
            <w:tcW w:w="1680" w:type="dxa"/>
            <w:noWrap w:val="0"/>
            <w:vAlign w:val="top"/>
          </w:tcPr>
          <w:p w14:paraId="3F740EB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b w:val="0"/>
                <w:bCs w:val="0"/>
                <w:sz w:val="21"/>
                <w:szCs w:val="21"/>
                <w:vertAlign w:val="baseline"/>
                <w:lang w:val="en-US" w:eastAsia="zh-CN"/>
              </w:rPr>
              <w:t>≥0.60</w:t>
            </w:r>
          </w:p>
        </w:tc>
        <w:tc>
          <w:tcPr>
            <w:tcW w:w="1497" w:type="dxa"/>
            <w:vMerge w:val="restart"/>
            <w:noWrap w:val="0"/>
            <w:vAlign w:val="center"/>
          </w:tcPr>
          <w:p w14:paraId="254FD12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sz w:val="21"/>
                <w:szCs w:val="21"/>
                <w:vertAlign w:val="baseline"/>
                <w:lang w:val="en-US" w:eastAsia="zh-CN"/>
              </w:rPr>
            </w:pPr>
            <w:r>
              <w:rPr>
                <w:rFonts w:hint="eastAsia"/>
                <w:sz w:val="21"/>
                <w:szCs w:val="21"/>
                <w:vertAlign w:val="baseline"/>
                <w:lang w:val="en-US" w:eastAsia="zh-CN"/>
              </w:rPr>
              <w:t>《外墙保温用锚栓》JG/T366</w:t>
            </w:r>
          </w:p>
        </w:tc>
      </w:tr>
      <w:tr w14:paraId="092A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4" w:type="dxa"/>
            <w:vMerge w:val="restart"/>
            <w:noWrap w:val="0"/>
            <w:vAlign w:val="center"/>
          </w:tcPr>
          <w:p w14:paraId="4E8A4C6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sz w:val="21"/>
                <w:szCs w:val="21"/>
                <w:vertAlign w:val="baseline"/>
                <w:lang w:val="en-US" w:eastAsia="zh-CN"/>
              </w:rPr>
            </w:pPr>
            <w:r>
              <w:rPr>
                <w:rFonts w:hint="eastAsia"/>
                <w:sz w:val="21"/>
                <w:szCs w:val="21"/>
                <w:vertAlign w:val="baseline"/>
                <w:lang w:val="en-US" w:eastAsia="zh-CN"/>
              </w:rPr>
              <w:t>单个锚栓抗拉承载力标准值（KN）</w:t>
            </w:r>
          </w:p>
        </w:tc>
        <w:tc>
          <w:tcPr>
            <w:tcW w:w="3591" w:type="dxa"/>
            <w:noWrap w:val="0"/>
            <w:vAlign w:val="top"/>
          </w:tcPr>
          <w:p w14:paraId="5383B10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sz w:val="21"/>
                <w:szCs w:val="21"/>
                <w:vertAlign w:val="baseline"/>
                <w:lang w:val="en-US" w:eastAsia="zh-CN"/>
              </w:rPr>
              <w:t>普通混凝土基层墙体</w:t>
            </w:r>
          </w:p>
        </w:tc>
        <w:tc>
          <w:tcPr>
            <w:tcW w:w="1680" w:type="dxa"/>
            <w:noWrap w:val="0"/>
            <w:vAlign w:val="top"/>
          </w:tcPr>
          <w:p w14:paraId="748AEC6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b w:val="0"/>
                <w:bCs w:val="0"/>
                <w:sz w:val="21"/>
                <w:szCs w:val="21"/>
                <w:vertAlign w:val="baseline"/>
                <w:lang w:val="en-US" w:eastAsia="zh-CN"/>
              </w:rPr>
              <w:t>≥0.60</w:t>
            </w:r>
          </w:p>
        </w:tc>
        <w:tc>
          <w:tcPr>
            <w:tcW w:w="1497" w:type="dxa"/>
            <w:vMerge w:val="continue"/>
            <w:noWrap w:val="0"/>
            <w:vAlign w:val="top"/>
          </w:tcPr>
          <w:p w14:paraId="27F84B7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r>
      <w:tr w14:paraId="0784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4" w:type="dxa"/>
            <w:vMerge w:val="continue"/>
            <w:noWrap w:val="0"/>
            <w:vAlign w:val="top"/>
          </w:tcPr>
          <w:p w14:paraId="1A279CC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3591" w:type="dxa"/>
            <w:noWrap w:val="0"/>
            <w:vAlign w:val="top"/>
          </w:tcPr>
          <w:p w14:paraId="32B9FF6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sz w:val="21"/>
                <w:szCs w:val="21"/>
                <w:vertAlign w:val="baseline"/>
                <w:lang w:val="en-US" w:eastAsia="zh-CN"/>
              </w:rPr>
              <w:t>实心砌体基层墙体</w:t>
            </w:r>
          </w:p>
        </w:tc>
        <w:tc>
          <w:tcPr>
            <w:tcW w:w="1680" w:type="dxa"/>
            <w:noWrap w:val="0"/>
            <w:vAlign w:val="top"/>
          </w:tcPr>
          <w:p w14:paraId="5C1A7B8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b w:val="0"/>
                <w:bCs w:val="0"/>
                <w:sz w:val="21"/>
                <w:szCs w:val="21"/>
                <w:vertAlign w:val="baseline"/>
                <w:lang w:val="en-US" w:eastAsia="zh-CN"/>
              </w:rPr>
              <w:t>≥0.50</w:t>
            </w:r>
          </w:p>
        </w:tc>
        <w:tc>
          <w:tcPr>
            <w:tcW w:w="1497" w:type="dxa"/>
            <w:vMerge w:val="continue"/>
            <w:noWrap w:val="0"/>
            <w:vAlign w:val="top"/>
          </w:tcPr>
          <w:p w14:paraId="56AEDFE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r>
      <w:tr w14:paraId="564A3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4" w:type="dxa"/>
            <w:vMerge w:val="continue"/>
            <w:noWrap w:val="0"/>
            <w:vAlign w:val="top"/>
          </w:tcPr>
          <w:p w14:paraId="06F8B4A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3591" w:type="dxa"/>
            <w:noWrap w:val="0"/>
            <w:vAlign w:val="top"/>
          </w:tcPr>
          <w:p w14:paraId="56250FE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sz w:val="21"/>
                <w:szCs w:val="21"/>
                <w:vertAlign w:val="baseline"/>
                <w:lang w:val="en-US" w:eastAsia="zh-CN"/>
              </w:rPr>
              <w:t>多孔砖砌体基层墙体</w:t>
            </w:r>
          </w:p>
        </w:tc>
        <w:tc>
          <w:tcPr>
            <w:tcW w:w="1680" w:type="dxa"/>
            <w:noWrap w:val="0"/>
            <w:vAlign w:val="top"/>
          </w:tcPr>
          <w:p w14:paraId="5CC6435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b w:val="0"/>
                <w:bCs w:val="0"/>
                <w:sz w:val="21"/>
                <w:szCs w:val="21"/>
                <w:vertAlign w:val="baseline"/>
                <w:lang w:val="en-US" w:eastAsia="zh-CN"/>
              </w:rPr>
              <w:t>≥0.40</w:t>
            </w:r>
          </w:p>
        </w:tc>
        <w:tc>
          <w:tcPr>
            <w:tcW w:w="1497" w:type="dxa"/>
            <w:vMerge w:val="continue"/>
            <w:noWrap w:val="0"/>
            <w:vAlign w:val="top"/>
          </w:tcPr>
          <w:p w14:paraId="0106C61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r>
      <w:tr w14:paraId="03AA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4" w:type="dxa"/>
            <w:vMerge w:val="continue"/>
            <w:noWrap w:val="0"/>
            <w:vAlign w:val="top"/>
          </w:tcPr>
          <w:p w14:paraId="23D825A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3591" w:type="dxa"/>
            <w:noWrap w:val="0"/>
            <w:vAlign w:val="top"/>
          </w:tcPr>
          <w:p w14:paraId="54557EB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sz w:val="21"/>
                <w:szCs w:val="21"/>
                <w:vertAlign w:val="baseline"/>
                <w:lang w:val="en-US" w:eastAsia="zh-CN"/>
              </w:rPr>
              <w:t>空心砌块基层墙体</w:t>
            </w:r>
          </w:p>
        </w:tc>
        <w:tc>
          <w:tcPr>
            <w:tcW w:w="1680" w:type="dxa"/>
            <w:noWrap w:val="0"/>
            <w:vAlign w:val="top"/>
          </w:tcPr>
          <w:p w14:paraId="5C79A4F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b w:val="0"/>
                <w:bCs w:val="0"/>
                <w:sz w:val="21"/>
                <w:szCs w:val="21"/>
                <w:vertAlign w:val="baseline"/>
                <w:lang w:val="en-US" w:eastAsia="zh-CN"/>
              </w:rPr>
              <w:t>≥0.30</w:t>
            </w:r>
          </w:p>
        </w:tc>
        <w:tc>
          <w:tcPr>
            <w:tcW w:w="1497" w:type="dxa"/>
            <w:vMerge w:val="continue"/>
            <w:noWrap w:val="0"/>
            <w:vAlign w:val="top"/>
          </w:tcPr>
          <w:p w14:paraId="599610F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r>
      <w:tr w14:paraId="227C8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4" w:type="dxa"/>
            <w:vMerge w:val="continue"/>
            <w:noWrap w:val="0"/>
            <w:vAlign w:val="top"/>
          </w:tcPr>
          <w:p w14:paraId="10E7C72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3591" w:type="dxa"/>
            <w:noWrap w:val="0"/>
            <w:vAlign w:val="top"/>
          </w:tcPr>
          <w:p w14:paraId="10DB4F3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sz w:val="21"/>
                <w:szCs w:val="21"/>
                <w:vertAlign w:val="baseline"/>
                <w:lang w:val="en-US" w:eastAsia="zh-CN"/>
              </w:rPr>
              <w:t>蒸压加气混凝土基层墙体</w:t>
            </w:r>
          </w:p>
        </w:tc>
        <w:tc>
          <w:tcPr>
            <w:tcW w:w="1680" w:type="dxa"/>
            <w:noWrap w:val="0"/>
            <w:vAlign w:val="top"/>
          </w:tcPr>
          <w:p w14:paraId="45E9D45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b w:val="0"/>
                <w:bCs w:val="0"/>
                <w:sz w:val="21"/>
                <w:szCs w:val="21"/>
                <w:vertAlign w:val="baseline"/>
                <w:lang w:val="en-US" w:eastAsia="zh-CN"/>
              </w:rPr>
              <w:t>≥0.30</w:t>
            </w:r>
          </w:p>
        </w:tc>
        <w:tc>
          <w:tcPr>
            <w:tcW w:w="1497" w:type="dxa"/>
            <w:vMerge w:val="continue"/>
            <w:noWrap w:val="0"/>
            <w:vAlign w:val="top"/>
          </w:tcPr>
          <w:p w14:paraId="066CCBE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r>
      <w:tr w14:paraId="3B57D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5" w:type="dxa"/>
            <w:gridSpan w:val="2"/>
            <w:noWrap w:val="0"/>
            <w:vAlign w:val="top"/>
          </w:tcPr>
          <w:p w14:paraId="78F5BC8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sz w:val="21"/>
                <w:szCs w:val="21"/>
                <w:vertAlign w:val="baseline"/>
                <w:lang w:val="en-US" w:eastAsia="zh-CN"/>
              </w:rPr>
              <w:t>锚栓圆盘抗拔力标准值（KN）</w:t>
            </w:r>
          </w:p>
        </w:tc>
        <w:tc>
          <w:tcPr>
            <w:tcW w:w="1680" w:type="dxa"/>
            <w:noWrap w:val="0"/>
            <w:vAlign w:val="top"/>
          </w:tcPr>
          <w:p w14:paraId="33923ED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r>
              <w:rPr>
                <w:rFonts w:hint="eastAsia"/>
                <w:b w:val="0"/>
                <w:bCs w:val="0"/>
                <w:sz w:val="21"/>
                <w:szCs w:val="21"/>
                <w:vertAlign w:val="baseline"/>
                <w:lang w:val="en-US" w:eastAsia="zh-CN"/>
              </w:rPr>
              <w:t>≥0.50</w:t>
            </w:r>
          </w:p>
        </w:tc>
        <w:tc>
          <w:tcPr>
            <w:tcW w:w="1497" w:type="dxa"/>
            <w:vMerge w:val="continue"/>
            <w:noWrap w:val="0"/>
            <w:vAlign w:val="top"/>
          </w:tcPr>
          <w:p w14:paraId="2D0F1D9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r>
    </w:tbl>
    <w:p w14:paraId="31B8EE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1"/>
          <w:szCs w:val="21"/>
          <w:lang w:val="en-US" w:eastAsia="zh-CN"/>
        </w:rPr>
      </w:pPr>
      <w:r>
        <w:rPr>
          <w:rFonts w:hint="eastAsia"/>
          <w:sz w:val="21"/>
          <w:szCs w:val="21"/>
          <w:lang w:val="en-US" w:eastAsia="zh-CN"/>
        </w:rPr>
        <w:t>注：多孔砖砌体基层墙体、空心砌块基层墙体应选用通过摩擦和机械锁定承载的锚</w:t>
      </w:r>
      <w:r>
        <w:rPr>
          <w:rFonts w:hint="eastAsia"/>
          <w:sz w:val="21"/>
          <w:szCs w:val="21"/>
          <w:vertAlign w:val="baseline"/>
          <w:lang w:val="en-US" w:eastAsia="zh-CN"/>
        </w:rPr>
        <w:t>栓</w:t>
      </w:r>
      <w:r>
        <w:rPr>
          <w:rFonts w:hint="eastAsia"/>
          <w:sz w:val="21"/>
          <w:szCs w:val="21"/>
          <w:lang w:val="en-US" w:eastAsia="zh-CN"/>
        </w:rPr>
        <w:t>（即带回拧机构的锚</w:t>
      </w:r>
      <w:r>
        <w:rPr>
          <w:rFonts w:hint="eastAsia"/>
          <w:sz w:val="21"/>
          <w:szCs w:val="21"/>
          <w:vertAlign w:val="baseline"/>
          <w:lang w:val="en-US" w:eastAsia="zh-CN"/>
        </w:rPr>
        <w:t>栓</w:t>
      </w:r>
      <w:r>
        <w:rPr>
          <w:rFonts w:hint="eastAsia"/>
          <w:sz w:val="21"/>
          <w:szCs w:val="21"/>
          <w:lang w:val="en-US" w:eastAsia="zh-CN"/>
        </w:rPr>
        <w:t>）。</w:t>
      </w:r>
    </w:p>
    <w:p w14:paraId="767F07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b/>
          <w:bCs/>
          <w:sz w:val="24"/>
          <w:szCs w:val="24"/>
          <w:lang w:val="en-US" w:eastAsia="zh-CN"/>
        </w:rPr>
        <w:t>5.3.8</w:t>
      </w:r>
      <w:r>
        <w:rPr>
          <w:rFonts w:hint="eastAsia"/>
          <w:sz w:val="24"/>
          <w:szCs w:val="24"/>
          <w:lang w:val="en-US" w:eastAsia="zh-CN"/>
        </w:rPr>
        <w:t xml:space="preserve"> 其他配套材料及附件应符合国家、行业、地方现行相关标准的规定。</w:t>
      </w:r>
    </w:p>
    <w:p w14:paraId="268D282E">
      <w:pPr>
        <w:pStyle w:val="2"/>
        <w:bidi w:val="0"/>
        <w:jc w:val="center"/>
        <w:rPr>
          <w:rFonts w:hint="eastAsia"/>
          <w:szCs w:val="22"/>
          <w:lang w:val="en-US" w:eastAsia="zh-CN"/>
        </w:rPr>
        <w:sectPr>
          <w:pgSz w:w="11850" w:h="16783"/>
          <w:pgMar w:top="1440" w:right="1800" w:bottom="1440" w:left="1800" w:header="851" w:footer="992" w:gutter="0"/>
          <w:pgNumType w:fmt="decimal"/>
          <w:cols w:space="720" w:num="1"/>
          <w:docGrid w:type="lines" w:linePitch="312" w:charSpace="0"/>
        </w:sectPr>
      </w:pPr>
      <w:bookmarkStart w:id="44" w:name="_Toc4256"/>
    </w:p>
    <w:p w14:paraId="022F3561">
      <w:pPr>
        <w:pStyle w:val="2"/>
        <w:bidi w:val="0"/>
        <w:jc w:val="center"/>
        <w:rPr>
          <w:rFonts w:hint="eastAsia"/>
          <w:szCs w:val="22"/>
          <w:lang w:val="en-US" w:eastAsia="zh-CN"/>
        </w:rPr>
      </w:pPr>
      <w:r>
        <w:rPr>
          <w:rFonts w:hint="eastAsia"/>
          <w:szCs w:val="22"/>
          <w:lang w:val="en-US" w:eastAsia="zh-CN"/>
        </w:rPr>
        <w:t>6 设计</w:t>
      </w:r>
      <w:bookmarkEnd w:id="44"/>
    </w:p>
    <w:p w14:paraId="10CE95D9">
      <w:pPr>
        <w:pStyle w:val="3"/>
        <w:bidi w:val="0"/>
        <w:jc w:val="center"/>
        <w:rPr>
          <w:rFonts w:hint="eastAsia"/>
          <w:szCs w:val="22"/>
          <w:lang w:val="en-US" w:eastAsia="zh-CN"/>
        </w:rPr>
      </w:pPr>
      <w:bookmarkStart w:id="45" w:name="_Toc25665"/>
      <w:r>
        <w:rPr>
          <w:rFonts w:hint="eastAsia"/>
          <w:szCs w:val="22"/>
          <w:lang w:val="en-US" w:eastAsia="zh-CN"/>
        </w:rPr>
        <w:t>6.1一般规定</w:t>
      </w:r>
      <w:bookmarkEnd w:id="45"/>
    </w:p>
    <w:p w14:paraId="0BA310A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6.1.1</w:t>
      </w:r>
      <w:r>
        <w:rPr>
          <w:rFonts w:hint="eastAsia" w:cs="Times New Roman"/>
          <w:b/>
          <w:bCs/>
          <w:kern w:val="2"/>
          <w:sz w:val="24"/>
          <w:szCs w:val="24"/>
          <w:lang w:val="en-US" w:eastAsia="zh-CN" w:bidi="ar-SA"/>
        </w:rPr>
        <w:t xml:space="preserve"> </w:t>
      </w:r>
      <w:r>
        <w:rPr>
          <w:rFonts w:hint="eastAsia" w:cs="Times New Roman"/>
          <w:b w:val="0"/>
          <w:bCs w:val="0"/>
          <w:kern w:val="2"/>
          <w:sz w:val="24"/>
          <w:szCs w:val="24"/>
          <w:lang w:val="en-US" w:eastAsia="zh-CN" w:bidi="ar-SA"/>
        </w:rPr>
        <w:t>应根据检查报告进行外墙改造设计，设计应编制改造项目设计方案，方案应明确改造范围、改造内容及相关技术指标。</w:t>
      </w:r>
    </w:p>
    <w:p w14:paraId="62503A6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cs="Times New Roman"/>
          <w:b w:val="0"/>
          <w:bCs w:val="0"/>
          <w:kern w:val="2"/>
          <w:sz w:val="24"/>
          <w:szCs w:val="24"/>
          <w:highlight w:val="green"/>
          <w:lang w:val="en-US" w:eastAsia="zh-CN" w:bidi="ar-SA"/>
        </w:rPr>
      </w:pPr>
      <w:r>
        <w:rPr>
          <w:rFonts w:hint="eastAsia" w:ascii="Times New Roman" w:hAnsi="Times New Roman" w:eastAsia="宋体" w:cs="Times New Roman"/>
          <w:b/>
          <w:bCs/>
          <w:kern w:val="2"/>
          <w:sz w:val="24"/>
          <w:szCs w:val="24"/>
          <w:lang w:val="en-US" w:eastAsia="zh-CN" w:bidi="ar-SA"/>
        </w:rPr>
        <w:t xml:space="preserve">6.1.2 </w:t>
      </w:r>
      <w:r>
        <w:rPr>
          <w:rFonts w:hint="eastAsia" w:ascii="宋体" w:hAnsi="宋体" w:eastAsia="宋体"/>
          <w:sz w:val="24"/>
          <w:szCs w:val="24"/>
          <w:lang w:val="en-US" w:eastAsia="zh-CN"/>
        </w:rPr>
        <w:t>改性玻化微珠外墙系统</w:t>
      </w:r>
      <w:r>
        <w:rPr>
          <w:rFonts w:hint="eastAsia" w:hAnsi="宋体"/>
          <w:sz w:val="24"/>
          <w:szCs w:val="24"/>
          <w:lang w:val="en-US" w:eastAsia="zh-CN"/>
        </w:rPr>
        <w:t>适用于以下既有建筑外墙系统，不适用于玻璃、金属与石材等各类幕墙系统。</w:t>
      </w:r>
    </w:p>
    <w:p w14:paraId="78F81196">
      <w:pPr>
        <w:pStyle w:val="14"/>
        <w:keepNext w:val="0"/>
        <w:keepLines w:val="0"/>
        <w:pageBreakBefore w:val="0"/>
        <w:widowControl w:val="0"/>
        <w:numPr>
          <w:ilvl w:val="0"/>
          <w:numId w:val="0"/>
        </w:numPr>
        <w:kinsoku/>
        <w:wordWrap/>
        <w:overflowPunct/>
        <w:topLinePunct w:val="0"/>
        <w:bidi w:val="0"/>
        <w:snapToGrid/>
        <w:spacing w:line="360" w:lineRule="auto"/>
        <w:ind w:firstLine="482" w:firstLineChars="200"/>
        <w:textAlignment w:val="auto"/>
        <w:rPr>
          <w:rFonts w:hint="eastAsia" w:hAnsi="宋体"/>
          <w:sz w:val="24"/>
          <w:szCs w:val="24"/>
          <w:lang w:val="en-US" w:eastAsia="zh-CN"/>
        </w:rPr>
      </w:pPr>
      <w:r>
        <w:rPr>
          <w:rFonts w:hint="eastAsia" w:ascii="Times New Roman" w:hAnsi="Times New Roman" w:eastAsia="宋体" w:cs="Times New Roman"/>
          <w:b/>
          <w:bCs/>
          <w:color w:val="auto"/>
          <w:kern w:val="2"/>
          <w:sz w:val="24"/>
          <w:szCs w:val="24"/>
          <w:lang w:val="en-US" w:eastAsia="zh-CN" w:bidi="ar-SA"/>
        </w:rPr>
        <w:t>1</w:t>
      </w:r>
      <w:r>
        <w:rPr>
          <w:rFonts w:hint="eastAsia" w:hAnsi="宋体"/>
          <w:sz w:val="24"/>
          <w:szCs w:val="24"/>
          <w:lang w:val="en-US" w:eastAsia="zh-CN"/>
        </w:rPr>
        <w:t xml:space="preserve"> 抹灰、涂料类外墙系统。</w:t>
      </w:r>
    </w:p>
    <w:p w14:paraId="0123931A">
      <w:pPr>
        <w:pStyle w:val="14"/>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hAnsi="宋体"/>
          <w:sz w:val="24"/>
          <w:szCs w:val="24"/>
          <w:lang w:val="en-US" w:eastAsia="zh-CN"/>
        </w:rPr>
      </w:pPr>
      <w:r>
        <w:rPr>
          <w:rFonts w:hint="eastAsia" w:hAnsi="宋体"/>
          <w:sz w:val="24"/>
          <w:szCs w:val="24"/>
          <w:lang w:val="en-US" w:eastAsia="zh-CN"/>
        </w:rPr>
        <w:t>2 饰面类外墙系统。</w:t>
      </w:r>
    </w:p>
    <w:p w14:paraId="04CB6B84">
      <w:pPr>
        <w:pStyle w:val="14"/>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hAnsi="宋体"/>
          <w:sz w:val="24"/>
          <w:szCs w:val="24"/>
          <w:lang w:val="en-US" w:eastAsia="zh-CN"/>
        </w:rPr>
      </w:pPr>
      <w:r>
        <w:rPr>
          <w:rFonts w:hint="eastAsia" w:hAnsi="宋体"/>
          <w:sz w:val="24"/>
          <w:szCs w:val="24"/>
          <w:lang w:val="en-US" w:eastAsia="zh-CN"/>
        </w:rPr>
        <w:t>3 保温板材粘锚外墙系统。</w:t>
      </w:r>
    </w:p>
    <w:p w14:paraId="76630B46">
      <w:pPr>
        <w:pStyle w:val="14"/>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hAnsi="宋体"/>
          <w:sz w:val="24"/>
          <w:szCs w:val="24"/>
          <w:lang w:val="en-US" w:eastAsia="zh-CN"/>
        </w:rPr>
      </w:pPr>
      <w:r>
        <w:rPr>
          <w:rFonts w:hint="eastAsia" w:hAnsi="宋体"/>
          <w:sz w:val="24"/>
          <w:szCs w:val="24"/>
          <w:lang w:val="en-US" w:eastAsia="zh-CN"/>
        </w:rPr>
        <w:t>4 保温砂浆外墙系统。</w:t>
      </w:r>
    </w:p>
    <w:p w14:paraId="126C50B5">
      <w:pPr>
        <w:pStyle w:val="14"/>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hAnsi="宋体"/>
          <w:sz w:val="24"/>
          <w:szCs w:val="24"/>
          <w:lang w:val="en-US" w:eastAsia="zh-CN"/>
        </w:rPr>
      </w:pPr>
      <w:r>
        <w:rPr>
          <w:rFonts w:hint="eastAsia" w:hAnsi="宋体"/>
          <w:sz w:val="24"/>
          <w:szCs w:val="24"/>
          <w:lang w:val="en-US" w:eastAsia="zh-CN"/>
        </w:rPr>
        <w:t>5 现场喷涂类外墙系统。</w:t>
      </w:r>
    </w:p>
    <w:p w14:paraId="48ED1AC4">
      <w:pPr>
        <w:pStyle w:val="14"/>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default"/>
          <w:lang w:val="en-US" w:eastAsia="zh-CN"/>
        </w:rPr>
      </w:pPr>
      <w:r>
        <w:rPr>
          <w:rFonts w:hint="eastAsia" w:hAnsi="宋体"/>
          <w:sz w:val="24"/>
          <w:szCs w:val="24"/>
          <w:lang w:val="en-US" w:eastAsia="zh-CN"/>
        </w:rPr>
        <w:t>6 有保温要求的外墙改造工程宜采用</w:t>
      </w:r>
      <w:r>
        <w:rPr>
          <w:rFonts w:hint="eastAsia" w:ascii="宋体" w:hAnsi="宋体" w:eastAsia="宋体"/>
          <w:sz w:val="24"/>
          <w:szCs w:val="24"/>
          <w:lang w:val="en-US" w:eastAsia="zh-CN"/>
        </w:rPr>
        <w:t>改性玻化微珠外墙</w:t>
      </w:r>
      <w:r>
        <w:rPr>
          <w:rFonts w:hint="eastAsia" w:hAnsi="宋体"/>
          <w:sz w:val="24"/>
          <w:szCs w:val="24"/>
          <w:lang w:val="en-US" w:eastAsia="zh-CN"/>
        </w:rPr>
        <w:t>干挂</w:t>
      </w:r>
      <w:r>
        <w:rPr>
          <w:rFonts w:hint="eastAsia" w:ascii="宋体" w:hAnsi="宋体" w:eastAsia="宋体"/>
          <w:sz w:val="24"/>
          <w:szCs w:val="24"/>
          <w:lang w:val="en-US" w:eastAsia="zh-CN"/>
        </w:rPr>
        <w:t>系统</w:t>
      </w:r>
      <w:r>
        <w:rPr>
          <w:rFonts w:hint="eastAsia" w:hAnsi="宋体"/>
          <w:sz w:val="24"/>
          <w:szCs w:val="24"/>
          <w:lang w:val="en-US" w:eastAsia="zh-CN"/>
        </w:rPr>
        <w:t xml:space="preserve">。  </w:t>
      </w:r>
    </w:p>
    <w:p w14:paraId="7F1BF3C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sz w:val="24"/>
          <w:szCs w:val="24"/>
          <w:highlight w:val="yellow"/>
          <w:lang w:val="en-US" w:eastAsia="zh-CN"/>
        </w:rPr>
      </w:pPr>
      <w:r>
        <w:rPr>
          <w:rFonts w:hint="eastAsia" w:ascii="Times New Roman" w:hAnsi="Times New Roman" w:eastAsia="宋体" w:cs="Times New Roman"/>
          <w:b/>
          <w:bCs/>
          <w:kern w:val="2"/>
          <w:sz w:val="24"/>
          <w:szCs w:val="24"/>
          <w:lang w:val="en-US" w:eastAsia="zh-CN" w:bidi="ar-SA"/>
        </w:rPr>
        <w:t>6.1.</w:t>
      </w:r>
      <w:r>
        <w:rPr>
          <w:rFonts w:hint="eastAsia" w:cs="Times New Roman"/>
          <w:b/>
          <w:bCs/>
          <w:kern w:val="2"/>
          <w:sz w:val="24"/>
          <w:szCs w:val="24"/>
          <w:lang w:val="en-US" w:eastAsia="zh-CN" w:bidi="ar-SA"/>
        </w:rPr>
        <w:t>3</w:t>
      </w:r>
      <w:r>
        <w:rPr>
          <w:rFonts w:hint="eastAsia" w:ascii="Times New Roman" w:hAnsi="Times New Roman" w:eastAsia="宋体" w:cs="Times New Roman"/>
          <w:b/>
          <w:bCs/>
          <w:kern w:val="2"/>
          <w:sz w:val="24"/>
          <w:szCs w:val="24"/>
          <w:lang w:val="en-US" w:eastAsia="zh-CN" w:bidi="ar-SA"/>
        </w:rPr>
        <w:t xml:space="preserve"> </w:t>
      </w:r>
      <w:r>
        <w:rPr>
          <w:rFonts w:hint="eastAsia" w:ascii="宋体" w:hAnsi="宋体"/>
          <w:sz w:val="24"/>
          <w:szCs w:val="24"/>
          <w:lang w:val="en-US" w:eastAsia="zh-CN"/>
        </w:rPr>
        <w:t>因采用</w:t>
      </w:r>
      <w:r>
        <w:rPr>
          <w:rFonts w:hint="eastAsia" w:ascii="宋体" w:hAnsi="宋体" w:eastAsia="宋体"/>
          <w:sz w:val="24"/>
          <w:szCs w:val="24"/>
          <w:lang w:val="en-US" w:eastAsia="zh-CN"/>
        </w:rPr>
        <w:t>改性玻化微珠外墙系统</w:t>
      </w:r>
      <w:r>
        <w:rPr>
          <w:rFonts w:hint="eastAsia" w:ascii="宋体" w:hAnsi="宋体"/>
          <w:sz w:val="24"/>
          <w:szCs w:val="24"/>
          <w:lang w:val="en-US" w:eastAsia="zh-CN"/>
        </w:rPr>
        <w:t>改变了改造范围内建筑得间距，以及与之相关得改造范围外建筑的间距时，其间距不应低于消防间距标准的要求。</w:t>
      </w:r>
    </w:p>
    <w:p w14:paraId="1BE8D1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lang w:val="en-US" w:eastAsia="zh-CN"/>
        </w:rPr>
      </w:pPr>
      <w:r>
        <w:rPr>
          <w:rFonts w:hint="eastAsia" w:ascii="Times New Roman" w:hAnsi="Times New Roman" w:eastAsia="宋体" w:cs="Times New Roman"/>
          <w:b/>
          <w:bCs/>
          <w:kern w:val="2"/>
          <w:sz w:val="24"/>
          <w:szCs w:val="24"/>
          <w:lang w:val="en-US" w:eastAsia="zh-CN" w:bidi="ar-SA"/>
        </w:rPr>
        <w:t>6.1.</w:t>
      </w:r>
      <w:r>
        <w:rPr>
          <w:rFonts w:hint="eastAsia" w:cs="Times New Roman"/>
          <w:b/>
          <w:bCs/>
          <w:kern w:val="2"/>
          <w:sz w:val="24"/>
          <w:szCs w:val="24"/>
          <w:lang w:val="en-US" w:eastAsia="zh-CN" w:bidi="ar-SA"/>
        </w:rPr>
        <w:t>4</w:t>
      </w:r>
      <w:r>
        <w:rPr>
          <w:rFonts w:hint="eastAsia" w:ascii="宋体" w:hAnsi="宋体" w:eastAsia="宋体"/>
          <w:sz w:val="24"/>
          <w:szCs w:val="24"/>
          <w:lang w:val="en-US" w:eastAsia="zh-CN"/>
        </w:rPr>
        <w:t>采用改性玻化微珠外墙系统，应在设计文件中明确各种组成材料由系统产品供应商配套提供，且不应更改系统构造和组成材料。</w:t>
      </w:r>
    </w:p>
    <w:p w14:paraId="44FE140E">
      <w:pPr>
        <w:pStyle w:val="18"/>
        <w:keepNext w:val="0"/>
        <w:keepLines w:val="0"/>
        <w:pageBreakBefore w:val="0"/>
        <w:widowControl w:val="0"/>
        <w:numPr>
          <w:ilvl w:val="0"/>
          <w:numId w:val="0"/>
        </w:numPr>
        <w:tabs>
          <w:tab w:val="left" w:pos="1023"/>
        </w:tabs>
        <w:kinsoku/>
        <w:wordWrap/>
        <w:overflowPunct/>
        <w:topLinePunct w:val="0"/>
        <w:autoSpaceDE/>
        <w:autoSpaceDN/>
        <w:bidi w:val="0"/>
        <w:adjustRightInd/>
        <w:snapToGrid/>
        <w:spacing w:before="151" w:after="0" w:line="360" w:lineRule="auto"/>
        <w:ind w:right="142" w:rightChars="0"/>
        <w:jc w:val="both"/>
        <w:textAlignment w:val="auto"/>
        <w:rPr>
          <w:rFonts w:hint="eastAsia"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6.1.</w:t>
      </w:r>
      <w:r>
        <w:rPr>
          <w:rFonts w:hint="eastAsia" w:cs="Times New Roman"/>
          <w:color w:val="0000FF"/>
          <w:kern w:val="2"/>
          <w:sz w:val="24"/>
          <w:szCs w:val="24"/>
          <w:lang w:val="en-US" w:eastAsia="zh-CN" w:bidi="ar-SA"/>
        </w:rPr>
        <w:t>4</w:t>
      </w:r>
      <w:r>
        <w:rPr>
          <w:rFonts w:hint="eastAsia" w:ascii="宋体" w:hAnsi="宋体" w:eastAsia="宋体" w:cs="Times New Roman"/>
          <w:color w:val="0000FF"/>
          <w:kern w:val="2"/>
          <w:sz w:val="24"/>
          <w:szCs w:val="24"/>
          <w:lang w:val="en-US" w:eastAsia="zh-CN" w:bidi="ar-SA"/>
        </w:rPr>
        <w:t>本标准将改性玻化微珠外墙系统的系统构造和组成材料作为一个整体来考虑。系统的设计和安装应遵照系统成套供应原则进行，系统的整套组成材料都由系统产品供应商配套提供有利于保证工程质量，系统产品供应商应按设计要求对系统的所有组成材料作出规定，并最终对系统整套组成材料负责。</w:t>
      </w:r>
    </w:p>
    <w:p w14:paraId="0467FB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lang w:val="en-US" w:eastAsia="zh-CN"/>
        </w:rPr>
      </w:pPr>
      <w:r>
        <w:rPr>
          <w:rFonts w:hint="eastAsia" w:ascii="Times New Roman" w:hAnsi="Times New Roman" w:eastAsia="宋体" w:cs="Times New Roman"/>
          <w:b/>
          <w:bCs/>
          <w:kern w:val="2"/>
          <w:sz w:val="24"/>
          <w:szCs w:val="24"/>
          <w:lang w:val="en-US" w:eastAsia="zh-CN" w:bidi="ar-SA"/>
        </w:rPr>
        <w:t>6.1.</w:t>
      </w:r>
      <w:r>
        <w:rPr>
          <w:rFonts w:hint="eastAsia" w:cs="Times New Roman"/>
          <w:b/>
          <w:bCs/>
          <w:kern w:val="2"/>
          <w:sz w:val="24"/>
          <w:szCs w:val="24"/>
          <w:lang w:val="en-US" w:eastAsia="zh-CN" w:bidi="ar-SA"/>
        </w:rPr>
        <w:t>5</w:t>
      </w:r>
      <w:r>
        <w:rPr>
          <w:rFonts w:hint="eastAsia" w:ascii="宋体" w:hAnsi="宋体" w:eastAsia="宋体"/>
          <w:sz w:val="24"/>
          <w:szCs w:val="24"/>
          <w:lang w:val="en-US" w:eastAsia="zh-CN"/>
        </w:rPr>
        <w:t>改性玻化微珠外墙系统应做好工程细部的密封和防水构造设计，在系统上安装的设备或管道应固定</w:t>
      </w:r>
      <w:r>
        <w:rPr>
          <w:rFonts w:hint="eastAsia" w:ascii="宋体" w:hAnsi="宋体"/>
          <w:sz w:val="24"/>
          <w:szCs w:val="24"/>
          <w:lang w:val="en-US" w:eastAsia="zh-CN"/>
        </w:rPr>
        <w:t>到原外墙</w:t>
      </w:r>
      <w:r>
        <w:rPr>
          <w:rFonts w:hint="eastAsia" w:ascii="宋体" w:hAnsi="宋体" w:eastAsia="宋体"/>
          <w:sz w:val="24"/>
          <w:szCs w:val="24"/>
          <w:lang w:val="en-US" w:eastAsia="zh-CN"/>
        </w:rPr>
        <w:t>基层墙体上，并应做密封和防水设计。</w:t>
      </w:r>
    </w:p>
    <w:p w14:paraId="43292573">
      <w:pPr>
        <w:pStyle w:val="14"/>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6.1.</w:t>
      </w:r>
      <w:r>
        <w:rPr>
          <w:rFonts w:hint="eastAsia" w:hAnsi="宋体" w:cs="Times New Roman"/>
          <w:color w:val="0000FF"/>
          <w:kern w:val="2"/>
          <w:sz w:val="24"/>
          <w:szCs w:val="24"/>
          <w:lang w:val="en-US" w:eastAsia="zh-CN" w:bidi="ar-SA"/>
        </w:rPr>
        <w:t xml:space="preserve">5 </w:t>
      </w:r>
      <w:r>
        <w:rPr>
          <w:rFonts w:hint="eastAsia" w:ascii="宋体" w:hAnsi="宋体" w:eastAsia="宋体" w:cs="Times New Roman"/>
          <w:color w:val="0000FF"/>
          <w:kern w:val="2"/>
          <w:sz w:val="24"/>
          <w:szCs w:val="24"/>
          <w:lang w:val="en-US" w:eastAsia="zh-CN" w:bidi="ar-SA"/>
        </w:rPr>
        <w:t>细部密封和防水构造设计应有详图。水平或倾斜的出挑部位以及延伸至地面以下的部位应进行防水处理，外墙上任何附着件连接部位、基层墙体转角搭接处、门窗洞口与门窗交接处、外墙与屋顶交接处、变形缝部等重点部位应进行密封和防水构造设计。</w:t>
      </w:r>
    </w:p>
    <w:p w14:paraId="47128D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r>
        <w:rPr>
          <w:rFonts w:hint="eastAsia" w:ascii="Times New Roman" w:hAnsi="Times New Roman" w:eastAsia="宋体" w:cs="Times New Roman"/>
          <w:b/>
          <w:bCs/>
          <w:kern w:val="2"/>
          <w:sz w:val="24"/>
          <w:szCs w:val="24"/>
          <w:lang w:val="en-US" w:eastAsia="zh-CN" w:bidi="ar-SA"/>
        </w:rPr>
        <w:t>6.1.</w:t>
      </w:r>
      <w:r>
        <w:rPr>
          <w:rFonts w:hint="eastAsia" w:cs="Times New Roman"/>
          <w:b/>
          <w:bCs/>
          <w:kern w:val="2"/>
          <w:sz w:val="24"/>
          <w:szCs w:val="24"/>
          <w:lang w:val="en-US" w:eastAsia="zh-CN" w:bidi="ar-SA"/>
        </w:rPr>
        <w:t>5</w:t>
      </w:r>
      <w:r>
        <w:rPr>
          <w:rFonts w:hint="eastAsia" w:ascii="宋体" w:hAnsi="宋体"/>
          <w:sz w:val="24"/>
          <w:szCs w:val="24"/>
          <w:lang w:val="en-US" w:eastAsia="zh-CN"/>
        </w:rPr>
        <w:t>改性玻化微珠外墙系统</w:t>
      </w:r>
      <w:r>
        <w:rPr>
          <w:rFonts w:hint="eastAsia"/>
          <w:b w:val="0"/>
          <w:bCs w:val="0"/>
          <w:sz w:val="24"/>
          <w:szCs w:val="24"/>
          <w:lang w:val="en-US" w:eastAsia="zh-CN"/>
        </w:rPr>
        <w:t>在重力荷载、风荷载、地震作用、温度作用和主体结构正常变形影响下，应具有安全性，并应符合现行国家标准《工程结构通用规范》GB55001、《建筑结构荷载规范》GB 50009、《建筑与市政工程抗震通用规范》GB55002、《建筑抗震设计规范》GB 50011 的有关规定。</w:t>
      </w:r>
    </w:p>
    <w:p w14:paraId="356A63CC">
      <w:pPr>
        <w:pStyle w:val="14"/>
        <w:rPr>
          <w:rFonts w:hint="default"/>
          <w:lang w:val="en-US" w:eastAsia="zh-CN"/>
        </w:rPr>
      </w:pPr>
    </w:p>
    <w:p w14:paraId="6ACDF93B">
      <w:pPr>
        <w:pStyle w:val="3"/>
        <w:bidi w:val="0"/>
        <w:jc w:val="center"/>
        <w:rPr>
          <w:rFonts w:hint="eastAsia"/>
          <w:szCs w:val="22"/>
          <w:lang w:val="en-US" w:eastAsia="zh-CN"/>
        </w:rPr>
      </w:pPr>
      <w:bookmarkStart w:id="46" w:name="_Toc24909"/>
      <w:r>
        <w:rPr>
          <w:rFonts w:hint="eastAsia"/>
          <w:szCs w:val="22"/>
          <w:lang w:val="en-US" w:eastAsia="zh-CN"/>
        </w:rPr>
        <w:t>6.2改性玻化微珠外墙干挂系统</w:t>
      </w:r>
      <w:bookmarkEnd w:id="46"/>
    </w:p>
    <w:p w14:paraId="7A426A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ascii="Times New Roman" w:hAnsi="Times New Roman" w:eastAsia="宋体" w:cs="Times New Roman"/>
          <w:b/>
          <w:bCs/>
          <w:kern w:val="2"/>
          <w:sz w:val="24"/>
          <w:szCs w:val="24"/>
          <w:lang w:val="en-US" w:eastAsia="zh-CN" w:bidi="ar-SA"/>
        </w:rPr>
        <w:t>6.2.1</w:t>
      </w:r>
      <w:r>
        <w:rPr>
          <w:rFonts w:hint="eastAsia"/>
          <w:sz w:val="24"/>
          <w:szCs w:val="24"/>
          <w:lang w:val="en-US" w:eastAsia="zh-CN"/>
        </w:rPr>
        <w:t>改性玻化微珠外墙干挂系统在建筑工程中的使用高度应符合下列规定：</w:t>
      </w:r>
    </w:p>
    <w:p w14:paraId="6BAD26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sz w:val="24"/>
          <w:szCs w:val="24"/>
          <w:lang w:val="en-US" w:eastAsia="zh-CN"/>
        </w:rPr>
      </w:pPr>
      <w:r>
        <w:rPr>
          <w:rFonts w:hint="eastAsia"/>
          <w:sz w:val="24"/>
          <w:szCs w:val="24"/>
          <w:lang w:val="en-US" w:eastAsia="zh-CN"/>
        </w:rPr>
        <w:t>1 采用I型的改性玻化微珠保温装饰板时，其使用高度不</w:t>
      </w:r>
      <w:r>
        <w:rPr>
          <w:rFonts w:hint="eastAsia"/>
          <w:color w:val="auto"/>
          <w:sz w:val="24"/>
          <w:szCs w:val="24"/>
          <w:lang w:val="en-US" w:eastAsia="zh-CN"/>
        </w:rPr>
        <w:t>应大于100m；</w:t>
      </w:r>
    </w:p>
    <w:p w14:paraId="760240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color w:val="auto"/>
          <w:sz w:val="24"/>
          <w:szCs w:val="24"/>
          <w:lang w:val="en-US" w:eastAsia="zh-CN"/>
        </w:rPr>
        <w:t>2 采用II型的改性玻化微珠保温装饰板时，其使用高度不应大于65m；</w:t>
      </w:r>
    </w:p>
    <w:p w14:paraId="4D6B9B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 当系统使用高度大于1、2款限制时，应制订专项技术方案和验收方法，组织专项论证。</w:t>
      </w:r>
    </w:p>
    <w:p w14:paraId="75124D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lang w:val="en-US" w:eastAsia="zh-CN"/>
        </w:rPr>
      </w:pPr>
      <w:r>
        <w:rPr>
          <w:rFonts w:hint="eastAsia" w:ascii="Times New Roman" w:hAnsi="Times New Roman" w:eastAsia="宋体" w:cs="Times New Roman"/>
          <w:b/>
          <w:bCs/>
          <w:kern w:val="2"/>
          <w:sz w:val="24"/>
          <w:szCs w:val="24"/>
          <w:lang w:val="en-US" w:eastAsia="zh-CN" w:bidi="ar-SA"/>
        </w:rPr>
        <w:t>6.2.2</w:t>
      </w:r>
      <w:r>
        <w:rPr>
          <w:rFonts w:hint="eastAsia" w:eastAsia="宋体"/>
          <w:sz w:val="24"/>
          <w:szCs w:val="24"/>
          <w:lang w:val="en-US" w:eastAsia="zh-CN"/>
        </w:rPr>
        <w:t>铝合金托挂件应符合下列规定：</w:t>
      </w:r>
    </w:p>
    <w:p w14:paraId="2A9BD5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sz w:val="24"/>
          <w:szCs w:val="24"/>
          <w:lang w:val="en-US" w:eastAsia="zh-CN"/>
        </w:rPr>
      </w:pPr>
      <w:r>
        <w:rPr>
          <w:rFonts w:hint="eastAsia" w:eastAsia="宋体"/>
          <w:sz w:val="24"/>
          <w:szCs w:val="24"/>
          <w:lang w:val="en-US" w:eastAsia="zh-CN"/>
        </w:rPr>
        <w:t>1横向铝合金托挂件置于每排改性玻化微珠保温装饰板底部，沿墙水平通长设置。相邻两根横向铝合金托挂件端头之间应留设不小于3mm的间隙</w:t>
      </w:r>
      <w:r>
        <w:rPr>
          <w:rFonts w:hint="eastAsia"/>
          <w:sz w:val="24"/>
          <w:szCs w:val="24"/>
          <w:lang w:val="en-US" w:eastAsia="zh-CN"/>
        </w:rPr>
        <w:t>。</w:t>
      </w:r>
    </w:p>
    <w:p w14:paraId="662BE3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sz w:val="24"/>
          <w:szCs w:val="24"/>
          <w:lang w:val="en-US" w:eastAsia="zh-CN"/>
        </w:rPr>
      </w:pPr>
      <w:r>
        <w:rPr>
          <w:rFonts w:hint="eastAsia" w:eastAsia="宋体"/>
          <w:sz w:val="24"/>
          <w:szCs w:val="24"/>
          <w:lang w:val="en-US" w:eastAsia="zh-CN"/>
        </w:rPr>
        <w:t>2横向铝合金托挂件用于安装锚固件的预留孔边距不应小于10mm</w:t>
      </w:r>
      <w:r>
        <w:rPr>
          <w:rFonts w:hint="eastAsia"/>
          <w:sz w:val="24"/>
          <w:szCs w:val="24"/>
          <w:lang w:val="en-US" w:eastAsia="zh-CN"/>
        </w:rPr>
        <w:t>。</w:t>
      </w:r>
    </w:p>
    <w:p w14:paraId="560DE5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sz w:val="24"/>
          <w:szCs w:val="24"/>
          <w:lang w:val="en-US" w:eastAsia="zh-CN"/>
        </w:rPr>
      </w:pPr>
      <w:r>
        <w:rPr>
          <w:rFonts w:hint="eastAsia" w:eastAsia="宋体"/>
          <w:sz w:val="24"/>
          <w:szCs w:val="24"/>
          <w:lang w:val="en-US" w:eastAsia="zh-CN"/>
        </w:rPr>
        <w:t>3横向铝合金托挂件挂部高度不应小于40mm，挂部翼缘厚度不应小于2mm；托部宽度应根据所托改性玻化微珠保温装饰板厚度确定，托部腹板厚度不应小于2mm。</w:t>
      </w:r>
    </w:p>
    <w:p w14:paraId="1D55DC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6.2.2横向铝合金托挂件型材截面由托部和挂部组成，型材标准长度不宜大于6000mm，可根据安装实际所需长度进行裁切。 竖向铝合金连接件应与横向铝合金托挂件进行垂直连接形成闭环的铝合金框架，竖向铝合金连接件标准长度应与改性玻化微珠保温装饰板宽度一致。</w:t>
      </w:r>
    </w:p>
    <w:p w14:paraId="09C9CE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lang w:val="en-US" w:eastAsia="zh-CN"/>
        </w:rPr>
      </w:pPr>
      <w:r>
        <w:rPr>
          <w:rFonts w:hint="eastAsia" w:ascii="Times New Roman" w:hAnsi="Times New Roman" w:eastAsia="宋体" w:cs="Times New Roman"/>
          <w:b/>
          <w:bCs/>
          <w:kern w:val="2"/>
          <w:sz w:val="24"/>
          <w:szCs w:val="24"/>
          <w:lang w:val="en-US" w:eastAsia="zh-CN" w:bidi="ar-SA"/>
        </w:rPr>
        <w:t>6.2.3</w:t>
      </w:r>
      <w:r>
        <w:rPr>
          <w:rFonts w:hint="eastAsia" w:eastAsia="宋体"/>
          <w:sz w:val="24"/>
          <w:szCs w:val="24"/>
          <w:lang w:val="en-US" w:eastAsia="zh-CN"/>
        </w:rPr>
        <w:t>锚固件应符合下列规定：</w:t>
      </w:r>
    </w:p>
    <w:p w14:paraId="1E6E45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sz w:val="24"/>
          <w:szCs w:val="24"/>
          <w:lang w:val="en-US" w:eastAsia="zh-CN"/>
        </w:rPr>
      </w:pPr>
      <w:r>
        <w:rPr>
          <w:rFonts w:hint="eastAsia" w:eastAsia="宋体"/>
          <w:sz w:val="24"/>
          <w:szCs w:val="24"/>
          <w:lang w:val="en-US" w:eastAsia="zh-CN"/>
        </w:rPr>
        <w:t>1锚固件</w:t>
      </w:r>
      <w:r>
        <w:rPr>
          <w:rFonts w:hint="eastAsia"/>
          <w:sz w:val="24"/>
          <w:szCs w:val="24"/>
          <w:lang w:val="en-US" w:eastAsia="zh-CN"/>
        </w:rPr>
        <w:t>应穿过原外墙系统，</w:t>
      </w:r>
      <w:r>
        <w:rPr>
          <w:rFonts w:hint="eastAsia" w:eastAsia="宋体"/>
          <w:sz w:val="24"/>
          <w:szCs w:val="24"/>
          <w:lang w:val="en-US" w:eastAsia="zh-CN"/>
        </w:rPr>
        <w:t>锚入钢筋混凝土构件的有效锚固深度不应小于30mm，锚入其他实心墙体材料砌体或实心墙板的有效锚固深度不应小于50mm。对于加气混凝土砌块、空心砌块、多孔砖等砌体宜采用回拧打结型锚固件或采取其他的安全构造措施</w:t>
      </w:r>
      <w:r>
        <w:rPr>
          <w:rFonts w:hint="eastAsia"/>
          <w:sz w:val="24"/>
          <w:szCs w:val="24"/>
          <w:lang w:val="en-US" w:eastAsia="zh-CN"/>
        </w:rPr>
        <w:t>。</w:t>
      </w:r>
    </w:p>
    <w:p w14:paraId="1A530D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sz w:val="24"/>
          <w:szCs w:val="24"/>
          <w:lang w:val="en-US" w:eastAsia="zh-CN"/>
        </w:rPr>
      </w:pPr>
      <w:r>
        <w:rPr>
          <w:rFonts w:hint="eastAsia" w:eastAsia="宋体"/>
          <w:sz w:val="24"/>
          <w:szCs w:val="24"/>
          <w:lang w:val="en-US" w:eastAsia="zh-CN"/>
        </w:rPr>
        <w:t>2 锚固件与锚固件之间的间距不应大于300mm，且横向铝合金托挂件端部150mm范围应有1个锚固件</w:t>
      </w:r>
      <w:r>
        <w:rPr>
          <w:rFonts w:hint="eastAsia"/>
          <w:sz w:val="24"/>
          <w:szCs w:val="24"/>
          <w:lang w:val="en-US" w:eastAsia="zh-CN"/>
        </w:rPr>
        <w:t>。</w:t>
      </w:r>
    </w:p>
    <w:p w14:paraId="0B9705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0000FF"/>
          <w:kern w:val="2"/>
          <w:sz w:val="24"/>
          <w:szCs w:val="24"/>
          <w:lang w:val="en-US" w:eastAsia="zh-CN" w:bidi="ar-SA"/>
        </w:rPr>
      </w:pPr>
      <w:r>
        <w:rPr>
          <w:rFonts w:hint="eastAsia" w:eastAsia="宋体"/>
          <w:sz w:val="24"/>
          <w:szCs w:val="24"/>
          <w:lang w:val="en-US" w:eastAsia="zh-CN"/>
        </w:rPr>
        <w:t>3锚固件中的金属螺钉应采用不锈钢或经过表面防腐处理的碳钢制成，当采用电镀锌处理时，应符合现行国家标准《紧固件电镀层》GB/T 5267.1的规定；塑料膨胀套管应采用聚酰胺、聚乙烯或聚丙烯制成，制作塑料套管的材料不应使用回收的再生材料。</w:t>
      </w:r>
    </w:p>
    <w:p w14:paraId="22CBF68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6.2.3根据《外墙外保温工程技术标准》JGJ 144-2019第4.0.11条应根据基层墙体的类别选用不同类型的锚栓，锚栓应符合现行行业标准《外墙保温用锚栓》JG/T 366的规定。且根据《外墙保温用锚栓》JG/T 366-2012第5.3条 钢制膨胀件和膨胀套管应采用不锈钢或经过表面防腐处理的碳钢制造；当采用电镀锌处理时，应符合《紧固件电镀层》GB/T 5267.1的规定。</w:t>
      </w:r>
    </w:p>
    <w:p w14:paraId="1B6275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Times New Roman"/>
          <w:color w:val="0000FF"/>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6.2.</w:t>
      </w:r>
      <w:r>
        <w:rPr>
          <w:rFonts w:hint="eastAsia" w:cs="Times New Roman"/>
          <w:b/>
          <w:bCs/>
          <w:kern w:val="2"/>
          <w:sz w:val="24"/>
          <w:szCs w:val="24"/>
          <w:lang w:val="en-US" w:eastAsia="zh-CN" w:bidi="ar-SA"/>
        </w:rPr>
        <w:t>4</w:t>
      </w:r>
      <w:r>
        <w:rPr>
          <w:rFonts w:hint="eastAsia" w:eastAsia="宋体"/>
          <w:sz w:val="24"/>
          <w:szCs w:val="24"/>
          <w:lang w:val="en-US" w:eastAsia="zh-CN"/>
        </w:rPr>
        <w:t>改性玻化微珠保温装饰板板与板之间的胶缝宽度宜为</w:t>
      </w:r>
      <w:r>
        <w:rPr>
          <w:rFonts w:hint="eastAsia" w:eastAsia="宋体"/>
          <w:sz w:val="24"/>
          <w:szCs w:val="24"/>
          <w:highlight w:val="none"/>
          <w:lang w:val="en-US" w:eastAsia="zh-CN"/>
        </w:rPr>
        <w:t>6mm～15mm</w:t>
      </w:r>
      <w:r>
        <w:rPr>
          <w:rFonts w:hint="eastAsia" w:eastAsia="宋体"/>
          <w:sz w:val="24"/>
          <w:szCs w:val="24"/>
          <w:lang w:val="en-US" w:eastAsia="zh-CN"/>
        </w:rPr>
        <w:t>，应采用硅酮耐候密封胶嵌缝。</w:t>
      </w:r>
    </w:p>
    <w:p w14:paraId="0F5F2E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6.2.</w:t>
      </w:r>
      <w:r>
        <w:rPr>
          <w:rFonts w:hint="eastAsia" w:ascii="宋体" w:hAnsi="宋体" w:cs="Times New Roman"/>
          <w:color w:val="0000FF"/>
          <w:kern w:val="2"/>
          <w:sz w:val="24"/>
          <w:szCs w:val="24"/>
          <w:lang w:val="en-US" w:eastAsia="zh-CN" w:bidi="ar-SA"/>
        </w:rPr>
        <w:t>4</w:t>
      </w:r>
      <w:r>
        <w:rPr>
          <w:rFonts w:hint="eastAsia" w:ascii="宋体" w:hAnsi="宋体" w:eastAsia="宋体" w:cs="Times New Roman"/>
          <w:color w:val="0000FF"/>
          <w:kern w:val="2"/>
          <w:sz w:val="24"/>
          <w:szCs w:val="24"/>
          <w:lang w:val="en-US" w:eastAsia="zh-CN" w:bidi="ar-SA"/>
        </w:rPr>
        <w:t>保温装饰板的胶缝宽度越大造成的热损失就越多，规定胶缝宽度宜为6mm～15mm，且不应超过15mm，实际上指明了保温装饰板安装的发展方向，有利于技术进步，一般来说接缝宽度冬季施工取大值，夏季施工取中值或小值，需进行相应的计算。</w:t>
      </w:r>
    </w:p>
    <w:p w14:paraId="01E92C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宋体"/>
          <w:sz w:val="24"/>
          <w:szCs w:val="24"/>
          <w:highlight w:val="none"/>
          <w:lang w:val="en-US" w:eastAsia="zh-CN"/>
        </w:rPr>
      </w:pPr>
      <w:r>
        <w:rPr>
          <w:rFonts w:hint="eastAsia" w:ascii="宋体" w:hAnsi="宋体" w:eastAsia="宋体" w:cs="Times New Roman"/>
          <w:color w:val="0000FF"/>
          <w:kern w:val="2"/>
          <w:sz w:val="24"/>
          <w:szCs w:val="24"/>
          <w:highlight w:val="none"/>
          <w:lang w:val="en-US" w:eastAsia="zh-CN" w:bidi="ar-SA"/>
        </w:rPr>
        <w:t>处理局部板缝时，首先应在缝间填塞泡沫塑料保温棒（PE、PVC）或聚苯乙烯板片，直径或宽度为缝宽的1.3倍， 保温棒填入的厚度与改性玻化微珠保温装饰板中保温层的厚度相同；缝间也可用聚氨酯泡沫填缝剂填满，而后采用硅酮耐候密封胶嵌缝。</w:t>
      </w:r>
    </w:p>
    <w:p w14:paraId="00A0C4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lang w:val="en-US" w:eastAsia="zh-CN"/>
        </w:rPr>
      </w:pPr>
      <w:r>
        <w:rPr>
          <w:rFonts w:hint="eastAsia" w:ascii="Times New Roman" w:hAnsi="Times New Roman" w:eastAsia="宋体" w:cs="Times New Roman"/>
          <w:b/>
          <w:bCs/>
          <w:kern w:val="2"/>
          <w:sz w:val="24"/>
          <w:szCs w:val="24"/>
          <w:lang w:val="en-US" w:eastAsia="zh-CN" w:bidi="ar-SA"/>
        </w:rPr>
        <w:t>6.2.</w:t>
      </w:r>
      <w:r>
        <w:rPr>
          <w:rFonts w:hint="eastAsia" w:cs="Times New Roman"/>
          <w:b/>
          <w:bCs/>
          <w:kern w:val="2"/>
          <w:sz w:val="24"/>
          <w:szCs w:val="24"/>
          <w:lang w:val="en-US" w:eastAsia="zh-CN" w:bidi="ar-SA"/>
        </w:rPr>
        <w:t>5</w:t>
      </w:r>
      <w:r>
        <w:rPr>
          <w:rFonts w:hint="eastAsia" w:ascii="Times New Roman" w:hAnsi="Times New Roman" w:eastAsia="宋体" w:cs="Times New Roman"/>
          <w:b/>
          <w:bCs/>
          <w:kern w:val="2"/>
          <w:sz w:val="24"/>
          <w:szCs w:val="24"/>
          <w:lang w:val="en-US" w:eastAsia="zh-CN" w:bidi="ar-SA"/>
        </w:rPr>
        <w:t xml:space="preserve"> </w:t>
      </w:r>
      <w:r>
        <w:rPr>
          <w:rFonts w:hint="eastAsia" w:eastAsia="宋体"/>
          <w:sz w:val="24"/>
          <w:szCs w:val="24"/>
          <w:lang w:val="en-US" w:eastAsia="zh-CN"/>
        </w:rPr>
        <w:t>勒脚、结构缝、挑檐、门窗洞口等细部构造的设计应符合现行地方标准《湖南省膨胀玻化微珠保温装饰板外墙外保温系统应用技术标准》DBJ43/T354的规定。</w:t>
      </w:r>
    </w:p>
    <w:p w14:paraId="799DE5AD">
      <w:pPr>
        <w:pStyle w:val="3"/>
        <w:bidi w:val="0"/>
        <w:jc w:val="center"/>
        <w:rPr>
          <w:rFonts w:hint="eastAsia"/>
          <w:szCs w:val="22"/>
          <w:lang w:val="en-US" w:eastAsia="zh-CN"/>
        </w:rPr>
      </w:pPr>
      <w:bookmarkStart w:id="47" w:name="_Toc26320"/>
      <w:r>
        <w:rPr>
          <w:rFonts w:hint="eastAsia"/>
          <w:szCs w:val="22"/>
          <w:lang w:val="en-US" w:eastAsia="zh-CN"/>
        </w:rPr>
        <w:t>6.3改性玻化微珠外墙粘锚托系统</w:t>
      </w:r>
      <w:bookmarkEnd w:id="47"/>
    </w:p>
    <w:p w14:paraId="02C5162B">
      <w:pPr>
        <w:pStyle w:val="18"/>
        <w:keepNext w:val="0"/>
        <w:keepLines w:val="0"/>
        <w:pageBreakBefore w:val="0"/>
        <w:widowControl w:val="0"/>
        <w:numPr>
          <w:ilvl w:val="0"/>
          <w:numId w:val="0"/>
        </w:numPr>
        <w:tabs>
          <w:tab w:val="left" w:pos="694"/>
        </w:tabs>
        <w:kinsoku/>
        <w:wordWrap/>
        <w:overflowPunct/>
        <w:topLinePunct w:val="0"/>
        <w:autoSpaceDE/>
        <w:autoSpaceDN/>
        <w:bidi w:val="0"/>
        <w:adjustRightInd/>
        <w:snapToGrid/>
        <w:spacing w:before="0" w:after="0" w:line="360" w:lineRule="auto"/>
        <w:ind w:right="487" w:rightChars="0"/>
        <w:jc w:val="both"/>
        <w:textAlignment w:val="auto"/>
        <w:rPr>
          <w:rFonts w:hint="default" w:ascii="宋体" w:hAnsi="宋体" w:eastAsia="宋体" w:cs="宋体"/>
          <w:sz w:val="24"/>
          <w:szCs w:val="24"/>
          <w:lang w:val="en-US" w:eastAsia="zh-CN"/>
        </w:rPr>
      </w:pPr>
      <w:r>
        <w:rPr>
          <w:rFonts w:hint="eastAsia" w:ascii="Times New Roman" w:hAnsi="Times New Roman" w:eastAsia="宋体" w:cs="Times New Roman"/>
          <w:b/>
          <w:bCs/>
          <w:kern w:val="2"/>
          <w:sz w:val="24"/>
          <w:szCs w:val="24"/>
          <w:lang w:val="en-US" w:eastAsia="zh-CN" w:bidi="ar-SA"/>
        </w:rPr>
        <w:t>6.3.1</w:t>
      </w:r>
      <w:r>
        <w:rPr>
          <w:rFonts w:hint="eastAsia" w:ascii="宋体" w:hAnsi="宋体"/>
          <w:sz w:val="24"/>
          <w:szCs w:val="24"/>
          <w:lang w:val="en-US" w:eastAsia="zh-CN"/>
        </w:rPr>
        <w:t>用于改性玻化微珠外墙锚托系统的改性玻化微珠轻质砂浆，强度等级不应高于</w:t>
      </w:r>
      <w:r>
        <w:rPr>
          <w:rFonts w:hint="eastAsia" w:ascii="宋体" w:hAnsi="宋体" w:eastAsia="宋体" w:cs="宋体"/>
          <w:sz w:val="24"/>
          <w:szCs w:val="24"/>
          <w:lang w:val="en-US" w:eastAsia="zh-CN"/>
        </w:rPr>
        <w:t>GM15，并应符合现行行业标准《抹灰砂浆技术规程》JGJ/T 220、《预拌砂浆应用技术规程》JGJ/T223</w:t>
      </w:r>
      <w:r>
        <w:rPr>
          <w:rFonts w:hint="eastAsia" w:cs="宋体"/>
          <w:sz w:val="24"/>
          <w:szCs w:val="24"/>
          <w:lang w:val="en-US" w:eastAsia="zh-CN"/>
        </w:rPr>
        <w:t>和现行地方标准</w:t>
      </w:r>
      <w:r>
        <w:rPr>
          <w:rFonts w:hint="eastAsia" w:ascii="Times New Roman" w:hAnsi="Times New Roman" w:eastAsia="宋体" w:cs="Times New Roman"/>
          <w:b w:val="0"/>
          <w:bCs w:val="0"/>
          <w:sz w:val="24"/>
          <w:szCs w:val="24"/>
          <w:lang w:val="en-US" w:eastAsia="zh-CN"/>
        </w:rPr>
        <w:t>《改性玻化微珠轻质砂浆通用技术条件》DB43/T2722</w:t>
      </w:r>
      <w:r>
        <w:rPr>
          <w:rFonts w:hint="eastAsia" w:ascii="宋体" w:hAnsi="宋体" w:eastAsia="宋体" w:cs="宋体"/>
          <w:sz w:val="24"/>
          <w:szCs w:val="24"/>
          <w:lang w:val="en-US" w:eastAsia="zh-CN"/>
        </w:rPr>
        <w:t>等的规定。</w:t>
      </w:r>
    </w:p>
    <w:p w14:paraId="251BF4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r>
        <w:rPr>
          <w:rFonts w:hint="eastAsia" w:ascii="Times New Roman" w:hAnsi="Times New Roman" w:eastAsia="宋体" w:cs="Times New Roman"/>
          <w:b/>
          <w:bCs/>
          <w:kern w:val="2"/>
          <w:sz w:val="24"/>
          <w:szCs w:val="24"/>
          <w:lang w:val="en-US" w:eastAsia="zh-CN" w:bidi="ar-SA"/>
        </w:rPr>
        <w:t>6.3.</w:t>
      </w:r>
      <w:r>
        <w:rPr>
          <w:rFonts w:hint="eastAsia" w:cs="Times New Roman"/>
          <w:b/>
          <w:bCs/>
          <w:kern w:val="2"/>
          <w:sz w:val="24"/>
          <w:szCs w:val="24"/>
          <w:lang w:val="en-US" w:eastAsia="zh-CN" w:bidi="ar-SA"/>
        </w:rPr>
        <w:t>2</w:t>
      </w:r>
      <w:r>
        <w:rPr>
          <w:rFonts w:hint="eastAsia" w:ascii="宋体" w:hAnsi="宋体"/>
          <w:sz w:val="24"/>
          <w:szCs w:val="24"/>
          <w:lang w:val="en-US" w:eastAsia="zh-CN"/>
        </w:rPr>
        <w:t>改性玻化微珠外墙粘锚托系统应设置分隔缝，</w:t>
      </w:r>
      <w:r>
        <w:rPr>
          <w:rFonts w:hint="eastAsia"/>
          <w:b w:val="0"/>
          <w:bCs w:val="0"/>
          <w:strike w:val="0"/>
          <w:dstrike w:val="0"/>
          <w:sz w:val="24"/>
          <w:szCs w:val="24"/>
          <w:highlight w:val="none"/>
          <w:lang w:val="en-US" w:eastAsia="zh-CN"/>
        </w:rPr>
        <w:t>横向铝合金龙骨托挂件可作为横向分隔缝</w:t>
      </w:r>
      <w:r>
        <w:rPr>
          <w:rFonts w:hint="eastAsia"/>
          <w:b w:val="0"/>
          <w:bCs w:val="0"/>
          <w:sz w:val="24"/>
          <w:szCs w:val="24"/>
          <w:highlight w:val="none"/>
          <w:lang w:val="en-US" w:eastAsia="zh-CN"/>
        </w:rPr>
        <w:t>，竖向</w:t>
      </w:r>
      <w:r>
        <w:rPr>
          <w:rFonts w:hint="eastAsia"/>
          <w:b w:val="0"/>
          <w:bCs w:val="0"/>
          <w:sz w:val="24"/>
          <w:szCs w:val="24"/>
          <w:lang w:val="en-US" w:eastAsia="zh-CN"/>
        </w:rPr>
        <w:t xml:space="preserve">分隔缝的间距、尺寸应根据建筑立面确定，分隔缝的间距不应超过 </w:t>
      </w:r>
      <w:r>
        <w:rPr>
          <w:rFonts w:hint="eastAsia"/>
          <w:b w:val="0"/>
          <w:bCs w:val="0"/>
          <w:strike w:val="0"/>
          <w:dstrike w:val="0"/>
          <w:sz w:val="24"/>
          <w:szCs w:val="24"/>
          <w:highlight w:val="none"/>
          <w:lang w:val="en-US" w:eastAsia="zh-CN"/>
        </w:rPr>
        <w:t>3m</w:t>
      </w:r>
      <w:r>
        <w:rPr>
          <w:rFonts w:hint="eastAsia"/>
          <w:b w:val="0"/>
          <w:bCs w:val="0"/>
          <w:sz w:val="24"/>
          <w:szCs w:val="24"/>
          <w:lang w:val="en-US" w:eastAsia="zh-CN"/>
        </w:rPr>
        <w:t>，并应做好防水处理。</w:t>
      </w:r>
    </w:p>
    <w:p w14:paraId="79AE76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r>
        <w:rPr>
          <w:rFonts w:hint="eastAsia" w:ascii="Times New Roman" w:hAnsi="Times New Roman" w:eastAsia="宋体" w:cs="Times New Roman"/>
          <w:b/>
          <w:bCs/>
          <w:kern w:val="2"/>
          <w:sz w:val="24"/>
          <w:szCs w:val="24"/>
          <w:lang w:val="en-US" w:eastAsia="zh-CN" w:bidi="ar-SA"/>
        </w:rPr>
        <w:t>6.3.</w:t>
      </w:r>
      <w:r>
        <w:rPr>
          <w:rFonts w:hint="eastAsia" w:cs="Times New Roman"/>
          <w:b/>
          <w:bCs/>
          <w:kern w:val="2"/>
          <w:sz w:val="24"/>
          <w:szCs w:val="24"/>
          <w:lang w:val="en-US" w:eastAsia="zh-CN" w:bidi="ar-SA"/>
        </w:rPr>
        <w:t>3</w:t>
      </w:r>
      <w:r>
        <w:rPr>
          <w:rFonts w:hint="eastAsia"/>
          <w:b w:val="0"/>
          <w:bCs w:val="0"/>
          <w:sz w:val="24"/>
          <w:szCs w:val="24"/>
          <w:lang w:val="en-US" w:eastAsia="zh-CN"/>
        </w:rPr>
        <w:t>建筑外墙设有变形缝时，</w:t>
      </w:r>
      <w:r>
        <w:rPr>
          <w:rFonts w:hint="eastAsia" w:ascii="宋体" w:hAnsi="宋体"/>
          <w:sz w:val="24"/>
          <w:szCs w:val="24"/>
          <w:lang w:val="en-US" w:eastAsia="zh-CN"/>
        </w:rPr>
        <w:t>改性玻化微珠外墙粘锚托系统</w:t>
      </w:r>
      <w:r>
        <w:rPr>
          <w:rFonts w:hint="eastAsia"/>
          <w:b w:val="0"/>
          <w:bCs w:val="0"/>
          <w:sz w:val="24"/>
          <w:szCs w:val="24"/>
          <w:lang w:val="en-US" w:eastAsia="zh-CN"/>
        </w:rPr>
        <w:t>应在变形缝处断开，变形缝的构造设计应保证建筑物在产生位移或变形时不受阻和不被破坏，并满足建筑防火、防水和抗震要求。变形缝应采取避免降低外墙热工性能的措施。变形缝金属盖板应采用铝板或不锈钢板。</w:t>
      </w:r>
    </w:p>
    <w:p w14:paraId="396690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r>
        <w:rPr>
          <w:rFonts w:hint="eastAsia" w:ascii="Times New Roman" w:hAnsi="Times New Roman" w:eastAsia="宋体" w:cs="Times New Roman"/>
          <w:b/>
          <w:bCs/>
          <w:kern w:val="2"/>
          <w:sz w:val="24"/>
          <w:szCs w:val="24"/>
          <w:lang w:val="en-US" w:eastAsia="zh-CN" w:bidi="ar-SA"/>
        </w:rPr>
        <w:t>6.3.</w:t>
      </w:r>
      <w:r>
        <w:rPr>
          <w:rFonts w:hint="eastAsia" w:cs="Times New Roman"/>
          <w:b/>
          <w:bCs/>
          <w:kern w:val="2"/>
          <w:sz w:val="24"/>
          <w:szCs w:val="24"/>
          <w:lang w:val="en-US" w:eastAsia="zh-CN" w:bidi="ar-SA"/>
        </w:rPr>
        <w:t>4</w:t>
      </w:r>
      <w:r>
        <w:rPr>
          <w:rFonts w:hint="eastAsia" w:ascii="宋体" w:hAnsi="宋体"/>
          <w:sz w:val="24"/>
          <w:szCs w:val="24"/>
          <w:lang w:val="en-US" w:eastAsia="zh-CN"/>
        </w:rPr>
        <w:t>改性玻化微珠轻质砂浆层</w:t>
      </w:r>
      <w:r>
        <w:rPr>
          <w:rFonts w:hint="eastAsia"/>
          <w:b w:val="0"/>
          <w:bCs w:val="0"/>
          <w:sz w:val="24"/>
          <w:szCs w:val="24"/>
          <w:lang w:val="en-US" w:eastAsia="zh-CN"/>
        </w:rPr>
        <w:t>锚固可采用圆盘锚栓板面打孔方式固定，锚固件及圆盘锚栓设置应分别符合下列规定：</w:t>
      </w:r>
    </w:p>
    <w:p w14:paraId="109041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lang w:val="en-US" w:eastAsia="zh-CN"/>
        </w:rPr>
      </w:pPr>
      <w:r>
        <w:rPr>
          <w:rFonts w:hint="eastAsia"/>
          <w:b w:val="0"/>
          <w:bCs w:val="0"/>
          <w:sz w:val="24"/>
          <w:szCs w:val="24"/>
          <w:lang w:val="en-US" w:eastAsia="zh-CN"/>
        </w:rPr>
        <w:t>1 固定点每平方米不小于 6 个，固定点间距不宜大于 500mm。</w:t>
      </w:r>
    </w:p>
    <w:p w14:paraId="1BD7E4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lang w:val="en-US" w:eastAsia="zh-CN"/>
        </w:rPr>
      </w:pPr>
      <w:r>
        <w:rPr>
          <w:rFonts w:hint="eastAsia"/>
          <w:b w:val="0"/>
          <w:bCs w:val="0"/>
          <w:sz w:val="24"/>
          <w:szCs w:val="24"/>
          <w:lang w:val="en-US" w:eastAsia="zh-CN"/>
        </w:rPr>
        <w:t>2 锚固强度不应小于所在建筑工程抗风荷载设计值。</w:t>
      </w:r>
    </w:p>
    <w:p w14:paraId="525FF42F">
      <w:pPr>
        <w:pStyle w:val="14"/>
        <w:keepNext w:val="0"/>
        <w:keepLines w:val="0"/>
        <w:pageBreakBefore w:val="0"/>
        <w:widowControl w:val="0"/>
        <w:kinsoku/>
        <w:wordWrap/>
        <w:overflowPunct/>
        <w:topLinePunct w:val="0"/>
        <w:bidi w:val="0"/>
        <w:snapToGrid/>
        <w:spacing w:line="360" w:lineRule="auto"/>
        <w:textAlignment w:val="auto"/>
        <w:rPr>
          <w:rFonts w:hint="default"/>
          <w:lang w:val="en-US" w:eastAsia="zh-CN"/>
        </w:rPr>
      </w:pPr>
      <w:r>
        <w:rPr>
          <w:rFonts w:hint="eastAsia"/>
          <w:b w:val="0"/>
          <w:bCs w:val="0"/>
          <w:sz w:val="24"/>
          <w:szCs w:val="24"/>
          <w:lang w:val="en-US" w:eastAsia="zh-CN"/>
        </w:rPr>
        <w:t xml:space="preserve">    3 </w:t>
      </w:r>
      <w:r>
        <w:rPr>
          <w:rFonts w:hint="eastAsia" w:eastAsia="宋体"/>
          <w:sz w:val="24"/>
          <w:szCs w:val="24"/>
          <w:lang w:val="en-US" w:eastAsia="zh-CN"/>
        </w:rPr>
        <w:t>锚固件</w:t>
      </w:r>
      <w:r>
        <w:rPr>
          <w:rFonts w:hint="eastAsia"/>
          <w:sz w:val="24"/>
          <w:szCs w:val="24"/>
          <w:lang w:val="en-US" w:eastAsia="zh-CN"/>
        </w:rPr>
        <w:t>应穿过原外墙系统，</w:t>
      </w:r>
      <w:r>
        <w:rPr>
          <w:rFonts w:hint="eastAsia" w:eastAsia="宋体"/>
          <w:sz w:val="24"/>
          <w:szCs w:val="24"/>
          <w:lang w:val="en-US" w:eastAsia="zh-CN"/>
        </w:rPr>
        <w:t>锚入</w:t>
      </w:r>
      <w:r>
        <w:rPr>
          <w:rFonts w:hint="eastAsia"/>
          <w:sz w:val="24"/>
          <w:szCs w:val="24"/>
          <w:lang w:val="en-US" w:eastAsia="zh-CN"/>
        </w:rPr>
        <w:t>基层墙体。</w:t>
      </w:r>
    </w:p>
    <w:p w14:paraId="7332D5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trike w:val="0"/>
          <w:sz w:val="24"/>
          <w:szCs w:val="24"/>
          <w:lang w:val="en-US" w:eastAsia="zh-CN"/>
        </w:rPr>
      </w:pPr>
      <w:r>
        <w:rPr>
          <w:rFonts w:hint="eastAsia" w:ascii="Times New Roman" w:hAnsi="Times New Roman" w:eastAsia="宋体" w:cs="Times New Roman"/>
          <w:b/>
          <w:bCs/>
          <w:kern w:val="2"/>
          <w:sz w:val="24"/>
          <w:szCs w:val="24"/>
          <w:lang w:val="en-US" w:eastAsia="zh-CN" w:bidi="ar-SA"/>
        </w:rPr>
        <w:t>6.3.</w:t>
      </w:r>
      <w:r>
        <w:rPr>
          <w:rFonts w:hint="eastAsia" w:cs="Times New Roman"/>
          <w:b/>
          <w:bCs/>
          <w:kern w:val="2"/>
          <w:sz w:val="24"/>
          <w:szCs w:val="24"/>
          <w:lang w:val="en-US" w:eastAsia="zh-CN" w:bidi="ar-SA"/>
        </w:rPr>
        <w:t>5</w:t>
      </w:r>
      <w:r>
        <w:rPr>
          <w:rFonts w:hint="eastAsia" w:ascii="宋体" w:hAnsi="宋体"/>
          <w:sz w:val="24"/>
          <w:szCs w:val="24"/>
          <w:lang w:val="en-US" w:eastAsia="zh-CN"/>
        </w:rPr>
        <w:t>改性玻化微珠外墙粘锚托系统</w:t>
      </w:r>
      <w:r>
        <w:rPr>
          <w:rFonts w:hint="eastAsia"/>
          <w:b w:val="0"/>
          <w:bCs w:val="0"/>
          <w:sz w:val="24"/>
          <w:szCs w:val="24"/>
          <w:lang w:val="en-US" w:eastAsia="zh-CN"/>
        </w:rPr>
        <w:t>应设置托架，每一层设置一排托架，</w:t>
      </w:r>
      <w:r>
        <w:rPr>
          <w:rFonts w:hint="eastAsia"/>
          <w:b w:val="0"/>
          <w:bCs w:val="0"/>
          <w:strike w:val="0"/>
          <w:dstrike w:val="0"/>
          <w:sz w:val="24"/>
          <w:szCs w:val="24"/>
          <w:lang w:val="en-US" w:eastAsia="zh-CN"/>
        </w:rPr>
        <w:t>托架应锚固于各层楼板或圈梁处。</w:t>
      </w:r>
    </w:p>
    <w:p w14:paraId="3E45F590">
      <w:pPr>
        <w:pStyle w:val="2"/>
        <w:bidi w:val="0"/>
        <w:jc w:val="center"/>
        <w:rPr>
          <w:rFonts w:hint="eastAsia"/>
          <w:szCs w:val="22"/>
          <w:lang w:val="en-US" w:eastAsia="zh-CN"/>
        </w:rPr>
        <w:sectPr>
          <w:pgSz w:w="11850" w:h="16783"/>
          <w:pgMar w:top="1440" w:right="1800" w:bottom="1440" w:left="1800" w:header="851" w:footer="992" w:gutter="0"/>
          <w:pgNumType w:fmt="decimal"/>
          <w:cols w:space="720" w:num="1"/>
          <w:docGrid w:type="lines" w:linePitch="312" w:charSpace="0"/>
        </w:sectPr>
      </w:pPr>
      <w:bookmarkStart w:id="48" w:name="_Toc29447"/>
    </w:p>
    <w:p w14:paraId="0D777C30">
      <w:pPr>
        <w:pStyle w:val="2"/>
        <w:bidi w:val="0"/>
        <w:jc w:val="center"/>
        <w:rPr>
          <w:rFonts w:hint="eastAsia"/>
          <w:szCs w:val="22"/>
          <w:lang w:val="en-US" w:eastAsia="zh-CN"/>
        </w:rPr>
      </w:pPr>
      <w:r>
        <w:rPr>
          <w:rFonts w:hint="eastAsia"/>
          <w:szCs w:val="22"/>
          <w:lang w:val="en-US" w:eastAsia="zh-CN"/>
        </w:rPr>
        <w:t>7 施工</w:t>
      </w:r>
      <w:bookmarkEnd w:id="48"/>
    </w:p>
    <w:p w14:paraId="0B8ED45E">
      <w:pPr>
        <w:pStyle w:val="3"/>
        <w:bidi w:val="0"/>
        <w:jc w:val="center"/>
        <w:rPr>
          <w:rFonts w:hint="eastAsia"/>
          <w:szCs w:val="22"/>
          <w:lang w:val="en-US" w:eastAsia="zh-CN"/>
        </w:rPr>
      </w:pPr>
      <w:bookmarkStart w:id="49" w:name="_Toc14"/>
      <w:bookmarkStart w:id="50" w:name="_Toc19263_WPSOffice_Level2"/>
      <w:r>
        <w:rPr>
          <w:rFonts w:hint="eastAsia"/>
          <w:szCs w:val="22"/>
          <w:lang w:val="en-US" w:eastAsia="zh-CN"/>
        </w:rPr>
        <w:t>7.1 一般规定</w:t>
      </w:r>
      <w:bookmarkEnd w:id="49"/>
      <w:bookmarkEnd w:id="50"/>
    </w:p>
    <w:p w14:paraId="1700C9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highlight w:val="yellow"/>
          <w:lang w:val="en-US" w:eastAsia="zh-CN"/>
        </w:rPr>
      </w:pPr>
      <w:r>
        <w:rPr>
          <w:rFonts w:hint="eastAsia" w:ascii="Times New Roman" w:hAnsi="Times New Roman" w:eastAsia="宋体" w:cs="Times New Roman"/>
          <w:b/>
          <w:bCs/>
          <w:kern w:val="2"/>
          <w:sz w:val="24"/>
          <w:szCs w:val="24"/>
          <w:lang w:val="en-US" w:eastAsia="zh-CN" w:bidi="ar-SA"/>
        </w:rPr>
        <w:t xml:space="preserve">7.1.1 </w:t>
      </w:r>
      <w:r>
        <w:rPr>
          <w:rFonts w:hint="eastAsia" w:ascii="宋体" w:hAnsi="宋体"/>
          <w:sz w:val="24"/>
          <w:szCs w:val="24"/>
          <w:lang w:val="en-US" w:eastAsia="zh-CN"/>
        </w:rPr>
        <w:t>改性玻化微珠外墙系统施工前应根据检查报告及设计方案编制改造施工方案，制定针对性的安全防护措施，并应编制应急预案。</w:t>
      </w:r>
    </w:p>
    <w:p w14:paraId="66D01F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FF"/>
          <w:sz w:val="24"/>
          <w:szCs w:val="24"/>
          <w:lang w:val="en-US" w:eastAsia="zh-CN"/>
        </w:rPr>
      </w:pPr>
      <w:r>
        <w:rPr>
          <w:rFonts w:hint="eastAsia" w:ascii="Times New Roman" w:hAnsi="Times New Roman" w:eastAsia="宋体" w:cs="Times New Roman"/>
          <w:color w:val="0000FF"/>
          <w:sz w:val="24"/>
          <w:szCs w:val="24"/>
          <w:lang w:val="en-US" w:eastAsia="zh-CN"/>
        </w:rPr>
        <w:t>【条文说明】</w:t>
      </w:r>
      <w:r>
        <w:rPr>
          <w:rFonts w:hint="eastAsia" w:ascii="宋体" w:hAnsi="宋体"/>
          <w:color w:val="0000FF"/>
          <w:sz w:val="24"/>
          <w:szCs w:val="24"/>
          <w:lang w:val="en-US" w:eastAsia="zh-CN"/>
        </w:rPr>
        <w:t>7.1.1 一般情况下施工方案应包括以下内容：</w:t>
      </w:r>
    </w:p>
    <w:p w14:paraId="746ED3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FF"/>
          <w:sz w:val="24"/>
          <w:szCs w:val="24"/>
          <w:lang w:val="en-US" w:eastAsia="zh-CN"/>
        </w:rPr>
      </w:pPr>
      <w:bookmarkStart w:id="51" w:name="_Toc19263_WPSOffice_Level3"/>
      <w:r>
        <w:rPr>
          <w:rFonts w:hint="eastAsia" w:ascii="宋体" w:hAnsi="宋体"/>
          <w:color w:val="0000FF"/>
          <w:sz w:val="24"/>
          <w:szCs w:val="24"/>
          <w:lang w:val="en-US" w:eastAsia="zh-CN"/>
        </w:rPr>
        <w:t>1 项目概况。</w:t>
      </w:r>
      <w:bookmarkEnd w:id="51"/>
    </w:p>
    <w:p w14:paraId="3E917A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FF"/>
          <w:sz w:val="24"/>
          <w:szCs w:val="24"/>
          <w:lang w:val="en-US" w:eastAsia="zh-CN"/>
        </w:rPr>
      </w:pPr>
      <w:bookmarkStart w:id="52" w:name="_Toc17578_WPSOffice_Level3"/>
      <w:r>
        <w:rPr>
          <w:rFonts w:hint="eastAsia" w:ascii="宋体" w:hAnsi="宋体"/>
          <w:color w:val="0000FF"/>
          <w:sz w:val="24"/>
          <w:szCs w:val="24"/>
          <w:lang w:val="en-US" w:eastAsia="zh-CN"/>
        </w:rPr>
        <w:t>2 编制依据。</w:t>
      </w:r>
      <w:bookmarkEnd w:id="52"/>
    </w:p>
    <w:p w14:paraId="27948A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FF"/>
          <w:sz w:val="24"/>
          <w:szCs w:val="24"/>
          <w:lang w:val="en-US" w:eastAsia="zh-CN"/>
        </w:rPr>
      </w:pPr>
      <w:bookmarkStart w:id="53" w:name="_Toc12693_WPSOffice_Level3"/>
      <w:r>
        <w:rPr>
          <w:rFonts w:hint="eastAsia" w:ascii="宋体" w:hAnsi="宋体"/>
          <w:color w:val="0000FF"/>
          <w:sz w:val="24"/>
          <w:szCs w:val="24"/>
          <w:lang w:val="en-US" w:eastAsia="zh-CN"/>
        </w:rPr>
        <w:t>3 施工前准备。</w:t>
      </w:r>
      <w:bookmarkEnd w:id="53"/>
    </w:p>
    <w:p w14:paraId="65C527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FF"/>
          <w:sz w:val="24"/>
          <w:szCs w:val="24"/>
          <w:lang w:val="en-US" w:eastAsia="zh-CN"/>
        </w:rPr>
      </w:pPr>
      <w:bookmarkStart w:id="54" w:name="_Toc31358_WPSOffice_Level3"/>
      <w:r>
        <w:rPr>
          <w:rFonts w:hint="eastAsia" w:ascii="宋体" w:hAnsi="宋体"/>
          <w:color w:val="0000FF"/>
          <w:sz w:val="24"/>
          <w:szCs w:val="24"/>
          <w:lang w:val="en-US" w:eastAsia="zh-CN"/>
        </w:rPr>
        <w:t>4 施工工艺及技术措施。</w:t>
      </w:r>
      <w:bookmarkEnd w:id="54"/>
    </w:p>
    <w:p w14:paraId="3EF043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FF"/>
          <w:sz w:val="24"/>
          <w:szCs w:val="24"/>
          <w:lang w:val="en-US" w:eastAsia="zh-CN"/>
        </w:rPr>
      </w:pPr>
      <w:bookmarkStart w:id="55" w:name="_Toc24377_WPSOffice_Level3"/>
      <w:r>
        <w:rPr>
          <w:rFonts w:hint="eastAsia" w:ascii="宋体" w:hAnsi="宋体"/>
          <w:color w:val="0000FF"/>
          <w:sz w:val="24"/>
          <w:szCs w:val="24"/>
          <w:lang w:val="en-US" w:eastAsia="zh-CN"/>
        </w:rPr>
        <w:t>5 质量、安全、环保保证措施。</w:t>
      </w:r>
      <w:bookmarkEnd w:id="55"/>
    </w:p>
    <w:p w14:paraId="32F30C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FF"/>
          <w:sz w:val="24"/>
          <w:szCs w:val="24"/>
          <w:lang w:val="en-US" w:eastAsia="zh-CN"/>
        </w:rPr>
      </w:pPr>
      <w:bookmarkStart w:id="56" w:name="_Toc26454_WPSOffice_Level3"/>
      <w:r>
        <w:rPr>
          <w:rFonts w:hint="eastAsia" w:ascii="宋体" w:hAnsi="宋体"/>
          <w:color w:val="0000FF"/>
          <w:sz w:val="24"/>
          <w:szCs w:val="24"/>
          <w:lang w:val="en-US" w:eastAsia="zh-CN"/>
        </w:rPr>
        <w:t>6 应急预案。</w:t>
      </w:r>
      <w:bookmarkEnd w:id="56"/>
    </w:p>
    <w:p w14:paraId="7FA115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FF"/>
          <w:sz w:val="24"/>
          <w:szCs w:val="24"/>
          <w:lang w:val="en-US" w:eastAsia="zh-CN"/>
        </w:rPr>
      </w:pPr>
      <w:bookmarkStart w:id="57" w:name="_Toc3583_WPSOffice_Level3"/>
      <w:r>
        <w:rPr>
          <w:rFonts w:hint="eastAsia" w:ascii="宋体" w:hAnsi="宋体"/>
          <w:color w:val="0000FF"/>
          <w:sz w:val="24"/>
          <w:szCs w:val="24"/>
          <w:lang w:val="en-US" w:eastAsia="zh-CN"/>
        </w:rPr>
        <w:t>7 施工进度计划。</w:t>
      </w:r>
      <w:bookmarkEnd w:id="57"/>
    </w:p>
    <w:p w14:paraId="6D95E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ascii="Times New Roman" w:hAnsi="Times New Roman" w:eastAsia="宋体" w:cs="Times New Roman"/>
          <w:b/>
          <w:bCs/>
          <w:kern w:val="2"/>
          <w:sz w:val="24"/>
          <w:szCs w:val="24"/>
          <w:lang w:val="en-US" w:eastAsia="zh-CN" w:bidi="ar-SA"/>
        </w:rPr>
        <w:t>7.1.2</w:t>
      </w:r>
      <w:r>
        <w:rPr>
          <w:rFonts w:hint="eastAsia" w:ascii="宋体" w:hAnsi="宋体"/>
          <w:sz w:val="24"/>
          <w:szCs w:val="24"/>
          <w:lang w:val="en-US" w:eastAsia="zh-CN"/>
        </w:rPr>
        <w:t>改性玻化微珠外墙系统施工中，应保证相关人员的安全和健康。</w:t>
      </w:r>
    </w:p>
    <w:p w14:paraId="5271A1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FF"/>
          <w:sz w:val="24"/>
          <w:szCs w:val="24"/>
          <w:lang w:val="en-US" w:eastAsia="zh-CN"/>
        </w:rPr>
      </w:pPr>
      <w:r>
        <w:rPr>
          <w:rFonts w:hint="eastAsia" w:ascii="Times New Roman" w:hAnsi="Times New Roman" w:eastAsia="宋体" w:cs="Times New Roman"/>
          <w:color w:val="0000FF"/>
          <w:sz w:val="24"/>
          <w:szCs w:val="24"/>
          <w:lang w:val="en-US" w:eastAsia="zh-CN"/>
        </w:rPr>
        <w:t>【条文说明】</w:t>
      </w:r>
      <w:r>
        <w:rPr>
          <w:rFonts w:hint="eastAsia" w:ascii="宋体" w:hAnsi="宋体"/>
          <w:color w:val="0000FF"/>
          <w:sz w:val="24"/>
          <w:szCs w:val="24"/>
          <w:lang w:val="en-US" w:eastAsia="zh-CN"/>
        </w:rPr>
        <w:t>7.1.2 这里的相关人员既包括项目施工作业人员也包括施工期间仍在使用建筑的业主。</w:t>
      </w:r>
    </w:p>
    <w:p w14:paraId="7F26E7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highlight w:val="yellow"/>
          <w:lang w:val="en-US" w:eastAsia="zh-CN"/>
        </w:rPr>
      </w:pPr>
      <w:r>
        <w:rPr>
          <w:rFonts w:hint="eastAsia" w:ascii="Times New Roman" w:hAnsi="Times New Roman" w:eastAsia="宋体" w:cs="Times New Roman"/>
          <w:b/>
          <w:bCs/>
          <w:kern w:val="2"/>
          <w:sz w:val="24"/>
          <w:szCs w:val="24"/>
          <w:lang w:val="en-US" w:eastAsia="zh-CN" w:bidi="ar-SA"/>
        </w:rPr>
        <w:t>7.1.3</w:t>
      </w:r>
      <w:r>
        <w:rPr>
          <w:rFonts w:hint="eastAsia" w:ascii="宋体" w:hAnsi="宋体"/>
          <w:sz w:val="24"/>
          <w:szCs w:val="24"/>
          <w:lang w:val="en-US" w:eastAsia="zh-CN"/>
        </w:rPr>
        <w:t>改性玻化微珠外墙系统施工中，应区分作业区、危险区和工程相邻影响区，应设置安全警示和引导标志，并应采取相应安全防护措施。</w:t>
      </w:r>
    </w:p>
    <w:p w14:paraId="12317B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0000FF"/>
          <w:sz w:val="24"/>
          <w:szCs w:val="24"/>
          <w:lang w:val="en-US" w:eastAsia="zh-CN"/>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olor w:val="0000FF"/>
          <w:sz w:val="24"/>
          <w:szCs w:val="24"/>
          <w:lang w:val="en-US" w:eastAsia="zh-CN"/>
        </w:rPr>
        <w:t>7.1.3本条规定的目的是保障施工作业安全。</w:t>
      </w:r>
    </w:p>
    <w:p w14:paraId="74ECD8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highlight w:val="yellow"/>
          <w:lang w:val="en-US" w:eastAsia="zh-CN"/>
        </w:rPr>
      </w:pPr>
      <w:r>
        <w:rPr>
          <w:rFonts w:hint="eastAsia" w:ascii="Times New Roman" w:hAnsi="Times New Roman" w:eastAsia="宋体" w:cs="Times New Roman"/>
          <w:b/>
          <w:bCs/>
          <w:kern w:val="2"/>
          <w:sz w:val="24"/>
          <w:szCs w:val="24"/>
          <w:lang w:val="en-US" w:eastAsia="zh-CN" w:bidi="ar-SA"/>
        </w:rPr>
        <w:t xml:space="preserve">7.1.4 </w:t>
      </w:r>
      <w:r>
        <w:rPr>
          <w:rFonts w:hint="eastAsia" w:ascii="宋体" w:hAnsi="宋体"/>
          <w:sz w:val="24"/>
          <w:szCs w:val="24"/>
          <w:lang w:val="en-US" w:eastAsia="zh-CN"/>
        </w:rPr>
        <w:t>当改造外墙紧邻人行道或车行道时，应在该道路上方搭建安全天棚，并应设置安全警示和引导标志。</w:t>
      </w:r>
    </w:p>
    <w:p w14:paraId="01CBB5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highlight w:val="none"/>
          <w:lang w:val="en-US" w:eastAsia="zh-CN"/>
        </w:rPr>
      </w:pPr>
      <w:r>
        <w:rPr>
          <w:rFonts w:hint="eastAsia" w:ascii="Times New Roman" w:hAnsi="Times New Roman" w:eastAsia="宋体" w:cs="Times New Roman"/>
          <w:b/>
          <w:bCs/>
          <w:kern w:val="2"/>
          <w:sz w:val="24"/>
          <w:szCs w:val="24"/>
          <w:lang w:val="en-US" w:eastAsia="zh-CN" w:bidi="ar-SA"/>
        </w:rPr>
        <w:t>7.1.5</w:t>
      </w:r>
      <w:r>
        <w:rPr>
          <w:rFonts w:hint="eastAsia" w:ascii="宋体" w:hAnsi="宋体"/>
          <w:sz w:val="24"/>
          <w:szCs w:val="24"/>
          <w:lang w:val="en-US" w:eastAsia="zh-CN"/>
        </w:rPr>
        <w:t>施工现场应保障消防安全，按现行制度做好临时用电管理，严格履行动火审批制度。</w:t>
      </w:r>
      <w:r>
        <w:rPr>
          <w:rFonts w:hint="eastAsia" w:ascii="宋体" w:hAnsi="宋体" w:eastAsia="宋体"/>
          <w:sz w:val="24"/>
          <w:szCs w:val="24"/>
          <w:highlight w:val="none"/>
          <w:lang w:val="en-US" w:eastAsia="zh-CN"/>
        </w:rPr>
        <w:t>施工现场应按现行国家标准《建筑工程施工现场消防安全技术规范》GB 50720的规定采取可靠的防火措施。</w:t>
      </w:r>
    </w:p>
    <w:p w14:paraId="06AC0426">
      <w:pPr>
        <w:pStyle w:val="14"/>
        <w:keepNext w:val="0"/>
        <w:keepLines w:val="0"/>
        <w:pageBreakBefore w:val="0"/>
        <w:widowControl w:val="0"/>
        <w:kinsoku/>
        <w:wordWrap/>
        <w:overflowPunct/>
        <w:topLinePunct w:val="0"/>
        <w:bidi w:val="0"/>
        <w:snapToGrid/>
        <w:spacing w:line="360" w:lineRule="auto"/>
        <w:textAlignment w:val="auto"/>
        <w:rPr>
          <w:rFonts w:hint="default"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7.1.5本条是保障施工消防安全的具体要求。施工单位应当建立严格的消防管理制度，做好用电管理和用明火管理。</w:t>
      </w:r>
    </w:p>
    <w:p w14:paraId="112EA5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lang w:val="en-US" w:eastAsia="zh-CN"/>
        </w:rPr>
      </w:pPr>
      <w:r>
        <w:rPr>
          <w:rFonts w:hint="eastAsia" w:ascii="Times New Roman" w:hAnsi="Times New Roman" w:eastAsia="宋体" w:cs="Times New Roman"/>
          <w:b/>
          <w:bCs/>
          <w:kern w:val="2"/>
          <w:sz w:val="24"/>
          <w:szCs w:val="24"/>
          <w:lang w:val="en-US" w:eastAsia="zh-CN" w:bidi="ar-SA"/>
        </w:rPr>
        <w:t>7.1.6</w:t>
      </w:r>
      <w:r>
        <w:rPr>
          <w:rFonts w:hint="eastAsia" w:ascii="宋体" w:hAnsi="宋体"/>
          <w:sz w:val="24"/>
          <w:szCs w:val="24"/>
          <w:lang w:val="en-US" w:eastAsia="zh-CN"/>
        </w:rPr>
        <w:t>改性玻化微珠外墙系统施工中，应采取有效措施控制施工现场的粉尘、废气、废弃物、噪声、振动等造成的影响。</w:t>
      </w:r>
    </w:p>
    <w:p w14:paraId="146366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7.1.6既有建筑改造施工应注意环境保护，应采取有效的措施，避免对周围环境造成污染和危害。</w:t>
      </w:r>
    </w:p>
    <w:p w14:paraId="14CE8CE5">
      <w:pPr>
        <w:pStyle w:val="14"/>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依据《中华人民共和国节约能源法》《中华人民共和国水法》《中华人民共和国环境保护法》《中华人民共和国建筑法》，建筑施工企业应当遵守有关环境保护和安全生产的法律、法规的规定，采取控制和处理施工现场的各种粉尘、废气、废水、固体废物以及噪声、振动对环境的污染和危害的措施。</w:t>
      </w:r>
    </w:p>
    <w:p w14:paraId="6E92A861">
      <w:pPr>
        <w:pStyle w:val="14"/>
        <w:keepNext w:val="0"/>
        <w:keepLines w:val="0"/>
        <w:pageBreakBefore w:val="0"/>
        <w:widowControl w:val="0"/>
        <w:kinsoku/>
        <w:wordWrap/>
        <w:overflowPunct/>
        <w:topLinePunct w:val="0"/>
        <w:bidi w:val="0"/>
        <w:snapToGrid/>
        <w:spacing w:line="360" w:lineRule="auto"/>
        <w:ind w:firstLine="480"/>
        <w:textAlignment w:val="auto"/>
        <w:rPr>
          <w:rFonts w:hint="default"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能源、水资源问题已经成为制约经济和社会发展的重要因素，要从战略和全局的高度，充分认识做好能源和水资源工作的重要性，高度重视能源和水资源安全，实现能源的可持续发展。节能节水利国利己，同时也体现处建设资源节约型和环境友好型社会，防止气候变暖的政策要求。</w:t>
      </w:r>
    </w:p>
    <w:p w14:paraId="2A78E7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highlight w:val="yellow"/>
          <w:lang w:val="en-US" w:eastAsia="zh-CN"/>
        </w:rPr>
      </w:pPr>
      <w:r>
        <w:rPr>
          <w:rFonts w:hint="eastAsia" w:ascii="Times New Roman" w:hAnsi="Times New Roman" w:eastAsia="宋体" w:cs="Times New Roman"/>
          <w:b/>
          <w:bCs/>
          <w:kern w:val="2"/>
          <w:sz w:val="24"/>
          <w:szCs w:val="24"/>
          <w:lang w:val="en-US" w:eastAsia="zh-CN" w:bidi="ar-SA"/>
        </w:rPr>
        <w:t>7.1.7</w:t>
      </w:r>
      <w:r>
        <w:rPr>
          <w:rFonts w:hint="eastAsia" w:ascii="宋体" w:hAnsi="宋体"/>
          <w:sz w:val="24"/>
          <w:szCs w:val="24"/>
          <w:lang w:val="en-US" w:eastAsia="zh-CN"/>
        </w:rPr>
        <w:t>改性玻化微珠外墙系统施工</w:t>
      </w:r>
      <w:r>
        <w:rPr>
          <w:rFonts w:hint="eastAsia" w:ascii="宋体" w:hAnsi="宋体" w:eastAsia="宋体"/>
          <w:sz w:val="24"/>
          <w:szCs w:val="24"/>
          <w:lang w:val="en-US" w:eastAsia="zh-CN"/>
        </w:rPr>
        <w:t>环境温度应为5℃-35℃，夏季应避免阳光暴晒，在5级及以上大风天气和雨雪天不得施工。</w:t>
      </w:r>
    </w:p>
    <w:p w14:paraId="3E91A6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highlight w:val="yellow"/>
          <w:lang w:val="en-US" w:eastAsia="zh-CN"/>
        </w:rPr>
      </w:pPr>
      <w:r>
        <w:rPr>
          <w:rFonts w:hint="eastAsia" w:ascii="Times New Roman" w:hAnsi="Times New Roman" w:eastAsia="宋体" w:cs="Times New Roman"/>
          <w:b/>
          <w:bCs/>
          <w:kern w:val="2"/>
          <w:sz w:val="24"/>
          <w:szCs w:val="24"/>
          <w:lang w:val="en-US" w:eastAsia="zh-CN" w:bidi="ar-SA"/>
        </w:rPr>
        <w:t>7.1.</w:t>
      </w:r>
      <w:r>
        <w:rPr>
          <w:rFonts w:hint="eastAsia" w:cs="Times New Roman"/>
          <w:b/>
          <w:bCs/>
          <w:kern w:val="2"/>
          <w:sz w:val="24"/>
          <w:szCs w:val="24"/>
          <w:lang w:val="en-US" w:eastAsia="zh-CN" w:bidi="ar-SA"/>
        </w:rPr>
        <w:t>8</w:t>
      </w:r>
      <w:r>
        <w:rPr>
          <w:rFonts w:hint="eastAsia" w:ascii="宋体" w:hAnsi="宋体"/>
          <w:sz w:val="24"/>
          <w:szCs w:val="24"/>
          <w:lang w:val="en-US" w:eastAsia="zh-CN"/>
        </w:rPr>
        <w:t>改性玻化微珠外墙系统施工</w:t>
      </w:r>
      <w:r>
        <w:rPr>
          <w:rFonts w:hint="eastAsia" w:ascii="宋体" w:hAnsi="宋体" w:eastAsia="宋体"/>
          <w:sz w:val="24"/>
          <w:szCs w:val="24"/>
          <w:lang w:val="en-US" w:eastAsia="zh-CN"/>
        </w:rPr>
        <w:t>应符合现行行业标准《建筑施工安全检查标准》JGJ59的相关规定，并应符合下列规定：</w:t>
      </w:r>
    </w:p>
    <w:p w14:paraId="720EF5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1 当实施拆除作业或建材、设备、工具的传运和堆放作业时，不得高空抛掷和重摔重放，并应采取防止剔凿物及粉尘散落的措施。</w:t>
      </w:r>
    </w:p>
    <w:p w14:paraId="1963F6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2 吊篮应经检测合格后方可使用。</w:t>
      </w:r>
    </w:p>
    <w:p w14:paraId="4112BD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3 脚手架的搭设和连接应牢固，且安全检验应合格。</w:t>
      </w:r>
    </w:p>
    <w:p w14:paraId="7C9802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4 应设置专区堆放材料，且对易产生扬尘的堆放材料采取覆盖措施。</w:t>
      </w:r>
    </w:p>
    <w:p w14:paraId="1AE4E3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5 应使用低噪声、低振动、低能耗的机具。</w:t>
      </w:r>
    </w:p>
    <w:p w14:paraId="7D6303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6 应建立文明施工制度，及时分拣、回收废弃物并清运现场垃圾。</w:t>
      </w:r>
    </w:p>
    <w:p w14:paraId="0686A931">
      <w:pPr>
        <w:pStyle w:val="14"/>
        <w:keepNext w:val="0"/>
        <w:keepLines w:val="0"/>
        <w:pageBreakBefore w:val="0"/>
        <w:widowControl w:val="0"/>
        <w:kinsoku/>
        <w:wordWrap/>
        <w:overflowPunct/>
        <w:topLinePunct w:val="0"/>
        <w:bidi w:val="0"/>
        <w:snapToGrid/>
        <w:spacing w:line="360" w:lineRule="auto"/>
        <w:textAlignment w:val="auto"/>
        <w:rPr>
          <w:rFonts w:hint="default"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7.1.</w:t>
      </w:r>
      <w:r>
        <w:rPr>
          <w:rFonts w:hint="eastAsia" w:hAnsi="宋体" w:cs="Times New Roman"/>
          <w:color w:val="0000FF"/>
          <w:kern w:val="2"/>
          <w:sz w:val="24"/>
          <w:szCs w:val="24"/>
          <w:lang w:val="en-US" w:eastAsia="zh-CN" w:bidi="ar-SA"/>
        </w:rPr>
        <w:t>8</w:t>
      </w:r>
      <w:r>
        <w:rPr>
          <w:rFonts w:hint="eastAsia" w:ascii="宋体" w:hAnsi="宋体" w:eastAsia="宋体" w:cs="Times New Roman"/>
          <w:color w:val="0000FF"/>
          <w:kern w:val="2"/>
          <w:sz w:val="24"/>
          <w:szCs w:val="24"/>
          <w:lang w:val="en-US" w:eastAsia="zh-CN" w:bidi="ar-SA"/>
        </w:rPr>
        <w:t>建筑外墙系统的</w:t>
      </w:r>
      <w:r>
        <w:rPr>
          <w:rFonts w:hint="eastAsia" w:hAnsi="宋体" w:cs="Times New Roman"/>
          <w:color w:val="0000FF"/>
          <w:kern w:val="2"/>
          <w:sz w:val="24"/>
          <w:szCs w:val="24"/>
          <w:lang w:val="en-US" w:eastAsia="zh-CN" w:bidi="ar-SA"/>
        </w:rPr>
        <w:t>改造</w:t>
      </w:r>
      <w:r>
        <w:rPr>
          <w:rFonts w:hint="eastAsia" w:ascii="宋体" w:hAnsi="宋体" w:eastAsia="宋体" w:cs="Times New Roman"/>
          <w:color w:val="0000FF"/>
          <w:kern w:val="2"/>
          <w:sz w:val="24"/>
          <w:szCs w:val="24"/>
          <w:lang w:val="en-US" w:eastAsia="zh-CN" w:bidi="ar-SA"/>
        </w:rPr>
        <w:t>，除了防火安全外，现场的施工作业方式不当、</w:t>
      </w:r>
      <w:r>
        <w:rPr>
          <w:rFonts w:hint="eastAsia" w:hAnsi="宋体" w:cs="Times New Roman"/>
          <w:color w:val="0000FF"/>
          <w:kern w:val="2"/>
          <w:sz w:val="24"/>
          <w:szCs w:val="24"/>
          <w:lang w:val="en-US" w:eastAsia="zh-CN" w:bidi="ar-SA"/>
        </w:rPr>
        <w:t>改造</w:t>
      </w:r>
      <w:r>
        <w:rPr>
          <w:rFonts w:hint="eastAsia" w:ascii="宋体" w:hAnsi="宋体" w:eastAsia="宋体" w:cs="Times New Roman"/>
          <w:color w:val="0000FF"/>
          <w:kern w:val="2"/>
          <w:sz w:val="24"/>
          <w:szCs w:val="24"/>
          <w:lang w:val="en-US" w:eastAsia="zh-CN" w:bidi="ar-SA"/>
        </w:rPr>
        <w:t>用的吊篮或脚手架不合格等都有可能对施工人员和居民造成伤害，本条对于确保施工安全，具有极为重要的意义。</w:t>
      </w:r>
    </w:p>
    <w:p w14:paraId="42AF7C19">
      <w:pPr>
        <w:pStyle w:val="3"/>
        <w:bidi w:val="0"/>
        <w:jc w:val="center"/>
        <w:rPr>
          <w:rFonts w:hint="eastAsia"/>
          <w:szCs w:val="22"/>
          <w:lang w:val="en-US" w:eastAsia="zh-CN"/>
        </w:rPr>
      </w:pPr>
      <w:bookmarkStart w:id="58" w:name="_Toc27684"/>
      <w:r>
        <w:rPr>
          <w:rFonts w:hint="eastAsia"/>
          <w:szCs w:val="22"/>
          <w:lang w:val="en-US" w:eastAsia="zh-CN"/>
        </w:rPr>
        <w:t>7.2改性玻化微珠外墙干挂系统</w:t>
      </w:r>
      <w:bookmarkEnd w:id="58"/>
    </w:p>
    <w:p w14:paraId="62EC77A5">
      <w:pPr>
        <w:pStyle w:val="14"/>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7.</w:t>
      </w:r>
      <w:r>
        <w:rPr>
          <w:rFonts w:hint="eastAsia" w:ascii="Times New Roman" w:hAnsi="Times New Roman" w:cs="Times New Roman"/>
          <w:b/>
          <w:bCs/>
          <w:color w:val="auto"/>
          <w:kern w:val="2"/>
          <w:sz w:val="24"/>
          <w:szCs w:val="24"/>
          <w:lang w:val="en-US" w:eastAsia="zh-CN" w:bidi="ar-SA"/>
        </w:rPr>
        <w:t>2</w:t>
      </w:r>
      <w:r>
        <w:rPr>
          <w:rFonts w:hint="eastAsia" w:ascii="Times New Roman" w:hAnsi="Times New Roman" w:eastAsia="宋体" w:cs="Times New Roman"/>
          <w:b/>
          <w:bCs/>
          <w:color w:val="auto"/>
          <w:kern w:val="2"/>
          <w:sz w:val="24"/>
          <w:szCs w:val="24"/>
          <w:lang w:val="en-US" w:eastAsia="zh-CN" w:bidi="ar-SA"/>
        </w:rPr>
        <w:t>.1</w:t>
      </w:r>
      <w:r>
        <w:rPr>
          <w:rFonts w:hint="eastAsia" w:ascii="Times New Roman" w:hAnsi="Times New Roman" w:cs="Times New Roman"/>
          <w:b/>
          <w:bCs/>
          <w:color w:val="auto"/>
          <w:kern w:val="2"/>
          <w:sz w:val="24"/>
          <w:szCs w:val="24"/>
          <w:lang w:val="en-US" w:eastAsia="zh-CN" w:bidi="ar-SA"/>
        </w:rPr>
        <w:t xml:space="preserve"> </w:t>
      </w:r>
      <w:r>
        <w:rPr>
          <w:rFonts w:hint="eastAsia" w:ascii="Times New Roman" w:hAnsi="Times New Roman" w:cs="Times New Roman"/>
          <w:color w:val="auto"/>
          <w:kern w:val="2"/>
          <w:sz w:val="24"/>
          <w:szCs w:val="24"/>
          <w:lang w:val="en-US" w:eastAsia="zh-CN" w:bidi="ar-SA"/>
        </w:rPr>
        <w:t>改性</w:t>
      </w:r>
      <w:r>
        <w:rPr>
          <w:rFonts w:hint="eastAsia" w:ascii="Times New Roman" w:hAnsi="Times New Roman" w:eastAsia="宋体" w:cs="Times New Roman"/>
          <w:color w:val="auto"/>
          <w:kern w:val="2"/>
          <w:sz w:val="24"/>
          <w:szCs w:val="24"/>
          <w:lang w:val="en-US" w:eastAsia="zh-CN" w:bidi="ar-SA"/>
        </w:rPr>
        <w:t>玻化微珠外墙</w:t>
      </w:r>
      <w:r>
        <w:rPr>
          <w:rFonts w:hint="eastAsia" w:ascii="Times New Roman" w:hAnsi="Times New Roman" w:cs="Times New Roman"/>
          <w:color w:val="auto"/>
          <w:kern w:val="2"/>
          <w:sz w:val="24"/>
          <w:szCs w:val="24"/>
          <w:lang w:val="en-US" w:eastAsia="zh-CN" w:bidi="ar-SA"/>
        </w:rPr>
        <w:t>干挂系统</w:t>
      </w:r>
      <w:r>
        <w:rPr>
          <w:rFonts w:hint="eastAsia" w:ascii="Times New Roman" w:hAnsi="Times New Roman" w:eastAsia="宋体" w:cs="Times New Roman"/>
          <w:color w:val="auto"/>
          <w:kern w:val="2"/>
          <w:sz w:val="24"/>
          <w:szCs w:val="24"/>
          <w:lang w:val="en-US" w:eastAsia="zh-CN" w:bidi="ar-SA"/>
        </w:rPr>
        <w:t>采用的材料，贮存运输条件应符合产品使用说明的规定，应注意防晒、防潮、防水、防损等保护措施，材料应分标识存放，场地应平整，</w:t>
      </w:r>
      <w:r>
        <w:rPr>
          <w:rFonts w:hint="eastAsia" w:ascii="Times New Roman" w:hAnsi="Times New Roman" w:cs="Times New Roman"/>
          <w:color w:val="auto"/>
          <w:kern w:val="2"/>
          <w:sz w:val="24"/>
          <w:szCs w:val="24"/>
          <w:lang w:val="en-US" w:eastAsia="zh-CN" w:bidi="ar-SA"/>
        </w:rPr>
        <w:t>改性</w:t>
      </w:r>
      <w:r>
        <w:rPr>
          <w:rFonts w:hint="eastAsia" w:ascii="Times New Roman" w:hAnsi="Times New Roman" w:eastAsia="宋体" w:cs="Times New Roman"/>
          <w:color w:val="auto"/>
          <w:kern w:val="2"/>
          <w:sz w:val="24"/>
          <w:szCs w:val="24"/>
          <w:lang w:val="en-US" w:eastAsia="zh-CN" w:bidi="ar-SA"/>
        </w:rPr>
        <w:t>玻化微珠保温装饰板宜侧放。各类不宜露天存放的材料，对在露天存放的，应采用搭帐篷或防雨帆布遮盖，施工过程中应做好半成品、成品的保护，防止污染和损坏。</w:t>
      </w:r>
    </w:p>
    <w:p w14:paraId="6F8DDD17">
      <w:pPr>
        <w:pStyle w:val="14"/>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7.</w:t>
      </w:r>
      <w:r>
        <w:rPr>
          <w:rFonts w:hint="eastAsia" w:ascii="Times New Roman" w:hAnsi="Times New Roman" w:cs="Times New Roman"/>
          <w:b/>
          <w:bCs/>
          <w:color w:val="auto"/>
          <w:kern w:val="2"/>
          <w:sz w:val="24"/>
          <w:szCs w:val="24"/>
          <w:lang w:val="en-US" w:eastAsia="zh-CN" w:bidi="ar-SA"/>
        </w:rPr>
        <w:t>2</w:t>
      </w:r>
      <w:r>
        <w:rPr>
          <w:rFonts w:hint="eastAsia" w:ascii="Times New Roman" w:hAnsi="Times New Roman" w:eastAsia="宋体" w:cs="Times New Roman"/>
          <w:b/>
          <w:bCs/>
          <w:color w:val="auto"/>
          <w:kern w:val="2"/>
          <w:sz w:val="24"/>
          <w:szCs w:val="24"/>
          <w:lang w:val="en-US" w:eastAsia="zh-CN" w:bidi="ar-SA"/>
        </w:rPr>
        <w:t>.</w:t>
      </w:r>
      <w:r>
        <w:rPr>
          <w:rFonts w:hint="eastAsia" w:ascii="Times New Roman" w:hAnsi="Times New Roman" w:cs="Times New Roman"/>
          <w:b/>
          <w:bCs/>
          <w:color w:val="auto"/>
          <w:kern w:val="2"/>
          <w:sz w:val="24"/>
          <w:szCs w:val="24"/>
          <w:lang w:val="en-US" w:eastAsia="zh-CN" w:bidi="ar-SA"/>
        </w:rPr>
        <w:t xml:space="preserve">2 </w:t>
      </w:r>
      <w:r>
        <w:rPr>
          <w:rFonts w:hint="eastAsia" w:ascii="Times New Roman" w:hAnsi="Times New Roman" w:cs="Times New Roman"/>
          <w:color w:val="auto"/>
          <w:kern w:val="2"/>
          <w:sz w:val="24"/>
          <w:szCs w:val="24"/>
          <w:lang w:val="en-US" w:eastAsia="zh-CN" w:bidi="ar-SA"/>
        </w:rPr>
        <w:t>改性</w:t>
      </w:r>
      <w:r>
        <w:rPr>
          <w:rFonts w:hint="eastAsia" w:ascii="Times New Roman" w:hAnsi="Times New Roman" w:eastAsia="宋体" w:cs="Times New Roman"/>
          <w:color w:val="auto"/>
          <w:kern w:val="2"/>
          <w:sz w:val="24"/>
          <w:szCs w:val="24"/>
          <w:lang w:val="en-US" w:eastAsia="zh-CN" w:bidi="ar-SA"/>
        </w:rPr>
        <w:t>玻化微珠外墙</w:t>
      </w:r>
      <w:r>
        <w:rPr>
          <w:rFonts w:hint="eastAsia" w:ascii="Times New Roman" w:hAnsi="Times New Roman" w:cs="Times New Roman"/>
          <w:color w:val="auto"/>
          <w:kern w:val="2"/>
          <w:sz w:val="24"/>
          <w:szCs w:val="24"/>
          <w:lang w:val="en-US" w:eastAsia="zh-CN" w:bidi="ar-SA"/>
        </w:rPr>
        <w:t>干挂系统</w:t>
      </w:r>
      <w:r>
        <w:rPr>
          <w:rFonts w:hint="default" w:ascii="Times New Roman" w:hAnsi="Times New Roman" w:eastAsia="宋体" w:cs="Times New Roman"/>
          <w:color w:val="auto"/>
          <w:kern w:val="2"/>
          <w:sz w:val="24"/>
          <w:szCs w:val="24"/>
          <w:lang w:val="en-US" w:eastAsia="zh-CN" w:bidi="ar-SA"/>
        </w:rPr>
        <w:t>施工前，应在现场采用相同材料、构造做法和工艺制作样板墙，并经有关各方确认。</w:t>
      </w:r>
    </w:p>
    <w:p w14:paraId="33562D65">
      <w:pPr>
        <w:pStyle w:val="14"/>
        <w:keepNext w:val="0"/>
        <w:keepLines w:val="0"/>
        <w:pageBreakBefore w:val="0"/>
        <w:widowControl w:val="0"/>
        <w:kinsoku/>
        <w:wordWrap/>
        <w:overflowPunct/>
        <w:topLinePunct w:val="0"/>
        <w:bidi w:val="0"/>
        <w:snapToGrid/>
        <w:spacing w:line="360" w:lineRule="auto"/>
        <w:textAlignment w:val="auto"/>
        <w:rPr>
          <w:rFonts w:hint="default" w:ascii="宋体" w:hAnsi="宋体"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宋体" w:hAnsi="宋体" w:eastAsia="宋体" w:cs="Times New Roman"/>
          <w:color w:val="0000FF"/>
          <w:kern w:val="2"/>
          <w:sz w:val="24"/>
          <w:szCs w:val="24"/>
          <w:lang w:val="en-US" w:eastAsia="zh-CN" w:bidi="ar-SA"/>
        </w:rPr>
        <w:t>7.</w:t>
      </w:r>
      <w:r>
        <w:rPr>
          <w:rFonts w:hint="eastAsia" w:hAnsi="宋体" w:cs="Times New Roman"/>
          <w:color w:val="0000FF"/>
          <w:kern w:val="2"/>
          <w:sz w:val="24"/>
          <w:szCs w:val="24"/>
          <w:lang w:val="en-US" w:eastAsia="zh-CN" w:bidi="ar-SA"/>
        </w:rPr>
        <w:t>2</w:t>
      </w:r>
      <w:r>
        <w:rPr>
          <w:rFonts w:hint="eastAsia" w:ascii="宋体" w:hAnsi="宋体" w:eastAsia="宋体" w:cs="Times New Roman"/>
          <w:color w:val="0000FF"/>
          <w:kern w:val="2"/>
          <w:sz w:val="24"/>
          <w:szCs w:val="24"/>
          <w:lang w:val="en-US" w:eastAsia="zh-CN" w:bidi="ar-SA"/>
        </w:rPr>
        <w:t>.2样板工程不仅可以直观地看到和评判其质量与工艺状况， 还可以对材料、做法、效果等进行直接检查，并可以作为验收的参照实物标准，也是对作业人员技术交底过程。</w:t>
      </w:r>
    </w:p>
    <w:p w14:paraId="24249FB9">
      <w:pPr>
        <w:pStyle w:val="14"/>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7.</w:t>
      </w:r>
      <w:r>
        <w:rPr>
          <w:rFonts w:hint="eastAsia" w:ascii="Times New Roman" w:hAnsi="Times New Roman" w:cs="Times New Roman"/>
          <w:b/>
          <w:bCs/>
          <w:color w:val="auto"/>
          <w:kern w:val="2"/>
          <w:sz w:val="24"/>
          <w:szCs w:val="24"/>
          <w:lang w:val="en-US" w:eastAsia="zh-CN" w:bidi="ar-SA"/>
        </w:rPr>
        <w:t>2</w:t>
      </w:r>
      <w:r>
        <w:rPr>
          <w:rFonts w:hint="eastAsia" w:ascii="Times New Roman" w:hAnsi="Times New Roman" w:eastAsia="宋体" w:cs="Times New Roman"/>
          <w:b/>
          <w:bCs/>
          <w:color w:val="auto"/>
          <w:kern w:val="2"/>
          <w:sz w:val="24"/>
          <w:szCs w:val="24"/>
          <w:lang w:val="en-US" w:eastAsia="zh-CN" w:bidi="ar-SA"/>
        </w:rPr>
        <w:t>.</w:t>
      </w:r>
      <w:r>
        <w:rPr>
          <w:rFonts w:hint="eastAsia" w:ascii="Times New Roman" w:hAnsi="Times New Roman" w:cs="Times New Roman"/>
          <w:b/>
          <w:bCs/>
          <w:color w:val="auto"/>
          <w:kern w:val="2"/>
          <w:sz w:val="24"/>
          <w:szCs w:val="24"/>
          <w:lang w:val="en-US" w:eastAsia="zh-CN" w:bidi="ar-SA"/>
        </w:rPr>
        <w:t xml:space="preserve">3 </w:t>
      </w:r>
      <w:r>
        <w:rPr>
          <w:rFonts w:hint="default" w:ascii="Times New Roman" w:hAnsi="Times New Roman" w:eastAsia="宋体" w:cs="Times New Roman"/>
          <w:color w:val="auto"/>
          <w:kern w:val="2"/>
          <w:sz w:val="24"/>
          <w:szCs w:val="24"/>
          <w:lang w:val="en-US" w:eastAsia="zh-CN" w:bidi="ar-SA"/>
        </w:rPr>
        <w:t>施工前应进行绘排板图、弹线分格，并应符合下列规定：</w:t>
      </w:r>
    </w:p>
    <w:p w14:paraId="35C544C1">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1</w:t>
      </w:r>
      <w:r>
        <w:rPr>
          <w:rFonts w:hint="eastAsia" w:ascii="Times New Roman" w:hAnsi="Times New Roman" w:cs="Times New Roman"/>
          <w:color w:val="auto"/>
          <w:kern w:val="2"/>
          <w:sz w:val="24"/>
          <w:szCs w:val="24"/>
          <w:lang w:val="en-US" w:eastAsia="zh-CN" w:bidi="ar-SA"/>
        </w:rPr>
        <w:t xml:space="preserve"> </w:t>
      </w:r>
      <w:r>
        <w:rPr>
          <w:rFonts w:hint="default" w:ascii="Times New Roman" w:hAnsi="Times New Roman" w:eastAsia="宋体" w:cs="Times New Roman"/>
          <w:color w:val="auto"/>
          <w:kern w:val="2"/>
          <w:sz w:val="24"/>
          <w:szCs w:val="24"/>
          <w:lang w:val="en-US" w:eastAsia="zh-CN" w:bidi="ar-SA"/>
        </w:rPr>
        <w:t>应绘制建筑外立面草图并确定优化排板分格方案，分格方案应做到省材、美观、安全</w:t>
      </w:r>
      <w:r>
        <w:rPr>
          <w:rFonts w:hint="eastAsia" w:ascii="Times New Roman" w:hAnsi="Times New Roman" w:cs="Times New Roman"/>
          <w:color w:val="auto"/>
          <w:kern w:val="2"/>
          <w:sz w:val="24"/>
          <w:szCs w:val="24"/>
          <w:lang w:val="en-US" w:eastAsia="zh-CN" w:bidi="ar-SA"/>
        </w:rPr>
        <w:t>。</w:t>
      </w:r>
    </w:p>
    <w:p w14:paraId="2E4047B2">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2</w:t>
      </w:r>
      <w:r>
        <w:rPr>
          <w:rFonts w:hint="eastAsia" w:ascii="Times New Roman" w:hAnsi="Times New Roman" w:cs="Times New Roman"/>
          <w:color w:val="auto"/>
          <w:kern w:val="2"/>
          <w:sz w:val="24"/>
          <w:szCs w:val="24"/>
          <w:lang w:val="en-US" w:eastAsia="zh-CN" w:bidi="ar-SA"/>
        </w:rPr>
        <w:t xml:space="preserve"> </w:t>
      </w:r>
      <w:r>
        <w:rPr>
          <w:rFonts w:hint="default" w:ascii="Times New Roman" w:hAnsi="Times New Roman" w:eastAsia="宋体" w:cs="Times New Roman"/>
          <w:color w:val="auto"/>
          <w:kern w:val="2"/>
          <w:sz w:val="24"/>
          <w:szCs w:val="24"/>
          <w:lang w:val="en-US" w:eastAsia="zh-CN" w:bidi="ar-SA"/>
        </w:rPr>
        <w:t>应在墙面弹出垂直控制线、水平控制线，并应由控制线处开始测量门窗、线条、</w:t>
      </w:r>
      <w:r>
        <w:rPr>
          <w:rFonts w:hint="eastAsia" w:ascii="Times New Roman" w:hAnsi="Times New Roman" w:cs="Times New Roman"/>
          <w:color w:val="auto"/>
          <w:kern w:val="2"/>
          <w:sz w:val="24"/>
          <w:szCs w:val="24"/>
          <w:lang w:val="en-US" w:eastAsia="zh-CN" w:bidi="ar-SA"/>
        </w:rPr>
        <w:t>原外墙系统</w:t>
      </w:r>
      <w:r>
        <w:rPr>
          <w:rFonts w:hint="default" w:ascii="Times New Roman" w:hAnsi="Times New Roman" w:eastAsia="宋体" w:cs="Times New Roman"/>
          <w:color w:val="auto"/>
          <w:kern w:val="2"/>
          <w:sz w:val="24"/>
          <w:szCs w:val="24"/>
          <w:lang w:val="en-US" w:eastAsia="zh-CN" w:bidi="ar-SA"/>
        </w:rPr>
        <w:t>等实际尺寸</w:t>
      </w:r>
      <w:r>
        <w:rPr>
          <w:rFonts w:hint="eastAsia" w:ascii="Times New Roman" w:hAnsi="Times New Roman" w:cs="Times New Roman"/>
          <w:color w:val="auto"/>
          <w:kern w:val="2"/>
          <w:sz w:val="24"/>
          <w:szCs w:val="24"/>
          <w:lang w:val="en-US" w:eastAsia="zh-CN" w:bidi="ar-SA"/>
        </w:rPr>
        <w:t>。</w:t>
      </w:r>
    </w:p>
    <w:p w14:paraId="28F37891">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3</w:t>
      </w:r>
      <w:r>
        <w:rPr>
          <w:rFonts w:hint="eastAsia" w:ascii="Times New Roman" w:hAnsi="Times New Roman" w:cs="Times New Roman"/>
          <w:color w:val="auto"/>
          <w:kern w:val="2"/>
          <w:sz w:val="24"/>
          <w:szCs w:val="24"/>
          <w:lang w:val="en-US" w:eastAsia="zh-CN" w:bidi="ar-SA"/>
        </w:rPr>
        <w:t xml:space="preserve"> </w:t>
      </w:r>
      <w:r>
        <w:rPr>
          <w:rFonts w:hint="default" w:ascii="Times New Roman" w:hAnsi="Times New Roman" w:eastAsia="宋体" w:cs="Times New Roman"/>
          <w:color w:val="auto"/>
          <w:kern w:val="2"/>
          <w:sz w:val="24"/>
          <w:szCs w:val="24"/>
          <w:lang w:val="en-US" w:eastAsia="zh-CN" w:bidi="ar-SA"/>
        </w:rPr>
        <w:t>弹线分格时，应在建筑外墙大角及其他必要处挂垂直基准线，每个楼层适当位置挂水平线。应按设计排板图的分格方案，弹出每块板的安装控制线，确定接缝宽度，并应制作统一塞尺</w:t>
      </w:r>
      <w:r>
        <w:rPr>
          <w:rFonts w:hint="eastAsia" w:ascii="Times New Roman" w:hAnsi="Times New Roman" w:cs="Times New Roman"/>
          <w:color w:val="auto"/>
          <w:kern w:val="2"/>
          <w:sz w:val="24"/>
          <w:szCs w:val="24"/>
          <w:lang w:val="en-US" w:eastAsia="zh-CN" w:bidi="ar-SA"/>
        </w:rPr>
        <w:t>。</w:t>
      </w:r>
    </w:p>
    <w:p w14:paraId="7358817D">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4应根据实际弹线情况，结合设计排板图，出具相对应每块板的实际尺寸和详细构造图清单。</w:t>
      </w:r>
    </w:p>
    <w:p w14:paraId="29474B4F">
      <w:pPr>
        <w:pStyle w:val="14"/>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7.</w:t>
      </w:r>
      <w:r>
        <w:rPr>
          <w:rFonts w:hint="eastAsia" w:ascii="Times New Roman" w:hAnsi="Times New Roman" w:cs="Times New Roman"/>
          <w:b/>
          <w:bCs/>
          <w:color w:val="auto"/>
          <w:kern w:val="2"/>
          <w:sz w:val="24"/>
          <w:szCs w:val="24"/>
          <w:lang w:val="en-US" w:eastAsia="zh-CN" w:bidi="ar-SA"/>
        </w:rPr>
        <w:t>2</w:t>
      </w:r>
      <w:r>
        <w:rPr>
          <w:rFonts w:hint="eastAsia" w:ascii="Times New Roman" w:hAnsi="Times New Roman" w:eastAsia="宋体" w:cs="Times New Roman"/>
          <w:b/>
          <w:bCs/>
          <w:color w:val="auto"/>
          <w:kern w:val="2"/>
          <w:sz w:val="24"/>
          <w:szCs w:val="24"/>
          <w:lang w:val="en-US" w:eastAsia="zh-CN" w:bidi="ar-SA"/>
        </w:rPr>
        <w:t>.</w:t>
      </w:r>
      <w:r>
        <w:rPr>
          <w:rFonts w:hint="eastAsia" w:ascii="Times New Roman" w:hAnsi="Times New Roman" w:cs="Times New Roman"/>
          <w:b/>
          <w:bCs/>
          <w:color w:val="auto"/>
          <w:kern w:val="2"/>
          <w:sz w:val="24"/>
          <w:szCs w:val="24"/>
          <w:lang w:val="en-US" w:eastAsia="zh-CN" w:bidi="ar-SA"/>
        </w:rPr>
        <w:t xml:space="preserve">4 </w:t>
      </w:r>
      <w:r>
        <w:rPr>
          <w:rFonts w:hint="eastAsia" w:ascii="Times New Roman" w:hAnsi="Times New Roman" w:cs="Times New Roman"/>
          <w:color w:val="auto"/>
          <w:kern w:val="2"/>
          <w:sz w:val="24"/>
          <w:szCs w:val="24"/>
          <w:lang w:val="en-US" w:eastAsia="zh-CN" w:bidi="ar-SA"/>
        </w:rPr>
        <w:t>改性</w:t>
      </w:r>
      <w:r>
        <w:rPr>
          <w:rFonts w:hint="default" w:ascii="Times New Roman" w:hAnsi="Times New Roman" w:eastAsia="宋体" w:cs="Times New Roman"/>
          <w:color w:val="auto"/>
          <w:kern w:val="2"/>
          <w:sz w:val="24"/>
          <w:szCs w:val="24"/>
          <w:lang w:val="en-US" w:eastAsia="zh-CN" w:bidi="ar-SA"/>
        </w:rPr>
        <w:t>玻化微珠保温装饰板</w:t>
      </w:r>
      <w:r>
        <w:rPr>
          <w:rFonts w:hint="eastAsia" w:ascii="Times New Roman" w:hAnsi="Times New Roman" w:cs="Times New Roman"/>
          <w:color w:val="auto"/>
          <w:kern w:val="2"/>
          <w:sz w:val="24"/>
          <w:szCs w:val="24"/>
          <w:lang w:val="en-US" w:eastAsia="zh-CN" w:bidi="ar-SA"/>
        </w:rPr>
        <w:t>施工</w:t>
      </w:r>
      <w:r>
        <w:rPr>
          <w:rFonts w:hint="default" w:ascii="Times New Roman" w:hAnsi="Times New Roman" w:eastAsia="宋体" w:cs="Times New Roman"/>
          <w:color w:val="auto"/>
          <w:kern w:val="2"/>
          <w:sz w:val="24"/>
          <w:szCs w:val="24"/>
          <w:lang w:val="en-US" w:eastAsia="zh-CN" w:bidi="ar-SA"/>
        </w:rPr>
        <w:t>应符合下列规定：</w:t>
      </w:r>
    </w:p>
    <w:p w14:paraId="5CA22A1E">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1</w:t>
      </w:r>
      <w:r>
        <w:rPr>
          <w:rFonts w:hint="eastAsia" w:ascii="Times New Roman" w:hAnsi="Times New Roman" w:cs="Times New Roman"/>
          <w:color w:val="auto"/>
          <w:kern w:val="2"/>
          <w:sz w:val="24"/>
          <w:szCs w:val="24"/>
          <w:lang w:val="en-US" w:eastAsia="zh-CN" w:bidi="ar-SA"/>
        </w:rPr>
        <w:t xml:space="preserve"> </w:t>
      </w:r>
      <w:r>
        <w:rPr>
          <w:rFonts w:hint="default" w:ascii="Times New Roman" w:hAnsi="Times New Roman" w:eastAsia="宋体" w:cs="Times New Roman"/>
          <w:color w:val="auto"/>
          <w:kern w:val="2"/>
          <w:sz w:val="24"/>
          <w:szCs w:val="24"/>
          <w:lang w:val="en-US" w:eastAsia="zh-CN" w:bidi="ar-SA"/>
        </w:rPr>
        <w:t>每个面正面的阴角或窗边宜为排板的第一块</w:t>
      </w:r>
      <w:r>
        <w:rPr>
          <w:rFonts w:hint="eastAsia" w:ascii="Times New Roman" w:hAnsi="Times New Roman" w:cs="Times New Roman"/>
          <w:color w:val="auto"/>
          <w:kern w:val="2"/>
          <w:sz w:val="24"/>
          <w:szCs w:val="24"/>
          <w:lang w:val="en-US" w:eastAsia="zh-CN" w:bidi="ar-SA"/>
        </w:rPr>
        <w:t>改性</w:t>
      </w:r>
      <w:r>
        <w:rPr>
          <w:rFonts w:hint="default" w:ascii="Times New Roman" w:hAnsi="Times New Roman" w:eastAsia="宋体" w:cs="Times New Roman"/>
          <w:color w:val="auto"/>
          <w:kern w:val="2"/>
          <w:sz w:val="24"/>
          <w:szCs w:val="24"/>
          <w:lang w:val="en-US" w:eastAsia="zh-CN" w:bidi="ar-SA"/>
        </w:rPr>
        <w:t>玻化微珠保温装饰板位置</w:t>
      </w:r>
      <w:r>
        <w:rPr>
          <w:rFonts w:hint="eastAsia" w:ascii="Times New Roman" w:hAnsi="Times New Roman" w:cs="Times New Roman"/>
          <w:color w:val="auto"/>
          <w:kern w:val="2"/>
          <w:sz w:val="24"/>
          <w:szCs w:val="24"/>
          <w:lang w:val="en-US" w:eastAsia="zh-CN" w:bidi="ar-SA"/>
        </w:rPr>
        <w:t>。</w:t>
      </w:r>
    </w:p>
    <w:p w14:paraId="51A96571">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2</w:t>
      </w:r>
      <w:r>
        <w:rPr>
          <w:rFonts w:hint="eastAsia" w:ascii="Times New Roman" w:hAnsi="Times New Roman" w:cs="Times New Roman"/>
          <w:color w:val="auto"/>
          <w:kern w:val="2"/>
          <w:sz w:val="24"/>
          <w:szCs w:val="24"/>
          <w:lang w:val="en-US" w:eastAsia="zh-CN" w:bidi="ar-SA"/>
        </w:rPr>
        <w:t xml:space="preserve"> 改性</w:t>
      </w:r>
      <w:r>
        <w:rPr>
          <w:rFonts w:hint="default" w:ascii="Times New Roman" w:hAnsi="Times New Roman" w:eastAsia="宋体" w:cs="Times New Roman"/>
          <w:color w:val="auto"/>
          <w:kern w:val="2"/>
          <w:sz w:val="24"/>
          <w:szCs w:val="24"/>
          <w:lang w:val="en-US" w:eastAsia="zh-CN" w:bidi="ar-SA"/>
        </w:rPr>
        <w:t>玻化微珠保温装饰板槽口应卡扣到横向铝合金托挂件的槽口里</w:t>
      </w:r>
      <w:r>
        <w:rPr>
          <w:rFonts w:hint="eastAsia" w:ascii="Times New Roman" w:hAnsi="Times New Roman" w:cs="Times New Roman"/>
          <w:color w:val="auto"/>
          <w:kern w:val="2"/>
          <w:sz w:val="24"/>
          <w:szCs w:val="24"/>
          <w:lang w:val="en-US" w:eastAsia="zh-CN" w:bidi="ar-SA"/>
        </w:rPr>
        <w:t>。</w:t>
      </w:r>
    </w:p>
    <w:p w14:paraId="01C73F8D">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3</w:t>
      </w:r>
      <w:r>
        <w:rPr>
          <w:rFonts w:hint="eastAsia" w:ascii="Times New Roman" w:hAnsi="Times New Roman" w:cs="Times New Roman"/>
          <w:color w:val="auto"/>
          <w:kern w:val="2"/>
          <w:sz w:val="24"/>
          <w:szCs w:val="24"/>
          <w:lang w:val="en-US" w:eastAsia="zh-CN" w:bidi="ar-SA"/>
        </w:rPr>
        <w:t xml:space="preserve"> </w:t>
      </w:r>
      <w:r>
        <w:rPr>
          <w:rFonts w:hint="default" w:ascii="Times New Roman" w:hAnsi="Times New Roman" w:eastAsia="宋体" w:cs="Times New Roman"/>
          <w:color w:val="auto"/>
          <w:kern w:val="2"/>
          <w:sz w:val="24"/>
          <w:szCs w:val="24"/>
          <w:lang w:val="en-US" w:eastAsia="zh-CN" w:bidi="ar-SA"/>
        </w:rPr>
        <w:t>应采用</w:t>
      </w:r>
      <w:r>
        <w:rPr>
          <w:rFonts w:hint="default" w:ascii="Times New Roman" w:hAnsi="Times New Roman" w:eastAsia="宋体" w:cs="Times New Roman"/>
          <w:color w:val="auto"/>
          <w:kern w:val="2"/>
          <w:sz w:val="24"/>
          <w:szCs w:val="24"/>
          <w:highlight w:val="none"/>
          <w:lang w:val="en-US" w:eastAsia="zh-CN" w:bidi="ar-SA"/>
        </w:rPr>
        <w:t>环氧粘结剂填充</w:t>
      </w:r>
      <w:r>
        <w:rPr>
          <w:rFonts w:hint="default" w:ascii="Times New Roman" w:hAnsi="Times New Roman" w:eastAsia="宋体" w:cs="Times New Roman"/>
          <w:color w:val="auto"/>
          <w:kern w:val="2"/>
          <w:sz w:val="24"/>
          <w:szCs w:val="24"/>
          <w:lang w:val="en-US" w:eastAsia="zh-CN" w:bidi="ar-SA"/>
        </w:rPr>
        <w:t>并加固横向铝合金托挂件与墙体连接位置的缝隙</w:t>
      </w:r>
      <w:r>
        <w:rPr>
          <w:rFonts w:hint="eastAsia" w:ascii="Times New Roman" w:hAnsi="Times New Roman" w:cs="Times New Roman"/>
          <w:color w:val="auto"/>
          <w:kern w:val="2"/>
          <w:sz w:val="24"/>
          <w:szCs w:val="24"/>
          <w:lang w:val="en-US" w:eastAsia="zh-CN" w:bidi="ar-SA"/>
        </w:rPr>
        <w:t>。</w:t>
      </w:r>
    </w:p>
    <w:p w14:paraId="2D9BF7A9">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4</w:t>
      </w:r>
      <w:r>
        <w:rPr>
          <w:rFonts w:hint="eastAsia" w:ascii="Times New Roman" w:hAnsi="Times New Roman" w:cs="Times New Roman"/>
          <w:color w:val="auto"/>
          <w:kern w:val="2"/>
          <w:sz w:val="24"/>
          <w:szCs w:val="24"/>
          <w:lang w:val="en-US" w:eastAsia="zh-CN" w:bidi="ar-SA"/>
        </w:rPr>
        <w:t xml:space="preserve"> </w:t>
      </w:r>
      <w:r>
        <w:rPr>
          <w:rFonts w:hint="default" w:ascii="Times New Roman" w:hAnsi="Times New Roman" w:eastAsia="宋体" w:cs="Times New Roman"/>
          <w:color w:val="auto"/>
          <w:kern w:val="2"/>
          <w:sz w:val="24"/>
          <w:szCs w:val="24"/>
          <w:lang w:val="en-US" w:eastAsia="zh-CN" w:bidi="ar-SA"/>
        </w:rPr>
        <w:t>在安装</w:t>
      </w:r>
      <w:r>
        <w:rPr>
          <w:rFonts w:hint="eastAsia" w:ascii="Times New Roman" w:hAnsi="Times New Roman" w:cs="Times New Roman"/>
          <w:color w:val="auto"/>
          <w:kern w:val="2"/>
          <w:sz w:val="24"/>
          <w:szCs w:val="24"/>
          <w:lang w:val="en-US" w:eastAsia="zh-CN" w:bidi="ar-SA"/>
        </w:rPr>
        <w:t>改性</w:t>
      </w:r>
      <w:r>
        <w:rPr>
          <w:rFonts w:hint="default" w:ascii="Times New Roman" w:hAnsi="Times New Roman" w:eastAsia="宋体" w:cs="Times New Roman"/>
          <w:color w:val="auto"/>
          <w:kern w:val="2"/>
          <w:sz w:val="24"/>
          <w:szCs w:val="24"/>
          <w:lang w:val="en-US" w:eastAsia="zh-CN" w:bidi="ar-SA"/>
        </w:rPr>
        <w:t>玻化微珠保温装饰板时，应在已安装好的横向铝合金托挂件及竖向铝合金连接件槽口部位注入硅酮耐候密封胶，并在</w:t>
      </w:r>
      <w:r>
        <w:rPr>
          <w:rFonts w:hint="eastAsia" w:ascii="Times New Roman" w:hAnsi="Times New Roman" w:cs="Times New Roman"/>
          <w:color w:val="auto"/>
          <w:kern w:val="2"/>
          <w:sz w:val="24"/>
          <w:szCs w:val="24"/>
          <w:lang w:val="en-US" w:eastAsia="zh-CN" w:bidi="ar-SA"/>
        </w:rPr>
        <w:t>改性</w:t>
      </w:r>
      <w:r>
        <w:rPr>
          <w:rFonts w:hint="default" w:ascii="Times New Roman" w:hAnsi="Times New Roman" w:eastAsia="宋体" w:cs="Times New Roman"/>
          <w:color w:val="auto"/>
          <w:kern w:val="2"/>
          <w:sz w:val="24"/>
          <w:szCs w:val="24"/>
          <w:lang w:val="en-US" w:eastAsia="zh-CN" w:bidi="ar-SA"/>
        </w:rPr>
        <w:t>玻化微珠保温装饰板背面点注嵌缝材料</w:t>
      </w:r>
      <w:r>
        <w:rPr>
          <w:rFonts w:hint="eastAsia" w:ascii="Times New Roman" w:hAnsi="Times New Roman" w:cs="Times New Roman"/>
          <w:color w:val="auto"/>
          <w:kern w:val="2"/>
          <w:sz w:val="24"/>
          <w:szCs w:val="24"/>
          <w:lang w:val="en-US" w:eastAsia="zh-CN" w:bidi="ar-SA"/>
        </w:rPr>
        <w:t>。</w:t>
      </w:r>
    </w:p>
    <w:p w14:paraId="1AB5BB72">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cs="Times New Roman"/>
          <w:color w:val="auto"/>
          <w:kern w:val="2"/>
          <w:sz w:val="24"/>
          <w:szCs w:val="24"/>
          <w:lang w:val="en-US" w:eastAsia="zh-CN" w:bidi="ar-SA"/>
        </w:rPr>
        <w:t xml:space="preserve">5 </w:t>
      </w:r>
      <w:r>
        <w:rPr>
          <w:rFonts w:hint="default" w:ascii="Times New Roman" w:hAnsi="Times New Roman" w:eastAsia="宋体" w:cs="Times New Roman"/>
          <w:color w:val="auto"/>
          <w:kern w:val="2"/>
          <w:sz w:val="24"/>
          <w:szCs w:val="24"/>
          <w:lang w:val="en-US" w:eastAsia="zh-CN" w:bidi="ar-SA"/>
        </w:rPr>
        <w:t>横向铝合金托挂件与竖向铝合金连接件下口连接位置不应少于2个自攻螺丝。</w:t>
      </w:r>
    </w:p>
    <w:p w14:paraId="21D62CE3">
      <w:pPr>
        <w:pStyle w:val="3"/>
        <w:bidi w:val="0"/>
        <w:jc w:val="center"/>
        <w:rPr>
          <w:rFonts w:hint="eastAsia"/>
          <w:szCs w:val="22"/>
          <w:lang w:val="en-US" w:eastAsia="zh-CN"/>
        </w:rPr>
      </w:pPr>
      <w:bookmarkStart w:id="59" w:name="_Toc13778"/>
      <w:r>
        <w:rPr>
          <w:rFonts w:hint="eastAsia"/>
          <w:szCs w:val="22"/>
          <w:lang w:val="en-US" w:eastAsia="zh-CN"/>
        </w:rPr>
        <w:t>7.3改性玻化微珠外墙粘锚托系统</w:t>
      </w:r>
      <w:bookmarkEnd w:id="59"/>
    </w:p>
    <w:p w14:paraId="6832B7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r>
        <w:rPr>
          <w:rFonts w:hint="eastAsia" w:ascii="Times New Roman" w:hAnsi="Times New Roman" w:eastAsia="宋体" w:cs="Times New Roman"/>
          <w:b/>
          <w:bCs/>
          <w:color w:val="auto"/>
          <w:kern w:val="2"/>
          <w:sz w:val="24"/>
          <w:szCs w:val="24"/>
          <w:lang w:val="en-US" w:eastAsia="zh-CN" w:bidi="ar-SA"/>
        </w:rPr>
        <w:t>7.</w:t>
      </w:r>
      <w:r>
        <w:rPr>
          <w:rFonts w:hint="eastAsia" w:cs="Times New Roman"/>
          <w:b/>
          <w:bCs/>
          <w:color w:val="auto"/>
          <w:kern w:val="2"/>
          <w:sz w:val="24"/>
          <w:szCs w:val="24"/>
          <w:lang w:val="en-US" w:eastAsia="zh-CN" w:bidi="ar-SA"/>
        </w:rPr>
        <w:t>3</w:t>
      </w:r>
      <w:r>
        <w:rPr>
          <w:rFonts w:hint="eastAsia" w:ascii="Times New Roman" w:hAnsi="Times New Roman" w:eastAsia="宋体" w:cs="Times New Roman"/>
          <w:b/>
          <w:bCs/>
          <w:color w:val="auto"/>
          <w:kern w:val="2"/>
          <w:sz w:val="24"/>
          <w:szCs w:val="24"/>
          <w:lang w:val="en-US" w:eastAsia="zh-CN" w:bidi="ar-SA"/>
        </w:rPr>
        <w:t>.1</w:t>
      </w:r>
      <w:r>
        <w:rPr>
          <w:rFonts w:hint="eastAsia" w:cs="Times New Roman"/>
          <w:b/>
          <w:bCs/>
          <w:color w:val="auto"/>
          <w:kern w:val="2"/>
          <w:sz w:val="24"/>
          <w:szCs w:val="24"/>
          <w:lang w:val="en-US" w:eastAsia="zh-CN" w:bidi="ar-SA"/>
        </w:rPr>
        <w:t xml:space="preserve"> </w:t>
      </w:r>
      <w:r>
        <w:rPr>
          <w:rFonts w:hint="eastAsia"/>
          <w:b w:val="0"/>
          <w:bCs w:val="0"/>
          <w:sz w:val="24"/>
          <w:szCs w:val="24"/>
          <w:lang w:val="en-US" w:eastAsia="zh-CN"/>
        </w:rPr>
        <w:t>施工前，应在现场采用相同材料和工艺制作样板墙或样板间，对锚栓进行现场拉拔试验，并经有关各方确认后方可进行工程施工。</w:t>
      </w:r>
    </w:p>
    <w:p w14:paraId="27F292AD">
      <w:pPr>
        <w:pStyle w:val="14"/>
        <w:keepNext w:val="0"/>
        <w:keepLines w:val="0"/>
        <w:pageBreakBefore w:val="0"/>
        <w:widowControl w:val="0"/>
        <w:kinsoku/>
        <w:wordWrap/>
        <w:overflowPunct/>
        <w:topLinePunct w:val="0"/>
        <w:bidi w:val="0"/>
        <w:snapToGrid/>
        <w:spacing w:line="360" w:lineRule="auto"/>
        <w:textAlignment w:val="auto"/>
        <w:rPr>
          <w:rFonts w:hint="eastAsia"/>
          <w:lang w:val="en-US" w:eastAsia="zh-CN"/>
        </w:rPr>
      </w:pPr>
      <w:r>
        <w:rPr>
          <w:rFonts w:hint="eastAsia" w:ascii="Times New Roman" w:hAnsi="Times New Roman" w:eastAsia="宋体" w:cs="Times New Roman"/>
          <w:b/>
          <w:bCs/>
          <w:color w:val="auto"/>
          <w:kern w:val="2"/>
          <w:sz w:val="24"/>
          <w:szCs w:val="24"/>
          <w:lang w:val="en-US" w:eastAsia="zh-CN" w:bidi="ar-SA"/>
        </w:rPr>
        <w:t>7.</w:t>
      </w:r>
      <w:r>
        <w:rPr>
          <w:rFonts w:hint="eastAsia" w:ascii="Times New Roman" w:hAnsi="Times New Roman" w:cs="Times New Roman"/>
          <w:b/>
          <w:bCs/>
          <w:color w:val="auto"/>
          <w:kern w:val="2"/>
          <w:sz w:val="24"/>
          <w:szCs w:val="24"/>
          <w:lang w:val="en-US" w:eastAsia="zh-CN" w:bidi="ar-SA"/>
        </w:rPr>
        <w:t>3</w:t>
      </w:r>
      <w:r>
        <w:rPr>
          <w:rFonts w:hint="eastAsia" w:ascii="Times New Roman" w:hAnsi="Times New Roman" w:eastAsia="宋体" w:cs="Times New Roman"/>
          <w:b/>
          <w:bCs/>
          <w:color w:val="auto"/>
          <w:kern w:val="2"/>
          <w:sz w:val="24"/>
          <w:szCs w:val="24"/>
          <w:lang w:val="en-US" w:eastAsia="zh-CN" w:bidi="ar-SA"/>
        </w:rPr>
        <w:t xml:space="preserve">.2 </w:t>
      </w:r>
      <w:r>
        <w:rPr>
          <w:rFonts w:hint="eastAsia"/>
          <w:lang w:val="en-US" w:eastAsia="zh-CN"/>
        </w:rPr>
        <w:t>改性玻化微珠轻质砂浆、无机彩色砂浆的进场检验、储存和拌合应符合现行地方标准《湖南省改性玻化微珠轻质砂浆应用技术标准》DBJ43/T311的规定。</w:t>
      </w:r>
    </w:p>
    <w:p w14:paraId="741BD082">
      <w:pPr>
        <w:pStyle w:val="14"/>
        <w:keepNext w:val="0"/>
        <w:keepLines w:val="0"/>
        <w:pageBreakBefore w:val="0"/>
        <w:widowControl w:val="0"/>
        <w:kinsoku/>
        <w:wordWrap/>
        <w:overflowPunct/>
        <w:topLinePunct w:val="0"/>
        <w:bidi w:val="0"/>
        <w:snapToGrid/>
        <w:spacing w:line="360" w:lineRule="auto"/>
        <w:textAlignment w:val="auto"/>
        <w:rPr>
          <w:rFonts w:hint="eastAsia"/>
          <w:lang w:val="en-US" w:eastAsia="zh-CN"/>
        </w:rPr>
      </w:pPr>
      <w:r>
        <w:rPr>
          <w:rFonts w:hint="eastAsia" w:ascii="Times New Roman" w:hAnsi="Times New Roman" w:eastAsia="宋体" w:cs="Times New Roman"/>
          <w:b/>
          <w:bCs/>
          <w:color w:val="auto"/>
          <w:kern w:val="2"/>
          <w:sz w:val="24"/>
          <w:szCs w:val="24"/>
          <w:lang w:val="en-US" w:eastAsia="zh-CN" w:bidi="ar-SA"/>
        </w:rPr>
        <w:t>7.</w:t>
      </w:r>
      <w:r>
        <w:rPr>
          <w:rFonts w:hint="eastAsia" w:ascii="Times New Roman" w:hAnsi="Times New Roman" w:cs="Times New Roman"/>
          <w:b/>
          <w:bCs/>
          <w:color w:val="auto"/>
          <w:kern w:val="2"/>
          <w:sz w:val="24"/>
          <w:szCs w:val="24"/>
          <w:lang w:val="en-US" w:eastAsia="zh-CN" w:bidi="ar-SA"/>
        </w:rPr>
        <w:t>3</w:t>
      </w:r>
      <w:r>
        <w:rPr>
          <w:rFonts w:hint="eastAsia" w:ascii="Times New Roman" w:hAnsi="Times New Roman" w:eastAsia="宋体" w:cs="Times New Roman"/>
          <w:b/>
          <w:bCs/>
          <w:color w:val="auto"/>
          <w:kern w:val="2"/>
          <w:sz w:val="24"/>
          <w:szCs w:val="24"/>
          <w:lang w:val="en-US" w:eastAsia="zh-CN" w:bidi="ar-SA"/>
        </w:rPr>
        <w:t xml:space="preserve">.3 </w:t>
      </w:r>
      <w:r>
        <w:rPr>
          <w:rFonts w:hint="eastAsia"/>
          <w:lang w:val="en-US" w:eastAsia="zh-CN"/>
        </w:rPr>
        <w:t>改性玻化微珠轻质砂浆层施工应符合以下规定：</w:t>
      </w:r>
    </w:p>
    <w:p w14:paraId="4DA82FCA">
      <w:pPr>
        <w:autoSpaceDE w:val="0"/>
        <w:autoSpaceDN w:val="0"/>
        <w:spacing w:line="360" w:lineRule="auto"/>
        <w:rPr>
          <w:rFonts w:hint="eastAsia" w:ascii="宋体" w:hAnsi="Calibri" w:eastAsia="宋体" w:cs="宋体"/>
          <w:color w:val="000000"/>
          <w:kern w:val="0"/>
          <w:sz w:val="24"/>
          <w:szCs w:val="24"/>
          <w:lang w:val="en-US" w:eastAsia="zh-CN" w:bidi="ar-SA"/>
        </w:rPr>
      </w:pPr>
      <w:r>
        <w:rPr>
          <w:rFonts w:hint="eastAsia"/>
          <w:lang w:val="en-US" w:eastAsia="zh-CN"/>
        </w:rPr>
        <w:t xml:space="preserve"> </w:t>
      </w:r>
      <w:r>
        <w:rPr>
          <w:rFonts w:hint="eastAsia" w:ascii="宋体" w:hAnsi="Calibri" w:eastAsia="宋体" w:cs="宋体"/>
          <w:color w:val="000000"/>
          <w:kern w:val="0"/>
          <w:sz w:val="24"/>
          <w:szCs w:val="24"/>
          <w:lang w:val="en-US" w:eastAsia="zh-CN" w:bidi="ar-SA"/>
        </w:rPr>
        <w:t xml:space="preserve">   1 改性玻化微珠轻质砂浆的稠度应根据施工要求和产品说明书确定。</w:t>
      </w:r>
    </w:p>
    <w:p w14:paraId="7B57B960">
      <w:pPr>
        <w:autoSpaceDE w:val="0"/>
        <w:autoSpaceDN w:val="0"/>
        <w:spacing w:line="360" w:lineRule="auto"/>
        <w:ind w:firstLine="480" w:firstLineChars="200"/>
        <w:rPr>
          <w:rFonts w:hint="eastAsia" w:ascii="宋体" w:hAnsi="Calibri" w:eastAsia="宋体" w:cs="宋体"/>
          <w:color w:val="000000"/>
          <w:kern w:val="0"/>
          <w:sz w:val="24"/>
          <w:szCs w:val="24"/>
          <w:lang w:val="en-US" w:eastAsia="zh-CN" w:bidi="ar-SA"/>
        </w:rPr>
      </w:pPr>
      <w:r>
        <w:rPr>
          <w:rFonts w:hint="eastAsia" w:ascii="宋体" w:hAnsi="Calibri" w:eastAsia="宋体" w:cs="宋体"/>
          <w:color w:val="000000"/>
          <w:kern w:val="0"/>
          <w:sz w:val="24"/>
          <w:szCs w:val="24"/>
          <w:lang w:val="en-US" w:eastAsia="zh-CN" w:bidi="ar-SA"/>
        </w:rPr>
        <w:t>2 抹灰层的总厚度应符合设计要求。</w:t>
      </w:r>
    </w:p>
    <w:p w14:paraId="74A16F15">
      <w:pPr>
        <w:autoSpaceDE w:val="0"/>
        <w:autoSpaceDN w:val="0"/>
        <w:spacing w:line="360" w:lineRule="auto"/>
        <w:ind w:firstLine="480" w:firstLineChars="200"/>
        <w:rPr>
          <w:rFonts w:hint="eastAsia" w:ascii="宋体" w:hAnsi="Calibri" w:eastAsia="宋体" w:cs="宋体"/>
          <w:color w:val="000000"/>
          <w:kern w:val="0"/>
          <w:sz w:val="24"/>
          <w:szCs w:val="24"/>
          <w:lang w:val="en-US" w:eastAsia="zh-CN" w:bidi="ar-SA"/>
        </w:rPr>
      </w:pPr>
      <w:r>
        <w:rPr>
          <w:rFonts w:hint="eastAsia" w:ascii="宋体" w:hAnsi="Calibri" w:eastAsia="宋体" w:cs="宋体"/>
          <w:color w:val="000000"/>
          <w:kern w:val="0"/>
          <w:sz w:val="24"/>
          <w:szCs w:val="24"/>
          <w:lang w:val="en-US" w:eastAsia="zh-CN" w:bidi="ar-SA"/>
        </w:rPr>
        <w:t>3 外墙大面积抹灰时，应设置水平和垂直分格缝。水平分格缝</w:t>
      </w:r>
      <w:r>
        <w:rPr>
          <w:rFonts w:hint="eastAsia" w:ascii="宋体" w:hAnsi="Calibri" w:cs="宋体"/>
          <w:color w:val="000000"/>
          <w:kern w:val="0"/>
          <w:sz w:val="24"/>
          <w:szCs w:val="24"/>
          <w:lang w:val="en-US" w:eastAsia="zh-CN" w:bidi="ar-SA"/>
        </w:rPr>
        <w:t>利用每层拖架</w:t>
      </w:r>
      <w:r>
        <w:rPr>
          <w:rFonts w:hint="eastAsia" w:ascii="宋体" w:hAnsi="Calibri" w:eastAsia="宋体" w:cs="宋体"/>
          <w:color w:val="000000"/>
          <w:kern w:val="0"/>
          <w:sz w:val="24"/>
          <w:szCs w:val="24"/>
          <w:lang w:val="en-US" w:eastAsia="zh-CN" w:bidi="ar-SA"/>
        </w:rPr>
        <w:t>，垂直分格缝宜按墙面面积设置，且不宜大于30m</w:t>
      </w:r>
      <w:r>
        <w:rPr>
          <w:rFonts w:hint="eastAsia" w:ascii="宋体" w:hAnsi="Calibri" w:eastAsia="宋体" w:cs="宋体"/>
          <w:color w:val="000000"/>
          <w:kern w:val="0"/>
          <w:sz w:val="24"/>
          <w:szCs w:val="24"/>
          <w:vertAlign w:val="superscript"/>
          <w:lang w:val="en-US" w:eastAsia="zh-CN" w:bidi="ar-SA"/>
        </w:rPr>
        <w:t>2</w:t>
      </w:r>
      <w:r>
        <w:rPr>
          <w:rFonts w:hint="eastAsia" w:ascii="宋体" w:hAnsi="Calibri" w:eastAsia="宋体" w:cs="宋体"/>
          <w:color w:val="000000"/>
          <w:kern w:val="0"/>
          <w:sz w:val="24"/>
          <w:szCs w:val="24"/>
          <w:lang w:val="en-US" w:eastAsia="zh-CN" w:bidi="ar-SA"/>
        </w:rPr>
        <w:t>。</w:t>
      </w:r>
    </w:p>
    <w:p w14:paraId="779FCAA9">
      <w:pPr>
        <w:autoSpaceDE w:val="0"/>
        <w:autoSpaceDN w:val="0"/>
        <w:spacing w:line="360" w:lineRule="auto"/>
        <w:ind w:firstLine="480" w:firstLineChars="200"/>
        <w:jc w:val="left"/>
        <w:rPr>
          <w:rFonts w:eastAsia="宋体"/>
          <w:color w:val="0000FF"/>
          <w:sz w:val="24"/>
          <w:szCs w:val="24"/>
        </w:rPr>
      </w:pPr>
      <w:r>
        <w:rPr>
          <w:rFonts w:hint="eastAsia" w:ascii="Times New Roman" w:hAnsi="Times New Roman" w:eastAsia="宋体" w:cs="Times New Roman"/>
          <w:color w:val="0000FF"/>
          <w:sz w:val="24"/>
          <w:szCs w:val="24"/>
          <w:lang w:val="en-US" w:eastAsia="zh-CN"/>
        </w:rPr>
        <w:t>【条文说明】</w:t>
      </w:r>
      <w:r>
        <w:rPr>
          <w:rFonts w:hint="eastAsia"/>
          <w:color w:val="0000FF"/>
          <w:sz w:val="24"/>
          <w:szCs w:val="24"/>
          <w:lang w:val="en-US" w:eastAsia="zh-CN"/>
        </w:rPr>
        <w:t>3</w:t>
      </w:r>
      <w:r>
        <w:rPr>
          <w:rFonts w:hint="eastAsia" w:eastAsia="宋体"/>
          <w:color w:val="0000FF"/>
          <w:sz w:val="24"/>
          <w:szCs w:val="24"/>
        </w:rPr>
        <w:t xml:space="preserve"> 设置分格缝的目的是释放收缩应力，避免外墙大面积施工时引起的砂浆开裂。</w:t>
      </w:r>
    </w:p>
    <w:p w14:paraId="75025528">
      <w:pPr>
        <w:autoSpaceDE w:val="0"/>
        <w:autoSpaceDN w:val="0"/>
        <w:spacing w:line="360" w:lineRule="auto"/>
        <w:ind w:firstLine="480" w:firstLineChars="200"/>
        <w:rPr>
          <w:rFonts w:hint="default" w:ascii="宋体" w:hAnsi="Calibri" w:eastAsia="宋体" w:cs="宋体"/>
          <w:color w:val="000000"/>
          <w:kern w:val="0"/>
          <w:sz w:val="24"/>
          <w:szCs w:val="24"/>
          <w:lang w:val="en-US" w:eastAsia="zh-CN" w:bidi="ar-SA"/>
        </w:rPr>
      </w:pPr>
      <w:r>
        <w:rPr>
          <w:rFonts w:hint="eastAsia" w:ascii="宋体" w:hAnsi="Calibri" w:eastAsia="宋体" w:cs="宋体"/>
          <w:color w:val="000000"/>
          <w:kern w:val="0"/>
          <w:sz w:val="24"/>
          <w:szCs w:val="24"/>
          <w:lang w:val="en-US" w:eastAsia="zh-CN" w:bidi="ar-SA"/>
        </w:rPr>
        <w:t xml:space="preserve">4 </w:t>
      </w:r>
      <w:r>
        <w:rPr>
          <w:rFonts w:hint="eastAsia" w:ascii="宋体" w:hAnsi="Calibri" w:eastAsia="宋体" w:cs="宋体"/>
          <w:color w:val="000000"/>
          <w:kern w:val="0"/>
          <w:sz w:val="24"/>
          <w:szCs w:val="24"/>
          <w:highlight w:val="none"/>
          <w:lang w:val="en-US" w:eastAsia="zh-CN" w:bidi="ar-SA"/>
        </w:rPr>
        <w:t>施工前，施工单位根据本标准7.</w:t>
      </w:r>
      <w:r>
        <w:rPr>
          <w:rFonts w:hint="eastAsia" w:ascii="宋体" w:hAnsi="Calibri" w:cs="宋体"/>
          <w:color w:val="000000"/>
          <w:kern w:val="0"/>
          <w:sz w:val="24"/>
          <w:szCs w:val="24"/>
          <w:highlight w:val="none"/>
          <w:lang w:val="en-US" w:eastAsia="zh-CN" w:bidi="ar-SA"/>
        </w:rPr>
        <w:t>3</w:t>
      </w:r>
      <w:r>
        <w:rPr>
          <w:rFonts w:hint="eastAsia" w:ascii="宋体" w:hAnsi="Calibri" w:eastAsia="宋体" w:cs="宋体"/>
          <w:color w:val="000000"/>
          <w:kern w:val="0"/>
          <w:sz w:val="24"/>
          <w:szCs w:val="24"/>
          <w:highlight w:val="none"/>
          <w:lang w:val="en-US" w:eastAsia="zh-CN" w:bidi="ar-SA"/>
        </w:rPr>
        <w:t>.1条制作样板后，应在规定龄期进行实体拉伸粘结强度检验，并应在检验合格后封存留样。</w:t>
      </w:r>
    </w:p>
    <w:p w14:paraId="781C71A9">
      <w:pPr>
        <w:autoSpaceDE w:val="0"/>
        <w:autoSpaceDN w:val="0"/>
        <w:spacing w:line="360" w:lineRule="auto"/>
        <w:ind w:firstLine="480" w:firstLineChars="200"/>
        <w:rPr>
          <w:rFonts w:hint="eastAsia"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Times New Roman" w:hAnsi="Times New Roman" w:eastAsia="宋体" w:cs="Times New Roman"/>
          <w:color w:val="0000FF"/>
          <w:kern w:val="2"/>
          <w:sz w:val="24"/>
          <w:szCs w:val="24"/>
          <w:lang w:val="en-US" w:eastAsia="zh-CN" w:bidi="ar-SA"/>
        </w:rPr>
        <w:t>4 砂浆层空鼓、起壳和开裂既有材料因素，也有施工操作因素，制作样板和留样是为了明确界面，分清职责，方便日后出现问题时查找原因和划分责任。</w:t>
      </w:r>
    </w:p>
    <w:p w14:paraId="14095D8D">
      <w:pPr>
        <w:autoSpaceDE w:val="0"/>
        <w:autoSpaceDN w:val="0"/>
        <w:spacing w:line="360" w:lineRule="auto"/>
        <w:ind w:firstLine="480" w:firstLineChars="200"/>
        <w:rPr>
          <w:rFonts w:hint="eastAsia" w:ascii="宋体" w:hAnsi="Calibri" w:eastAsia="宋体" w:cs="宋体"/>
          <w:color w:val="000000"/>
          <w:kern w:val="0"/>
          <w:sz w:val="24"/>
          <w:szCs w:val="24"/>
          <w:lang w:val="en-US" w:eastAsia="zh-CN" w:bidi="ar-SA"/>
        </w:rPr>
      </w:pPr>
      <w:r>
        <w:rPr>
          <w:rFonts w:hint="eastAsia" w:ascii="宋体" w:hAnsi="Calibri" w:eastAsia="宋体" w:cs="宋体"/>
          <w:color w:val="000000"/>
          <w:kern w:val="0"/>
          <w:sz w:val="24"/>
          <w:szCs w:val="24"/>
          <w:lang w:val="en-US" w:eastAsia="zh-CN" w:bidi="ar-SA"/>
        </w:rPr>
        <w:t>5 天气炎热时，应避免基层受日光直接照射，并宜在施工前对基层表面洒水湿润。</w:t>
      </w:r>
    </w:p>
    <w:p w14:paraId="6FBA4D78">
      <w:pPr>
        <w:autoSpaceDE w:val="0"/>
        <w:autoSpaceDN w:val="0"/>
        <w:spacing w:line="360" w:lineRule="auto"/>
        <w:ind w:firstLine="480" w:firstLineChars="200"/>
        <w:rPr>
          <w:rFonts w:hint="eastAsia"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Times New Roman" w:hAnsi="Times New Roman" w:eastAsia="宋体" w:cs="Times New Roman"/>
          <w:color w:val="0000FF"/>
          <w:kern w:val="2"/>
          <w:sz w:val="24"/>
          <w:szCs w:val="24"/>
          <w:lang w:val="en-US" w:eastAsia="zh-CN" w:bidi="ar-SA"/>
        </w:rPr>
        <w:t>5 大气干燥炎热时，水分蒸发较快，改性玻化微珠轻质砂浆会因失水而影响强度的发展，可根据现场条件采取相应的遮阳措施。施工前，对基层表面洒水湿润，可避免基层从改性玻化微珠轻质砂浆中吸取较多的水分。</w:t>
      </w:r>
    </w:p>
    <w:p w14:paraId="0BF9F48B">
      <w:pPr>
        <w:autoSpaceDE w:val="0"/>
        <w:autoSpaceDN w:val="0"/>
        <w:spacing w:line="360" w:lineRule="auto"/>
        <w:ind w:firstLine="480" w:firstLineChars="200"/>
        <w:rPr>
          <w:rFonts w:hint="eastAsia" w:ascii="宋体" w:hAnsi="Calibri" w:eastAsia="宋体" w:cs="宋体"/>
          <w:color w:val="000000"/>
          <w:kern w:val="0"/>
          <w:sz w:val="24"/>
          <w:szCs w:val="24"/>
          <w:lang w:val="en-US" w:eastAsia="zh-CN" w:bidi="ar-SA"/>
        </w:rPr>
      </w:pPr>
      <w:r>
        <w:rPr>
          <w:rFonts w:hint="eastAsia" w:ascii="宋体" w:hAnsi="Calibri" w:eastAsia="宋体" w:cs="宋体"/>
          <w:color w:val="000000"/>
          <w:kern w:val="0"/>
          <w:sz w:val="24"/>
          <w:szCs w:val="24"/>
          <w:lang w:val="en-US" w:eastAsia="zh-CN" w:bidi="ar-SA"/>
        </w:rPr>
        <w:t>6 当改性玻化微珠轻质砂浆厚度大于20mm时，应分层抹灰，每遍涂抹厚度不宜大于20mm且应在前一层改性玻化微珠轻质砂浆凝结硬化后再进行后一层抹灰。每层改性玻化微珠轻质砂浆应分别压实、抹平，将耐碱玻璃纤维网布压入改性玻化微珠轻质砂浆中，且抹平应在改性玻化微珠轻质砂浆凝结前完成。抹面层改性玻化微珠轻质砂浆时，表面应平整。</w:t>
      </w:r>
    </w:p>
    <w:p w14:paraId="254B4CDE">
      <w:pPr>
        <w:autoSpaceDE w:val="0"/>
        <w:autoSpaceDN w:val="0"/>
        <w:spacing w:line="360" w:lineRule="auto"/>
        <w:ind w:firstLine="480" w:firstLineChars="200"/>
        <w:rPr>
          <w:rFonts w:hint="eastAsia"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Times New Roman" w:hAnsi="Times New Roman" w:eastAsia="宋体" w:cs="Times New Roman"/>
          <w:color w:val="0000FF"/>
          <w:kern w:val="2"/>
          <w:sz w:val="24"/>
          <w:szCs w:val="24"/>
          <w:lang w:val="en-US" w:eastAsia="zh-CN" w:bidi="ar-SA"/>
        </w:rPr>
        <w:t>6为防止改性玻化微珠轻质砂浆内外收水不均匀，引起裂缝、起鼓，也为了易于找平，一次抹的不宜太厚，应分层涂抹。每层施工的间隔时间视不同品种改性玻化微珠轻质砂浆的特性以及气候条件而定，并参考生产厂家的建议，要求后一层改性玻化微珠轻质砂浆施工应待前一层改性玻化微珠轻质砂浆凝结硬化后进行。为了增加找平层与底基层间的粘结，底层要用力压实；为了提高与上一层改性玻化微珠轻质砂浆的粘结力，底层改性玻化微珠轻质砂浆与中间层改性玻化微珠轻质砂浆表面要搓毛。在抹中间层和面层改性玻化微珠轻质砂浆时，需注意表面平整，使之能符合设定的规定。抹面层时要注意压光，用木抹抹平，铁抹压光。压光时间过早，表面易出现泌水，影响改性玻化微珠轻质砂浆强度；压光时间过迟，会影响改性玻化微珠轻质砂浆强度的增长。</w:t>
      </w:r>
    </w:p>
    <w:p w14:paraId="2323D12A">
      <w:pPr>
        <w:autoSpaceDE w:val="0"/>
        <w:autoSpaceDN w:val="0"/>
        <w:spacing w:line="360" w:lineRule="auto"/>
        <w:ind w:firstLine="480" w:firstLineChars="200"/>
        <w:rPr>
          <w:rFonts w:hint="eastAsia" w:ascii="宋体" w:hAnsi="Calibri" w:eastAsia="宋体" w:cs="宋体"/>
          <w:color w:val="000000"/>
          <w:kern w:val="0"/>
          <w:sz w:val="24"/>
          <w:szCs w:val="24"/>
          <w:lang w:val="en-US" w:eastAsia="zh-CN" w:bidi="ar-SA"/>
        </w:rPr>
      </w:pPr>
      <w:r>
        <w:rPr>
          <w:rFonts w:hint="eastAsia" w:ascii="宋体" w:hAnsi="Calibri" w:eastAsia="宋体" w:cs="宋体"/>
          <w:color w:val="000000"/>
          <w:kern w:val="0"/>
          <w:sz w:val="24"/>
          <w:szCs w:val="24"/>
          <w:lang w:val="en-US" w:eastAsia="zh-CN" w:bidi="ar-SA"/>
        </w:rPr>
        <w:t>7 改性玻化微珠轻质砂浆凝结后应及时保湿养护，养护时间不得少于7d。</w:t>
      </w:r>
    </w:p>
    <w:p w14:paraId="6F9EEBB6">
      <w:pPr>
        <w:autoSpaceDE w:val="0"/>
        <w:autoSpaceDN w:val="0"/>
        <w:spacing w:line="360" w:lineRule="auto"/>
        <w:ind w:firstLine="480" w:firstLineChars="200"/>
        <w:rPr>
          <w:rFonts w:hint="eastAsia"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Times New Roman" w:hAnsi="Times New Roman" w:eastAsia="宋体" w:cs="Times New Roman"/>
          <w:color w:val="0000FF"/>
          <w:kern w:val="2"/>
          <w:sz w:val="24"/>
          <w:szCs w:val="24"/>
          <w:lang w:val="en-US" w:eastAsia="zh-CN" w:bidi="ar-SA"/>
        </w:rPr>
        <w:t>7养护是保证改性玻化微珠轻质砂浆工程质量的关键。改性玻化微珠轻质砂浆中的水泥有了充足的水，才能正常水化、凝结硬化。由于找平层厚度较薄，基底层的吸水和改性玻化微珠轻质砂浆表层水分的蒸发，都会使找平改性玻化微珠轻质砂浆中的水分散失。如改性玻化微珠轻质砂浆失水过多，将不能保证水泥的正常水化硬化，改性玻化微珠轻质砂浆的抗压强度和粘结强度将不能满足设计要求。因此，找平灰改性玻化微珠轻质砂浆凝结后应及时保湿养护，使找平层在养护期内经常保持湿润。</w:t>
      </w:r>
    </w:p>
    <w:p w14:paraId="66338D1A">
      <w:pPr>
        <w:autoSpaceDE w:val="0"/>
        <w:autoSpaceDN w:val="0"/>
        <w:spacing w:line="360" w:lineRule="auto"/>
        <w:ind w:firstLine="480" w:firstLineChars="200"/>
        <w:rPr>
          <w:rFonts w:hint="eastAsia"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kern w:val="2"/>
          <w:sz w:val="24"/>
          <w:szCs w:val="24"/>
          <w:lang w:val="en-US" w:eastAsia="zh-CN" w:bidi="ar-SA"/>
        </w:rPr>
        <w:t>保湿养护的方式有：喷水、洒水、涂养护剂或养护膜、覆盖湿草帘等。</w:t>
      </w:r>
    </w:p>
    <w:p w14:paraId="72A0ED81">
      <w:pPr>
        <w:autoSpaceDE w:val="0"/>
        <w:autoSpaceDN w:val="0"/>
        <w:spacing w:line="360" w:lineRule="auto"/>
        <w:ind w:firstLine="480" w:firstLineChars="200"/>
        <w:rPr>
          <w:rFonts w:hint="eastAsia"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kern w:val="2"/>
          <w:sz w:val="24"/>
          <w:szCs w:val="24"/>
          <w:lang w:val="en-US" w:eastAsia="zh-CN" w:bidi="ar-SA"/>
        </w:rPr>
        <w:t>采用洒水养护时，当气温在15℃以上时，每天宜洒2次以上养护水。当改性玻化微珠轻质砂浆保水性较差、基底吸水性强或天气干燥、蒸发量大时，应增加洒水次数。洒水次数以找平层在养护期内经常保持湿润、不影响改性玻化微珠轻质砂浆正常硬化为原则。目前国内许多找平工程没有进行养护，这样既浪费了材料，又不能保证工程质量，有的还发生找平层起鼓、脱落等质量事故，应引起足够的重视。为了节约用水，避免多洒的水流淌，可改用喷嘴雾化水养护。</w:t>
      </w:r>
    </w:p>
    <w:p w14:paraId="17C753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r>
        <w:rPr>
          <w:rFonts w:hint="eastAsia" w:ascii="Times New Roman" w:hAnsi="Times New Roman" w:eastAsia="宋体" w:cs="Times New Roman"/>
          <w:b/>
          <w:bCs/>
          <w:color w:val="auto"/>
          <w:kern w:val="2"/>
          <w:sz w:val="24"/>
          <w:szCs w:val="24"/>
          <w:lang w:val="en-US" w:eastAsia="zh-CN" w:bidi="ar-SA"/>
        </w:rPr>
        <w:t>7.</w:t>
      </w:r>
      <w:r>
        <w:rPr>
          <w:rFonts w:hint="eastAsia" w:cs="Times New Roman"/>
          <w:b/>
          <w:bCs/>
          <w:color w:val="auto"/>
          <w:kern w:val="2"/>
          <w:sz w:val="24"/>
          <w:szCs w:val="24"/>
          <w:lang w:val="en-US" w:eastAsia="zh-CN" w:bidi="ar-SA"/>
        </w:rPr>
        <w:t>3</w:t>
      </w:r>
      <w:r>
        <w:rPr>
          <w:rFonts w:hint="eastAsia" w:ascii="Times New Roman" w:hAnsi="Times New Roman" w:eastAsia="宋体" w:cs="Times New Roman"/>
          <w:b/>
          <w:bCs/>
          <w:color w:val="auto"/>
          <w:kern w:val="2"/>
          <w:sz w:val="24"/>
          <w:szCs w:val="24"/>
          <w:lang w:val="en-US" w:eastAsia="zh-CN" w:bidi="ar-SA"/>
        </w:rPr>
        <w:t>.</w:t>
      </w:r>
      <w:r>
        <w:rPr>
          <w:rFonts w:hint="eastAsia" w:cs="Times New Roman"/>
          <w:b/>
          <w:bCs/>
          <w:color w:val="auto"/>
          <w:kern w:val="2"/>
          <w:sz w:val="24"/>
          <w:szCs w:val="24"/>
          <w:lang w:val="en-US" w:eastAsia="zh-CN" w:bidi="ar-SA"/>
        </w:rPr>
        <w:t>4</w:t>
      </w:r>
      <w:r>
        <w:rPr>
          <w:rFonts w:hint="eastAsia" w:ascii="Times New Roman" w:hAnsi="Times New Roman" w:eastAsia="宋体" w:cs="Times New Roman"/>
          <w:b w:val="0"/>
          <w:bCs w:val="0"/>
          <w:color w:val="auto"/>
          <w:kern w:val="2"/>
          <w:sz w:val="24"/>
          <w:szCs w:val="24"/>
          <w:lang w:val="en-US" w:eastAsia="zh-CN" w:bidi="ar-SA"/>
        </w:rPr>
        <w:t>改性玻化微珠外墙</w:t>
      </w:r>
      <w:r>
        <w:rPr>
          <w:rFonts w:hint="eastAsia" w:cs="Times New Roman"/>
          <w:b w:val="0"/>
          <w:bCs w:val="0"/>
          <w:color w:val="auto"/>
          <w:kern w:val="2"/>
          <w:sz w:val="24"/>
          <w:szCs w:val="24"/>
          <w:lang w:val="en-US" w:eastAsia="zh-CN" w:bidi="ar-SA"/>
        </w:rPr>
        <w:t>粘</w:t>
      </w:r>
      <w:r>
        <w:rPr>
          <w:rFonts w:hint="eastAsia" w:ascii="Times New Roman" w:hAnsi="Times New Roman" w:eastAsia="宋体" w:cs="Times New Roman"/>
          <w:b w:val="0"/>
          <w:bCs w:val="0"/>
          <w:color w:val="auto"/>
          <w:kern w:val="2"/>
          <w:sz w:val="24"/>
          <w:szCs w:val="24"/>
          <w:lang w:val="en-US" w:eastAsia="zh-CN" w:bidi="ar-SA"/>
        </w:rPr>
        <w:t>锚托</w:t>
      </w:r>
      <w:r>
        <w:rPr>
          <w:rFonts w:hint="eastAsia"/>
          <w:b w:val="0"/>
          <w:bCs w:val="0"/>
          <w:sz w:val="24"/>
          <w:szCs w:val="24"/>
          <w:lang w:val="en-US" w:eastAsia="zh-CN"/>
        </w:rPr>
        <w:t>系统的锚栓在墙面上应均匀布置，锚栓的安装数量、固定位置及圆盘位置应符合设计要求。锚固点距基层墙体边的最小水平距离不应小于60mm，锚栓的锚固深度应符合以下规定：</w:t>
      </w:r>
    </w:p>
    <w:p w14:paraId="3E418C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lang w:val="en-US" w:eastAsia="zh-CN"/>
        </w:rPr>
      </w:pPr>
      <w:r>
        <w:rPr>
          <w:rFonts w:hint="eastAsia"/>
          <w:b w:val="0"/>
          <w:bCs w:val="0"/>
          <w:sz w:val="24"/>
          <w:szCs w:val="24"/>
          <w:lang w:val="en-US" w:eastAsia="zh-CN"/>
        </w:rPr>
        <w:t>1 锚栓在普通混凝土基层墙体内的有效锚固深度不得小于 40mm。</w:t>
      </w:r>
    </w:p>
    <w:p w14:paraId="0CB056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lang w:val="en-US" w:eastAsia="zh-CN"/>
        </w:rPr>
      </w:pPr>
      <w:r>
        <w:rPr>
          <w:rFonts w:hint="eastAsia"/>
          <w:b w:val="0"/>
          <w:bCs w:val="0"/>
          <w:sz w:val="24"/>
          <w:szCs w:val="24"/>
          <w:lang w:val="en-US" w:eastAsia="zh-CN"/>
        </w:rPr>
        <w:t>2 锚栓在实心砌体基层墙体内的有效锚固深度不得小于 40mm。</w:t>
      </w:r>
    </w:p>
    <w:p w14:paraId="2701E8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lang w:val="en-US" w:eastAsia="zh-CN"/>
        </w:rPr>
      </w:pPr>
      <w:r>
        <w:rPr>
          <w:rFonts w:hint="eastAsia"/>
          <w:b w:val="0"/>
          <w:bCs w:val="0"/>
          <w:sz w:val="24"/>
          <w:szCs w:val="24"/>
          <w:lang w:val="en-US" w:eastAsia="zh-CN"/>
        </w:rPr>
        <w:t>3 多孔砖砌体基层墙体、空心砌块基层墙体应选用带回拧机构、通过摩擦和机械锁定承载的锚栓，有效锚固深度不得小于 40mm。</w:t>
      </w:r>
    </w:p>
    <w:p w14:paraId="0A2C08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lang w:val="en-US" w:eastAsia="zh-CN"/>
        </w:rPr>
      </w:pPr>
      <w:r>
        <w:rPr>
          <w:rFonts w:hint="eastAsia"/>
          <w:b w:val="0"/>
          <w:bCs w:val="0"/>
          <w:sz w:val="24"/>
          <w:szCs w:val="24"/>
          <w:lang w:val="en-US" w:eastAsia="zh-CN"/>
        </w:rPr>
        <w:t>4 锚栓在蒸压加气混凝土基层墙体内的有效锚固深度不得小于 50mm。</w:t>
      </w:r>
    </w:p>
    <w:p w14:paraId="388CA3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lang w:val="en-US" w:eastAsia="zh-CN"/>
        </w:rPr>
      </w:pPr>
      <w:r>
        <w:rPr>
          <w:rFonts w:hint="eastAsia"/>
          <w:b w:val="0"/>
          <w:bCs w:val="0"/>
          <w:sz w:val="24"/>
          <w:szCs w:val="24"/>
          <w:lang w:val="en-US" w:eastAsia="zh-CN"/>
        </w:rPr>
        <w:t>5 锚栓的钻孔深度应比有效锚固深度增加 10mm。</w:t>
      </w:r>
    </w:p>
    <w:p w14:paraId="6305A35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Times New Roman" w:hAnsi="Times New Roman" w:eastAsia="宋体" w:cs="Times New Roman"/>
          <w:color w:val="0000FF"/>
          <w:kern w:val="2"/>
          <w:sz w:val="24"/>
          <w:szCs w:val="24"/>
          <w:lang w:val="en-US" w:eastAsia="zh-CN" w:bidi="ar-SA"/>
        </w:rPr>
        <w:t>7.</w:t>
      </w:r>
      <w:r>
        <w:rPr>
          <w:rFonts w:hint="eastAsia" w:cs="Times New Roman"/>
          <w:color w:val="0000FF"/>
          <w:kern w:val="2"/>
          <w:sz w:val="24"/>
          <w:szCs w:val="24"/>
          <w:lang w:val="en-US" w:eastAsia="zh-CN" w:bidi="ar-SA"/>
        </w:rPr>
        <w:t>3</w:t>
      </w:r>
      <w:r>
        <w:rPr>
          <w:rFonts w:hint="eastAsia" w:ascii="Times New Roman" w:hAnsi="Times New Roman" w:eastAsia="宋体" w:cs="Times New Roman"/>
          <w:color w:val="0000FF"/>
          <w:kern w:val="2"/>
          <w:sz w:val="24"/>
          <w:szCs w:val="24"/>
          <w:lang w:val="en-US" w:eastAsia="zh-CN" w:bidi="ar-SA"/>
        </w:rPr>
        <w:t>.4 锚栓应穿过原外墙系统锚入基层墙体。</w:t>
      </w:r>
    </w:p>
    <w:p w14:paraId="6FA5E4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lang w:val="en-US" w:eastAsia="zh-CN"/>
        </w:rPr>
      </w:pPr>
      <w:r>
        <w:rPr>
          <w:rFonts w:hint="eastAsia" w:ascii="Times New Roman" w:hAnsi="Times New Roman" w:eastAsia="宋体" w:cs="Times New Roman"/>
          <w:b/>
          <w:bCs/>
          <w:color w:val="auto"/>
          <w:kern w:val="2"/>
          <w:sz w:val="24"/>
          <w:szCs w:val="24"/>
          <w:lang w:val="en-US" w:eastAsia="zh-CN" w:bidi="ar-SA"/>
        </w:rPr>
        <w:t>7.</w:t>
      </w:r>
      <w:r>
        <w:rPr>
          <w:rFonts w:hint="eastAsia" w:cs="Times New Roman"/>
          <w:b/>
          <w:bCs/>
          <w:color w:val="auto"/>
          <w:kern w:val="2"/>
          <w:sz w:val="24"/>
          <w:szCs w:val="24"/>
          <w:lang w:val="en-US" w:eastAsia="zh-CN" w:bidi="ar-SA"/>
        </w:rPr>
        <w:t>3</w:t>
      </w:r>
      <w:r>
        <w:rPr>
          <w:rFonts w:hint="eastAsia" w:ascii="Times New Roman" w:hAnsi="Times New Roman" w:eastAsia="宋体" w:cs="Times New Roman"/>
          <w:b/>
          <w:bCs/>
          <w:color w:val="auto"/>
          <w:kern w:val="2"/>
          <w:sz w:val="24"/>
          <w:szCs w:val="24"/>
          <w:lang w:val="en-US" w:eastAsia="zh-CN" w:bidi="ar-SA"/>
        </w:rPr>
        <w:t>.</w:t>
      </w:r>
      <w:r>
        <w:rPr>
          <w:rFonts w:hint="eastAsia" w:eastAsia="宋体" w:cs="Times New Roman"/>
          <w:b/>
          <w:bCs/>
          <w:color w:val="auto"/>
          <w:kern w:val="2"/>
          <w:sz w:val="24"/>
          <w:szCs w:val="24"/>
          <w:lang w:val="en-US" w:eastAsia="zh-CN" w:bidi="ar-SA"/>
        </w:rPr>
        <w:t>5</w:t>
      </w:r>
      <w:r>
        <w:rPr>
          <w:rFonts w:hint="eastAsia" w:ascii="Times New Roman" w:hAnsi="Times New Roman" w:eastAsia="宋体" w:cs="Times New Roman"/>
          <w:b w:val="0"/>
          <w:bCs w:val="0"/>
          <w:color w:val="auto"/>
          <w:kern w:val="2"/>
          <w:sz w:val="24"/>
          <w:szCs w:val="24"/>
          <w:lang w:val="en-US" w:eastAsia="zh-CN" w:bidi="ar-SA"/>
        </w:rPr>
        <w:t>改性玻化微珠外墙</w:t>
      </w:r>
      <w:r>
        <w:rPr>
          <w:rFonts w:hint="eastAsia" w:cs="Times New Roman"/>
          <w:b w:val="0"/>
          <w:bCs w:val="0"/>
          <w:color w:val="auto"/>
          <w:kern w:val="2"/>
          <w:sz w:val="24"/>
          <w:szCs w:val="24"/>
          <w:lang w:val="en-US" w:eastAsia="zh-CN" w:bidi="ar-SA"/>
        </w:rPr>
        <w:t>粘</w:t>
      </w:r>
      <w:r>
        <w:rPr>
          <w:rFonts w:hint="eastAsia" w:ascii="Times New Roman" w:hAnsi="Times New Roman" w:eastAsia="宋体" w:cs="Times New Roman"/>
          <w:b w:val="0"/>
          <w:bCs w:val="0"/>
          <w:color w:val="auto"/>
          <w:kern w:val="2"/>
          <w:sz w:val="24"/>
          <w:szCs w:val="24"/>
          <w:lang w:val="en-US" w:eastAsia="zh-CN" w:bidi="ar-SA"/>
        </w:rPr>
        <w:t>锚托</w:t>
      </w:r>
      <w:r>
        <w:rPr>
          <w:rFonts w:hint="eastAsia"/>
          <w:b w:val="0"/>
          <w:bCs w:val="0"/>
          <w:sz w:val="24"/>
          <w:szCs w:val="24"/>
          <w:lang w:val="en-US" w:eastAsia="zh-CN"/>
        </w:rPr>
        <w:t>系统应对外墙阳角及门窗洞口外侧面采用下列增强措施：</w:t>
      </w:r>
    </w:p>
    <w:p w14:paraId="29BF11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lang w:val="en-US" w:eastAsia="zh-CN"/>
        </w:rPr>
      </w:pPr>
      <w:r>
        <w:rPr>
          <w:rFonts w:hint="eastAsia"/>
          <w:b w:val="0"/>
          <w:bCs w:val="0"/>
          <w:sz w:val="24"/>
          <w:szCs w:val="24"/>
          <w:lang w:val="en-US" w:eastAsia="zh-CN"/>
        </w:rPr>
        <w:t>1 应在外墙阳角抹面层网格布的内侧设置护角条实施增强。采用带耐碱玻璃纤维网布的护角条，线条附带耐碱玻璃纤维网布应与抹面层中的网格布搭接，搭接长度不应小于 200mm。如图 7.3.5-1。</w:t>
      </w:r>
    </w:p>
    <w:p w14:paraId="0AA7737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val="0"/>
          <w:bCs w:val="0"/>
          <w:sz w:val="24"/>
          <w:szCs w:val="24"/>
          <w:lang w:val="en-US" w:eastAsia="zh-CN"/>
        </w:rPr>
      </w:pPr>
      <w:r>
        <w:rPr>
          <w:rFonts w:hint="default"/>
          <w:b w:val="0"/>
          <w:bCs w:val="0"/>
          <w:sz w:val="24"/>
          <w:szCs w:val="24"/>
          <w:lang w:val="en-US" w:eastAsia="zh-CN"/>
        </w:rPr>
        <w:drawing>
          <wp:inline distT="0" distB="0" distL="114300" distR="114300">
            <wp:extent cx="4076700" cy="2514600"/>
            <wp:effectExtent l="0" t="0" r="7620" b="0"/>
            <wp:docPr id="7" name="图片 1" descr="170597315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1705973152024"/>
                    <pic:cNvPicPr>
                      <a:picLocks noChangeAspect="1"/>
                    </pic:cNvPicPr>
                  </pic:nvPicPr>
                  <pic:blipFill>
                    <a:blip r:embed="rId7"/>
                    <a:stretch>
                      <a:fillRect/>
                    </a:stretch>
                  </pic:blipFill>
                  <pic:spPr>
                    <a:xfrm>
                      <a:off x="0" y="0"/>
                      <a:ext cx="4076700" cy="2514600"/>
                    </a:xfrm>
                    <a:prstGeom prst="rect">
                      <a:avLst/>
                    </a:prstGeom>
                    <a:noFill/>
                    <a:ln>
                      <a:noFill/>
                    </a:ln>
                  </pic:spPr>
                </pic:pic>
              </a:graphicData>
            </a:graphic>
          </wp:inline>
        </w:drawing>
      </w:r>
    </w:p>
    <w:p w14:paraId="55E2BF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lang w:val="en-US" w:eastAsia="zh-CN"/>
        </w:rPr>
      </w:pPr>
      <w:r>
        <w:rPr>
          <w:rFonts w:hint="eastAsia"/>
          <w:b/>
          <w:bCs/>
          <w:sz w:val="21"/>
          <w:szCs w:val="21"/>
          <w:lang w:val="en-US" w:eastAsia="zh-CN"/>
        </w:rPr>
        <w:t>图7.3.5-1 外墙阳角部位的增强处理</w:t>
      </w:r>
    </w:p>
    <w:p w14:paraId="384203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b w:val="0"/>
          <w:bCs w:val="0"/>
          <w:sz w:val="24"/>
          <w:szCs w:val="24"/>
          <w:lang w:val="en-US" w:eastAsia="zh-CN"/>
        </w:rPr>
      </w:pPr>
      <w:r>
        <w:rPr>
          <w:rFonts w:hint="default"/>
          <w:b w:val="0"/>
          <w:bCs w:val="0"/>
          <w:sz w:val="24"/>
          <w:szCs w:val="24"/>
          <w:lang w:val="en-US" w:eastAsia="zh-CN"/>
        </w:rPr>
        <w:t>2 外墙门窗洞口四角均应在 45°方向加贴 300mm×400mm 的长方形网格布实施增强，门窗洞口外侧四周阴角处应选用与窗台同宽且长为 300mm（每边150mm）的一层窄幅耐碱玻璃纤维网</w:t>
      </w:r>
      <w:r>
        <w:rPr>
          <w:rFonts w:hint="eastAsia"/>
          <w:b w:val="0"/>
          <w:bCs w:val="0"/>
          <w:sz w:val="24"/>
          <w:szCs w:val="24"/>
          <w:lang w:val="en-US" w:eastAsia="zh-CN"/>
        </w:rPr>
        <w:t>格</w:t>
      </w:r>
      <w:r>
        <w:rPr>
          <w:rFonts w:hint="default"/>
          <w:b w:val="0"/>
          <w:bCs w:val="0"/>
          <w:sz w:val="24"/>
          <w:szCs w:val="24"/>
          <w:lang w:val="en-US" w:eastAsia="zh-CN"/>
        </w:rPr>
        <w:t xml:space="preserve">布进行加强。如图 </w:t>
      </w:r>
      <w:r>
        <w:rPr>
          <w:rFonts w:hint="eastAsia"/>
          <w:b w:val="0"/>
          <w:bCs w:val="0"/>
          <w:sz w:val="24"/>
          <w:szCs w:val="24"/>
          <w:lang w:val="en-US" w:eastAsia="zh-CN"/>
        </w:rPr>
        <w:t>7.3.5</w:t>
      </w:r>
      <w:r>
        <w:rPr>
          <w:rFonts w:hint="default"/>
          <w:b w:val="0"/>
          <w:bCs w:val="0"/>
          <w:sz w:val="24"/>
          <w:szCs w:val="24"/>
          <w:lang w:val="en-US" w:eastAsia="zh-CN"/>
        </w:rPr>
        <w:t>-2。</w:t>
      </w:r>
    </w:p>
    <w:p w14:paraId="50C954D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4"/>
          <w:szCs w:val="24"/>
          <w:lang w:val="en-US" w:eastAsia="zh-CN"/>
        </w:rPr>
      </w:pPr>
      <w:r>
        <w:rPr>
          <w:rFonts w:hint="default"/>
          <w:b w:val="0"/>
          <w:bCs w:val="0"/>
          <w:sz w:val="24"/>
          <w:szCs w:val="24"/>
          <w:lang w:val="en-US" w:eastAsia="zh-CN"/>
        </w:rPr>
        <w:drawing>
          <wp:inline distT="0" distB="0" distL="114300" distR="114300">
            <wp:extent cx="5274310" cy="1784985"/>
            <wp:effectExtent l="0" t="0" r="13970" b="13335"/>
            <wp:docPr id="8" name="图片 2" descr="1705973233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1705973233770"/>
                    <pic:cNvPicPr>
                      <a:picLocks noChangeAspect="1"/>
                    </pic:cNvPicPr>
                  </pic:nvPicPr>
                  <pic:blipFill>
                    <a:blip r:embed="rId8"/>
                    <a:stretch>
                      <a:fillRect/>
                    </a:stretch>
                  </pic:blipFill>
                  <pic:spPr>
                    <a:xfrm>
                      <a:off x="0" y="0"/>
                      <a:ext cx="5274310" cy="1784985"/>
                    </a:xfrm>
                    <a:prstGeom prst="rect">
                      <a:avLst/>
                    </a:prstGeom>
                    <a:noFill/>
                    <a:ln>
                      <a:noFill/>
                    </a:ln>
                  </pic:spPr>
                </pic:pic>
              </a:graphicData>
            </a:graphic>
          </wp:inline>
        </w:drawing>
      </w:r>
    </w:p>
    <w:p w14:paraId="02E4B8F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lang w:val="en-US" w:eastAsia="zh-CN"/>
        </w:rPr>
      </w:pPr>
      <w:r>
        <w:rPr>
          <w:rFonts w:hint="eastAsia"/>
          <w:b/>
          <w:bCs/>
          <w:sz w:val="21"/>
          <w:szCs w:val="21"/>
          <w:lang w:val="en-US" w:eastAsia="zh-CN"/>
        </w:rPr>
        <w:t>图7.3.5-2 门窗洞口耐碱玻璃纤维网格布增强处理</w:t>
      </w:r>
    </w:p>
    <w:p w14:paraId="4C030BC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4"/>
          <w:szCs w:val="24"/>
          <w:lang w:val="en-US" w:eastAsia="zh-CN"/>
        </w:rPr>
      </w:pPr>
      <w:r>
        <w:rPr>
          <w:rFonts w:hint="eastAsia"/>
          <w:b/>
          <w:bCs/>
          <w:sz w:val="24"/>
          <w:szCs w:val="24"/>
          <w:lang w:val="en-US" w:eastAsia="zh-CN"/>
        </w:rPr>
        <w:t>7.3.6</w:t>
      </w:r>
      <w:r>
        <w:rPr>
          <w:rFonts w:hint="eastAsia"/>
          <w:b w:val="0"/>
          <w:bCs w:val="0"/>
          <w:sz w:val="24"/>
          <w:szCs w:val="24"/>
          <w:lang w:val="en-US" w:eastAsia="zh-CN"/>
        </w:rPr>
        <w:t>面层无机彩色砂浆的铺设应符合下列工序：</w:t>
      </w:r>
    </w:p>
    <w:p w14:paraId="04D6A8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trike w:val="0"/>
          <w:sz w:val="24"/>
          <w:szCs w:val="24"/>
          <w:lang w:val="en-US" w:eastAsia="zh-CN"/>
        </w:rPr>
      </w:pPr>
      <w:r>
        <w:rPr>
          <w:rFonts w:hint="eastAsia"/>
          <w:b w:val="0"/>
          <w:bCs w:val="0"/>
          <w:sz w:val="24"/>
          <w:szCs w:val="24"/>
          <w:lang w:val="en-US" w:eastAsia="zh-CN"/>
        </w:rPr>
        <w:t>1 面层无机彩色砂浆应分层施工。在</w:t>
      </w:r>
      <w:r>
        <w:rPr>
          <w:rFonts w:hint="eastAsia" w:eastAsia="宋体"/>
          <w:sz w:val="24"/>
          <w:szCs w:val="24"/>
        </w:rPr>
        <w:t>改性玻化微珠轻质砂浆</w:t>
      </w:r>
      <w:r>
        <w:rPr>
          <w:rFonts w:hint="eastAsia" w:eastAsia="宋体"/>
          <w:sz w:val="24"/>
          <w:szCs w:val="24"/>
          <w:lang w:val="en-US" w:eastAsia="zh-CN"/>
        </w:rPr>
        <w:t>层</w:t>
      </w:r>
      <w:r>
        <w:rPr>
          <w:rFonts w:hint="eastAsia"/>
          <w:b w:val="0"/>
          <w:bCs w:val="0"/>
          <w:sz w:val="24"/>
          <w:szCs w:val="24"/>
          <w:lang w:val="en-US" w:eastAsia="zh-CN"/>
        </w:rPr>
        <w:t>表面均匀涂抹第一道厚度为 2mm</w:t>
      </w:r>
      <w:r>
        <w:rPr>
          <w:rFonts w:hint="eastAsia" w:ascii="宋体" w:hAnsi="宋体" w:eastAsia="宋体" w:cs="宋体"/>
          <w:b w:val="0"/>
          <w:bCs w:val="0"/>
          <w:sz w:val="24"/>
          <w:szCs w:val="24"/>
          <w:lang w:val="en-US" w:eastAsia="zh-CN"/>
        </w:rPr>
        <w:t>～</w:t>
      </w:r>
      <w:r>
        <w:rPr>
          <w:rFonts w:hint="eastAsia"/>
          <w:b w:val="0"/>
          <w:bCs w:val="0"/>
          <w:sz w:val="24"/>
          <w:szCs w:val="24"/>
          <w:lang w:val="en-US" w:eastAsia="zh-CN"/>
        </w:rPr>
        <w:t>3mm 的无机彩色砂浆，</w:t>
      </w:r>
      <w:r>
        <w:rPr>
          <w:rFonts w:hint="eastAsia"/>
          <w:b w:val="0"/>
          <w:bCs w:val="0"/>
          <w:strike w:val="0"/>
          <w:dstrike w:val="0"/>
          <w:sz w:val="24"/>
          <w:szCs w:val="24"/>
          <w:lang w:val="en-US" w:eastAsia="zh-CN"/>
        </w:rPr>
        <w:t>待胶浆干至不粘手时再抹第二道无机彩色砂浆。</w:t>
      </w:r>
    </w:p>
    <w:p w14:paraId="4B4CA7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2 无机彩色砂浆铺设完毕后，不得现场扰动，静置养护不少于 24h 。在寒冷潮湿气候条件下，应适当延长养护时间。</w:t>
      </w:r>
    </w:p>
    <w:p w14:paraId="6EA24E97">
      <w:pPr>
        <w:pStyle w:val="2"/>
        <w:bidi w:val="0"/>
        <w:jc w:val="center"/>
        <w:rPr>
          <w:rFonts w:hint="eastAsia"/>
          <w:szCs w:val="22"/>
          <w:lang w:val="en-US" w:eastAsia="zh-CN"/>
        </w:rPr>
        <w:sectPr>
          <w:pgSz w:w="11850" w:h="16783"/>
          <w:pgMar w:top="1440" w:right="1800" w:bottom="1440" w:left="1800" w:header="851" w:footer="992" w:gutter="0"/>
          <w:pgNumType w:fmt="decimal"/>
          <w:cols w:space="720" w:num="1"/>
          <w:docGrid w:type="lines" w:linePitch="312" w:charSpace="0"/>
        </w:sectPr>
      </w:pPr>
      <w:bookmarkStart w:id="60" w:name="_Toc6315"/>
      <w:bookmarkStart w:id="61" w:name="_Toc30514_WPSOffice_Level3"/>
    </w:p>
    <w:p w14:paraId="579C916C">
      <w:pPr>
        <w:pStyle w:val="2"/>
        <w:bidi w:val="0"/>
        <w:jc w:val="center"/>
        <w:rPr>
          <w:rFonts w:hint="eastAsia"/>
          <w:szCs w:val="22"/>
          <w:lang w:val="en-US" w:eastAsia="zh-CN"/>
        </w:rPr>
      </w:pPr>
      <w:r>
        <w:rPr>
          <w:rFonts w:hint="eastAsia"/>
          <w:szCs w:val="22"/>
          <w:lang w:val="en-US" w:eastAsia="zh-CN"/>
        </w:rPr>
        <w:t>8 验收</w:t>
      </w:r>
      <w:bookmarkEnd w:id="60"/>
      <w:bookmarkEnd w:id="61"/>
    </w:p>
    <w:p w14:paraId="2531245E">
      <w:pPr>
        <w:pStyle w:val="3"/>
        <w:bidi w:val="0"/>
        <w:jc w:val="center"/>
        <w:rPr>
          <w:rFonts w:hint="default"/>
          <w:szCs w:val="22"/>
          <w:lang w:val="en-US" w:eastAsia="zh-CN"/>
        </w:rPr>
      </w:pPr>
      <w:bookmarkStart w:id="62" w:name="_Toc13156"/>
      <w:r>
        <w:rPr>
          <w:rFonts w:hint="eastAsia"/>
          <w:szCs w:val="22"/>
          <w:lang w:val="en-US" w:eastAsia="zh-CN"/>
        </w:rPr>
        <w:t>8.1 一般规定</w:t>
      </w:r>
      <w:bookmarkEnd w:id="62"/>
    </w:p>
    <w:p w14:paraId="277943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 xml:space="preserve">8.1.1 </w:t>
      </w:r>
      <w:r>
        <w:rPr>
          <w:rFonts w:hint="eastAsia" w:ascii="宋体" w:hAnsi="宋体"/>
          <w:sz w:val="24"/>
          <w:szCs w:val="24"/>
          <w:lang w:val="en-US" w:eastAsia="zh-CN"/>
        </w:rPr>
        <w:t>改性玻化微珠外墙系统施工应进行质量控制，工程全部完成后，应进行验收。</w:t>
      </w:r>
    </w:p>
    <w:p w14:paraId="34DDC8A5">
      <w:pPr>
        <w:pStyle w:val="14"/>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Times New Roman" w:hAnsi="Times New Roman" w:eastAsia="宋体" w:cs="Times New Roman"/>
          <w:color w:val="0000FF"/>
          <w:kern w:val="2"/>
          <w:sz w:val="24"/>
          <w:szCs w:val="24"/>
          <w:lang w:val="en-US" w:eastAsia="zh-CN" w:bidi="ar-SA"/>
        </w:rPr>
        <w:t>8.1.1本条规定了改造工程项目在实施时应加强对施工过程中的质量控制，完成后要进行竣工验收。</w:t>
      </w:r>
    </w:p>
    <w:p w14:paraId="54EED5BE">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kern w:val="2"/>
          <w:sz w:val="24"/>
          <w:szCs w:val="24"/>
          <w:lang w:val="en-US" w:eastAsia="zh-CN" w:bidi="ar-SA"/>
        </w:rPr>
        <w:t>应注意关注改造工程全过程的质量控制，对隐蔽工程验收后方可进入后续工作，工程最终完成且经验收后方可投入使用，不得未验先用。</w:t>
      </w:r>
    </w:p>
    <w:p w14:paraId="0775FB1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sz w:val="24"/>
          <w:szCs w:val="24"/>
          <w:highlight w:val="yellow"/>
          <w:lang w:val="en-US" w:eastAsia="zh-CN"/>
        </w:rPr>
      </w:pPr>
      <w:r>
        <w:rPr>
          <w:rFonts w:hint="eastAsia" w:eastAsia="宋体"/>
          <w:b/>
          <w:bCs/>
          <w:sz w:val="24"/>
          <w:szCs w:val="24"/>
          <w:lang w:val="en-US" w:eastAsia="zh-CN"/>
        </w:rPr>
        <w:t xml:space="preserve">8.1.2 </w:t>
      </w:r>
      <w:r>
        <w:rPr>
          <w:rFonts w:hint="eastAsia" w:ascii="宋体" w:hAnsi="宋体"/>
          <w:sz w:val="24"/>
          <w:szCs w:val="24"/>
          <w:lang w:val="en-US" w:eastAsia="zh-CN"/>
        </w:rPr>
        <w:t>改性玻化微珠外墙系统施工，应及时收集、整理工程项目各环节的资料，建立、健全项目档案。相关档案资料应妥善保管。项目管理权移交时，应同时移交外墙改造相关档案。</w:t>
      </w:r>
    </w:p>
    <w:p w14:paraId="0C2863F2">
      <w:pPr>
        <w:pStyle w:val="14"/>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Times New Roman" w:hAnsi="Times New Roman" w:eastAsia="宋体" w:cs="Times New Roman"/>
          <w:color w:val="0000FF"/>
          <w:kern w:val="2"/>
          <w:sz w:val="24"/>
          <w:szCs w:val="24"/>
          <w:lang w:val="en-US" w:eastAsia="zh-CN" w:bidi="ar-SA"/>
        </w:rPr>
        <w:t>8.1.2为完善既有建筑改造工程的资料，保证项目档案的连续性和完整性，保证既有建筑改造工程技术资料的安全性，为将来的再次改造提供依据。</w:t>
      </w:r>
    </w:p>
    <w:p w14:paraId="42F0786C">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kern w:val="2"/>
          <w:sz w:val="24"/>
          <w:szCs w:val="24"/>
          <w:lang w:val="en-US" w:eastAsia="zh-CN" w:bidi="ar-SA"/>
        </w:rPr>
        <w:t>依据《建设工程质量管理条例》第十七条：建设单位应当严格按照国家有关档案管理的规定，及时收集、整理建设项目各环节的文件资料，建立、建全建设项目档案，并在建设工程竣工验收后，及时向建设行政主管部门或者其他有关部门移交建设项目档案。</w:t>
      </w:r>
    </w:p>
    <w:p w14:paraId="3A64AA85">
      <w:pPr>
        <w:pStyle w:val="14"/>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kern w:val="2"/>
          <w:sz w:val="24"/>
          <w:szCs w:val="24"/>
          <w:lang w:val="en-US" w:eastAsia="zh-CN" w:bidi="ar-SA"/>
        </w:rPr>
        <w:t>应当注意档案资料存储的安全性、完整性、可持续性和调阅的便利性。在条件许可的情况下，可增加电子档案副本保存要求。在条件受限时，可仅保留电子档案，当应为电子档案的追朔、比对和核验提供条件。</w:t>
      </w:r>
    </w:p>
    <w:p w14:paraId="16006F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highlight w:val="yellow"/>
          <w:lang w:val="en-US" w:eastAsia="zh-CN"/>
        </w:rPr>
      </w:pPr>
      <w:r>
        <w:rPr>
          <w:rFonts w:hint="eastAsia" w:eastAsia="宋体"/>
          <w:b/>
          <w:bCs/>
          <w:sz w:val="24"/>
          <w:szCs w:val="24"/>
          <w:lang w:val="en-US" w:eastAsia="zh-CN"/>
        </w:rPr>
        <w:t>8.1.3</w:t>
      </w:r>
      <w:r>
        <w:rPr>
          <w:rFonts w:hint="eastAsia" w:ascii="宋体" w:hAnsi="宋体"/>
          <w:sz w:val="24"/>
          <w:szCs w:val="24"/>
          <w:lang w:val="en-US" w:eastAsia="zh-CN"/>
        </w:rPr>
        <w:t>改造工程施工质量验收时，应检查下列资料，且验收资料应存档：</w:t>
      </w:r>
    </w:p>
    <w:p w14:paraId="1025F034">
      <w:pPr>
        <w:pStyle w:val="14"/>
        <w:keepNext w:val="0"/>
        <w:keepLines w:val="0"/>
        <w:pageBreakBefore w:val="0"/>
        <w:widowControl w:val="0"/>
        <w:kinsoku/>
        <w:wordWrap/>
        <w:overflowPunct/>
        <w:topLinePunct w:val="0"/>
        <w:bidi w:val="0"/>
        <w:snapToGrid/>
        <w:spacing w:line="360" w:lineRule="auto"/>
        <w:textAlignment w:val="auto"/>
        <w:rPr>
          <w:rFonts w:hint="default" w:hAnsi="宋体"/>
          <w:sz w:val="24"/>
          <w:szCs w:val="24"/>
          <w:lang w:val="en-US" w:eastAsia="zh-CN"/>
        </w:rPr>
      </w:pPr>
      <w:r>
        <w:rPr>
          <w:rFonts w:hint="eastAsia" w:hAnsi="宋体"/>
          <w:sz w:val="24"/>
          <w:szCs w:val="24"/>
          <w:lang w:val="en-US" w:eastAsia="zh-CN"/>
        </w:rPr>
        <w:t xml:space="preserve">  1 检查报告。</w:t>
      </w:r>
    </w:p>
    <w:p w14:paraId="688BEE1A">
      <w:pPr>
        <w:pStyle w:val="14"/>
        <w:keepNext w:val="0"/>
        <w:keepLines w:val="0"/>
        <w:pageBreakBefore w:val="0"/>
        <w:widowControl w:val="0"/>
        <w:kinsoku/>
        <w:wordWrap/>
        <w:overflowPunct/>
        <w:topLinePunct w:val="0"/>
        <w:bidi w:val="0"/>
        <w:snapToGrid/>
        <w:spacing w:line="360" w:lineRule="auto"/>
        <w:textAlignment w:val="auto"/>
        <w:rPr>
          <w:rFonts w:hint="eastAsia" w:hAnsi="宋体"/>
          <w:sz w:val="24"/>
          <w:szCs w:val="24"/>
          <w:lang w:val="en-US" w:eastAsia="zh-CN"/>
        </w:rPr>
      </w:pPr>
      <w:r>
        <w:rPr>
          <w:rFonts w:hint="eastAsia" w:hAnsi="宋体"/>
          <w:sz w:val="24"/>
          <w:szCs w:val="24"/>
          <w:lang w:val="en-US" w:eastAsia="zh-CN"/>
        </w:rPr>
        <w:t xml:space="preserve">  2 设计方案、施工方案、施工记录等资料。</w:t>
      </w:r>
    </w:p>
    <w:p w14:paraId="127B73A6">
      <w:pPr>
        <w:pStyle w:val="14"/>
        <w:keepNext w:val="0"/>
        <w:keepLines w:val="0"/>
        <w:pageBreakBefore w:val="0"/>
        <w:widowControl w:val="0"/>
        <w:kinsoku/>
        <w:wordWrap/>
        <w:overflowPunct/>
        <w:topLinePunct w:val="0"/>
        <w:bidi w:val="0"/>
        <w:snapToGrid/>
        <w:spacing w:line="360" w:lineRule="auto"/>
        <w:textAlignment w:val="auto"/>
        <w:rPr>
          <w:rFonts w:hint="eastAsia" w:hAnsi="宋体"/>
          <w:sz w:val="24"/>
          <w:szCs w:val="24"/>
          <w:lang w:val="en-US" w:eastAsia="zh-CN"/>
        </w:rPr>
      </w:pPr>
      <w:r>
        <w:rPr>
          <w:rFonts w:hint="eastAsia" w:hAnsi="宋体"/>
          <w:sz w:val="24"/>
          <w:szCs w:val="24"/>
          <w:lang w:val="en-US" w:eastAsia="zh-CN"/>
        </w:rPr>
        <w:t xml:space="preserve">  3 材料出厂证明、合格证、现场抽样复验报告、现场检测报告。</w:t>
      </w:r>
    </w:p>
    <w:p w14:paraId="2E6C0E86">
      <w:pPr>
        <w:pStyle w:val="14"/>
        <w:keepNext w:val="0"/>
        <w:keepLines w:val="0"/>
        <w:pageBreakBefore w:val="0"/>
        <w:widowControl w:val="0"/>
        <w:kinsoku/>
        <w:wordWrap/>
        <w:overflowPunct/>
        <w:topLinePunct w:val="0"/>
        <w:bidi w:val="0"/>
        <w:snapToGrid/>
        <w:spacing w:line="360" w:lineRule="auto"/>
        <w:textAlignment w:val="auto"/>
        <w:rPr>
          <w:rFonts w:hint="eastAsia" w:hAnsi="宋体"/>
          <w:sz w:val="24"/>
          <w:szCs w:val="24"/>
          <w:lang w:val="en-US" w:eastAsia="zh-CN"/>
        </w:rPr>
      </w:pPr>
      <w:r>
        <w:rPr>
          <w:rFonts w:hint="eastAsia" w:hAnsi="宋体"/>
          <w:sz w:val="24"/>
          <w:szCs w:val="24"/>
          <w:lang w:val="en-US" w:eastAsia="zh-CN"/>
        </w:rPr>
        <w:t xml:space="preserve">  4 工程技术及安全交底资料。</w:t>
      </w:r>
    </w:p>
    <w:p w14:paraId="337937AF">
      <w:pPr>
        <w:pStyle w:val="14"/>
        <w:keepNext w:val="0"/>
        <w:keepLines w:val="0"/>
        <w:pageBreakBefore w:val="0"/>
        <w:widowControl w:val="0"/>
        <w:kinsoku/>
        <w:wordWrap/>
        <w:overflowPunct/>
        <w:topLinePunct w:val="0"/>
        <w:bidi w:val="0"/>
        <w:snapToGrid/>
        <w:spacing w:line="360" w:lineRule="auto"/>
        <w:textAlignment w:val="auto"/>
        <w:rPr>
          <w:rFonts w:hint="eastAsia" w:hAnsi="宋体"/>
          <w:sz w:val="24"/>
          <w:szCs w:val="24"/>
          <w:lang w:val="en-US" w:eastAsia="zh-CN"/>
        </w:rPr>
      </w:pPr>
      <w:r>
        <w:rPr>
          <w:rFonts w:hint="eastAsia" w:hAnsi="宋体"/>
          <w:sz w:val="24"/>
          <w:szCs w:val="24"/>
          <w:lang w:val="en-US" w:eastAsia="zh-CN"/>
        </w:rPr>
        <w:t xml:space="preserve">  5 交工验收时的验收证明资料等。</w:t>
      </w:r>
    </w:p>
    <w:p w14:paraId="77926023">
      <w:pPr>
        <w:pStyle w:val="3"/>
        <w:bidi w:val="0"/>
        <w:jc w:val="center"/>
        <w:rPr>
          <w:rFonts w:hint="eastAsia"/>
          <w:szCs w:val="22"/>
          <w:lang w:val="en-US" w:eastAsia="zh-CN"/>
        </w:rPr>
      </w:pPr>
      <w:bookmarkStart w:id="63" w:name="_Toc20637"/>
      <w:r>
        <w:rPr>
          <w:rFonts w:hint="eastAsia"/>
          <w:szCs w:val="22"/>
          <w:lang w:val="en-US" w:eastAsia="zh-CN"/>
        </w:rPr>
        <w:t>8.2改性玻化微珠外墙干挂系统</w:t>
      </w:r>
      <w:bookmarkEnd w:id="63"/>
    </w:p>
    <w:p w14:paraId="2821F0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8.2.1</w:t>
      </w:r>
      <w:r>
        <w:rPr>
          <w:rFonts w:hint="eastAsia" w:ascii="宋体" w:hAnsi="宋体"/>
          <w:sz w:val="24"/>
          <w:szCs w:val="24"/>
          <w:lang w:val="en-US" w:eastAsia="zh-CN"/>
        </w:rPr>
        <w:t>改性玻化微珠外墙干挂系统工程应对下列部位或内容进行隐蔽工程验收，并应有详细的文字记录和必要的图像资料：</w:t>
      </w:r>
    </w:p>
    <w:p w14:paraId="14FE3B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1改性玻化微珠保温装饰板附着的原外墙系统及其表面处理。</w:t>
      </w:r>
    </w:p>
    <w:p w14:paraId="7DBB1B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2改性玻化微珠保温装饰板铝合金托挂件和连接件的固定。</w:t>
      </w:r>
    </w:p>
    <w:p w14:paraId="091A2E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3锚固件的数量与锚固深度。</w:t>
      </w:r>
    </w:p>
    <w:p w14:paraId="0BE742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4改性玻化微珠保温装饰板板缝及构造节点处理。</w:t>
      </w:r>
    </w:p>
    <w:p w14:paraId="19D7D241">
      <w:pPr>
        <w:pStyle w:val="14"/>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sz w:val="24"/>
          <w:szCs w:val="24"/>
          <w:lang w:val="en-US" w:eastAsia="zh-CN"/>
        </w:rPr>
        <w:t>【条文说明】</w:t>
      </w:r>
      <w:r>
        <w:rPr>
          <w:rFonts w:hint="eastAsia" w:ascii="Times New Roman" w:hAnsi="Times New Roman" w:eastAsia="宋体" w:cs="Times New Roman"/>
          <w:color w:val="0000FF"/>
          <w:kern w:val="2"/>
          <w:sz w:val="24"/>
          <w:szCs w:val="24"/>
          <w:lang w:val="en-US" w:eastAsia="zh-CN" w:bidi="ar-SA"/>
        </w:rPr>
        <w:t>8.2.1</w:t>
      </w:r>
      <w:r>
        <w:rPr>
          <w:rFonts w:hint="eastAsia" w:ascii="Times New Roman" w:hAnsi="Times New Roman" w:cs="Times New Roman"/>
          <w:color w:val="0000FF"/>
          <w:kern w:val="2"/>
          <w:sz w:val="24"/>
          <w:szCs w:val="24"/>
          <w:lang w:val="en-US" w:eastAsia="zh-CN" w:bidi="ar-SA"/>
        </w:rPr>
        <w:t xml:space="preserve"> </w:t>
      </w:r>
      <w:r>
        <w:rPr>
          <w:rFonts w:hint="eastAsia" w:ascii="Times New Roman" w:hAnsi="Times New Roman" w:eastAsia="宋体" w:cs="Times New Roman"/>
          <w:color w:val="0000FF"/>
          <w:kern w:val="2"/>
          <w:sz w:val="24"/>
          <w:szCs w:val="24"/>
          <w:lang w:val="en-US" w:eastAsia="zh-CN" w:bidi="ar-SA"/>
        </w:rPr>
        <w:t>本条规定改性玻化微珠外墙干挂系统工程施工过程中应进行的隐蔽工程验收内容，以规范隐蔽工程验收。当施工中出现本条未列出的内容时，应在施工方案中对隐蔽工程验收内容加以补充。需要注意，本条要求隐蔽工程验收不仅应有详细的文字记录，还应有必要的图像资料。</w:t>
      </w:r>
    </w:p>
    <w:p w14:paraId="79C5BD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8.2.2</w:t>
      </w:r>
      <w:r>
        <w:rPr>
          <w:rFonts w:hint="eastAsia" w:ascii="宋体" w:hAnsi="宋体"/>
          <w:sz w:val="24"/>
          <w:szCs w:val="24"/>
          <w:lang w:val="en-US" w:eastAsia="zh-CN"/>
        </w:rPr>
        <w:t>检验批的划分应符合下列规定：</w:t>
      </w:r>
    </w:p>
    <w:p w14:paraId="2E2735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1相同材料、工艺和施工条件的墙面，扣除门窗洞口后的墙面面积每1000㎡面积划分为一个检验批；</w:t>
      </w:r>
    </w:p>
    <w:p w14:paraId="7E34C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2检验批的划分也可根据与施工流程相一致且方便施工与验收的原则，由施工单位与监理（建设）单位共同商定。</w:t>
      </w:r>
    </w:p>
    <w:p w14:paraId="2F357B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8.2.3</w:t>
      </w:r>
      <w:r>
        <w:rPr>
          <w:rFonts w:hint="eastAsia" w:ascii="宋体" w:hAnsi="宋体"/>
          <w:sz w:val="24"/>
          <w:szCs w:val="24"/>
          <w:lang w:val="en-US" w:eastAsia="zh-CN"/>
        </w:rPr>
        <w:t>改性玻化微珠外墙干挂系统工程检验批质量验收合格，应符合下列规定：</w:t>
      </w:r>
    </w:p>
    <w:p w14:paraId="32A501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1检验批应按主控项目和一般项目验收。</w:t>
      </w:r>
    </w:p>
    <w:p w14:paraId="4C30A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2主控项目应全部合格。</w:t>
      </w:r>
    </w:p>
    <w:p w14:paraId="29C602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3一般项目采用计数检验时，应有90%以上的检查点合格，且其余检查点不得有严重缺陷。</w:t>
      </w:r>
    </w:p>
    <w:p w14:paraId="6BE145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4应具有完整的施工操作依据和质量验收记录。</w:t>
      </w:r>
    </w:p>
    <w:p w14:paraId="4ABB47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8.2.4</w:t>
      </w:r>
      <w:r>
        <w:rPr>
          <w:rFonts w:hint="eastAsia" w:ascii="宋体" w:hAnsi="宋体"/>
          <w:sz w:val="24"/>
          <w:szCs w:val="24"/>
          <w:lang w:val="en-US" w:eastAsia="zh-CN"/>
        </w:rPr>
        <w:t>改性玻化微珠外墙干挂系统工程分项工程质量验收合格，应符合下列规定：</w:t>
      </w:r>
    </w:p>
    <w:p w14:paraId="4383C3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1分项工程所含的检验批均应合格。</w:t>
      </w:r>
    </w:p>
    <w:p w14:paraId="0CAF0F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2分项工程所含检验批的质量验收记录应完整。</w:t>
      </w:r>
    </w:p>
    <w:p w14:paraId="6925F9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8.2.5</w:t>
      </w:r>
      <w:r>
        <w:rPr>
          <w:rFonts w:hint="eastAsia" w:ascii="宋体" w:hAnsi="宋体"/>
          <w:sz w:val="24"/>
          <w:szCs w:val="24"/>
          <w:lang w:val="en-US" w:eastAsia="zh-CN"/>
        </w:rPr>
        <w:t>改性玻化微珠外墙干挂系统工程分项工程验收时，应检查下列文件和记录：</w:t>
      </w:r>
    </w:p>
    <w:p w14:paraId="5F9617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1设计文件。</w:t>
      </w:r>
    </w:p>
    <w:p w14:paraId="2E17C5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2设计与施工执行标准、文件。</w:t>
      </w:r>
    </w:p>
    <w:p w14:paraId="44C29E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3材料、部品及配件产品质量合格证、出厂检验报告、有效期内的型式检验报告及进场验收记录等。</w:t>
      </w:r>
    </w:p>
    <w:p w14:paraId="49BC93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4材料、部品及配件进场抽检复验报告。</w:t>
      </w:r>
    </w:p>
    <w:p w14:paraId="3A1148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5保温装饰板与基层墙体、锚固件现场拉拔力试验报告。</w:t>
      </w:r>
    </w:p>
    <w:p w14:paraId="4A0FB5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6各项隐蔽验收记录。</w:t>
      </w:r>
    </w:p>
    <w:p w14:paraId="75E3AC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7检验批、分项工程验收记录。</w:t>
      </w:r>
    </w:p>
    <w:p w14:paraId="6AB75A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8施工记录。</w:t>
      </w:r>
    </w:p>
    <w:p w14:paraId="4AC413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9质量问题处理记录。</w:t>
      </w:r>
    </w:p>
    <w:p w14:paraId="2D9856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10其他对工程质量有影响的重要技术资料。</w:t>
      </w:r>
    </w:p>
    <w:p w14:paraId="337446F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bCs/>
          <w:sz w:val="24"/>
          <w:szCs w:val="24"/>
          <w:lang w:val="en-US" w:eastAsia="zh-CN"/>
        </w:rPr>
      </w:pPr>
      <w:r>
        <w:rPr>
          <w:rFonts w:hint="eastAsia" w:ascii="宋体" w:hAnsi="宋体"/>
          <w:b/>
          <w:bCs/>
          <w:sz w:val="24"/>
          <w:szCs w:val="24"/>
          <w:lang w:val="en-US" w:eastAsia="zh-CN"/>
        </w:rPr>
        <w:t>Ⅰ主控项目</w:t>
      </w:r>
    </w:p>
    <w:p w14:paraId="7794D3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8.2.6</w:t>
      </w:r>
      <w:r>
        <w:rPr>
          <w:rFonts w:hint="eastAsia" w:ascii="宋体" w:hAnsi="宋体"/>
          <w:sz w:val="24"/>
          <w:szCs w:val="24"/>
          <w:lang w:val="en-US" w:eastAsia="zh-CN"/>
        </w:rPr>
        <w:t>用于改性玻化微珠外墙干挂系统工程的材料、构件，品种、规格应符合设计要求和本标准的规定。</w:t>
      </w:r>
    </w:p>
    <w:p w14:paraId="2196394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检验方法：</w:t>
      </w:r>
      <w:r>
        <w:rPr>
          <w:rFonts w:hint="eastAsia" w:ascii="宋体" w:hAnsi="宋体"/>
          <w:sz w:val="24"/>
          <w:szCs w:val="24"/>
          <w:lang w:val="en-US" w:eastAsia="zh-CN"/>
        </w:rPr>
        <w:t>观察、尺量检查；核查质量证明文件。</w:t>
      </w:r>
    </w:p>
    <w:p w14:paraId="683FC57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检查数量：</w:t>
      </w:r>
      <w:r>
        <w:rPr>
          <w:rFonts w:hint="eastAsia" w:ascii="宋体" w:hAnsi="宋体"/>
          <w:sz w:val="24"/>
          <w:szCs w:val="24"/>
          <w:lang w:val="en-US" w:eastAsia="zh-CN"/>
        </w:rPr>
        <w:t>按进场批次，每批随机抽取3个试样进行检查； 质量证明文件应按照其出厂批次进行核查。</w:t>
      </w:r>
    </w:p>
    <w:p w14:paraId="547352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8.2.7</w:t>
      </w:r>
      <w:r>
        <w:rPr>
          <w:rFonts w:hint="eastAsia" w:ascii="宋体" w:hAnsi="宋体"/>
          <w:sz w:val="24"/>
          <w:szCs w:val="24"/>
          <w:lang w:val="en-US" w:eastAsia="zh-CN"/>
        </w:rPr>
        <w:t>改性玻化微珠外墙干挂系统工程所采用的改性玻化微珠保温装饰板、铝合金托挂件、连接件、锚固件、粘结砂浆等，进场时应对下列性能进行复验，复验应为见证取样送检：</w:t>
      </w:r>
    </w:p>
    <w:p w14:paraId="4221D5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1改性玻化微珠保温装饰板单位面积质量、拉伸粘结强度（ 装饰面板与保温层）、保温材料的导热系数、保温材料的燃烧性能、吸水量。</w:t>
      </w:r>
    </w:p>
    <w:p w14:paraId="072954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2锚固件的拉拔力标准值。</w:t>
      </w:r>
    </w:p>
    <w:p w14:paraId="1C1F89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3粘结砂浆的拉伸粘结强度。</w:t>
      </w:r>
    </w:p>
    <w:p w14:paraId="6D705F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4铝合金托挂件及连接件拉伸性能。</w:t>
      </w:r>
    </w:p>
    <w:p w14:paraId="1789262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检验方法：</w:t>
      </w:r>
      <w:r>
        <w:rPr>
          <w:rFonts w:hint="eastAsia" w:ascii="宋体" w:hAnsi="宋体"/>
          <w:sz w:val="24"/>
          <w:szCs w:val="24"/>
          <w:lang w:val="en-US" w:eastAsia="zh-CN"/>
        </w:rPr>
        <w:t>核查质量证明文件；随机抽样送检，核查复验报告。</w:t>
      </w:r>
    </w:p>
    <w:p w14:paraId="3925755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检查数量：</w:t>
      </w:r>
      <w:r>
        <w:rPr>
          <w:rFonts w:hint="eastAsia" w:ascii="宋体" w:hAnsi="宋体"/>
          <w:sz w:val="24"/>
          <w:szCs w:val="24"/>
          <w:lang w:val="en-US" w:eastAsia="zh-CN"/>
        </w:rPr>
        <w:t>同一厂家、同品种产品，按照扣除门窗洞口后的墙面面积所使用的材料用量，在5000㎡以内时应复验1此，面积每增加5000㎡应增加1次。同一工程项目、同一施工单位且同时施工的多个单位工程，可合并计算抽检面积。当符合现行国家标准《建筑节能工程施工质量验收规范》GB 50411-2019第3.2.3条的规定时，检验批容量可以扩大一倍。</w:t>
      </w:r>
    </w:p>
    <w:p w14:paraId="617B86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8.2.8</w:t>
      </w:r>
      <w:r>
        <w:rPr>
          <w:rFonts w:hint="eastAsia" w:ascii="宋体" w:hAnsi="宋体"/>
          <w:sz w:val="24"/>
          <w:szCs w:val="24"/>
          <w:lang w:val="en-US" w:eastAsia="zh-CN"/>
        </w:rPr>
        <w:t>改性玻化微珠外墙干挂系统工程的施工，应符合下列规定：</w:t>
      </w:r>
    </w:p>
    <w:p w14:paraId="7EC90A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1 保温板的厚度应符合设计要求。</w:t>
      </w:r>
    </w:p>
    <w:p w14:paraId="648636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2锚固件数量、位置、锚固深度和拉拔力应符合设计要求并进行现场拉拔力试验.</w:t>
      </w:r>
    </w:p>
    <w:p w14:paraId="476F25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3各构造层之间的连接必须牢固。</w:t>
      </w:r>
    </w:p>
    <w:p w14:paraId="74C3BD4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检验方法:</w:t>
      </w:r>
      <w:r>
        <w:rPr>
          <w:rFonts w:hint="eastAsia" w:ascii="宋体" w:hAnsi="宋体"/>
          <w:sz w:val="24"/>
          <w:szCs w:val="24"/>
          <w:lang w:val="en-US" w:eastAsia="zh-CN"/>
        </w:rPr>
        <w:t>观察；保温板厚度采用尺量检查；拉拔力核查试验报告；核查隐蔽工程验收记录。</w:t>
      </w:r>
    </w:p>
    <w:p w14:paraId="1ED261D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检查数量:</w:t>
      </w:r>
      <w:r>
        <w:rPr>
          <w:rFonts w:hint="eastAsia" w:ascii="宋体" w:hAnsi="宋体"/>
          <w:sz w:val="24"/>
          <w:szCs w:val="24"/>
          <w:lang w:val="en-US" w:eastAsia="zh-CN"/>
        </w:rPr>
        <w:t>每个检验批抽查不少于3处，其中锚固件每个检验批抽查不少于10处。</w:t>
      </w:r>
    </w:p>
    <w:p w14:paraId="76B0D8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w:t>
      </w:r>
      <w:r>
        <w:rPr>
          <w:rFonts w:hint="eastAsia"/>
          <w:b/>
          <w:bCs/>
          <w:sz w:val="24"/>
          <w:szCs w:val="24"/>
          <w:lang w:val="en-US" w:eastAsia="zh-CN"/>
        </w:rPr>
        <w:t>9</w:t>
      </w:r>
      <w:r>
        <w:rPr>
          <w:rFonts w:hint="eastAsia" w:ascii="宋体" w:hAnsi="宋体"/>
          <w:sz w:val="24"/>
          <w:szCs w:val="24"/>
          <w:lang w:val="en-US" w:eastAsia="zh-CN"/>
        </w:rPr>
        <w:t>改性玻化微珠保温装饰板拼缝处的密封胶厚度应符合设计要求；板缝处理、构造节点及嵌缝做法应符合设计要求，板缝间应密封完好，不得渗漏。</w:t>
      </w:r>
    </w:p>
    <w:p w14:paraId="4F455C1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检验方法:</w:t>
      </w:r>
      <w:r>
        <w:rPr>
          <w:rFonts w:hint="eastAsia" w:ascii="宋体" w:hAnsi="宋体"/>
          <w:sz w:val="24"/>
          <w:szCs w:val="24"/>
          <w:lang w:val="en-US" w:eastAsia="zh-CN"/>
        </w:rPr>
        <w:t>观察检查；核查隐蔽工程验收纪录。</w:t>
      </w:r>
    </w:p>
    <w:p w14:paraId="7E1329C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检查数量：</w:t>
      </w:r>
      <w:r>
        <w:rPr>
          <w:rFonts w:hint="eastAsia" w:ascii="宋体" w:hAnsi="宋体"/>
          <w:sz w:val="24"/>
          <w:szCs w:val="24"/>
          <w:lang w:val="en-US" w:eastAsia="zh-CN"/>
        </w:rPr>
        <w:t>每检验批每100㎡抽查一处，每处不得少于10㎡。</w:t>
      </w:r>
    </w:p>
    <w:p w14:paraId="2833F14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bCs/>
          <w:sz w:val="24"/>
          <w:szCs w:val="24"/>
          <w:lang w:val="en-US" w:eastAsia="zh-CN"/>
        </w:rPr>
      </w:pPr>
      <w:r>
        <w:rPr>
          <w:rFonts w:hint="eastAsia" w:ascii="宋体" w:hAnsi="宋体"/>
          <w:b/>
          <w:bCs/>
          <w:sz w:val="24"/>
          <w:szCs w:val="24"/>
          <w:lang w:val="en-US" w:eastAsia="zh-CN"/>
        </w:rPr>
        <w:t>Ⅱ一般项目</w:t>
      </w:r>
    </w:p>
    <w:p w14:paraId="3E18B9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w:t>
      </w:r>
      <w:r>
        <w:rPr>
          <w:rFonts w:hint="eastAsia"/>
          <w:b/>
          <w:bCs/>
          <w:sz w:val="24"/>
          <w:szCs w:val="24"/>
          <w:lang w:val="en-US" w:eastAsia="zh-CN"/>
        </w:rPr>
        <w:t>10</w:t>
      </w:r>
      <w:r>
        <w:rPr>
          <w:rFonts w:hint="eastAsia" w:ascii="宋体" w:hAnsi="宋体"/>
          <w:sz w:val="24"/>
          <w:szCs w:val="24"/>
          <w:lang w:val="en-US" w:eastAsia="zh-CN"/>
        </w:rPr>
        <w:t>改性玻化微珠外墙干挂系统工程所用材料与构件的外观和包装应完整无破损，改性玻化微珠保温装饰板应平整、洁净、无裂缝；色泽应均匀。</w:t>
      </w:r>
    </w:p>
    <w:p w14:paraId="5D887C3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检验方法:</w:t>
      </w:r>
      <w:r>
        <w:rPr>
          <w:rFonts w:hint="eastAsia" w:ascii="宋体" w:hAnsi="宋体"/>
          <w:sz w:val="24"/>
          <w:szCs w:val="24"/>
          <w:lang w:val="en-US" w:eastAsia="zh-CN"/>
        </w:rPr>
        <w:t>观察检查。</w:t>
      </w:r>
    </w:p>
    <w:p w14:paraId="688167B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检查数量：</w:t>
      </w:r>
      <w:r>
        <w:rPr>
          <w:rFonts w:hint="eastAsia" w:ascii="宋体" w:hAnsi="宋体"/>
          <w:sz w:val="24"/>
          <w:szCs w:val="24"/>
          <w:lang w:val="en-US" w:eastAsia="zh-CN"/>
        </w:rPr>
        <w:t>全数检查。</w:t>
      </w:r>
    </w:p>
    <w:p w14:paraId="5DEB4C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w:t>
      </w:r>
      <w:r>
        <w:rPr>
          <w:rFonts w:hint="eastAsia"/>
          <w:b/>
          <w:bCs/>
          <w:sz w:val="24"/>
          <w:szCs w:val="24"/>
          <w:lang w:val="en-US" w:eastAsia="zh-CN"/>
        </w:rPr>
        <w:t>11</w:t>
      </w:r>
      <w:r>
        <w:rPr>
          <w:rFonts w:hint="eastAsia" w:ascii="宋体" w:hAnsi="宋体"/>
          <w:sz w:val="24"/>
          <w:szCs w:val="24"/>
          <w:lang w:val="en-US" w:eastAsia="zh-CN"/>
        </w:rPr>
        <w:t>原外墙系统缺陷，应采取修复措施。</w:t>
      </w:r>
    </w:p>
    <w:p w14:paraId="2A17A56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检验方法:</w:t>
      </w:r>
      <w:r>
        <w:rPr>
          <w:rFonts w:hint="eastAsia" w:ascii="宋体" w:hAnsi="宋体"/>
          <w:sz w:val="24"/>
          <w:szCs w:val="24"/>
          <w:lang w:val="en-US" w:eastAsia="zh-CN"/>
        </w:rPr>
        <w:t>对照施工方案观察检查。</w:t>
      </w:r>
    </w:p>
    <w:p w14:paraId="72A09E5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检査数量：</w:t>
      </w:r>
      <w:r>
        <w:rPr>
          <w:rFonts w:hint="eastAsia" w:ascii="宋体" w:hAnsi="宋体"/>
          <w:sz w:val="24"/>
          <w:szCs w:val="24"/>
          <w:lang w:val="en-US" w:eastAsia="zh-CN"/>
        </w:rPr>
        <w:t>全数检查。</w:t>
      </w:r>
    </w:p>
    <w:p w14:paraId="08FDB5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w:t>
      </w:r>
      <w:r>
        <w:rPr>
          <w:rFonts w:hint="eastAsia"/>
          <w:b/>
          <w:bCs/>
          <w:sz w:val="24"/>
          <w:szCs w:val="24"/>
          <w:lang w:val="en-US" w:eastAsia="zh-CN"/>
        </w:rPr>
        <w:t>13</w:t>
      </w:r>
      <w:r>
        <w:rPr>
          <w:rFonts w:hint="eastAsia" w:ascii="宋体" w:hAnsi="宋体"/>
          <w:sz w:val="24"/>
          <w:szCs w:val="24"/>
          <w:lang w:val="en-US" w:eastAsia="zh-CN"/>
        </w:rPr>
        <w:t>改性玻化微珠外墙干挂系统工程质量的允许偏差和检验方法，应符合表8.2.13的规定。</w:t>
      </w:r>
    </w:p>
    <w:p w14:paraId="37C9EDA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bCs/>
          <w:sz w:val="21"/>
          <w:szCs w:val="21"/>
          <w:lang w:val="en-US" w:eastAsia="zh-CN"/>
        </w:rPr>
      </w:pPr>
      <w:r>
        <w:rPr>
          <w:rFonts w:hint="eastAsia" w:ascii="宋体" w:hAnsi="宋体"/>
          <w:b/>
          <w:bCs/>
          <w:sz w:val="21"/>
          <w:szCs w:val="21"/>
          <w:lang w:val="en-US" w:eastAsia="zh-CN"/>
        </w:rPr>
        <w:t>表8.2.13改性玻化微珠外墙干挂系统工程的允许偏差和检验方法</w:t>
      </w:r>
    </w:p>
    <w:tbl>
      <w:tblPr>
        <w:tblStyle w:val="11"/>
        <w:tblW w:w="8308" w:type="dxa"/>
        <w:tblInd w:w="-98"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840"/>
        <w:gridCol w:w="1902"/>
        <w:gridCol w:w="1458"/>
        <w:gridCol w:w="4108"/>
      </w:tblGrid>
      <w:tr w14:paraId="2BF6F3F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35" w:hRule="atLeast"/>
        </w:trPr>
        <w:tc>
          <w:tcPr>
            <w:tcW w:w="840" w:type="dxa"/>
          </w:tcPr>
          <w:p w14:paraId="1318E718">
            <w:pPr>
              <w:pStyle w:val="19"/>
              <w:spacing w:before="69"/>
              <w:ind w:left="130" w:right="108"/>
              <w:jc w:val="center"/>
              <w:rPr>
                <w:sz w:val="21"/>
                <w:szCs w:val="21"/>
              </w:rPr>
            </w:pPr>
            <w:r>
              <w:rPr>
                <w:color w:val="231F20"/>
                <w:sz w:val="21"/>
                <w:szCs w:val="21"/>
              </w:rPr>
              <w:t>序号</w:t>
            </w:r>
          </w:p>
        </w:tc>
        <w:tc>
          <w:tcPr>
            <w:tcW w:w="1902" w:type="dxa"/>
          </w:tcPr>
          <w:p w14:paraId="0E8EBA04">
            <w:pPr>
              <w:pStyle w:val="19"/>
              <w:spacing w:before="69"/>
              <w:ind w:left="63" w:right="71"/>
              <w:jc w:val="center"/>
              <w:rPr>
                <w:sz w:val="21"/>
                <w:szCs w:val="21"/>
              </w:rPr>
            </w:pPr>
            <w:r>
              <w:rPr>
                <w:color w:val="231F20"/>
                <w:sz w:val="21"/>
                <w:szCs w:val="21"/>
              </w:rPr>
              <w:t>项目</w:t>
            </w:r>
          </w:p>
        </w:tc>
        <w:tc>
          <w:tcPr>
            <w:tcW w:w="1458" w:type="dxa"/>
          </w:tcPr>
          <w:p w14:paraId="169FBFC4">
            <w:pPr>
              <w:pStyle w:val="19"/>
              <w:spacing w:before="69"/>
              <w:ind w:left="19" w:right="82"/>
              <w:jc w:val="center"/>
              <w:rPr>
                <w:rFonts w:hint="eastAsia" w:eastAsia="宋体"/>
                <w:sz w:val="21"/>
                <w:szCs w:val="21"/>
                <w:lang w:eastAsia="zh-CN"/>
              </w:rPr>
            </w:pPr>
            <w:r>
              <w:rPr>
                <w:color w:val="231F20"/>
                <w:sz w:val="21"/>
                <w:szCs w:val="21"/>
              </w:rPr>
              <w:t>允许偏差（mm</w:t>
            </w:r>
            <w:r>
              <w:rPr>
                <w:rFonts w:hint="eastAsia"/>
                <w:color w:val="231F20"/>
                <w:sz w:val="21"/>
                <w:szCs w:val="21"/>
                <w:lang w:eastAsia="zh-CN"/>
              </w:rPr>
              <w:t>）</w:t>
            </w:r>
          </w:p>
        </w:tc>
        <w:tc>
          <w:tcPr>
            <w:tcW w:w="4108" w:type="dxa"/>
          </w:tcPr>
          <w:p w14:paraId="35667546">
            <w:pPr>
              <w:pStyle w:val="19"/>
              <w:tabs>
                <w:tab w:val="left" w:pos="1051"/>
              </w:tabs>
              <w:spacing w:before="69"/>
              <w:ind w:left="-114"/>
              <w:rPr>
                <w:sz w:val="21"/>
                <w:szCs w:val="21"/>
              </w:rPr>
            </w:pPr>
            <w:r>
              <w:rPr>
                <w:color w:val="231F20"/>
                <w:sz w:val="21"/>
                <w:szCs w:val="21"/>
              </w:rPr>
              <w:t>）</w:t>
            </w:r>
            <w:r>
              <w:rPr>
                <w:color w:val="231F20"/>
                <w:sz w:val="21"/>
                <w:szCs w:val="21"/>
              </w:rPr>
              <w:tab/>
            </w:r>
            <w:r>
              <w:rPr>
                <w:color w:val="231F20"/>
                <w:sz w:val="21"/>
                <w:szCs w:val="21"/>
              </w:rPr>
              <w:t>检验方法</w:t>
            </w:r>
          </w:p>
        </w:tc>
      </w:tr>
      <w:tr w14:paraId="11D1538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52" w:hRule="atLeast"/>
        </w:trPr>
        <w:tc>
          <w:tcPr>
            <w:tcW w:w="840" w:type="dxa"/>
          </w:tcPr>
          <w:p w14:paraId="4A8884D6">
            <w:pPr>
              <w:pStyle w:val="19"/>
              <w:spacing w:before="73"/>
              <w:ind w:left="22"/>
              <w:jc w:val="center"/>
              <w:rPr>
                <w:sz w:val="21"/>
                <w:szCs w:val="21"/>
              </w:rPr>
            </w:pPr>
            <w:r>
              <w:rPr>
                <w:color w:val="231F20"/>
                <w:sz w:val="21"/>
                <w:szCs w:val="21"/>
              </w:rPr>
              <w:t>1</w:t>
            </w:r>
          </w:p>
        </w:tc>
        <w:tc>
          <w:tcPr>
            <w:tcW w:w="1902" w:type="dxa"/>
          </w:tcPr>
          <w:p w14:paraId="2355FCE1">
            <w:pPr>
              <w:pStyle w:val="19"/>
              <w:spacing w:before="73"/>
              <w:ind w:left="63" w:right="71"/>
              <w:jc w:val="center"/>
              <w:rPr>
                <w:sz w:val="21"/>
                <w:szCs w:val="21"/>
              </w:rPr>
            </w:pPr>
            <w:r>
              <w:rPr>
                <w:color w:val="231F20"/>
                <w:sz w:val="21"/>
                <w:szCs w:val="21"/>
              </w:rPr>
              <w:t>立面垂直度</w:t>
            </w:r>
          </w:p>
        </w:tc>
        <w:tc>
          <w:tcPr>
            <w:tcW w:w="1458" w:type="dxa"/>
          </w:tcPr>
          <w:p w14:paraId="17E4685C">
            <w:pPr>
              <w:pStyle w:val="19"/>
              <w:spacing w:before="73"/>
              <w:ind w:left="19" w:right="15"/>
              <w:jc w:val="center"/>
              <w:rPr>
                <w:sz w:val="21"/>
                <w:szCs w:val="21"/>
              </w:rPr>
            </w:pPr>
            <w:r>
              <w:rPr>
                <w:color w:val="231F20"/>
                <w:sz w:val="21"/>
                <w:szCs w:val="21"/>
              </w:rPr>
              <w:t>3.0</w:t>
            </w:r>
          </w:p>
        </w:tc>
        <w:tc>
          <w:tcPr>
            <w:tcW w:w="4108" w:type="dxa"/>
          </w:tcPr>
          <w:p w14:paraId="1DD7FFE3">
            <w:pPr>
              <w:pStyle w:val="19"/>
              <w:spacing w:before="73"/>
              <w:ind w:left="676"/>
              <w:rPr>
                <w:sz w:val="21"/>
                <w:szCs w:val="21"/>
              </w:rPr>
            </w:pPr>
            <w:r>
              <w:rPr>
                <w:color w:val="231F20"/>
                <w:sz w:val="21"/>
                <w:szCs w:val="21"/>
              </w:rPr>
              <w:t>用2m垂直检测尺检查</w:t>
            </w:r>
          </w:p>
        </w:tc>
      </w:tr>
      <w:tr w14:paraId="3D01C80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39" w:hRule="atLeast"/>
        </w:trPr>
        <w:tc>
          <w:tcPr>
            <w:tcW w:w="840" w:type="dxa"/>
          </w:tcPr>
          <w:p w14:paraId="6B7B4ABF">
            <w:pPr>
              <w:pStyle w:val="19"/>
              <w:spacing w:before="66"/>
              <w:ind w:left="22"/>
              <w:jc w:val="center"/>
              <w:rPr>
                <w:sz w:val="21"/>
                <w:szCs w:val="21"/>
              </w:rPr>
            </w:pPr>
            <w:r>
              <w:rPr>
                <w:color w:val="231F20"/>
                <w:sz w:val="21"/>
                <w:szCs w:val="21"/>
              </w:rPr>
              <w:t>2</w:t>
            </w:r>
          </w:p>
        </w:tc>
        <w:tc>
          <w:tcPr>
            <w:tcW w:w="1902" w:type="dxa"/>
          </w:tcPr>
          <w:p w14:paraId="3E1B7508">
            <w:pPr>
              <w:pStyle w:val="19"/>
              <w:spacing w:before="66"/>
              <w:ind w:left="63" w:right="71"/>
              <w:jc w:val="center"/>
              <w:rPr>
                <w:sz w:val="21"/>
                <w:szCs w:val="21"/>
              </w:rPr>
            </w:pPr>
            <w:r>
              <w:rPr>
                <w:color w:val="231F20"/>
                <w:sz w:val="21"/>
                <w:szCs w:val="21"/>
              </w:rPr>
              <w:t>表面平整度</w:t>
            </w:r>
          </w:p>
        </w:tc>
        <w:tc>
          <w:tcPr>
            <w:tcW w:w="1458" w:type="dxa"/>
          </w:tcPr>
          <w:p w14:paraId="6C7D75D1">
            <w:pPr>
              <w:pStyle w:val="19"/>
              <w:spacing w:before="66"/>
              <w:ind w:left="19" w:right="15"/>
              <w:jc w:val="center"/>
              <w:rPr>
                <w:sz w:val="21"/>
                <w:szCs w:val="21"/>
              </w:rPr>
            </w:pPr>
            <w:r>
              <w:rPr>
                <w:color w:val="231F20"/>
                <w:sz w:val="21"/>
                <w:szCs w:val="21"/>
              </w:rPr>
              <w:t>3.0</w:t>
            </w:r>
          </w:p>
        </w:tc>
        <w:tc>
          <w:tcPr>
            <w:tcW w:w="4108" w:type="dxa"/>
          </w:tcPr>
          <w:p w14:paraId="53729208">
            <w:pPr>
              <w:pStyle w:val="19"/>
              <w:spacing w:before="66"/>
              <w:ind w:left="676"/>
              <w:rPr>
                <w:sz w:val="21"/>
                <w:szCs w:val="21"/>
              </w:rPr>
            </w:pPr>
            <w:r>
              <w:rPr>
                <w:color w:val="231F20"/>
                <w:sz w:val="21"/>
                <w:szCs w:val="21"/>
              </w:rPr>
              <w:t>用2m靠尺和塞尺检查</w:t>
            </w:r>
          </w:p>
        </w:tc>
      </w:tr>
      <w:tr w14:paraId="081DFB6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39" w:hRule="atLeast"/>
        </w:trPr>
        <w:tc>
          <w:tcPr>
            <w:tcW w:w="840" w:type="dxa"/>
          </w:tcPr>
          <w:p w14:paraId="23214015">
            <w:pPr>
              <w:pStyle w:val="19"/>
              <w:spacing w:before="67"/>
              <w:ind w:left="22"/>
              <w:jc w:val="center"/>
              <w:rPr>
                <w:sz w:val="21"/>
                <w:szCs w:val="21"/>
              </w:rPr>
            </w:pPr>
            <w:r>
              <w:rPr>
                <w:color w:val="231F20"/>
                <w:sz w:val="21"/>
                <w:szCs w:val="21"/>
              </w:rPr>
              <w:t>3</w:t>
            </w:r>
          </w:p>
        </w:tc>
        <w:tc>
          <w:tcPr>
            <w:tcW w:w="1902" w:type="dxa"/>
          </w:tcPr>
          <w:p w14:paraId="0B10C434">
            <w:pPr>
              <w:pStyle w:val="19"/>
              <w:spacing w:before="67"/>
              <w:ind w:left="63" w:right="71"/>
              <w:jc w:val="center"/>
              <w:rPr>
                <w:sz w:val="21"/>
                <w:szCs w:val="21"/>
              </w:rPr>
            </w:pPr>
            <w:r>
              <w:rPr>
                <w:color w:val="231F20"/>
                <w:sz w:val="21"/>
                <w:szCs w:val="21"/>
              </w:rPr>
              <w:t>阴阳角方正</w:t>
            </w:r>
          </w:p>
        </w:tc>
        <w:tc>
          <w:tcPr>
            <w:tcW w:w="1458" w:type="dxa"/>
          </w:tcPr>
          <w:p w14:paraId="7F2E7CB8">
            <w:pPr>
              <w:pStyle w:val="19"/>
              <w:spacing w:before="67"/>
              <w:ind w:left="19" w:right="15"/>
              <w:jc w:val="center"/>
              <w:rPr>
                <w:sz w:val="21"/>
                <w:szCs w:val="21"/>
              </w:rPr>
            </w:pPr>
            <w:r>
              <w:rPr>
                <w:color w:val="231F20"/>
                <w:sz w:val="21"/>
                <w:szCs w:val="21"/>
              </w:rPr>
              <w:t>3.0</w:t>
            </w:r>
          </w:p>
        </w:tc>
        <w:tc>
          <w:tcPr>
            <w:tcW w:w="4108" w:type="dxa"/>
          </w:tcPr>
          <w:p w14:paraId="6B36A565">
            <w:pPr>
              <w:pStyle w:val="19"/>
              <w:spacing w:before="67"/>
              <w:ind w:left="751"/>
              <w:rPr>
                <w:sz w:val="21"/>
                <w:szCs w:val="21"/>
              </w:rPr>
            </w:pPr>
            <w:r>
              <w:rPr>
                <w:color w:val="231F20"/>
                <w:sz w:val="21"/>
                <w:szCs w:val="21"/>
              </w:rPr>
              <w:t>用直角检测尺检查</w:t>
            </w:r>
          </w:p>
        </w:tc>
      </w:tr>
      <w:tr w14:paraId="7436403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48" w:hRule="atLeast"/>
        </w:trPr>
        <w:tc>
          <w:tcPr>
            <w:tcW w:w="840" w:type="dxa"/>
          </w:tcPr>
          <w:p w14:paraId="5EE4961D">
            <w:pPr>
              <w:pStyle w:val="19"/>
              <w:spacing w:before="62"/>
              <w:ind w:left="22"/>
              <w:jc w:val="center"/>
              <w:rPr>
                <w:sz w:val="21"/>
                <w:szCs w:val="21"/>
              </w:rPr>
            </w:pPr>
            <w:r>
              <w:rPr>
                <w:color w:val="231F20"/>
                <w:sz w:val="21"/>
                <w:szCs w:val="21"/>
              </w:rPr>
              <w:t>4</w:t>
            </w:r>
          </w:p>
        </w:tc>
        <w:tc>
          <w:tcPr>
            <w:tcW w:w="1902" w:type="dxa"/>
          </w:tcPr>
          <w:p w14:paraId="3CE491F0">
            <w:pPr>
              <w:pStyle w:val="19"/>
              <w:spacing w:before="62"/>
              <w:ind w:left="63" w:right="71"/>
              <w:jc w:val="center"/>
              <w:rPr>
                <w:sz w:val="21"/>
                <w:szCs w:val="21"/>
              </w:rPr>
            </w:pPr>
            <w:r>
              <w:rPr>
                <w:color w:val="231F20"/>
                <w:sz w:val="21"/>
                <w:szCs w:val="21"/>
              </w:rPr>
              <w:t>接缝高低差</w:t>
            </w:r>
          </w:p>
        </w:tc>
        <w:tc>
          <w:tcPr>
            <w:tcW w:w="1458" w:type="dxa"/>
          </w:tcPr>
          <w:p w14:paraId="27FEFE99">
            <w:pPr>
              <w:pStyle w:val="19"/>
              <w:spacing w:before="62"/>
              <w:ind w:left="19" w:right="15"/>
              <w:jc w:val="center"/>
              <w:rPr>
                <w:sz w:val="21"/>
                <w:szCs w:val="21"/>
              </w:rPr>
            </w:pPr>
            <w:r>
              <w:rPr>
                <w:color w:val="231F20"/>
                <w:sz w:val="21"/>
                <w:szCs w:val="21"/>
              </w:rPr>
              <w:t>1.0</w:t>
            </w:r>
          </w:p>
        </w:tc>
        <w:tc>
          <w:tcPr>
            <w:tcW w:w="4108" w:type="dxa"/>
          </w:tcPr>
          <w:p w14:paraId="1A5FD1BC">
            <w:pPr>
              <w:pStyle w:val="19"/>
              <w:spacing w:before="62"/>
              <w:ind w:left="676"/>
              <w:rPr>
                <w:sz w:val="21"/>
                <w:szCs w:val="21"/>
              </w:rPr>
            </w:pPr>
            <w:r>
              <w:rPr>
                <w:color w:val="231F20"/>
                <w:sz w:val="21"/>
                <w:szCs w:val="21"/>
              </w:rPr>
              <w:t>用钢直尺和塞尺检查</w:t>
            </w:r>
          </w:p>
        </w:tc>
      </w:tr>
      <w:tr w14:paraId="52EAC2B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39" w:hRule="atLeast"/>
        </w:trPr>
        <w:tc>
          <w:tcPr>
            <w:tcW w:w="840" w:type="dxa"/>
          </w:tcPr>
          <w:p w14:paraId="359C8FDE">
            <w:pPr>
              <w:pStyle w:val="19"/>
              <w:spacing w:before="80"/>
              <w:ind w:left="22"/>
              <w:jc w:val="center"/>
              <w:rPr>
                <w:sz w:val="21"/>
                <w:szCs w:val="21"/>
              </w:rPr>
            </w:pPr>
            <w:r>
              <w:rPr>
                <w:color w:val="231F20"/>
                <w:sz w:val="21"/>
                <w:szCs w:val="21"/>
              </w:rPr>
              <w:t>5</w:t>
            </w:r>
          </w:p>
        </w:tc>
        <w:tc>
          <w:tcPr>
            <w:tcW w:w="1902" w:type="dxa"/>
          </w:tcPr>
          <w:p w14:paraId="333D449B">
            <w:pPr>
              <w:pStyle w:val="19"/>
              <w:spacing w:before="80"/>
              <w:ind w:left="63" w:right="71"/>
              <w:jc w:val="center"/>
              <w:rPr>
                <w:sz w:val="21"/>
                <w:szCs w:val="21"/>
              </w:rPr>
            </w:pPr>
            <w:r>
              <w:rPr>
                <w:color w:val="231F20"/>
                <w:sz w:val="21"/>
                <w:szCs w:val="21"/>
              </w:rPr>
              <w:t>接缝宽度</w:t>
            </w:r>
          </w:p>
        </w:tc>
        <w:tc>
          <w:tcPr>
            <w:tcW w:w="1458" w:type="dxa"/>
          </w:tcPr>
          <w:p w14:paraId="2063AD1C">
            <w:pPr>
              <w:pStyle w:val="19"/>
              <w:spacing w:before="80"/>
              <w:ind w:left="19" w:right="15"/>
              <w:jc w:val="center"/>
              <w:rPr>
                <w:sz w:val="21"/>
                <w:szCs w:val="21"/>
              </w:rPr>
            </w:pPr>
            <w:r>
              <w:rPr>
                <w:color w:val="231F20"/>
                <w:sz w:val="21"/>
                <w:szCs w:val="21"/>
              </w:rPr>
              <w:t>1.0</w:t>
            </w:r>
          </w:p>
        </w:tc>
        <w:tc>
          <w:tcPr>
            <w:tcW w:w="4108" w:type="dxa"/>
          </w:tcPr>
          <w:p w14:paraId="53962122">
            <w:pPr>
              <w:pStyle w:val="19"/>
              <w:spacing w:before="80"/>
              <w:ind w:left="901"/>
              <w:rPr>
                <w:sz w:val="21"/>
                <w:szCs w:val="21"/>
              </w:rPr>
            </w:pPr>
            <w:r>
              <w:rPr>
                <w:color w:val="231F20"/>
                <w:sz w:val="21"/>
                <w:szCs w:val="21"/>
              </w:rPr>
              <w:t>用钢直尺检查</w:t>
            </w:r>
          </w:p>
        </w:tc>
      </w:tr>
      <w:tr w14:paraId="23811B6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43" w:hRule="atLeast"/>
        </w:trPr>
        <w:tc>
          <w:tcPr>
            <w:tcW w:w="840" w:type="dxa"/>
          </w:tcPr>
          <w:p w14:paraId="014FB767">
            <w:pPr>
              <w:pStyle w:val="19"/>
              <w:spacing w:before="75"/>
              <w:ind w:left="22"/>
              <w:jc w:val="center"/>
              <w:rPr>
                <w:sz w:val="21"/>
                <w:szCs w:val="21"/>
              </w:rPr>
            </w:pPr>
            <w:r>
              <w:rPr>
                <w:color w:val="231F20"/>
                <w:sz w:val="21"/>
                <w:szCs w:val="21"/>
              </w:rPr>
              <w:t>6</w:t>
            </w:r>
          </w:p>
        </w:tc>
        <w:tc>
          <w:tcPr>
            <w:tcW w:w="1902" w:type="dxa"/>
          </w:tcPr>
          <w:p w14:paraId="47396C6E">
            <w:pPr>
              <w:pStyle w:val="19"/>
              <w:spacing w:before="75"/>
              <w:ind w:left="63" w:right="71"/>
              <w:jc w:val="center"/>
              <w:rPr>
                <w:sz w:val="21"/>
                <w:szCs w:val="21"/>
              </w:rPr>
            </w:pPr>
            <w:r>
              <w:rPr>
                <w:color w:val="231F20"/>
                <w:sz w:val="21"/>
                <w:szCs w:val="21"/>
              </w:rPr>
              <w:t>硅酮耐候密封胶直线度</w:t>
            </w:r>
          </w:p>
        </w:tc>
        <w:tc>
          <w:tcPr>
            <w:tcW w:w="1458" w:type="dxa"/>
          </w:tcPr>
          <w:p w14:paraId="4B0FFDD9">
            <w:pPr>
              <w:pStyle w:val="19"/>
              <w:spacing w:before="75"/>
              <w:ind w:left="19" w:right="15"/>
              <w:jc w:val="center"/>
              <w:rPr>
                <w:sz w:val="21"/>
                <w:szCs w:val="21"/>
              </w:rPr>
            </w:pPr>
            <w:r>
              <w:rPr>
                <w:color w:val="231F20"/>
                <w:sz w:val="21"/>
                <w:szCs w:val="21"/>
              </w:rPr>
              <w:t>2.0</w:t>
            </w:r>
          </w:p>
        </w:tc>
        <w:tc>
          <w:tcPr>
            <w:tcW w:w="4108" w:type="dxa"/>
          </w:tcPr>
          <w:p w14:paraId="5EF4B91A">
            <w:pPr>
              <w:pStyle w:val="19"/>
              <w:spacing w:before="75"/>
              <w:ind w:left="131"/>
              <w:rPr>
                <w:sz w:val="21"/>
                <w:szCs w:val="21"/>
              </w:rPr>
            </w:pPr>
            <w:r>
              <w:rPr>
                <w:color w:val="231F20"/>
                <w:sz w:val="21"/>
                <w:szCs w:val="21"/>
              </w:rPr>
              <w:t>拉5m线，不足5m通线，用钢直尺检查</w:t>
            </w:r>
          </w:p>
        </w:tc>
      </w:tr>
    </w:tbl>
    <w:p w14:paraId="04E13C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w:t>
      </w:r>
      <w:r>
        <w:rPr>
          <w:rFonts w:hint="eastAsia"/>
          <w:b/>
          <w:bCs/>
          <w:sz w:val="24"/>
          <w:szCs w:val="24"/>
          <w:lang w:val="en-US" w:eastAsia="zh-CN"/>
        </w:rPr>
        <w:t>14</w:t>
      </w:r>
      <w:r>
        <w:rPr>
          <w:rFonts w:hint="eastAsia" w:ascii="宋体" w:hAnsi="宋体"/>
          <w:sz w:val="24"/>
          <w:szCs w:val="24"/>
          <w:lang w:val="en-US" w:eastAsia="zh-CN"/>
        </w:rPr>
        <w:t>阳角、门窗洞口及不同材料的交接处等特殊部位，应采取防止开裂和破损的加强措施。</w:t>
      </w:r>
    </w:p>
    <w:p w14:paraId="0CDD29D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检验方法:</w:t>
      </w:r>
      <w:r>
        <w:rPr>
          <w:rFonts w:hint="eastAsia" w:ascii="宋体" w:hAnsi="宋体"/>
          <w:sz w:val="24"/>
          <w:szCs w:val="24"/>
          <w:lang w:val="en-US" w:eastAsia="zh-CN"/>
        </w:rPr>
        <w:t>观察检查；核查隐蔽工程验收记录。</w:t>
      </w:r>
    </w:p>
    <w:p w14:paraId="0F012B0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检查数量：</w:t>
      </w:r>
      <w:r>
        <w:rPr>
          <w:rFonts w:hint="eastAsia" w:ascii="宋体" w:hAnsi="宋体"/>
          <w:sz w:val="24"/>
          <w:szCs w:val="24"/>
          <w:lang w:val="en-US" w:eastAsia="zh-CN"/>
        </w:rPr>
        <w:t>按不同部位，每类抽查10%，并不少于5处。</w:t>
      </w:r>
    </w:p>
    <w:p w14:paraId="2A915E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lang w:val="en-US" w:eastAsia="zh-CN"/>
        </w:rPr>
      </w:pPr>
      <w:r>
        <w:rPr>
          <w:rFonts w:hint="eastAsia" w:eastAsia="宋体"/>
          <w:b/>
          <w:bCs/>
          <w:sz w:val="24"/>
          <w:szCs w:val="24"/>
          <w:lang w:val="en-US" w:eastAsia="zh-CN"/>
        </w:rPr>
        <w:t>8.2.</w:t>
      </w:r>
      <w:r>
        <w:rPr>
          <w:rFonts w:hint="eastAsia"/>
          <w:b/>
          <w:bCs/>
          <w:sz w:val="24"/>
          <w:szCs w:val="24"/>
          <w:lang w:val="en-US" w:eastAsia="zh-CN"/>
        </w:rPr>
        <w:t>15</w:t>
      </w:r>
      <w:r>
        <w:rPr>
          <w:rFonts w:hint="eastAsia" w:ascii="宋体" w:hAnsi="宋体"/>
          <w:sz w:val="24"/>
          <w:szCs w:val="24"/>
          <w:lang w:val="en-US" w:eastAsia="zh-CN"/>
        </w:rPr>
        <w:t>改性玻化微珠外墙干挂系统安装后墙面的造型、立面分格、颜色和图案等外观应符合设计要求和本标准的规定。</w:t>
      </w:r>
    </w:p>
    <w:p w14:paraId="0AABF4C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检验方法:</w:t>
      </w:r>
      <w:r>
        <w:rPr>
          <w:rFonts w:hint="eastAsia" w:ascii="宋体" w:hAnsi="宋体"/>
          <w:sz w:val="24"/>
          <w:szCs w:val="24"/>
          <w:lang w:val="en-US" w:eastAsia="zh-CN"/>
        </w:rPr>
        <w:t>观察和尺量检查。</w:t>
      </w:r>
    </w:p>
    <w:p w14:paraId="0DFBF67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lang w:val="en-US" w:eastAsia="zh-CN"/>
        </w:rPr>
      </w:pPr>
      <w:r>
        <w:rPr>
          <w:rFonts w:hint="eastAsia" w:ascii="宋体" w:hAnsi="宋体"/>
          <w:b/>
          <w:bCs/>
          <w:sz w:val="24"/>
          <w:szCs w:val="24"/>
          <w:lang w:val="en-US" w:eastAsia="zh-CN"/>
        </w:rPr>
        <w:t>检查数量：</w:t>
      </w:r>
      <w:r>
        <w:rPr>
          <w:rFonts w:hint="eastAsia" w:ascii="宋体" w:hAnsi="宋体"/>
          <w:sz w:val="24"/>
          <w:szCs w:val="24"/>
          <w:lang w:val="en-US" w:eastAsia="zh-CN"/>
        </w:rPr>
        <w:t>每个检验批抽查10%，并不少于5处。</w:t>
      </w:r>
    </w:p>
    <w:p w14:paraId="445AA90F">
      <w:pPr>
        <w:pStyle w:val="3"/>
        <w:bidi w:val="0"/>
        <w:jc w:val="center"/>
        <w:rPr>
          <w:rFonts w:hint="eastAsia"/>
          <w:szCs w:val="22"/>
          <w:lang w:val="en-US" w:eastAsia="zh-CN"/>
        </w:rPr>
      </w:pPr>
      <w:bookmarkStart w:id="64" w:name="_Toc19254"/>
      <w:r>
        <w:rPr>
          <w:rFonts w:hint="eastAsia"/>
          <w:szCs w:val="22"/>
          <w:lang w:val="en-US" w:eastAsia="zh-CN"/>
        </w:rPr>
        <w:t>8.3改性玻化微珠外墙粘锚托系统</w:t>
      </w:r>
      <w:bookmarkEnd w:id="64"/>
    </w:p>
    <w:p w14:paraId="7DD5DC9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3.1</w:t>
      </w:r>
      <w:r>
        <w:rPr>
          <w:rFonts w:hint="eastAsia"/>
          <w:b w:val="0"/>
          <w:bCs w:val="0"/>
          <w:sz w:val="24"/>
          <w:szCs w:val="24"/>
          <w:lang w:val="en-US" w:eastAsia="zh-CN"/>
        </w:rPr>
        <w:t>改性玻化微珠外墙粘锚托系统检验批应按主控项目和一般项目验收，检验批合格应符合下列规定：</w:t>
      </w:r>
    </w:p>
    <w:p w14:paraId="2CBBD7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1 主控项目的质量应经抽查检验全部合格。</w:t>
      </w:r>
    </w:p>
    <w:p w14:paraId="25934F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2 一般项目的质量应经抽查检验合格。有允许偏差值的项目，其抽查点应有90%或以上在允许偏差范围内，且其余检查点不得有严重缺陷，最大偏差值不超过允许偏差值的 1.5 倍。</w:t>
      </w:r>
    </w:p>
    <w:p w14:paraId="1ABB6A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24"/>
          <w:lang w:val="en-US" w:eastAsia="zh-CN"/>
        </w:rPr>
      </w:pPr>
      <w:r>
        <w:rPr>
          <w:rFonts w:hint="eastAsia"/>
          <w:b w:val="0"/>
          <w:bCs w:val="0"/>
          <w:sz w:val="24"/>
          <w:szCs w:val="24"/>
          <w:lang w:val="en-US" w:eastAsia="zh-CN"/>
        </w:rPr>
        <w:t>3 应具有完整的施工操作依据和质量检查记录。</w:t>
      </w:r>
    </w:p>
    <w:p w14:paraId="63E23E86">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3.2</w:t>
      </w:r>
      <w:r>
        <w:rPr>
          <w:rFonts w:hint="eastAsia"/>
          <w:b w:val="0"/>
          <w:bCs w:val="0"/>
          <w:sz w:val="24"/>
          <w:szCs w:val="24"/>
          <w:lang w:val="en-US" w:eastAsia="zh-CN"/>
        </w:rPr>
        <w:t>改性玻化微珠外墙粘锚托系统施工完成后，应进行分项工程验收，并应符合下列规定：</w:t>
      </w:r>
    </w:p>
    <w:p w14:paraId="56AB46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1 所含检验批均应验收合格。</w:t>
      </w:r>
    </w:p>
    <w:p w14:paraId="49B519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2 所含检验批质量控制资料和验收记录应完整、真实。</w:t>
      </w:r>
    </w:p>
    <w:p w14:paraId="148C284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3.3</w:t>
      </w:r>
      <w:r>
        <w:rPr>
          <w:rFonts w:hint="eastAsia"/>
          <w:b w:val="0"/>
          <w:bCs w:val="0"/>
          <w:sz w:val="24"/>
          <w:szCs w:val="24"/>
          <w:lang w:val="en-US" w:eastAsia="zh-CN"/>
        </w:rPr>
        <w:t>改性玻化微珠外墙粘锚托系统分项工程应符合下列规定：</w:t>
      </w:r>
    </w:p>
    <w:p w14:paraId="16D7E5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1 分项工程应验收合格。</w:t>
      </w:r>
    </w:p>
    <w:p w14:paraId="127945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2 分项工程质量控制资料应完整、真实。</w:t>
      </w:r>
    </w:p>
    <w:p w14:paraId="0F9ED7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3 安全和性能检验及构造现场抽样检验结果应符合要求。</w:t>
      </w:r>
    </w:p>
    <w:p w14:paraId="60A753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4 观感质量应符合要求。</w:t>
      </w:r>
    </w:p>
    <w:p w14:paraId="0EA4591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3.4</w:t>
      </w:r>
      <w:r>
        <w:rPr>
          <w:rFonts w:hint="eastAsia"/>
          <w:b w:val="0"/>
          <w:bCs w:val="0"/>
          <w:sz w:val="24"/>
          <w:szCs w:val="24"/>
          <w:lang w:val="en-US" w:eastAsia="zh-CN"/>
        </w:rPr>
        <w:t>改性玻化微珠外墙粘锚托系统验收的检验批划分除本标准另有规定外，在同一工程项目中，同厂家、同类型、同规格的改性玻化微珠材料，连续三次见证取样检验均一次检验合格时，其检验批的容量可扩大一倍，且仅可扩大一倍。扩大检验批后的检验中出现不合格情况时，应按扩大前的检验批重新验收，且该产品不得再次扩大检验批容量。</w:t>
      </w:r>
    </w:p>
    <w:p w14:paraId="7ECF0A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同一个工程项目、同一施工单位且同时施工的多个单位工程，可合并计算墙面抽检面积。</w:t>
      </w:r>
    </w:p>
    <w:p w14:paraId="23AB51D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3.5</w:t>
      </w:r>
      <w:r>
        <w:rPr>
          <w:rFonts w:hint="eastAsia"/>
          <w:b w:val="0"/>
          <w:bCs w:val="0"/>
          <w:sz w:val="24"/>
          <w:szCs w:val="24"/>
          <w:lang w:val="en-US" w:eastAsia="zh-CN"/>
        </w:rPr>
        <w:t>应对下列部位或内容进行隐蔽工程验收，应有详细的文字记录和必要的影像资料：</w:t>
      </w:r>
    </w:p>
    <w:p w14:paraId="095E51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1 原外墙系统及其表面处理。</w:t>
      </w:r>
    </w:p>
    <w:p w14:paraId="7C21AD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2 锚栓及锚固节点做法。</w:t>
      </w:r>
    </w:p>
    <w:p w14:paraId="79A14D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3 抹面层厚度。</w:t>
      </w:r>
    </w:p>
    <w:p w14:paraId="72EFAF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4 各加强部位以及门窗洞口和穿墙管线部位的处理及构造节点。</w:t>
      </w:r>
    </w:p>
    <w:p w14:paraId="154991B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3.6</w:t>
      </w:r>
      <w:r>
        <w:rPr>
          <w:rFonts w:hint="eastAsia"/>
          <w:b w:val="0"/>
          <w:bCs w:val="0"/>
          <w:sz w:val="24"/>
          <w:szCs w:val="24"/>
          <w:lang w:val="en-US" w:eastAsia="zh-CN"/>
        </w:rPr>
        <w:t>分项验收应提供下列资料，并纳入竣工技术档案：</w:t>
      </w:r>
    </w:p>
    <w:p w14:paraId="6F8137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1 设计文件、设计变更和洽商。</w:t>
      </w:r>
    </w:p>
    <w:p w14:paraId="0E7E32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2 质量证明文件、进场检验记录、进场复验报告、见证试验报告。</w:t>
      </w:r>
    </w:p>
    <w:p w14:paraId="28EC90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3 隐蔽工程验收记录和相关图像资料。</w:t>
      </w:r>
    </w:p>
    <w:p w14:paraId="75D039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4 检验批质量验收记录。</w:t>
      </w:r>
    </w:p>
    <w:p w14:paraId="034EEF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5 其他必要的资料。</w:t>
      </w:r>
    </w:p>
    <w:p w14:paraId="4B599F0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3.7</w:t>
      </w:r>
      <w:r>
        <w:rPr>
          <w:rFonts w:hint="eastAsia"/>
          <w:b w:val="0"/>
          <w:bCs w:val="0"/>
          <w:sz w:val="24"/>
          <w:szCs w:val="24"/>
          <w:lang w:val="en-US" w:eastAsia="zh-CN"/>
        </w:rPr>
        <w:t>检验批划分应以下规定：</w:t>
      </w:r>
    </w:p>
    <w:p w14:paraId="3B151D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1 采用相同材料、工艺和施工做法的墙面，扣除门窗洞口后的墙面面积每 1000m</w:t>
      </w:r>
      <w:r>
        <w:rPr>
          <w:rFonts w:hint="eastAsia"/>
          <w:b w:val="0"/>
          <w:bCs w:val="0"/>
          <w:sz w:val="24"/>
          <w:szCs w:val="24"/>
          <w:vertAlign w:val="superscript"/>
          <w:lang w:val="en-US" w:eastAsia="zh-CN"/>
        </w:rPr>
        <w:t xml:space="preserve">2 </w:t>
      </w:r>
      <w:r>
        <w:rPr>
          <w:rFonts w:hint="eastAsia"/>
          <w:b w:val="0"/>
          <w:bCs w:val="0"/>
          <w:sz w:val="24"/>
          <w:szCs w:val="24"/>
          <w:lang w:val="en-US" w:eastAsia="zh-CN"/>
        </w:rPr>
        <w:t>划分为一个检验批；不足 1000m</w:t>
      </w:r>
      <w:r>
        <w:rPr>
          <w:rFonts w:hint="eastAsia"/>
          <w:b w:val="0"/>
          <w:bCs w:val="0"/>
          <w:sz w:val="24"/>
          <w:szCs w:val="24"/>
          <w:vertAlign w:val="superscript"/>
          <w:lang w:val="en-US" w:eastAsia="zh-CN"/>
        </w:rPr>
        <w:t>2</w:t>
      </w:r>
      <w:r>
        <w:rPr>
          <w:rFonts w:hint="eastAsia"/>
          <w:b w:val="0"/>
          <w:bCs w:val="0"/>
          <w:sz w:val="24"/>
          <w:szCs w:val="24"/>
          <w:lang w:val="en-US" w:eastAsia="zh-CN"/>
        </w:rPr>
        <w:t>时，按一个检验批检验。每个检验批每 100 m</w:t>
      </w:r>
      <w:r>
        <w:rPr>
          <w:rFonts w:hint="eastAsia"/>
          <w:b w:val="0"/>
          <w:bCs w:val="0"/>
          <w:sz w:val="24"/>
          <w:szCs w:val="24"/>
          <w:vertAlign w:val="superscript"/>
          <w:lang w:val="en-US" w:eastAsia="zh-CN"/>
        </w:rPr>
        <w:t>2</w:t>
      </w:r>
      <w:r>
        <w:rPr>
          <w:rFonts w:hint="eastAsia"/>
          <w:b w:val="0"/>
          <w:bCs w:val="0"/>
          <w:sz w:val="24"/>
          <w:szCs w:val="24"/>
          <w:lang w:val="en-US" w:eastAsia="zh-CN"/>
        </w:rPr>
        <w:t xml:space="preserve"> 应至少抽查一处，每处不得小于 10 m</w:t>
      </w:r>
      <w:r>
        <w:rPr>
          <w:rFonts w:hint="eastAsia"/>
          <w:b w:val="0"/>
          <w:bCs w:val="0"/>
          <w:sz w:val="24"/>
          <w:szCs w:val="24"/>
          <w:vertAlign w:val="superscript"/>
          <w:lang w:val="en-US" w:eastAsia="zh-CN"/>
        </w:rPr>
        <w:t>2</w:t>
      </w:r>
      <w:r>
        <w:rPr>
          <w:rFonts w:hint="eastAsia"/>
          <w:b w:val="0"/>
          <w:bCs w:val="0"/>
          <w:sz w:val="24"/>
          <w:szCs w:val="24"/>
          <w:lang w:val="en-US" w:eastAsia="zh-CN"/>
        </w:rPr>
        <w:t>。</w:t>
      </w:r>
    </w:p>
    <w:p w14:paraId="6FC3C2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2 检验批的划分也可根据与施工流程相一致且方便施工与验收的原则，由施工单位与监理（建设）单位协商确定。</w:t>
      </w:r>
    </w:p>
    <w:p w14:paraId="37E8C9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3 当按计数方法检验时，抽样数量应符合表 8.3.7最小抽样数量的规定。</w:t>
      </w:r>
    </w:p>
    <w:p w14:paraId="6453B1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lang w:val="en-US" w:eastAsia="zh-CN"/>
        </w:rPr>
      </w:pPr>
      <w:r>
        <w:rPr>
          <w:rFonts w:hint="eastAsia"/>
          <w:b/>
          <w:bCs/>
          <w:sz w:val="21"/>
          <w:szCs w:val="21"/>
          <w:lang w:val="en-US" w:eastAsia="zh-CN"/>
        </w:rPr>
        <w:t>表8.3.7 检验批最小抽样数量</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425B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3B796E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检验批的容量</w:t>
            </w:r>
          </w:p>
        </w:tc>
        <w:tc>
          <w:tcPr>
            <w:tcW w:w="2130" w:type="dxa"/>
            <w:noWrap w:val="0"/>
            <w:vAlign w:val="top"/>
          </w:tcPr>
          <w:p w14:paraId="070409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最小抽样数量</w:t>
            </w:r>
          </w:p>
        </w:tc>
        <w:tc>
          <w:tcPr>
            <w:tcW w:w="2131" w:type="dxa"/>
            <w:noWrap w:val="0"/>
            <w:vAlign w:val="top"/>
          </w:tcPr>
          <w:p w14:paraId="058AB4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检验批的容量</w:t>
            </w:r>
          </w:p>
        </w:tc>
        <w:tc>
          <w:tcPr>
            <w:tcW w:w="2131" w:type="dxa"/>
            <w:noWrap w:val="0"/>
            <w:vAlign w:val="top"/>
          </w:tcPr>
          <w:p w14:paraId="007642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最小抽样数量</w:t>
            </w:r>
          </w:p>
        </w:tc>
      </w:tr>
      <w:tr w14:paraId="0D449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4CEF659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b w:val="0"/>
                <w:bCs w:val="0"/>
                <w:sz w:val="21"/>
                <w:szCs w:val="21"/>
                <w:vertAlign w:val="baseline"/>
                <w:lang w:val="en-US" w:eastAsia="zh-CN"/>
              </w:rPr>
            </w:pPr>
            <w:r>
              <w:rPr>
                <w:rFonts w:hint="eastAsia"/>
                <w:b w:val="0"/>
                <w:bCs w:val="0"/>
                <w:sz w:val="21"/>
                <w:szCs w:val="21"/>
                <w:vertAlign w:val="baseline"/>
                <w:lang w:val="en-US" w:eastAsia="zh-CN"/>
              </w:rPr>
              <w:t>2</w:t>
            </w:r>
            <w:r>
              <w:rPr>
                <w:rFonts w:hint="eastAsia" w:ascii="宋体" w:hAnsi="宋体" w:eastAsia="宋体" w:cs="宋体"/>
                <w:b w:val="0"/>
                <w:bCs w:val="0"/>
                <w:sz w:val="21"/>
                <w:szCs w:val="21"/>
                <w:vertAlign w:val="baseline"/>
                <w:lang w:val="en-US" w:eastAsia="zh-CN"/>
              </w:rPr>
              <w:t>～</w:t>
            </w:r>
            <w:r>
              <w:rPr>
                <w:rFonts w:hint="eastAsia" w:ascii="宋体" w:hAnsi="宋体" w:cs="宋体"/>
                <w:b w:val="0"/>
                <w:bCs w:val="0"/>
                <w:sz w:val="21"/>
                <w:szCs w:val="21"/>
                <w:vertAlign w:val="baseline"/>
                <w:lang w:val="en-US" w:eastAsia="zh-CN"/>
              </w:rPr>
              <w:t>15</w:t>
            </w:r>
          </w:p>
          <w:p w14:paraId="6E17659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16</w:t>
            </w:r>
            <w:r>
              <w:rPr>
                <w:rFonts w:hint="eastAsia" w:ascii="宋体" w:hAnsi="宋体" w:eastAsia="宋体" w:cs="宋体"/>
                <w:b w:val="0"/>
                <w:bCs w:val="0"/>
                <w:sz w:val="21"/>
                <w:szCs w:val="21"/>
                <w:vertAlign w:val="baseline"/>
                <w:lang w:val="en-US" w:eastAsia="zh-CN"/>
              </w:rPr>
              <w:t>～</w:t>
            </w:r>
            <w:r>
              <w:rPr>
                <w:rFonts w:hint="eastAsia" w:ascii="宋体" w:hAnsi="宋体" w:cs="宋体"/>
                <w:b w:val="0"/>
                <w:bCs w:val="0"/>
                <w:sz w:val="21"/>
                <w:szCs w:val="21"/>
                <w:vertAlign w:val="baseline"/>
                <w:lang w:val="en-US" w:eastAsia="zh-CN"/>
              </w:rPr>
              <w:t>25</w:t>
            </w:r>
          </w:p>
          <w:p w14:paraId="698EE5D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26</w:t>
            </w:r>
            <w:r>
              <w:rPr>
                <w:rFonts w:hint="eastAsia" w:ascii="宋体" w:hAnsi="宋体" w:eastAsia="宋体" w:cs="宋体"/>
                <w:b w:val="0"/>
                <w:bCs w:val="0"/>
                <w:sz w:val="21"/>
                <w:szCs w:val="21"/>
                <w:vertAlign w:val="baseline"/>
                <w:lang w:val="en-US" w:eastAsia="zh-CN"/>
              </w:rPr>
              <w:t>～</w:t>
            </w:r>
            <w:r>
              <w:rPr>
                <w:rFonts w:hint="eastAsia" w:ascii="宋体" w:hAnsi="宋体" w:cs="宋体"/>
                <w:b w:val="0"/>
                <w:bCs w:val="0"/>
                <w:sz w:val="21"/>
                <w:szCs w:val="21"/>
                <w:vertAlign w:val="baseline"/>
                <w:lang w:val="en-US" w:eastAsia="zh-CN"/>
              </w:rPr>
              <w:t>90</w:t>
            </w:r>
          </w:p>
          <w:p w14:paraId="622E463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91</w:t>
            </w:r>
            <w:r>
              <w:rPr>
                <w:rFonts w:hint="eastAsia" w:ascii="宋体" w:hAnsi="宋体" w:eastAsia="宋体" w:cs="宋体"/>
                <w:b w:val="0"/>
                <w:bCs w:val="0"/>
                <w:sz w:val="21"/>
                <w:szCs w:val="21"/>
                <w:vertAlign w:val="baseline"/>
                <w:lang w:val="en-US" w:eastAsia="zh-CN"/>
              </w:rPr>
              <w:t>～</w:t>
            </w:r>
            <w:r>
              <w:rPr>
                <w:rFonts w:hint="eastAsia" w:ascii="宋体" w:hAnsi="宋体" w:cs="宋体"/>
                <w:b w:val="0"/>
                <w:bCs w:val="0"/>
                <w:sz w:val="21"/>
                <w:szCs w:val="21"/>
                <w:vertAlign w:val="baseline"/>
                <w:lang w:val="en-US" w:eastAsia="zh-CN"/>
              </w:rPr>
              <w:t>150</w:t>
            </w:r>
          </w:p>
        </w:tc>
        <w:tc>
          <w:tcPr>
            <w:tcW w:w="2130" w:type="dxa"/>
            <w:noWrap w:val="0"/>
            <w:vAlign w:val="top"/>
          </w:tcPr>
          <w:p w14:paraId="59A184A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1"/>
                <w:szCs w:val="21"/>
                <w:vertAlign w:val="baseline"/>
                <w:lang w:val="en-US" w:eastAsia="zh-CN"/>
              </w:rPr>
            </w:pPr>
            <w:r>
              <w:rPr>
                <w:rFonts w:hint="eastAsia"/>
                <w:b w:val="0"/>
                <w:bCs w:val="0"/>
                <w:sz w:val="21"/>
                <w:szCs w:val="21"/>
                <w:vertAlign w:val="baseline"/>
                <w:lang w:val="en-US" w:eastAsia="zh-CN"/>
              </w:rPr>
              <w:t>2</w:t>
            </w:r>
          </w:p>
          <w:p w14:paraId="70F16DE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1"/>
                <w:szCs w:val="21"/>
                <w:vertAlign w:val="baseline"/>
                <w:lang w:val="en-US" w:eastAsia="zh-CN"/>
              </w:rPr>
            </w:pPr>
            <w:r>
              <w:rPr>
                <w:rFonts w:hint="eastAsia"/>
                <w:b w:val="0"/>
                <w:bCs w:val="0"/>
                <w:sz w:val="21"/>
                <w:szCs w:val="21"/>
                <w:vertAlign w:val="baseline"/>
                <w:lang w:val="en-US" w:eastAsia="zh-CN"/>
              </w:rPr>
              <w:t>3</w:t>
            </w:r>
          </w:p>
          <w:p w14:paraId="185F9E8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1"/>
                <w:szCs w:val="21"/>
                <w:vertAlign w:val="baseline"/>
                <w:lang w:val="en-US" w:eastAsia="zh-CN"/>
              </w:rPr>
            </w:pPr>
            <w:r>
              <w:rPr>
                <w:rFonts w:hint="eastAsia"/>
                <w:b w:val="0"/>
                <w:bCs w:val="0"/>
                <w:sz w:val="21"/>
                <w:szCs w:val="21"/>
                <w:vertAlign w:val="baseline"/>
                <w:lang w:val="en-US" w:eastAsia="zh-CN"/>
              </w:rPr>
              <w:t>5</w:t>
            </w:r>
          </w:p>
          <w:p w14:paraId="01BBECD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8</w:t>
            </w:r>
          </w:p>
        </w:tc>
        <w:tc>
          <w:tcPr>
            <w:tcW w:w="2131" w:type="dxa"/>
            <w:noWrap w:val="0"/>
            <w:vAlign w:val="top"/>
          </w:tcPr>
          <w:p w14:paraId="14FC47F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b w:val="0"/>
                <w:bCs w:val="0"/>
                <w:sz w:val="21"/>
                <w:szCs w:val="21"/>
                <w:vertAlign w:val="baseline"/>
                <w:lang w:val="en-US" w:eastAsia="zh-CN"/>
              </w:rPr>
            </w:pPr>
            <w:r>
              <w:rPr>
                <w:rFonts w:hint="eastAsia"/>
                <w:b w:val="0"/>
                <w:bCs w:val="0"/>
                <w:sz w:val="21"/>
                <w:szCs w:val="21"/>
                <w:vertAlign w:val="baseline"/>
                <w:lang w:val="en-US" w:eastAsia="zh-CN"/>
              </w:rPr>
              <w:t>151</w:t>
            </w:r>
            <w:r>
              <w:rPr>
                <w:rFonts w:hint="eastAsia" w:ascii="宋体" w:hAnsi="宋体" w:eastAsia="宋体" w:cs="宋体"/>
                <w:b w:val="0"/>
                <w:bCs w:val="0"/>
                <w:sz w:val="21"/>
                <w:szCs w:val="21"/>
                <w:vertAlign w:val="baseline"/>
                <w:lang w:val="en-US" w:eastAsia="zh-CN"/>
              </w:rPr>
              <w:t>～</w:t>
            </w:r>
            <w:r>
              <w:rPr>
                <w:rFonts w:hint="eastAsia" w:ascii="宋体" w:hAnsi="宋体" w:cs="宋体"/>
                <w:b w:val="0"/>
                <w:bCs w:val="0"/>
                <w:sz w:val="21"/>
                <w:szCs w:val="21"/>
                <w:vertAlign w:val="baseline"/>
                <w:lang w:val="en-US" w:eastAsia="zh-CN"/>
              </w:rPr>
              <w:t>280</w:t>
            </w:r>
          </w:p>
          <w:p w14:paraId="52CAEEF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281</w:t>
            </w:r>
            <w:r>
              <w:rPr>
                <w:rFonts w:hint="eastAsia" w:ascii="宋体" w:hAnsi="宋体" w:eastAsia="宋体" w:cs="宋体"/>
                <w:b w:val="0"/>
                <w:bCs w:val="0"/>
                <w:sz w:val="21"/>
                <w:szCs w:val="21"/>
                <w:vertAlign w:val="baseline"/>
                <w:lang w:val="en-US" w:eastAsia="zh-CN"/>
              </w:rPr>
              <w:t>～</w:t>
            </w:r>
            <w:r>
              <w:rPr>
                <w:rFonts w:hint="eastAsia" w:ascii="宋体" w:hAnsi="宋体" w:cs="宋体"/>
                <w:b w:val="0"/>
                <w:bCs w:val="0"/>
                <w:sz w:val="21"/>
                <w:szCs w:val="21"/>
                <w:vertAlign w:val="baseline"/>
                <w:lang w:val="en-US" w:eastAsia="zh-CN"/>
              </w:rPr>
              <w:t>500</w:t>
            </w:r>
          </w:p>
          <w:p w14:paraId="3287FAC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501</w:t>
            </w:r>
            <w:r>
              <w:rPr>
                <w:rFonts w:hint="eastAsia" w:ascii="宋体" w:hAnsi="宋体" w:eastAsia="宋体" w:cs="宋体"/>
                <w:b w:val="0"/>
                <w:bCs w:val="0"/>
                <w:sz w:val="21"/>
                <w:szCs w:val="21"/>
                <w:vertAlign w:val="baseline"/>
                <w:lang w:val="en-US" w:eastAsia="zh-CN"/>
              </w:rPr>
              <w:t>～</w:t>
            </w:r>
            <w:r>
              <w:rPr>
                <w:rFonts w:hint="eastAsia" w:ascii="宋体" w:hAnsi="宋体" w:cs="宋体"/>
                <w:b w:val="0"/>
                <w:bCs w:val="0"/>
                <w:sz w:val="21"/>
                <w:szCs w:val="21"/>
                <w:vertAlign w:val="baseline"/>
                <w:lang w:val="en-US" w:eastAsia="zh-CN"/>
              </w:rPr>
              <w:t>1200</w:t>
            </w:r>
          </w:p>
          <w:p w14:paraId="7EF4099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1201</w:t>
            </w:r>
            <w:r>
              <w:rPr>
                <w:rFonts w:hint="eastAsia" w:ascii="宋体" w:hAnsi="宋体" w:eastAsia="宋体" w:cs="宋体"/>
                <w:b w:val="0"/>
                <w:bCs w:val="0"/>
                <w:sz w:val="21"/>
                <w:szCs w:val="21"/>
                <w:vertAlign w:val="baseline"/>
                <w:lang w:val="en-US" w:eastAsia="zh-CN"/>
              </w:rPr>
              <w:t>～</w:t>
            </w:r>
            <w:r>
              <w:rPr>
                <w:rFonts w:hint="eastAsia" w:ascii="宋体" w:hAnsi="宋体" w:cs="宋体"/>
                <w:b w:val="0"/>
                <w:bCs w:val="0"/>
                <w:sz w:val="21"/>
                <w:szCs w:val="21"/>
                <w:vertAlign w:val="baseline"/>
                <w:lang w:val="en-US" w:eastAsia="zh-CN"/>
              </w:rPr>
              <w:t>3200</w:t>
            </w:r>
          </w:p>
        </w:tc>
        <w:tc>
          <w:tcPr>
            <w:tcW w:w="2131" w:type="dxa"/>
            <w:noWrap w:val="0"/>
            <w:vAlign w:val="top"/>
          </w:tcPr>
          <w:p w14:paraId="2C0A79D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1"/>
                <w:szCs w:val="21"/>
                <w:vertAlign w:val="baseline"/>
                <w:lang w:val="en-US" w:eastAsia="zh-CN"/>
              </w:rPr>
            </w:pPr>
            <w:r>
              <w:rPr>
                <w:rFonts w:hint="eastAsia"/>
                <w:b w:val="0"/>
                <w:bCs w:val="0"/>
                <w:sz w:val="21"/>
                <w:szCs w:val="21"/>
                <w:vertAlign w:val="baseline"/>
                <w:lang w:val="en-US" w:eastAsia="zh-CN"/>
              </w:rPr>
              <w:t>13</w:t>
            </w:r>
          </w:p>
          <w:p w14:paraId="255B502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1"/>
                <w:szCs w:val="21"/>
                <w:vertAlign w:val="baseline"/>
                <w:lang w:val="en-US" w:eastAsia="zh-CN"/>
              </w:rPr>
            </w:pPr>
            <w:r>
              <w:rPr>
                <w:rFonts w:hint="eastAsia"/>
                <w:b w:val="0"/>
                <w:bCs w:val="0"/>
                <w:sz w:val="21"/>
                <w:szCs w:val="21"/>
                <w:vertAlign w:val="baseline"/>
                <w:lang w:val="en-US" w:eastAsia="zh-CN"/>
              </w:rPr>
              <w:t>20</w:t>
            </w:r>
          </w:p>
          <w:p w14:paraId="7F4DA6B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val="0"/>
                <w:sz w:val="21"/>
                <w:szCs w:val="21"/>
                <w:vertAlign w:val="baseline"/>
                <w:lang w:val="en-US" w:eastAsia="zh-CN"/>
              </w:rPr>
            </w:pPr>
            <w:r>
              <w:rPr>
                <w:rFonts w:hint="eastAsia"/>
                <w:b w:val="0"/>
                <w:bCs w:val="0"/>
                <w:sz w:val="21"/>
                <w:szCs w:val="21"/>
                <w:vertAlign w:val="baseline"/>
                <w:lang w:val="en-US" w:eastAsia="zh-CN"/>
              </w:rPr>
              <w:t>32</w:t>
            </w:r>
          </w:p>
          <w:p w14:paraId="6D120C1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50</w:t>
            </w:r>
          </w:p>
        </w:tc>
      </w:tr>
    </w:tbl>
    <w:p w14:paraId="2901A91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4"/>
          <w:szCs w:val="24"/>
          <w:lang w:val="en-US" w:eastAsia="zh-CN"/>
        </w:rPr>
      </w:pPr>
      <w:r>
        <w:rPr>
          <w:rFonts w:hint="eastAsia"/>
          <w:b/>
          <w:bCs/>
          <w:sz w:val="24"/>
          <w:szCs w:val="24"/>
          <w:lang w:val="en-US" w:eastAsia="zh-CN"/>
        </w:rPr>
        <w:t>Ⅰ 主控项目</w:t>
      </w:r>
    </w:p>
    <w:p w14:paraId="4FBDBD1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 xml:space="preserve">3.8 </w:t>
      </w:r>
      <w:r>
        <w:rPr>
          <w:rFonts w:hint="eastAsia"/>
          <w:b w:val="0"/>
          <w:bCs w:val="0"/>
          <w:sz w:val="24"/>
          <w:szCs w:val="24"/>
          <w:lang w:val="en-US" w:eastAsia="zh-CN"/>
        </w:rPr>
        <w:t>改性玻化微珠外墙粘锚托系统</w:t>
      </w:r>
      <w:r>
        <w:rPr>
          <w:rFonts w:hint="default"/>
          <w:b w:val="0"/>
          <w:bCs w:val="0"/>
          <w:sz w:val="24"/>
          <w:szCs w:val="24"/>
          <w:lang w:val="en-US" w:eastAsia="zh-CN"/>
        </w:rPr>
        <w:t>以及各组成材料与配件的品种、规格、性能应符合设计要求，各材料和构件的质量证明文件与相关技术资料应齐全。应进行进场验收，验收结果应经监理工程师检查认可，且应形成相应的验收记录。</w:t>
      </w:r>
    </w:p>
    <w:p w14:paraId="6A983AB9">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b w:val="0"/>
          <w:bCs w:val="0"/>
          <w:sz w:val="24"/>
          <w:szCs w:val="24"/>
          <w:lang w:val="en-US" w:eastAsia="zh-CN"/>
        </w:rPr>
      </w:pPr>
      <w:r>
        <w:rPr>
          <w:rFonts w:hint="eastAsia" w:ascii="宋体" w:hAnsi="宋体"/>
          <w:b/>
          <w:bCs/>
          <w:sz w:val="24"/>
          <w:szCs w:val="24"/>
          <w:lang w:val="en-US" w:eastAsia="zh-CN"/>
        </w:rPr>
        <w:t>检验方法:</w:t>
      </w:r>
      <w:r>
        <w:rPr>
          <w:rFonts w:hint="default"/>
          <w:b w:val="0"/>
          <w:bCs w:val="0"/>
          <w:sz w:val="24"/>
          <w:szCs w:val="24"/>
          <w:lang w:val="en-US" w:eastAsia="zh-CN"/>
        </w:rPr>
        <w:t>观察、尺量检查；核查质量证明文件。</w:t>
      </w:r>
    </w:p>
    <w:p w14:paraId="0116D3DC">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b w:val="0"/>
          <w:bCs w:val="0"/>
          <w:sz w:val="24"/>
          <w:szCs w:val="24"/>
          <w:lang w:val="en-US" w:eastAsia="zh-CN"/>
        </w:rPr>
      </w:pPr>
      <w:r>
        <w:rPr>
          <w:rFonts w:hint="default"/>
          <w:b/>
          <w:bCs/>
          <w:sz w:val="24"/>
          <w:szCs w:val="24"/>
          <w:lang w:val="en-US" w:eastAsia="zh-CN"/>
        </w:rPr>
        <w:t>检查数量：</w:t>
      </w:r>
      <w:r>
        <w:rPr>
          <w:rFonts w:hint="default"/>
          <w:b w:val="0"/>
          <w:bCs w:val="0"/>
          <w:sz w:val="24"/>
          <w:szCs w:val="24"/>
          <w:lang w:val="en-US" w:eastAsia="zh-CN"/>
        </w:rPr>
        <w:t>按进场批次，每批随机抽取 3 个试样进行检查；质量证明文件应按照其出厂检验批进行核查。</w:t>
      </w:r>
    </w:p>
    <w:p w14:paraId="1FAD260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 xml:space="preserve">3.9 </w:t>
      </w:r>
      <w:r>
        <w:rPr>
          <w:rFonts w:hint="eastAsia"/>
          <w:b w:val="0"/>
          <w:bCs w:val="0"/>
          <w:sz w:val="24"/>
          <w:szCs w:val="24"/>
          <w:lang w:val="en-US" w:eastAsia="zh-CN"/>
        </w:rPr>
        <w:t>改性玻化微珠轻质砂浆的导热系数、抗压强度，粘结材料的拉伸粘结强度，抹面材料的拉伸粘结强度、压折比，增强网的力学性能、抗腐蚀性能，锚栓的抗拉承载力标准值应符合设计要求。进场时应进行复验，复验应为见证取样送检。</w:t>
      </w:r>
    </w:p>
    <w:p w14:paraId="28276A14">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ascii="宋体" w:hAnsi="宋体"/>
          <w:b/>
          <w:bCs/>
          <w:sz w:val="24"/>
          <w:szCs w:val="24"/>
          <w:lang w:val="en-US" w:eastAsia="zh-CN"/>
        </w:rPr>
        <w:t>检验方法:</w:t>
      </w:r>
      <w:r>
        <w:rPr>
          <w:rFonts w:hint="eastAsia"/>
          <w:b w:val="0"/>
          <w:bCs w:val="0"/>
          <w:sz w:val="24"/>
          <w:szCs w:val="24"/>
          <w:lang w:val="en-US" w:eastAsia="zh-CN"/>
        </w:rPr>
        <w:t>核查质量证明文件和有效期内的型式检验报告，随机抽样检验，核查进场复验报告。</w:t>
      </w:r>
    </w:p>
    <w:p w14:paraId="34960461">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b/>
          <w:bCs/>
          <w:sz w:val="24"/>
          <w:szCs w:val="24"/>
          <w:lang w:val="en-US" w:eastAsia="zh-CN"/>
        </w:rPr>
        <w:t>检查数量：</w:t>
      </w:r>
      <w:r>
        <w:rPr>
          <w:rFonts w:hint="eastAsia"/>
          <w:b w:val="0"/>
          <w:bCs w:val="0"/>
          <w:sz w:val="24"/>
          <w:szCs w:val="24"/>
          <w:lang w:val="en-US" w:eastAsia="zh-CN"/>
        </w:rPr>
        <w:t>按现行国家标准《建筑节能工程施工质量验收标准》GB 50411 的规定。同厂家、同品种产品，按照扣除门窗洞口后的墙面面积所使用的材料用量，在 5000m</w:t>
      </w:r>
      <w:r>
        <w:rPr>
          <w:rFonts w:hint="eastAsia"/>
          <w:b w:val="0"/>
          <w:bCs w:val="0"/>
          <w:sz w:val="24"/>
          <w:szCs w:val="24"/>
          <w:vertAlign w:val="superscript"/>
          <w:lang w:val="en-US" w:eastAsia="zh-CN"/>
        </w:rPr>
        <w:t>2</w:t>
      </w:r>
      <w:r>
        <w:rPr>
          <w:rFonts w:hint="eastAsia"/>
          <w:b w:val="0"/>
          <w:bCs w:val="0"/>
          <w:sz w:val="24"/>
          <w:szCs w:val="24"/>
          <w:lang w:val="en-US" w:eastAsia="zh-CN"/>
        </w:rPr>
        <w:t xml:space="preserve"> 以内时应复验 1 次；面积每增加 5000m</w:t>
      </w:r>
      <w:r>
        <w:rPr>
          <w:rFonts w:hint="eastAsia"/>
          <w:b w:val="0"/>
          <w:bCs w:val="0"/>
          <w:sz w:val="24"/>
          <w:szCs w:val="24"/>
          <w:vertAlign w:val="superscript"/>
          <w:lang w:val="en-US" w:eastAsia="zh-CN"/>
        </w:rPr>
        <w:t>2</w:t>
      </w:r>
      <w:r>
        <w:rPr>
          <w:rFonts w:hint="eastAsia"/>
          <w:b w:val="0"/>
          <w:bCs w:val="0"/>
          <w:sz w:val="24"/>
          <w:szCs w:val="24"/>
          <w:lang w:val="en-US" w:eastAsia="zh-CN"/>
        </w:rPr>
        <w:t xml:space="preserve"> 应增加 1 次。</w:t>
      </w:r>
    </w:p>
    <w:p w14:paraId="11A5B7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 xml:space="preserve">3.10 </w:t>
      </w:r>
      <w:r>
        <w:rPr>
          <w:rFonts w:hint="eastAsia"/>
          <w:b w:val="0"/>
          <w:bCs w:val="0"/>
          <w:sz w:val="24"/>
          <w:szCs w:val="24"/>
          <w:lang w:val="en-US" w:eastAsia="zh-CN"/>
        </w:rPr>
        <w:t>构造做法应符合设计及本标准对系统的构造要求。门窗外侧洞口周边墙面和凸窗非透明的顶板、侧板和底板应按设计要求采取措施。</w:t>
      </w:r>
    </w:p>
    <w:p w14:paraId="16A08385">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ascii="宋体" w:hAnsi="宋体"/>
          <w:b/>
          <w:bCs/>
          <w:sz w:val="24"/>
          <w:szCs w:val="24"/>
          <w:lang w:val="en-US" w:eastAsia="zh-CN"/>
        </w:rPr>
        <w:t>检验方法:</w:t>
      </w:r>
      <w:r>
        <w:rPr>
          <w:rFonts w:hint="eastAsia"/>
          <w:b w:val="0"/>
          <w:bCs w:val="0"/>
          <w:sz w:val="24"/>
          <w:szCs w:val="24"/>
          <w:lang w:val="en-US" w:eastAsia="zh-CN"/>
        </w:rPr>
        <w:t>对照设计和施工方案观察检查；核查施工记录和隐蔽工程验收记录。必要时可采用抽样剖开检查或外墙构造的现场实体检验方法。</w:t>
      </w:r>
    </w:p>
    <w:p w14:paraId="51470806">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b/>
          <w:bCs/>
          <w:sz w:val="24"/>
          <w:szCs w:val="24"/>
          <w:lang w:val="en-US" w:eastAsia="zh-CN"/>
        </w:rPr>
        <w:t>检查数量：</w:t>
      </w:r>
      <w:r>
        <w:rPr>
          <w:rFonts w:hint="eastAsia"/>
          <w:b w:val="0"/>
          <w:bCs w:val="0"/>
          <w:sz w:val="24"/>
          <w:szCs w:val="24"/>
          <w:lang w:val="en-US" w:eastAsia="zh-CN"/>
        </w:rPr>
        <w:t>全数检查，现场实体检验的数量按现行国家标准《建筑节能工程施工质量验收标准》GB 50411 的规定。</w:t>
      </w:r>
    </w:p>
    <w:p w14:paraId="37D5B11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3.11</w:t>
      </w:r>
      <w:r>
        <w:rPr>
          <w:rFonts w:hint="eastAsia"/>
          <w:b w:val="0"/>
          <w:bCs w:val="0"/>
          <w:sz w:val="24"/>
          <w:szCs w:val="24"/>
          <w:lang w:val="en-US" w:eastAsia="zh-CN"/>
        </w:rPr>
        <w:t>锚栓数量、位置、锚固深度和锚栓的拉拔力应符合设计要求。</w:t>
      </w:r>
    </w:p>
    <w:p w14:paraId="3C3EA0A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ascii="宋体" w:hAnsi="宋体"/>
          <w:b/>
          <w:bCs/>
          <w:sz w:val="24"/>
          <w:szCs w:val="24"/>
          <w:lang w:val="en-US" w:eastAsia="zh-CN"/>
        </w:rPr>
        <w:t>检验方法:</w:t>
      </w:r>
      <w:r>
        <w:rPr>
          <w:rFonts w:hint="eastAsia"/>
          <w:b w:val="0"/>
          <w:bCs w:val="0"/>
          <w:sz w:val="24"/>
          <w:szCs w:val="24"/>
          <w:lang w:val="en-US" w:eastAsia="zh-CN"/>
        </w:rPr>
        <w:t>观察、手扳检查；核查施工记录和隐蔽工程验收记录；对锚栓进行现场拉拔试验。</w:t>
      </w:r>
    </w:p>
    <w:p w14:paraId="6C818B9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b/>
          <w:bCs/>
          <w:sz w:val="24"/>
          <w:szCs w:val="24"/>
          <w:lang w:val="en-US" w:eastAsia="zh-CN"/>
        </w:rPr>
        <w:t>检查数量：</w:t>
      </w:r>
      <w:r>
        <w:rPr>
          <w:rFonts w:hint="eastAsia"/>
          <w:b w:val="0"/>
          <w:bCs w:val="0"/>
          <w:sz w:val="24"/>
          <w:szCs w:val="24"/>
          <w:lang w:val="en-US" w:eastAsia="zh-CN"/>
        </w:rPr>
        <w:t>每个检验批检查不少于 3 处。</w:t>
      </w:r>
    </w:p>
    <w:p w14:paraId="07ABAC4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3.12</w:t>
      </w:r>
      <w:r>
        <w:rPr>
          <w:rFonts w:hint="eastAsia"/>
          <w:b w:val="0"/>
          <w:bCs w:val="0"/>
          <w:sz w:val="24"/>
          <w:szCs w:val="24"/>
          <w:lang w:val="en-US" w:eastAsia="zh-CN"/>
        </w:rPr>
        <w:t xml:space="preserve">耐碱玻璃纤维网布的铺设及搭接长度应符合设计要求。 </w:t>
      </w:r>
    </w:p>
    <w:p w14:paraId="6ACFB55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ascii="宋体" w:hAnsi="宋体"/>
          <w:b/>
          <w:bCs/>
          <w:sz w:val="24"/>
          <w:szCs w:val="24"/>
          <w:lang w:val="en-US" w:eastAsia="zh-CN"/>
        </w:rPr>
        <w:t>检验方法:</w:t>
      </w:r>
      <w:r>
        <w:rPr>
          <w:rFonts w:hint="eastAsia"/>
          <w:b w:val="0"/>
          <w:bCs w:val="0"/>
          <w:sz w:val="24"/>
          <w:szCs w:val="24"/>
          <w:lang w:val="en-US" w:eastAsia="zh-CN"/>
        </w:rPr>
        <w:t xml:space="preserve">观察检查、直尺测量；核查隐蔽工程验收记录，随机抽样检验， 核查进场复验报告。 </w:t>
      </w:r>
    </w:p>
    <w:p w14:paraId="37D4FC4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b/>
          <w:bCs/>
          <w:sz w:val="24"/>
          <w:szCs w:val="24"/>
          <w:lang w:val="en-US" w:eastAsia="zh-CN"/>
        </w:rPr>
        <w:t>检查数量：</w:t>
      </w:r>
      <w:r>
        <w:rPr>
          <w:rFonts w:hint="eastAsia"/>
          <w:b w:val="0"/>
          <w:bCs w:val="0"/>
          <w:sz w:val="24"/>
          <w:szCs w:val="24"/>
          <w:lang w:val="en-US" w:eastAsia="zh-CN"/>
        </w:rPr>
        <w:t xml:space="preserve">每个检验批抽查不少于 </w:t>
      </w:r>
      <w:r>
        <w:rPr>
          <w:rFonts w:hint="default"/>
          <w:b w:val="0"/>
          <w:bCs w:val="0"/>
          <w:sz w:val="24"/>
          <w:szCs w:val="24"/>
          <w:lang w:val="en-US" w:eastAsia="zh-CN"/>
        </w:rPr>
        <w:t xml:space="preserve">5 </w:t>
      </w:r>
      <w:r>
        <w:rPr>
          <w:rFonts w:hint="eastAsia"/>
          <w:b w:val="0"/>
          <w:bCs w:val="0"/>
          <w:sz w:val="24"/>
          <w:szCs w:val="24"/>
          <w:lang w:val="en-US" w:eastAsia="zh-CN"/>
        </w:rPr>
        <w:t xml:space="preserve">处，每处不少于 </w:t>
      </w:r>
      <w:r>
        <w:rPr>
          <w:rFonts w:hint="default"/>
          <w:b w:val="0"/>
          <w:bCs w:val="0"/>
          <w:sz w:val="24"/>
          <w:szCs w:val="24"/>
          <w:lang w:val="en-US" w:eastAsia="zh-CN"/>
        </w:rPr>
        <w:t>2m</w:t>
      </w:r>
      <w:r>
        <w:rPr>
          <w:rFonts w:hint="default"/>
          <w:b w:val="0"/>
          <w:bCs w:val="0"/>
          <w:sz w:val="24"/>
          <w:szCs w:val="24"/>
          <w:vertAlign w:val="superscript"/>
          <w:lang w:val="en-US" w:eastAsia="zh-CN"/>
        </w:rPr>
        <w:t>2</w:t>
      </w:r>
      <w:r>
        <w:rPr>
          <w:rFonts w:hint="default"/>
          <w:b w:val="0"/>
          <w:bCs w:val="0"/>
          <w:sz w:val="24"/>
          <w:szCs w:val="24"/>
          <w:lang w:val="en-US" w:eastAsia="zh-CN"/>
        </w:rPr>
        <w:t xml:space="preserve"> </w:t>
      </w:r>
      <w:r>
        <w:rPr>
          <w:rFonts w:hint="eastAsia"/>
          <w:b w:val="0"/>
          <w:bCs w:val="0"/>
          <w:sz w:val="24"/>
          <w:szCs w:val="24"/>
          <w:lang w:val="en-US" w:eastAsia="zh-CN"/>
        </w:rPr>
        <w:t>。</w:t>
      </w:r>
    </w:p>
    <w:p w14:paraId="3A92F4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4"/>
          <w:szCs w:val="24"/>
          <w:lang w:val="en-US" w:eastAsia="zh-CN"/>
        </w:rPr>
      </w:pPr>
      <w:r>
        <w:rPr>
          <w:rFonts w:hint="eastAsia"/>
          <w:b/>
          <w:bCs/>
          <w:sz w:val="24"/>
          <w:szCs w:val="24"/>
          <w:lang w:val="en-US" w:eastAsia="zh-CN"/>
        </w:rPr>
        <w:t>Ⅱ 一般项目</w:t>
      </w:r>
    </w:p>
    <w:p w14:paraId="31519F4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3.13</w:t>
      </w:r>
      <w:r>
        <w:rPr>
          <w:rFonts w:hint="eastAsia"/>
          <w:b w:val="0"/>
          <w:bCs w:val="0"/>
          <w:sz w:val="24"/>
          <w:szCs w:val="24"/>
          <w:lang w:val="en-US" w:eastAsia="zh-CN"/>
        </w:rPr>
        <w:t>改性玻化微珠外墙粘锚托系统各组成材料与配件进场时的外观和包装应完整无破损，符合设计要求和产品标准的规定。</w:t>
      </w:r>
    </w:p>
    <w:p w14:paraId="1C39A26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ascii="宋体" w:hAnsi="宋体"/>
          <w:b/>
          <w:bCs/>
          <w:sz w:val="24"/>
          <w:szCs w:val="24"/>
          <w:lang w:val="en-US" w:eastAsia="zh-CN"/>
        </w:rPr>
        <w:t>检验方法:</w:t>
      </w:r>
      <w:r>
        <w:rPr>
          <w:rFonts w:hint="eastAsia"/>
          <w:b w:val="0"/>
          <w:bCs w:val="0"/>
          <w:sz w:val="24"/>
          <w:szCs w:val="24"/>
          <w:lang w:val="en-US" w:eastAsia="zh-CN"/>
        </w:rPr>
        <w:t>观察检查，核查进场验收记录和见证取样复验记录。</w:t>
      </w:r>
    </w:p>
    <w:p w14:paraId="4DD5B66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b/>
          <w:bCs/>
          <w:sz w:val="24"/>
          <w:szCs w:val="24"/>
          <w:lang w:val="en-US" w:eastAsia="zh-CN"/>
        </w:rPr>
        <w:t>检查数量：</w:t>
      </w:r>
      <w:r>
        <w:rPr>
          <w:rFonts w:hint="eastAsia"/>
          <w:b w:val="0"/>
          <w:bCs w:val="0"/>
          <w:sz w:val="24"/>
          <w:szCs w:val="24"/>
          <w:lang w:val="en-US" w:eastAsia="zh-CN"/>
        </w:rPr>
        <w:t>全数检查。</w:t>
      </w:r>
    </w:p>
    <w:p w14:paraId="0F6B72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3.14</w:t>
      </w:r>
      <w:r>
        <w:rPr>
          <w:rFonts w:hint="eastAsia"/>
          <w:b w:val="0"/>
          <w:bCs w:val="0"/>
          <w:sz w:val="24"/>
          <w:szCs w:val="24"/>
          <w:lang w:val="en-US" w:eastAsia="zh-CN"/>
        </w:rPr>
        <w:t>改性玻化微珠外墙粘锚托系统表面应光滑、洁净、颜色均匀、无抹纹、分隔缝和灰线应清晰美观。</w:t>
      </w:r>
    </w:p>
    <w:p w14:paraId="03E7AFC9">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ascii="宋体" w:hAnsi="宋体"/>
          <w:b/>
          <w:bCs/>
          <w:sz w:val="24"/>
          <w:szCs w:val="24"/>
          <w:lang w:val="en-US" w:eastAsia="zh-CN"/>
        </w:rPr>
        <w:t>检验方法:</w:t>
      </w:r>
      <w:r>
        <w:rPr>
          <w:rFonts w:hint="eastAsia"/>
          <w:b w:val="0"/>
          <w:bCs w:val="0"/>
          <w:sz w:val="24"/>
          <w:szCs w:val="24"/>
          <w:lang w:val="en-US" w:eastAsia="zh-CN"/>
        </w:rPr>
        <w:t>观察；手摸检查。</w:t>
      </w:r>
    </w:p>
    <w:p w14:paraId="7FC7356C">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b/>
          <w:bCs/>
          <w:sz w:val="24"/>
          <w:szCs w:val="24"/>
          <w:lang w:val="en-US" w:eastAsia="zh-CN"/>
        </w:rPr>
        <w:t>检查数量：</w:t>
      </w:r>
      <w:r>
        <w:rPr>
          <w:rFonts w:hint="eastAsia"/>
          <w:b w:val="0"/>
          <w:bCs w:val="0"/>
          <w:sz w:val="24"/>
          <w:szCs w:val="24"/>
          <w:lang w:val="en-US" w:eastAsia="zh-CN"/>
        </w:rPr>
        <w:t>全数检查。</w:t>
      </w:r>
    </w:p>
    <w:p w14:paraId="1C4D2E9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b w:val="0"/>
          <w:bCs w:val="0"/>
          <w:sz w:val="24"/>
          <w:szCs w:val="24"/>
          <w:lang w:val="en-US" w:eastAsia="zh-CN"/>
        </w:rPr>
      </w:pPr>
      <w:r>
        <w:rPr>
          <w:rFonts w:hint="eastAsia" w:eastAsia="宋体"/>
          <w:b/>
          <w:bCs/>
          <w:sz w:val="24"/>
          <w:szCs w:val="24"/>
          <w:lang w:val="en-US" w:eastAsia="zh-CN"/>
        </w:rPr>
        <w:t>8.</w:t>
      </w:r>
      <w:r>
        <w:rPr>
          <w:rFonts w:hint="eastAsia"/>
          <w:b/>
          <w:bCs/>
          <w:sz w:val="24"/>
          <w:szCs w:val="24"/>
          <w:lang w:val="en-US" w:eastAsia="zh-CN"/>
        </w:rPr>
        <w:t>3.15</w:t>
      </w:r>
      <w:r>
        <w:rPr>
          <w:rFonts w:hint="eastAsia"/>
          <w:b w:val="0"/>
          <w:bCs w:val="0"/>
          <w:sz w:val="24"/>
          <w:szCs w:val="24"/>
          <w:lang w:val="en-US" w:eastAsia="zh-CN"/>
        </w:rPr>
        <w:t>改性玻化微珠外墙粘锚托系统表面允许偏差和检验方法应符合表8.3.15的规定。</w:t>
      </w:r>
    </w:p>
    <w:p w14:paraId="70C3383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lang w:val="en-US" w:eastAsia="zh-CN"/>
        </w:rPr>
      </w:pPr>
      <w:r>
        <w:rPr>
          <w:rFonts w:hint="eastAsia"/>
          <w:b/>
          <w:bCs/>
          <w:sz w:val="21"/>
          <w:szCs w:val="21"/>
          <w:lang w:val="en-US" w:eastAsia="zh-CN"/>
        </w:rPr>
        <w:t>表8.3.15 表面允许偏差和检验方法</w:t>
      </w:r>
    </w:p>
    <w:tbl>
      <w:tblPr>
        <w:tblStyle w:val="12"/>
        <w:tblW w:w="7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3"/>
        <w:gridCol w:w="1860"/>
        <w:gridCol w:w="3531"/>
      </w:tblGrid>
      <w:tr w14:paraId="1FB24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3" w:type="dxa"/>
            <w:noWrap w:val="0"/>
            <w:vAlign w:val="top"/>
          </w:tcPr>
          <w:p w14:paraId="5CEBB72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项目</w:t>
            </w:r>
          </w:p>
        </w:tc>
        <w:tc>
          <w:tcPr>
            <w:tcW w:w="1860" w:type="dxa"/>
            <w:noWrap w:val="0"/>
            <w:vAlign w:val="top"/>
          </w:tcPr>
          <w:p w14:paraId="3AE39B3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允许偏差（mm）</w:t>
            </w:r>
          </w:p>
        </w:tc>
        <w:tc>
          <w:tcPr>
            <w:tcW w:w="3531" w:type="dxa"/>
            <w:noWrap w:val="0"/>
            <w:vAlign w:val="top"/>
          </w:tcPr>
          <w:p w14:paraId="01580EF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检验方法</w:t>
            </w:r>
          </w:p>
        </w:tc>
      </w:tr>
      <w:tr w14:paraId="6F609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3" w:type="dxa"/>
            <w:noWrap w:val="0"/>
            <w:vAlign w:val="top"/>
          </w:tcPr>
          <w:p w14:paraId="1D71240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立面垂直度</w:t>
            </w:r>
          </w:p>
        </w:tc>
        <w:tc>
          <w:tcPr>
            <w:tcW w:w="1860" w:type="dxa"/>
            <w:noWrap w:val="0"/>
            <w:vAlign w:val="top"/>
          </w:tcPr>
          <w:p w14:paraId="3C870E1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3</w:t>
            </w:r>
          </w:p>
        </w:tc>
        <w:tc>
          <w:tcPr>
            <w:tcW w:w="3531" w:type="dxa"/>
            <w:noWrap w:val="0"/>
            <w:vAlign w:val="top"/>
          </w:tcPr>
          <w:p w14:paraId="7393418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用2m垂直检测尺检查</w:t>
            </w:r>
          </w:p>
        </w:tc>
      </w:tr>
      <w:tr w14:paraId="39BAF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3" w:type="dxa"/>
            <w:noWrap w:val="0"/>
            <w:vAlign w:val="top"/>
          </w:tcPr>
          <w:p w14:paraId="74F197B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表面平整度</w:t>
            </w:r>
          </w:p>
        </w:tc>
        <w:tc>
          <w:tcPr>
            <w:tcW w:w="1860" w:type="dxa"/>
            <w:noWrap w:val="0"/>
            <w:vAlign w:val="top"/>
          </w:tcPr>
          <w:p w14:paraId="49E8462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3</w:t>
            </w:r>
          </w:p>
        </w:tc>
        <w:tc>
          <w:tcPr>
            <w:tcW w:w="3531" w:type="dxa"/>
            <w:noWrap w:val="0"/>
            <w:vAlign w:val="top"/>
          </w:tcPr>
          <w:p w14:paraId="67A1036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用2m靠尺和塞尺检查</w:t>
            </w:r>
          </w:p>
        </w:tc>
      </w:tr>
      <w:tr w14:paraId="34D55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3" w:type="dxa"/>
            <w:noWrap w:val="0"/>
            <w:vAlign w:val="top"/>
          </w:tcPr>
          <w:p w14:paraId="76F8A2E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阴阳角方正</w:t>
            </w:r>
          </w:p>
        </w:tc>
        <w:tc>
          <w:tcPr>
            <w:tcW w:w="1860" w:type="dxa"/>
            <w:noWrap w:val="0"/>
            <w:vAlign w:val="top"/>
          </w:tcPr>
          <w:p w14:paraId="5BF3EDC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3</w:t>
            </w:r>
          </w:p>
        </w:tc>
        <w:tc>
          <w:tcPr>
            <w:tcW w:w="3531" w:type="dxa"/>
            <w:noWrap w:val="0"/>
            <w:vAlign w:val="top"/>
          </w:tcPr>
          <w:p w14:paraId="62A969E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用200mm直角检测尺检查</w:t>
            </w:r>
          </w:p>
        </w:tc>
      </w:tr>
      <w:tr w14:paraId="2ADE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3" w:type="dxa"/>
            <w:noWrap w:val="0"/>
            <w:vAlign w:val="top"/>
          </w:tcPr>
          <w:p w14:paraId="5450C7F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分格条（缝）直线度</w:t>
            </w:r>
          </w:p>
        </w:tc>
        <w:tc>
          <w:tcPr>
            <w:tcW w:w="1860" w:type="dxa"/>
            <w:noWrap w:val="0"/>
            <w:vAlign w:val="top"/>
          </w:tcPr>
          <w:p w14:paraId="57FF5A2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3</w:t>
            </w:r>
          </w:p>
        </w:tc>
        <w:tc>
          <w:tcPr>
            <w:tcW w:w="3531" w:type="dxa"/>
            <w:noWrap w:val="0"/>
            <w:vAlign w:val="top"/>
          </w:tcPr>
          <w:p w14:paraId="2D3280B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拉5m线，不足5m拉通线，用钢直尺检查</w:t>
            </w:r>
          </w:p>
        </w:tc>
      </w:tr>
    </w:tbl>
    <w:p w14:paraId="6C723F64">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ascii="宋体" w:hAnsi="宋体"/>
          <w:b/>
          <w:bCs/>
          <w:sz w:val="24"/>
          <w:szCs w:val="24"/>
          <w:lang w:val="en-US" w:eastAsia="zh-CN"/>
        </w:rPr>
        <w:t>检验方法:</w:t>
      </w:r>
      <w:r>
        <w:rPr>
          <w:rFonts w:hint="eastAsia"/>
          <w:b w:val="0"/>
          <w:bCs w:val="0"/>
          <w:sz w:val="24"/>
          <w:szCs w:val="24"/>
          <w:lang w:val="en-US" w:eastAsia="zh-CN"/>
        </w:rPr>
        <w:t>见表8.3.15。</w:t>
      </w:r>
    </w:p>
    <w:p w14:paraId="1A4BA3DC">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val="0"/>
          <w:bCs w:val="0"/>
          <w:sz w:val="24"/>
          <w:szCs w:val="24"/>
          <w:lang w:val="en-US" w:eastAsia="zh-CN"/>
        </w:rPr>
      </w:pPr>
      <w:r>
        <w:rPr>
          <w:rFonts w:hint="eastAsia"/>
          <w:b/>
          <w:bCs/>
          <w:sz w:val="24"/>
          <w:szCs w:val="24"/>
          <w:lang w:val="en-US" w:eastAsia="zh-CN"/>
        </w:rPr>
        <w:t>检查数量：</w:t>
      </w:r>
      <w:r>
        <w:rPr>
          <w:rFonts w:hint="eastAsia"/>
          <w:b w:val="0"/>
          <w:bCs w:val="0"/>
          <w:sz w:val="24"/>
          <w:szCs w:val="24"/>
          <w:lang w:val="en-US" w:eastAsia="zh-CN"/>
        </w:rPr>
        <w:t>按检验批。</w:t>
      </w:r>
    </w:p>
    <w:p w14:paraId="75B498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4"/>
          <w:szCs w:val="24"/>
          <w:lang w:val="en-US" w:eastAsia="zh-CN"/>
        </w:rPr>
      </w:pPr>
    </w:p>
    <w:p w14:paraId="04654FA3">
      <w:pPr>
        <w:pStyle w:val="14"/>
        <w:rPr>
          <w:rFonts w:hint="default" w:ascii="宋体" w:hAnsi="宋体"/>
          <w:sz w:val="24"/>
          <w:szCs w:val="24"/>
          <w:lang w:val="en-US" w:eastAsia="zh-CN"/>
        </w:rPr>
      </w:pPr>
    </w:p>
    <w:p w14:paraId="22B6442A">
      <w:pPr>
        <w:pStyle w:val="14"/>
        <w:rPr>
          <w:rFonts w:hint="default" w:ascii="宋体" w:hAnsi="宋体"/>
          <w:sz w:val="24"/>
          <w:szCs w:val="24"/>
          <w:lang w:val="en-US" w:eastAsia="zh-CN"/>
        </w:rPr>
      </w:pPr>
    </w:p>
    <w:p w14:paraId="4CE465B2">
      <w:pPr>
        <w:pStyle w:val="14"/>
        <w:rPr>
          <w:rFonts w:hint="default" w:ascii="宋体" w:hAnsi="宋体"/>
          <w:sz w:val="24"/>
          <w:szCs w:val="24"/>
          <w:lang w:val="en-US" w:eastAsia="zh-CN"/>
        </w:rPr>
      </w:pPr>
    </w:p>
    <w:p w14:paraId="134B8FB0">
      <w:pPr>
        <w:pStyle w:val="14"/>
        <w:rPr>
          <w:rFonts w:hint="default" w:ascii="宋体" w:hAnsi="宋体"/>
          <w:sz w:val="24"/>
          <w:szCs w:val="24"/>
          <w:lang w:val="en-US" w:eastAsia="zh-CN"/>
        </w:rPr>
      </w:pPr>
    </w:p>
    <w:p w14:paraId="7857F0D1">
      <w:pPr>
        <w:pStyle w:val="14"/>
        <w:rPr>
          <w:rFonts w:hint="default" w:ascii="宋体" w:hAnsi="宋体"/>
          <w:sz w:val="24"/>
          <w:szCs w:val="24"/>
          <w:lang w:val="en-US" w:eastAsia="zh-CN"/>
        </w:rPr>
      </w:pPr>
    </w:p>
    <w:p w14:paraId="2A2AF857">
      <w:pPr>
        <w:pStyle w:val="14"/>
        <w:rPr>
          <w:rFonts w:hint="default" w:ascii="宋体" w:hAnsi="宋体"/>
          <w:sz w:val="24"/>
          <w:szCs w:val="24"/>
          <w:lang w:val="en-US" w:eastAsia="zh-CN"/>
        </w:rPr>
      </w:pPr>
    </w:p>
    <w:p w14:paraId="577F72FE">
      <w:pPr>
        <w:pStyle w:val="14"/>
        <w:rPr>
          <w:rFonts w:hint="default" w:ascii="宋体" w:hAnsi="宋体"/>
          <w:sz w:val="24"/>
          <w:szCs w:val="24"/>
          <w:lang w:val="en-US" w:eastAsia="zh-CN"/>
        </w:rPr>
      </w:pPr>
    </w:p>
    <w:p w14:paraId="72CE5D39">
      <w:pPr>
        <w:pStyle w:val="14"/>
        <w:rPr>
          <w:rFonts w:hint="default" w:ascii="宋体" w:hAnsi="宋体"/>
          <w:sz w:val="24"/>
          <w:szCs w:val="24"/>
          <w:lang w:val="en-US" w:eastAsia="zh-CN"/>
        </w:rPr>
      </w:pPr>
    </w:p>
    <w:p w14:paraId="22BEA8A2">
      <w:pPr>
        <w:pStyle w:val="2"/>
        <w:spacing w:line="360" w:lineRule="auto"/>
        <w:jc w:val="center"/>
        <w:rPr>
          <w:rFonts w:ascii="黑体" w:hAnsi="黑体" w:eastAsia="黑体" w:cs="黑体"/>
          <w:sz w:val="32"/>
          <w:szCs w:val="32"/>
        </w:rPr>
      </w:pPr>
      <w:bookmarkStart w:id="65" w:name="_Toc14446"/>
      <w:bookmarkStart w:id="66" w:name="_Toc21837"/>
      <w:r>
        <w:rPr>
          <w:rFonts w:hint="eastAsia" w:ascii="黑体" w:hAnsi="黑体" w:eastAsia="黑体" w:cs="黑体"/>
          <w:sz w:val="32"/>
          <w:szCs w:val="32"/>
        </w:rPr>
        <mc:AlternateContent>
          <mc:Choice Requires="wps">
            <w:drawing>
              <wp:anchor distT="0" distB="0" distL="0" distR="0" simplePos="0" relativeHeight="251660288" behindDoc="0" locked="0" layoutInCell="1" allowOverlap="1">
                <wp:simplePos x="0" y="0"/>
                <wp:positionH relativeFrom="page">
                  <wp:posOffset>-4772025</wp:posOffset>
                </wp:positionH>
                <wp:positionV relativeFrom="page">
                  <wp:posOffset>5004435</wp:posOffset>
                </wp:positionV>
                <wp:extent cx="158750" cy="42545"/>
                <wp:effectExtent l="0" t="0" r="0" b="0"/>
                <wp:wrapNone/>
                <wp:docPr id="1409" name="1409"/>
                <wp:cNvGraphicFramePr/>
                <a:graphic xmlns:a="http://schemas.openxmlformats.org/drawingml/2006/main">
                  <a:graphicData uri="http://schemas.microsoft.com/office/word/2010/wordprocessingShape">
                    <wps:wsp>
                      <wps:cNvSpPr txBox="1"/>
                      <wps:spPr>
                        <a:xfrm>
                          <a:off x="0" y="0"/>
                          <a:ext cx="158750" cy="42545"/>
                        </a:xfrm>
                        <a:prstGeom prst="rect">
                          <a:avLst/>
                        </a:prstGeom>
                        <a:noFill/>
                        <a:ln>
                          <a:noFill/>
                        </a:ln>
                      </wps:spPr>
                      <wps:txbx>
                        <w:txbxContent>
                          <w:p w14:paraId="02AB146B">
                            <w:pPr>
                              <w:autoSpaceDE w:val="0"/>
                              <w:autoSpaceDN w:val="0"/>
                              <w:snapToGrid w:val="0"/>
                              <w:spacing w:line="250" w:lineRule="exact"/>
                              <w:jc w:val="left"/>
                              <w:rPr>
                                <w:rFonts w:ascii="宋体" w:hAnsi="宋体" w:eastAsia="宋体" w:cs="宋体"/>
                                <w:w w:val="67"/>
                                <w:sz w:val="20"/>
                              </w:rPr>
                            </w:pPr>
                            <w:r>
                              <w:rPr>
                                <w:rFonts w:ascii="宋体" w:hAnsi="宋体" w:eastAsia="宋体" w:cs="宋体"/>
                                <w:w w:val="67"/>
                                <w:sz w:val="20"/>
                              </w:rPr>
                              <w:t>(</w:t>
                            </w:r>
                          </w:p>
                        </w:txbxContent>
                      </wps:txbx>
                      <wps:bodyPr vert="eaVert" wrap="square" lIns="0" tIns="0" rIns="0" bIns="0" anchor="t">
                        <a:noAutofit/>
                      </wps:bodyPr>
                    </wps:wsp>
                  </a:graphicData>
                </a:graphic>
              </wp:anchor>
            </w:drawing>
          </mc:Choice>
          <mc:Fallback>
            <w:pict>
              <v:shape id="1409" o:spid="_x0000_s1026" o:spt="202" type="#_x0000_t202" style="position:absolute;left:0pt;margin-left:-375.75pt;margin-top:394.05pt;height:3.35pt;width:12.5pt;mso-position-horizontal-relative:page;mso-position-vertical-relative:page;z-index:251660288;mso-width-relative:page;mso-height-relative:page;" filled="f" stroked="f" coordsize="21600,21600" o:gfxdata="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y/xtd9kAAAANAQAADwAAAAAAAAABACAAAAAiAAAAZHJzL2Rvd25y&#10;ZXYueG1sUEsBAhQAFAAAAAgAh07iQHAvaeDEAQAAoQMAAA4AAAAAAAAAAQAgAAAAKAEAAGRycy9l&#10;Mm9Eb2MueG1sUEsFBgAAAAAGAAYAWQEAAF4FAAAAAA==&#10;">
                <v:fill on="f" focussize="0,0"/>
                <v:stroke on="f"/>
                <v:imagedata o:title=""/>
                <o:lock v:ext="edit" aspectratio="f"/>
                <v:textbox inset="0mm,0mm,0mm,0mm" style="layout-flow:vertical-ideographic;">
                  <w:txbxContent>
                    <w:p w14:paraId="02AB146B">
                      <w:pPr>
                        <w:autoSpaceDE w:val="0"/>
                        <w:autoSpaceDN w:val="0"/>
                        <w:snapToGrid w:val="0"/>
                        <w:spacing w:line="250" w:lineRule="exact"/>
                        <w:jc w:val="left"/>
                        <w:rPr>
                          <w:rFonts w:ascii="宋体" w:hAnsi="宋体" w:eastAsia="宋体" w:cs="宋体"/>
                          <w:w w:val="67"/>
                          <w:sz w:val="20"/>
                        </w:rPr>
                      </w:pPr>
                      <w:r>
                        <w:rPr>
                          <w:rFonts w:ascii="宋体" w:hAnsi="宋体" w:eastAsia="宋体" w:cs="宋体"/>
                          <w:w w:val="67"/>
                          <w:sz w:val="20"/>
                        </w:rPr>
                        <w:t>(</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61312" behindDoc="0" locked="0" layoutInCell="1" allowOverlap="1">
                <wp:simplePos x="0" y="0"/>
                <wp:positionH relativeFrom="page">
                  <wp:posOffset>-2762885</wp:posOffset>
                </wp:positionH>
                <wp:positionV relativeFrom="page">
                  <wp:posOffset>12457430</wp:posOffset>
                </wp:positionV>
                <wp:extent cx="85090" cy="158750"/>
                <wp:effectExtent l="0" t="0" r="0" b="0"/>
                <wp:wrapNone/>
                <wp:docPr id="1410" name="1410"/>
                <wp:cNvGraphicFramePr/>
                <a:graphic xmlns:a="http://schemas.openxmlformats.org/drawingml/2006/main">
                  <a:graphicData uri="http://schemas.microsoft.com/office/word/2010/wordprocessingShape">
                    <wps:wsp>
                      <wps:cNvSpPr txBox="1"/>
                      <wps:spPr>
                        <a:xfrm>
                          <a:off x="0" y="0"/>
                          <a:ext cx="85090" cy="158750"/>
                        </a:xfrm>
                        <a:prstGeom prst="rect">
                          <a:avLst/>
                        </a:prstGeom>
                        <a:noFill/>
                        <a:ln>
                          <a:noFill/>
                        </a:ln>
                      </wps:spPr>
                      <wps:txbx>
                        <w:txbxContent>
                          <w:p w14:paraId="793A3E8C">
                            <w:pPr>
                              <w:autoSpaceDE w:val="0"/>
                              <w:autoSpaceDN w:val="0"/>
                              <w:snapToGrid w:val="0"/>
                              <w:spacing w:line="250" w:lineRule="exact"/>
                              <w:jc w:val="left"/>
                              <w:rPr>
                                <w:rFonts w:ascii="宋体" w:hAnsi="宋体" w:eastAsia="宋体" w:cs="宋体"/>
                                <w:w w:val="67"/>
                                <w:sz w:val="20"/>
                              </w:rPr>
                            </w:pPr>
                            <w:r>
                              <w:rPr>
                                <w:rFonts w:ascii="宋体" w:hAnsi="宋体" w:eastAsia="宋体" w:cs="宋体"/>
                                <w:w w:val="67"/>
                                <w:sz w:val="20"/>
                              </w:rPr>
                              <w:t>问</w:t>
                            </w:r>
                          </w:p>
                        </w:txbxContent>
                      </wps:txbx>
                      <wps:bodyPr vert="horz" wrap="square" lIns="0" tIns="0" rIns="0" bIns="0" anchor="t">
                        <a:noAutofit/>
                      </wps:bodyPr>
                    </wps:wsp>
                  </a:graphicData>
                </a:graphic>
              </wp:anchor>
            </w:drawing>
          </mc:Choice>
          <mc:Fallback>
            <w:pict>
              <v:shape id="1410" o:spid="_x0000_s1026" o:spt="202" type="#_x0000_t202" style="position:absolute;left:0pt;margin-left:-217.55pt;margin-top:980.9pt;height:12.5pt;width:6.7pt;mso-position-horizontal-relative:page;mso-position-vertical-relative:page;z-index:251661312;mso-width-relative:page;mso-height-relative:page;" filled="f" stroked="f" coordsize="21600,21600" o:gfxdata="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EVyPrcAAAADwEAAA8AAAAAAAAAAQAgAAAAIgAAAGRycy9kb3du&#10;cmV2LnhtbFBLAQIUABQAAAAIAIdO4kCJS7XxwgEAAJ8DAAAOAAAAAAAAAAEAIAAAACsBAABkcnMv&#10;ZTJvRG9jLnhtbFBLBQYAAAAABgAGAFkBAABfBQAAAAA=&#10;">
                <v:fill on="f" focussize="0,0"/>
                <v:stroke on="f"/>
                <v:imagedata o:title=""/>
                <o:lock v:ext="edit" aspectratio="f"/>
                <v:textbox inset="0mm,0mm,0mm,0mm">
                  <w:txbxContent>
                    <w:p w14:paraId="793A3E8C">
                      <w:pPr>
                        <w:autoSpaceDE w:val="0"/>
                        <w:autoSpaceDN w:val="0"/>
                        <w:snapToGrid w:val="0"/>
                        <w:spacing w:line="250" w:lineRule="exact"/>
                        <w:jc w:val="left"/>
                        <w:rPr>
                          <w:rFonts w:ascii="宋体" w:hAnsi="宋体" w:eastAsia="宋体" w:cs="宋体"/>
                          <w:w w:val="67"/>
                          <w:sz w:val="20"/>
                        </w:rPr>
                      </w:pPr>
                      <w:r>
                        <w:rPr>
                          <w:rFonts w:ascii="宋体" w:hAnsi="宋体" w:eastAsia="宋体" w:cs="宋体"/>
                          <w:w w:val="67"/>
                          <w:sz w:val="20"/>
                        </w:rPr>
                        <w:t>问</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62336" behindDoc="0" locked="0" layoutInCell="1" allowOverlap="1">
                <wp:simplePos x="0" y="0"/>
                <wp:positionH relativeFrom="page">
                  <wp:posOffset>-2638425</wp:posOffset>
                </wp:positionH>
                <wp:positionV relativeFrom="page">
                  <wp:posOffset>12457430</wp:posOffset>
                </wp:positionV>
                <wp:extent cx="85090" cy="158750"/>
                <wp:effectExtent l="0" t="0" r="0" b="0"/>
                <wp:wrapNone/>
                <wp:docPr id="1411" name="1411"/>
                <wp:cNvGraphicFramePr/>
                <a:graphic xmlns:a="http://schemas.openxmlformats.org/drawingml/2006/main">
                  <a:graphicData uri="http://schemas.microsoft.com/office/word/2010/wordprocessingShape">
                    <wps:wsp>
                      <wps:cNvSpPr txBox="1"/>
                      <wps:spPr>
                        <a:xfrm>
                          <a:off x="0" y="0"/>
                          <a:ext cx="85090" cy="158750"/>
                        </a:xfrm>
                        <a:prstGeom prst="rect">
                          <a:avLst/>
                        </a:prstGeom>
                        <a:noFill/>
                        <a:ln>
                          <a:noFill/>
                        </a:ln>
                      </wps:spPr>
                      <wps:txbx>
                        <w:txbxContent>
                          <w:p w14:paraId="00654D86">
                            <w:pPr>
                              <w:autoSpaceDE w:val="0"/>
                              <w:autoSpaceDN w:val="0"/>
                              <w:snapToGrid w:val="0"/>
                              <w:spacing w:line="250" w:lineRule="exact"/>
                              <w:jc w:val="left"/>
                              <w:rPr>
                                <w:rFonts w:ascii="宋体" w:hAnsi="宋体" w:eastAsia="宋体" w:cs="宋体"/>
                                <w:w w:val="67"/>
                                <w:sz w:val="20"/>
                              </w:rPr>
                            </w:pPr>
                            <w:r>
                              <w:rPr>
                                <w:rFonts w:ascii="宋体" w:hAnsi="宋体" w:eastAsia="宋体" w:cs="宋体"/>
                                <w:w w:val="67"/>
                                <w:sz w:val="20"/>
                              </w:rPr>
                              <w:t>问</w:t>
                            </w:r>
                          </w:p>
                        </w:txbxContent>
                      </wps:txbx>
                      <wps:bodyPr vert="horz" wrap="square" lIns="0" tIns="0" rIns="0" bIns="0" anchor="t">
                        <a:noAutofit/>
                      </wps:bodyPr>
                    </wps:wsp>
                  </a:graphicData>
                </a:graphic>
              </wp:anchor>
            </w:drawing>
          </mc:Choice>
          <mc:Fallback>
            <w:pict>
              <v:shape id="1411" o:spid="_x0000_s1026" o:spt="202" type="#_x0000_t202" style="position:absolute;left:0pt;margin-left:-207.75pt;margin-top:980.9pt;height:12.5pt;width:6.7pt;mso-position-horizontal-relative:page;mso-position-vertical-relative:page;z-index:251662336;mso-width-relative:page;mso-height-relative:page;" filled="f" stroked="f" coordsize="21600,21600" o:gfxdata="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6Zjgt3AAAAA8BAAAPAAAAAAAAAAEAIAAAACIAAABkcnMvZG93&#10;bnJldi54bWxQSwECFAAUAAAACACHTuJAJRLKmcMBAACfAwAADgAAAAAAAAABACAAAAArAQAAZHJz&#10;L2Uyb0RvYy54bWxQSwUGAAAAAAYABgBZAQAAYAUAAAAA&#10;">
                <v:fill on="f" focussize="0,0"/>
                <v:stroke on="f"/>
                <v:imagedata o:title=""/>
                <o:lock v:ext="edit" aspectratio="f"/>
                <v:textbox inset="0mm,0mm,0mm,0mm">
                  <w:txbxContent>
                    <w:p w14:paraId="00654D86">
                      <w:pPr>
                        <w:autoSpaceDE w:val="0"/>
                        <w:autoSpaceDN w:val="0"/>
                        <w:snapToGrid w:val="0"/>
                        <w:spacing w:line="250" w:lineRule="exact"/>
                        <w:jc w:val="left"/>
                        <w:rPr>
                          <w:rFonts w:ascii="宋体" w:hAnsi="宋体" w:eastAsia="宋体" w:cs="宋体"/>
                          <w:w w:val="67"/>
                          <w:sz w:val="20"/>
                        </w:rPr>
                      </w:pPr>
                      <w:r>
                        <w:rPr>
                          <w:rFonts w:ascii="宋体" w:hAnsi="宋体" w:eastAsia="宋体" w:cs="宋体"/>
                          <w:w w:val="67"/>
                          <w:sz w:val="20"/>
                        </w:rPr>
                        <w:t>问</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63360" behindDoc="0" locked="0" layoutInCell="1" allowOverlap="1">
                <wp:simplePos x="0" y="0"/>
                <wp:positionH relativeFrom="page">
                  <wp:posOffset>-2513330</wp:posOffset>
                </wp:positionH>
                <wp:positionV relativeFrom="page">
                  <wp:posOffset>12457430</wp:posOffset>
                </wp:positionV>
                <wp:extent cx="85090" cy="158750"/>
                <wp:effectExtent l="0" t="0" r="0" b="0"/>
                <wp:wrapNone/>
                <wp:docPr id="1412" name="1412"/>
                <wp:cNvGraphicFramePr/>
                <a:graphic xmlns:a="http://schemas.openxmlformats.org/drawingml/2006/main">
                  <a:graphicData uri="http://schemas.microsoft.com/office/word/2010/wordprocessingShape">
                    <wps:wsp>
                      <wps:cNvSpPr txBox="1"/>
                      <wps:spPr>
                        <a:xfrm>
                          <a:off x="0" y="0"/>
                          <a:ext cx="85090" cy="158750"/>
                        </a:xfrm>
                        <a:prstGeom prst="rect">
                          <a:avLst/>
                        </a:prstGeom>
                        <a:noFill/>
                        <a:ln>
                          <a:noFill/>
                        </a:ln>
                      </wps:spPr>
                      <wps:txbx>
                        <w:txbxContent>
                          <w:p w14:paraId="04C33665">
                            <w:pPr>
                              <w:autoSpaceDE w:val="0"/>
                              <w:autoSpaceDN w:val="0"/>
                              <w:snapToGrid w:val="0"/>
                              <w:spacing w:line="250" w:lineRule="exact"/>
                              <w:jc w:val="left"/>
                              <w:rPr>
                                <w:rFonts w:ascii="宋体" w:hAnsi="宋体" w:eastAsia="宋体" w:cs="宋体"/>
                                <w:w w:val="67"/>
                                <w:sz w:val="20"/>
                              </w:rPr>
                            </w:pPr>
                            <w:r>
                              <w:rPr>
                                <w:rFonts w:ascii="宋体" w:hAnsi="宋体" w:eastAsia="宋体" w:cs="宋体"/>
                                <w:w w:val="67"/>
                                <w:sz w:val="20"/>
                              </w:rPr>
                              <w:t>茧</w:t>
                            </w:r>
                          </w:p>
                        </w:txbxContent>
                      </wps:txbx>
                      <wps:bodyPr vert="horz" wrap="square" lIns="0" tIns="0" rIns="0" bIns="0" anchor="t">
                        <a:noAutofit/>
                      </wps:bodyPr>
                    </wps:wsp>
                  </a:graphicData>
                </a:graphic>
              </wp:anchor>
            </w:drawing>
          </mc:Choice>
          <mc:Fallback>
            <w:pict>
              <v:shape id="1412" o:spid="_x0000_s1026" o:spt="202" type="#_x0000_t202" style="position:absolute;left:0pt;margin-left:-197.9pt;margin-top:980.9pt;height:12.5pt;width:6.7pt;mso-position-horizontal-relative:page;mso-position-vertical-relative:page;z-index:251663360;mso-width-relative:page;mso-height-relative:page;" filled="f" stroked="f" coordsize="21600,21600" o:gfxdata="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wziid0AAAAPAQAADwAAAAAAAAABACAAAAAiAAAAZHJzL2Rv&#10;d25yZXYueG1sUEsBAhQAFAAAAAgAh07iQNH4SyHDAQAAnwMAAA4AAAAAAAAAAQAgAAAALAEAAGRy&#10;cy9lMm9Eb2MueG1sUEsFBgAAAAAGAAYAWQEAAGEFAAAAAA==&#10;">
                <v:fill on="f" focussize="0,0"/>
                <v:stroke on="f"/>
                <v:imagedata o:title=""/>
                <o:lock v:ext="edit" aspectratio="f"/>
                <v:textbox inset="0mm,0mm,0mm,0mm">
                  <w:txbxContent>
                    <w:p w14:paraId="04C33665">
                      <w:pPr>
                        <w:autoSpaceDE w:val="0"/>
                        <w:autoSpaceDN w:val="0"/>
                        <w:snapToGrid w:val="0"/>
                        <w:spacing w:line="250" w:lineRule="exact"/>
                        <w:jc w:val="left"/>
                        <w:rPr>
                          <w:rFonts w:ascii="宋体" w:hAnsi="宋体" w:eastAsia="宋体" w:cs="宋体"/>
                          <w:w w:val="67"/>
                          <w:sz w:val="20"/>
                        </w:rPr>
                      </w:pPr>
                      <w:r>
                        <w:rPr>
                          <w:rFonts w:ascii="宋体" w:hAnsi="宋体" w:eastAsia="宋体" w:cs="宋体"/>
                          <w:w w:val="67"/>
                          <w:sz w:val="20"/>
                        </w:rPr>
                        <w:t>茧</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64384" behindDoc="0" locked="0" layoutInCell="1" allowOverlap="1">
                <wp:simplePos x="0" y="0"/>
                <wp:positionH relativeFrom="page">
                  <wp:posOffset>-4772025</wp:posOffset>
                </wp:positionH>
                <wp:positionV relativeFrom="page">
                  <wp:posOffset>5504815</wp:posOffset>
                </wp:positionV>
                <wp:extent cx="158750" cy="167640"/>
                <wp:effectExtent l="0" t="0" r="0" b="0"/>
                <wp:wrapNone/>
                <wp:docPr id="1413" name="1413"/>
                <wp:cNvGraphicFramePr/>
                <a:graphic xmlns:a="http://schemas.openxmlformats.org/drawingml/2006/main">
                  <a:graphicData uri="http://schemas.microsoft.com/office/word/2010/wordprocessingShape">
                    <wps:wsp>
                      <wps:cNvSpPr txBox="1"/>
                      <wps:spPr>
                        <a:xfrm>
                          <a:off x="0" y="0"/>
                          <a:ext cx="158750" cy="167640"/>
                        </a:xfrm>
                        <a:prstGeom prst="rect">
                          <a:avLst/>
                        </a:prstGeom>
                        <a:noFill/>
                        <a:ln>
                          <a:noFill/>
                        </a:ln>
                      </wps:spPr>
                      <wps:txbx>
                        <w:txbxContent>
                          <w:p w14:paraId="3C91B12D">
                            <w:pPr>
                              <w:autoSpaceDE w:val="0"/>
                              <w:autoSpaceDN w:val="0"/>
                              <w:snapToGrid w:val="0"/>
                              <w:spacing w:line="250" w:lineRule="exact"/>
                              <w:jc w:val="left"/>
                              <w:rPr>
                                <w:rFonts w:ascii="宋体" w:hAnsi="宋体" w:eastAsia="宋体" w:cs="宋体"/>
                                <w:w w:val="67"/>
                                <w:sz w:val="20"/>
                              </w:rPr>
                            </w:pPr>
                            <w:r>
                              <w:rPr>
                                <w:rFonts w:ascii="宋体" w:hAnsi="宋体" w:eastAsia="宋体" w:cs="宋体"/>
                                <w:spacing w:val="26"/>
                                <w:w w:val="67"/>
                                <w:sz w:val="20"/>
                              </w:rPr>
                              <w:t>提</w:t>
                            </w:r>
                            <w:r>
                              <w:rPr>
                                <w:rFonts w:ascii="宋体" w:hAnsi="宋体" w:eastAsia="宋体" w:cs="宋体"/>
                                <w:w w:val="67"/>
                                <w:sz w:val="20"/>
                              </w:rPr>
                              <w:t>)</w:t>
                            </w:r>
                          </w:p>
                        </w:txbxContent>
                      </wps:txbx>
                      <wps:bodyPr vert="eaVert" wrap="square" lIns="0" tIns="0" rIns="0" bIns="0" anchor="t">
                        <a:noAutofit/>
                      </wps:bodyPr>
                    </wps:wsp>
                  </a:graphicData>
                </a:graphic>
              </wp:anchor>
            </w:drawing>
          </mc:Choice>
          <mc:Fallback>
            <w:pict>
              <v:shape id="1413" o:spid="_x0000_s1026" o:spt="202" type="#_x0000_t202" style="position:absolute;left:0pt;margin-left:-375.75pt;margin-top:433.45pt;height:13.2pt;width:12.5pt;mso-position-horizontal-relative:page;mso-position-vertical-relative:page;z-index:251664384;mso-width-relative:page;mso-height-relative:page;" filled="f" stroked="f" coordsize="21600,21600" o:gfxdata="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Zzj7F2gAAAA0BAAAPAAAAAAAAAAEAIAAAACIAAABkcnMvZG93&#10;bnJldi54bWxQSwECFAAUAAAACACHTuJAT2QvScUBAACiAwAADgAAAAAAAAABACAAAAApAQAAZHJz&#10;L2Uyb0RvYy54bWxQSwUGAAAAAAYABgBZAQAAYAUAAAAA&#10;">
                <v:fill on="f" focussize="0,0"/>
                <v:stroke on="f"/>
                <v:imagedata o:title=""/>
                <o:lock v:ext="edit" aspectratio="f"/>
                <v:textbox inset="0mm,0mm,0mm,0mm" style="layout-flow:vertical-ideographic;">
                  <w:txbxContent>
                    <w:p w14:paraId="3C91B12D">
                      <w:pPr>
                        <w:autoSpaceDE w:val="0"/>
                        <w:autoSpaceDN w:val="0"/>
                        <w:snapToGrid w:val="0"/>
                        <w:spacing w:line="250" w:lineRule="exact"/>
                        <w:jc w:val="left"/>
                        <w:rPr>
                          <w:rFonts w:ascii="宋体" w:hAnsi="宋体" w:eastAsia="宋体" w:cs="宋体"/>
                          <w:w w:val="67"/>
                          <w:sz w:val="20"/>
                        </w:rPr>
                      </w:pPr>
                      <w:r>
                        <w:rPr>
                          <w:rFonts w:ascii="宋体" w:hAnsi="宋体" w:eastAsia="宋体" w:cs="宋体"/>
                          <w:spacing w:val="26"/>
                          <w:w w:val="67"/>
                          <w:sz w:val="20"/>
                        </w:rPr>
                        <w:t>提</w:t>
                      </w:r>
                      <w:r>
                        <w:rPr>
                          <w:rFonts w:ascii="宋体" w:hAnsi="宋体" w:eastAsia="宋体" w:cs="宋体"/>
                          <w:w w:val="67"/>
                          <w:sz w:val="20"/>
                        </w:rPr>
                        <w:t>)</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65408" behindDoc="0" locked="0" layoutInCell="1" allowOverlap="1">
                <wp:simplePos x="0" y="0"/>
                <wp:positionH relativeFrom="page">
                  <wp:posOffset>-3223260</wp:posOffset>
                </wp:positionH>
                <wp:positionV relativeFrom="page">
                  <wp:posOffset>14073505</wp:posOffset>
                </wp:positionV>
                <wp:extent cx="86360" cy="158750"/>
                <wp:effectExtent l="0" t="0" r="0" b="0"/>
                <wp:wrapNone/>
                <wp:docPr id="1414" name="1414"/>
                <wp:cNvGraphicFramePr/>
                <a:graphic xmlns:a="http://schemas.openxmlformats.org/drawingml/2006/main">
                  <a:graphicData uri="http://schemas.microsoft.com/office/word/2010/wordprocessingShape">
                    <wps:wsp>
                      <wps:cNvSpPr txBox="1"/>
                      <wps:spPr>
                        <a:xfrm>
                          <a:off x="0" y="0"/>
                          <a:ext cx="86360" cy="158750"/>
                        </a:xfrm>
                        <a:prstGeom prst="rect">
                          <a:avLst/>
                        </a:prstGeom>
                        <a:noFill/>
                        <a:ln>
                          <a:noFill/>
                        </a:ln>
                      </wps:spPr>
                      <wps:txbx>
                        <w:txbxContent>
                          <w:p w14:paraId="05766B94">
                            <w:pPr>
                              <w:autoSpaceDE w:val="0"/>
                              <w:autoSpaceDN w:val="0"/>
                              <w:snapToGrid w:val="0"/>
                              <w:spacing w:line="250" w:lineRule="exact"/>
                              <w:jc w:val="left"/>
                              <w:rPr>
                                <w:rFonts w:ascii="宋体" w:hAnsi="宋体" w:eastAsia="宋体" w:cs="宋体"/>
                                <w:w w:val="68"/>
                                <w:sz w:val="20"/>
                              </w:rPr>
                            </w:pPr>
                            <w:r>
                              <w:rPr>
                                <w:rFonts w:ascii="宋体" w:hAnsi="宋体" w:eastAsia="宋体" w:cs="宋体"/>
                                <w:w w:val="68"/>
                                <w:sz w:val="20"/>
                              </w:rPr>
                              <w:t>团</w:t>
                            </w:r>
                          </w:p>
                        </w:txbxContent>
                      </wps:txbx>
                      <wps:bodyPr vert="horz" wrap="square" lIns="0" tIns="0" rIns="0" bIns="0" anchor="t">
                        <a:noAutofit/>
                      </wps:bodyPr>
                    </wps:wsp>
                  </a:graphicData>
                </a:graphic>
              </wp:anchor>
            </w:drawing>
          </mc:Choice>
          <mc:Fallback>
            <w:pict>
              <v:shape id="1414" o:spid="_x0000_s1026" o:spt="202" type="#_x0000_t202" style="position:absolute;left:0pt;margin-left:-253.8pt;margin-top:1108.15pt;height:12.5pt;width:6.8pt;mso-position-horizontal-relative:page;mso-position-vertical-relative:page;z-index:251665408;mso-width-relative:page;mso-height-relative:page;" filled="f" stroked="f" coordsize="21600,21600" o:gfxdata="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PtxpzPdAAAADwEAAA8AAAAAAAAAAQAgAAAAIgAAAGRycy9k&#10;b3ducmV2LnhtbFBLAQIUABQAAAAIAIdO4kCuiCGBxAEAAJ8DAAAOAAAAAAAAAAEAIAAAACwBAABk&#10;cnMvZTJvRG9jLnhtbFBLBQYAAAAABgAGAFkBAABiBQAAAAA=&#10;">
                <v:fill on="f" focussize="0,0"/>
                <v:stroke on="f"/>
                <v:imagedata o:title=""/>
                <o:lock v:ext="edit" aspectratio="f"/>
                <v:textbox inset="0mm,0mm,0mm,0mm">
                  <w:txbxContent>
                    <w:p w14:paraId="05766B94">
                      <w:pPr>
                        <w:autoSpaceDE w:val="0"/>
                        <w:autoSpaceDN w:val="0"/>
                        <w:snapToGrid w:val="0"/>
                        <w:spacing w:line="250" w:lineRule="exact"/>
                        <w:jc w:val="left"/>
                        <w:rPr>
                          <w:rFonts w:ascii="宋体" w:hAnsi="宋体" w:eastAsia="宋体" w:cs="宋体"/>
                          <w:w w:val="68"/>
                          <w:sz w:val="20"/>
                        </w:rPr>
                      </w:pPr>
                      <w:r>
                        <w:rPr>
                          <w:rFonts w:ascii="宋体" w:hAnsi="宋体" w:eastAsia="宋体" w:cs="宋体"/>
                          <w:w w:val="68"/>
                          <w:sz w:val="20"/>
                        </w:rPr>
                        <w:t>团</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66432" behindDoc="0" locked="0" layoutInCell="1" allowOverlap="1">
                <wp:simplePos x="0" y="0"/>
                <wp:positionH relativeFrom="page">
                  <wp:posOffset>-3098165</wp:posOffset>
                </wp:positionH>
                <wp:positionV relativeFrom="page">
                  <wp:posOffset>14073505</wp:posOffset>
                </wp:positionV>
                <wp:extent cx="86360" cy="158750"/>
                <wp:effectExtent l="0" t="0" r="0" b="0"/>
                <wp:wrapNone/>
                <wp:docPr id="1415" name="1415"/>
                <wp:cNvGraphicFramePr/>
                <a:graphic xmlns:a="http://schemas.openxmlformats.org/drawingml/2006/main">
                  <a:graphicData uri="http://schemas.microsoft.com/office/word/2010/wordprocessingShape">
                    <wps:wsp>
                      <wps:cNvSpPr txBox="1"/>
                      <wps:spPr>
                        <a:xfrm>
                          <a:off x="0" y="0"/>
                          <a:ext cx="86360" cy="158750"/>
                        </a:xfrm>
                        <a:prstGeom prst="rect">
                          <a:avLst/>
                        </a:prstGeom>
                        <a:noFill/>
                        <a:ln>
                          <a:noFill/>
                        </a:ln>
                      </wps:spPr>
                      <wps:txbx>
                        <w:txbxContent>
                          <w:p w14:paraId="7D608D56">
                            <w:pPr>
                              <w:autoSpaceDE w:val="0"/>
                              <w:autoSpaceDN w:val="0"/>
                              <w:snapToGrid w:val="0"/>
                              <w:spacing w:line="250" w:lineRule="exact"/>
                              <w:jc w:val="left"/>
                              <w:rPr>
                                <w:rFonts w:ascii="宋体" w:hAnsi="宋体" w:eastAsia="宋体" w:cs="宋体"/>
                                <w:w w:val="68"/>
                                <w:sz w:val="20"/>
                              </w:rPr>
                            </w:pPr>
                            <w:r>
                              <w:rPr>
                                <w:rFonts w:ascii="宋体" w:hAnsi="宋体" w:eastAsia="宋体" w:cs="宋体"/>
                                <w:w w:val="68"/>
                                <w:sz w:val="20"/>
                              </w:rPr>
                              <w:t>十</w:t>
                            </w:r>
                          </w:p>
                        </w:txbxContent>
                      </wps:txbx>
                      <wps:bodyPr vert="horz" wrap="square" lIns="0" tIns="0" rIns="0" bIns="0" anchor="t">
                        <a:noAutofit/>
                      </wps:bodyPr>
                    </wps:wsp>
                  </a:graphicData>
                </a:graphic>
              </wp:anchor>
            </w:drawing>
          </mc:Choice>
          <mc:Fallback>
            <w:pict>
              <v:shape id="1415" o:spid="_x0000_s1026" o:spt="202" type="#_x0000_t202" style="position:absolute;left:0pt;margin-left:-243.95pt;margin-top:1108.15pt;height:12.5pt;width:6.8pt;mso-position-horizontal-relative:page;mso-position-vertical-relative:page;z-index:251666432;mso-width-relative:page;mso-height-relative:page;" filled="f" stroked="f" coordsize="21600,21600" o:gfxdata="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P3D8t0AAAAPAQAADwAAAAAAAAABACAAAAAiAAAAZHJzL2Rv&#10;d25yZXYueG1sUEsBAhQAFAAAAAgAh07iQALRXunDAQAAnwMAAA4AAAAAAAAAAQAgAAAALAEAAGRy&#10;cy9lMm9Eb2MueG1sUEsFBgAAAAAGAAYAWQEAAGEFAAAAAA==&#10;">
                <v:fill on="f" focussize="0,0"/>
                <v:stroke on="f"/>
                <v:imagedata o:title=""/>
                <o:lock v:ext="edit" aspectratio="f"/>
                <v:textbox inset="0mm,0mm,0mm,0mm">
                  <w:txbxContent>
                    <w:p w14:paraId="7D608D56">
                      <w:pPr>
                        <w:autoSpaceDE w:val="0"/>
                        <w:autoSpaceDN w:val="0"/>
                        <w:snapToGrid w:val="0"/>
                        <w:spacing w:line="250" w:lineRule="exact"/>
                        <w:jc w:val="left"/>
                        <w:rPr>
                          <w:rFonts w:ascii="宋体" w:hAnsi="宋体" w:eastAsia="宋体" w:cs="宋体"/>
                          <w:w w:val="68"/>
                          <w:sz w:val="20"/>
                        </w:rPr>
                      </w:pPr>
                      <w:r>
                        <w:rPr>
                          <w:rFonts w:ascii="宋体" w:hAnsi="宋体" w:eastAsia="宋体" w:cs="宋体"/>
                          <w:w w:val="68"/>
                          <w:sz w:val="20"/>
                        </w:rPr>
                        <w:t>十</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67456" behindDoc="0" locked="0" layoutInCell="1" allowOverlap="1">
                <wp:simplePos x="0" y="0"/>
                <wp:positionH relativeFrom="page">
                  <wp:posOffset>-2973705</wp:posOffset>
                </wp:positionH>
                <wp:positionV relativeFrom="page">
                  <wp:posOffset>14073505</wp:posOffset>
                </wp:positionV>
                <wp:extent cx="86360" cy="158750"/>
                <wp:effectExtent l="0" t="0" r="0" b="0"/>
                <wp:wrapNone/>
                <wp:docPr id="1416" name="1416"/>
                <wp:cNvGraphicFramePr/>
                <a:graphic xmlns:a="http://schemas.openxmlformats.org/drawingml/2006/main">
                  <a:graphicData uri="http://schemas.microsoft.com/office/word/2010/wordprocessingShape">
                    <wps:wsp>
                      <wps:cNvSpPr txBox="1"/>
                      <wps:spPr>
                        <a:xfrm>
                          <a:off x="0" y="0"/>
                          <a:ext cx="86360" cy="158750"/>
                        </a:xfrm>
                        <a:prstGeom prst="rect">
                          <a:avLst/>
                        </a:prstGeom>
                        <a:noFill/>
                        <a:ln>
                          <a:noFill/>
                        </a:ln>
                      </wps:spPr>
                      <wps:txbx>
                        <w:txbxContent>
                          <w:p w14:paraId="5AEC26C7">
                            <w:pPr>
                              <w:autoSpaceDE w:val="0"/>
                              <w:autoSpaceDN w:val="0"/>
                              <w:snapToGrid w:val="0"/>
                              <w:spacing w:line="250" w:lineRule="exact"/>
                              <w:jc w:val="left"/>
                              <w:rPr>
                                <w:rFonts w:ascii="宋体" w:hAnsi="宋体" w:eastAsia="宋体" w:cs="宋体"/>
                                <w:w w:val="68"/>
                                <w:sz w:val="20"/>
                              </w:rPr>
                            </w:pPr>
                            <w:r>
                              <w:rPr>
                                <w:rFonts w:ascii="宋体" w:hAnsi="宋体" w:eastAsia="宋体" w:cs="宋体"/>
                                <w:w w:val="68"/>
                                <w:sz w:val="20"/>
                              </w:rPr>
                              <w:t>币</w:t>
                            </w:r>
                          </w:p>
                        </w:txbxContent>
                      </wps:txbx>
                      <wps:bodyPr vert="horz" wrap="square" lIns="0" tIns="0" rIns="0" bIns="0" anchor="t">
                        <a:noAutofit/>
                      </wps:bodyPr>
                    </wps:wsp>
                  </a:graphicData>
                </a:graphic>
              </wp:anchor>
            </w:drawing>
          </mc:Choice>
          <mc:Fallback>
            <w:pict>
              <v:shape id="1416" o:spid="_x0000_s1026" o:spt="202" type="#_x0000_t202" style="position:absolute;left:0pt;margin-left:-234.15pt;margin-top:1108.15pt;height:12.5pt;width:6.8pt;mso-position-horizontal-relative:page;mso-position-vertical-relative:page;z-index:251667456;mso-width-relative:page;mso-height-relative:page;" filled="f" stroked="f" coordsize="21600,21600" o:gfxdata="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lAyDrdAAAADwEAAA8AAAAAAAAAAQAgAAAAIgAAAGRycy9k&#10;b3ducmV2LnhtbFBLAQIUABQAAAAIAIdO4kD2O99RxAEAAJ8DAAAOAAAAAAAAAAEAIAAAACwBAABk&#10;cnMvZTJvRG9jLnhtbFBLBQYAAAAABgAGAFkBAABiBQAAAAA=&#10;">
                <v:fill on="f" focussize="0,0"/>
                <v:stroke on="f"/>
                <v:imagedata o:title=""/>
                <o:lock v:ext="edit" aspectratio="f"/>
                <v:textbox inset="0mm,0mm,0mm,0mm">
                  <w:txbxContent>
                    <w:p w14:paraId="5AEC26C7">
                      <w:pPr>
                        <w:autoSpaceDE w:val="0"/>
                        <w:autoSpaceDN w:val="0"/>
                        <w:snapToGrid w:val="0"/>
                        <w:spacing w:line="250" w:lineRule="exact"/>
                        <w:jc w:val="left"/>
                        <w:rPr>
                          <w:rFonts w:ascii="宋体" w:hAnsi="宋体" w:eastAsia="宋体" w:cs="宋体"/>
                          <w:w w:val="68"/>
                          <w:sz w:val="20"/>
                        </w:rPr>
                      </w:pPr>
                      <w:r>
                        <w:rPr>
                          <w:rFonts w:ascii="宋体" w:hAnsi="宋体" w:eastAsia="宋体" w:cs="宋体"/>
                          <w:w w:val="68"/>
                          <w:sz w:val="20"/>
                        </w:rPr>
                        <w:t>币</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68480" behindDoc="0" locked="0" layoutInCell="1" allowOverlap="1">
                <wp:simplePos x="0" y="0"/>
                <wp:positionH relativeFrom="page">
                  <wp:posOffset>-2848610</wp:posOffset>
                </wp:positionH>
                <wp:positionV relativeFrom="page">
                  <wp:posOffset>14073505</wp:posOffset>
                </wp:positionV>
                <wp:extent cx="86360" cy="158750"/>
                <wp:effectExtent l="0" t="0" r="0" b="0"/>
                <wp:wrapNone/>
                <wp:docPr id="1417" name="1417"/>
                <wp:cNvGraphicFramePr/>
                <a:graphic xmlns:a="http://schemas.openxmlformats.org/drawingml/2006/main">
                  <a:graphicData uri="http://schemas.microsoft.com/office/word/2010/wordprocessingShape">
                    <wps:wsp>
                      <wps:cNvSpPr txBox="1"/>
                      <wps:spPr>
                        <a:xfrm>
                          <a:off x="0" y="0"/>
                          <a:ext cx="86360" cy="158750"/>
                        </a:xfrm>
                        <a:prstGeom prst="rect">
                          <a:avLst/>
                        </a:prstGeom>
                        <a:noFill/>
                        <a:ln>
                          <a:noFill/>
                        </a:ln>
                      </wps:spPr>
                      <wps:txbx>
                        <w:txbxContent>
                          <w:p w14:paraId="767CF609">
                            <w:pPr>
                              <w:autoSpaceDE w:val="0"/>
                              <w:autoSpaceDN w:val="0"/>
                              <w:snapToGrid w:val="0"/>
                              <w:spacing w:line="250" w:lineRule="exact"/>
                              <w:jc w:val="left"/>
                              <w:rPr>
                                <w:rFonts w:ascii="宋体" w:hAnsi="宋体" w:eastAsia="宋体" w:cs="宋体"/>
                                <w:w w:val="68"/>
                                <w:sz w:val="20"/>
                              </w:rPr>
                            </w:pPr>
                            <w:r>
                              <w:rPr>
                                <w:rFonts w:ascii="宋体" w:hAnsi="宋体" w:eastAsia="宋体" w:cs="宋体"/>
                                <w:w w:val="68"/>
                                <w:sz w:val="20"/>
                              </w:rPr>
                              <w:t>制</w:t>
                            </w:r>
                          </w:p>
                        </w:txbxContent>
                      </wps:txbx>
                      <wps:bodyPr vert="horz" wrap="square" lIns="0" tIns="0" rIns="0" bIns="0" anchor="t">
                        <a:noAutofit/>
                      </wps:bodyPr>
                    </wps:wsp>
                  </a:graphicData>
                </a:graphic>
              </wp:anchor>
            </w:drawing>
          </mc:Choice>
          <mc:Fallback>
            <w:pict>
              <v:shape id="1417" o:spid="_x0000_s1026" o:spt="202" type="#_x0000_t202" style="position:absolute;left:0pt;margin-left:-224.3pt;margin-top:1108.15pt;height:12.5pt;width:6.8pt;mso-position-horizontal-relative:page;mso-position-vertical-relative:page;z-index:251668480;mso-width-relative:page;mso-height-relative:page;" filled="f" stroked="f" coordsize="21600,21600" o:gfxdata="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GgOULdAAAADwEAAA8AAAAAAAAAAQAgAAAAIgAAAGRycy9k&#10;b3ducmV2LnhtbFBLAQIUABQAAAAIAIdO4kBaYqA5xAEAAJ8DAAAOAAAAAAAAAAEAIAAAACwBAABk&#10;cnMvZTJvRG9jLnhtbFBLBQYAAAAABgAGAFkBAABiBQAAAAA=&#10;">
                <v:fill on="f" focussize="0,0"/>
                <v:stroke on="f"/>
                <v:imagedata o:title=""/>
                <o:lock v:ext="edit" aspectratio="f"/>
                <v:textbox inset="0mm,0mm,0mm,0mm">
                  <w:txbxContent>
                    <w:p w14:paraId="767CF609">
                      <w:pPr>
                        <w:autoSpaceDE w:val="0"/>
                        <w:autoSpaceDN w:val="0"/>
                        <w:snapToGrid w:val="0"/>
                        <w:spacing w:line="250" w:lineRule="exact"/>
                        <w:jc w:val="left"/>
                        <w:rPr>
                          <w:rFonts w:ascii="宋体" w:hAnsi="宋体" w:eastAsia="宋体" w:cs="宋体"/>
                          <w:w w:val="68"/>
                          <w:sz w:val="20"/>
                        </w:rPr>
                      </w:pPr>
                      <w:r>
                        <w:rPr>
                          <w:rFonts w:ascii="宋体" w:hAnsi="宋体" w:eastAsia="宋体" w:cs="宋体"/>
                          <w:w w:val="68"/>
                          <w:sz w:val="20"/>
                        </w:rPr>
                        <w:t>制</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69504" behindDoc="0" locked="0" layoutInCell="1" allowOverlap="1">
                <wp:simplePos x="0" y="0"/>
                <wp:positionH relativeFrom="page">
                  <wp:posOffset>-2723515</wp:posOffset>
                </wp:positionH>
                <wp:positionV relativeFrom="page">
                  <wp:posOffset>14073505</wp:posOffset>
                </wp:positionV>
                <wp:extent cx="86360" cy="158750"/>
                <wp:effectExtent l="0" t="0" r="0" b="0"/>
                <wp:wrapNone/>
                <wp:docPr id="1418" name="1418"/>
                <wp:cNvGraphicFramePr/>
                <a:graphic xmlns:a="http://schemas.openxmlformats.org/drawingml/2006/main">
                  <a:graphicData uri="http://schemas.microsoft.com/office/word/2010/wordprocessingShape">
                    <wps:wsp>
                      <wps:cNvSpPr txBox="1"/>
                      <wps:spPr>
                        <a:xfrm>
                          <a:off x="0" y="0"/>
                          <a:ext cx="86360" cy="158750"/>
                        </a:xfrm>
                        <a:prstGeom prst="rect">
                          <a:avLst/>
                        </a:prstGeom>
                        <a:noFill/>
                        <a:ln>
                          <a:noFill/>
                        </a:ln>
                      </wps:spPr>
                      <wps:txbx>
                        <w:txbxContent>
                          <w:p w14:paraId="2F1FA4C1">
                            <w:pPr>
                              <w:autoSpaceDE w:val="0"/>
                              <w:autoSpaceDN w:val="0"/>
                              <w:snapToGrid w:val="0"/>
                              <w:spacing w:line="250" w:lineRule="exact"/>
                              <w:jc w:val="left"/>
                              <w:rPr>
                                <w:rFonts w:ascii="宋体" w:hAnsi="宋体" w:eastAsia="宋体" w:cs="宋体"/>
                                <w:w w:val="68"/>
                                <w:sz w:val="20"/>
                              </w:rPr>
                            </w:pPr>
                            <w:r>
                              <w:rPr>
                                <w:rFonts w:ascii="宋体" w:hAnsi="宋体" w:eastAsia="宋体" w:cs="宋体"/>
                                <w:w w:val="68"/>
                                <w:sz w:val="20"/>
                              </w:rPr>
                              <w:t>泪</w:t>
                            </w:r>
                          </w:p>
                        </w:txbxContent>
                      </wps:txbx>
                      <wps:bodyPr vert="horz" wrap="square" lIns="0" tIns="0" rIns="0" bIns="0" anchor="t">
                        <a:noAutofit/>
                      </wps:bodyPr>
                    </wps:wsp>
                  </a:graphicData>
                </a:graphic>
              </wp:anchor>
            </w:drawing>
          </mc:Choice>
          <mc:Fallback>
            <w:pict>
              <v:shape id="1418" o:spid="_x0000_s1026" o:spt="202" type="#_x0000_t202" style="position:absolute;left:0pt;margin-left:-214.45pt;margin-top:1108.15pt;height:12.5pt;width:6.8pt;mso-position-horizontal-relative:page;mso-position-vertical-relative:page;z-index:251669504;mso-width-relative:page;mso-height-relative:page;" filled="f" stroked="f" coordsize="21600,21600" o:gfxdata="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OVZpDdAAAADwEAAA8AAAAAAAAAAQAgAAAAIgAAAGRycy9k&#10;b3ducmV2LnhtbFBLAQIUABQAAAAIAIdO4kC9KbUOxAEAAJ8DAAAOAAAAAAAAAAEAIAAAACwBAABk&#10;cnMvZTJvRG9jLnhtbFBLBQYAAAAABgAGAFkBAABiBQAAAAA=&#10;">
                <v:fill on="f" focussize="0,0"/>
                <v:stroke on="f"/>
                <v:imagedata o:title=""/>
                <o:lock v:ext="edit" aspectratio="f"/>
                <v:textbox inset="0mm,0mm,0mm,0mm">
                  <w:txbxContent>
                    <w:p w14:paraId="2F1FA4C1">
                      <w:pPr>
                        <w:autoSpaceDE w:val="0"/>
                        <w:autoSpaceDN w:val="0"/>
                        <w:snapToGrid w:val="0"/>
                        <w:spacing w:line="250" w:lineRule="exact"/>
                        <w:jc w:val="left"/>
                        <w:rPr>
                          <w:rFonts w:ascii="宋体" w:hAnsi="宋体" w:eastAsia="宋体" w:cs="宋体"/>
                          <w:w w:val="68"/>
                          <w:sz w:val="20"/>
                        </w:rPr>
                      </w:pPr>
                      <w:r>
                        <w:rPr>
                          <w:rFonts w:ascii="宋体" w:hAnsi="宋体" w:eastAsia="宋体" w:cs="宋体"/>
                          <w:w w:val="68"/>
                          <w:sz w:val="20"/>
                        </w:rPr>
                        <w:t>泪</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70528" behindDoc="0" locked="0" layoutInCell="1" allowOverlap="1">
                <wp:simplePos x="0" y="0"/>
                <wp:positionH relativeFrom="page">
                  <wp:posOffset>-2598420</wp:posOffset>
                </wp:positionH>
                <wp:positionV relativeFrom="page">
                  <wp:posOffset>14073505</wp:posOffset>
                </wp:positionV>
                <wp:extent cx="86360" cy="158750"/>
                <wp:effectExtent l="0" t="0" r="0" b="0"/>
                <wp:wrapNone/>
                <wp:docPr id="1419" name="1419"/>
                <wp:cNvGraphicFramePr/>
                <a:graphic xmlns:a="http://schemas.openxmlformats.org/drawingml/2006/main">
                  <a:graphicData uri="http://schemas.microsoft.com/office/word/2010/wordprocessingShape">
                    <wps:wsp>
                      <wps:cNvSpPr txBox="1"/>
                      <wps:spPr>
                        <a:xfrm>
                          <a:off x="0" y="0"/>
                          <a:ext cx="86360" cy="158750"/>
                        </a:xfrm>
                        <a:prstGeom prst="rect">
                          <a:avLst/>
                        </a:prstGeom>
                        <a:noFill/>
                        <a:ln>
                          <a:noFill/>
                        </a:ln>
                      </wps:spPr>
                      <wps:txbx>
                        <w:txbxContent>
                          <w:p w14:paraId="1865D72D">
                            <w:pPr>
                              <w:autoSpaceDE w:val="0"/>
                              <w:autoSpaceDN w:val="0"/>
                              <w:snapToGrid w:val="0"/>
                              <w:spacing w:line="250" w:lineRule="exact"/>
                              <w:jc w:val="left"/>
                              <w:rPr>
                                <w:rFonts w:ascii="宋体" w:hAnsi="宋体" w:eastAsia="宋体" w:cs="宋体"/>
                                <w:w w:val="68"/>
                                <w:sz w:val="20"/>
                              </w:rPr>
                            </w:pPr>
                            <w:r>
                              <w:rPr>
                                <w:rFonts w:ascii="宋体" w:hAnsi="宋体" w:eastAsia="宋体" w:cs="宋体"/>
                                <w:w w:val="68"/>
                                <w:sz w:val="20"/>
                              </w:rPr>
                              <w:t>眼</w:t>
                            </w:r>
                          </w:p>
                        </w:txbxContent>
                      </wps:txbx>
                      <wps:bodyPr vert="horz" wrap="square" lIns="0" tIns="0" rIns="0" bIns="0" anchor="t">
                        <a:noAutofit/>
                      </wps:bodyPr>
                    </wps:wsp>
                  </a:graphicData>
                </a:graphic>
              </wp:anchor>
            </w:drawing>
          </mc:Choice>
          <mc:Fallback>
            <w:pict>
              <v:shape id="1419" o:spid="_x0000_s1026" o:spt="202" type="#_x0000_t202" style="position:absolute;left:0pt;margin-left:-204.6pt;margin-top:1108.15pt;height:12.5pt;width:6.8pt;mso-position-horizontal-relative:page;mso-position-vertical-relative:page;z-index:251670528;mso-width-relative:page;mso-height-relative:page;" filled="f" stroked="f" coordsize="21600,21600" o:gfxdata="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eY5kvdAAAADwEAAA8AAAAAAAAAAQAgAAAAIgAAAGRycy9k&#10;b3ducmV2LnhtbFBLAQIUABQAAAAIAIdO4kARcMpmxAEAAJ8DAAAOAAAAAAAAAAEAIAAAACwBAABk&#10;cnMvZTJvRG9jLnhtbFBLBQYAAAAABgAGAFkBAABiBQAAAAA=&#10;">
                <v:fill on="f" focussize="0,0"/>
                <v:stroke on="f"/>
                <v:imagedata o:title=""/>
                <o:lock v:ext="edit" aspectratio="f"/>
                <v:textbox inset="0mm,0mm,0mm,0mm">
                  <w:txbxContent>
                    <w:p w14:paraId="1865D72D">
                      <w:pPr>
                        <w:autoSpaceDE w:val="0"/>
                        <w:autoSpaceDN w:val="0"/>
                        <w:snapToGrid w:val="0"/>
                        <w:spacing w:line="250" w:lineRule="exact"/>
                        <w:jc w:val="left"/>
                        <w:rPr>
                          <w:rFonts w:ascii="宋体" w:hAnsi="宋体" w:eastAsia="宋体" w:cs="宋体"/>
                          <w:w w:val="68"/>
                          <w:sz w:val="20"/>
                        </w:rPr>
                      </w:pPr>
                      <w:r>
                        <w:rPr>
                          <w:rFonts w:ascii="宋体" w:hAnsi="宋体" w:eastAsia="宋体" w:cs="宋体"/>
                          <w:w w:val="68"/>
                          <w:sz w:val="20"/>
                        </w:rPr>
                        <w:t>眼</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71552" behindDoc="0" locked="0" layoutInCell="1" allowOverlap="1">
                <wp:simplePos x="0" y="0"/>
                <wp:positionH relativeFrom="page">
                  <wp:posOffset>-6364605</wp:posOffset>
                </wp:positionH>
                <wp:positionV relativeFrom="page">
                  <wp:posOffset>5193665</wp:posOffset>
                </wp:positionV>
                <wp:extent cx="111125" cy="59690"/>
                <wp:effectExtent l="0" t="0" r="0" b="0"/>
                <wp:wrapNone/>
                <wp:docPr id="1420" name="1420"/>
                <wp:cNvGraphicFramePr/>
                <a:graphic xmlns:a="http://schemas.openxmlformats.org/drawingml/2006/main">
                  <a:graphicData uri="http://schemas.microsoft.com/office/word/2010/wordprocessingShape">
                    <wps:wsp>
                      <wps:cNvSpPr txBox="1"/>
                      <wps:spPr>
                        <a:xfrm>
                          <a:off x="0" y="0"/>
                          <a:ext cx="111125" cy="59690"/>
                        </a:xfrm>
                        <a:prstGeom prst="rect">
                          <a:avLst/>
                        </a:prstGeom>
                        <a:noFill/>
                        <a:ln>
                          <a:noFill/>
                        </a:ln>
                      </wps:spPr>
                      <wps:txbx>
                        <w:txbxContent>
                          <w:p w14:paraId="5984D86F">
                            <w:pPr>
                              <w:autoSpaceDE w:val="0"/>
                              <w:autoSpaceDN w:val="0"/>
                              <w:snapToGrid w:val="0"/>
                              <w:spacing w:line="175" w:lineRule="exact"/>
                              <w:jc w:val="left"/>
                              <w:rPr>
                                <w:rFonts w:ascii="宋体" w:hAnsi="宋体" w:eastAsia="宋体" w:cs="宋体"/>
                                <w:w w:val="134"/>
                                <w:sz w:val="14"/>
                              </w:rPr>
                            </w:pPr>
                            <w:r>
                              <w:rPr>
                                <w:rFonts w:ascii="宋体" w:hAnsi="宋体" w:eastAsia="宋体" w:cs="宋体"/>
                                <w:w w:val="134"/>
                                <w:sz w:val="14"/>
                              </w:rPr>
                              <w:t>H</w:t>
                            </w:r>
                          </w:p>
                        </w:txbxContent>
                      </wps:txbx>
                      <wps:bodyPr vert="eaVert" wrap="square" lIns="0" tIns="0" rIns="0" bIns="0" anchor="t">
                        <a:noAutofit/>
                      </wps:bodyPr>
                    </wps:wsp>
                  </a:graphicData>
                </a:graphic>
              </wp:anchor>
            </w:drawing>
          </mc:Choice>
          <mc:Fallback>
            <w:pict>
              <v:shape id="1420" o:spid="_x0000_s1026" o:spt="202" type="#_x0000_t202" style="position:absolute;left:0pt;margin-left:-501.15pt;margin-top:408.95pt;height:4.7pt;width:8.75pt;mso-position-horizontal-relative:page;mso-position-vertical-relative:page;z-index:251671552;mso-width-relative:page;mso-height-relative:page;" filled="f" stroked="f" coordsize="21600,21600" o:gfxdata="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3xC8otsAAAAOAQAADwAAAAAAAAABACAAAAAiAAAAZHJzL2Rvd25y&#10;ZXYueG1sUEsBAhQAFAAAAAgAh07iQKv4dPrCAQAAoQMAAA4AAAAAAAAAAQAgAAAAKgEAAGRycy9l&#10;Mm9Eb2MueG1sUEsFBgAAAAAGAAYAWQEAAF4FAAAAAA==&#10;">
                <v:fill on="f" focussize="0,0"/>
                <v:stroke on="f"/>
                <v:imagedata o:title=""/>
                <o:lock v:ext="edit" aspectratio="f"/>
                <v:textbox inset="0mm,0mm,0mm,0mm" style="layout-flow:vertical-ideographic;">
                  <w:txbxContent>
                    <w:p w14:paraId="5984D86F">
                      <w:pPr>
                        <w:autoSpaceDE w:val="0"/>
                        <w:autoSpaceDN w:val="0"/>
                        <w:snapToGrid w:val="0"/>
                        <w:spacing w:line="175" w:lineRule="exact"/>
                        <w:jc w:val="left"/>
                        <w:rPr>
                          <w:rFonts w:ascii="宋体" w:hAnsi="宋体" w:eastAsia="宋体" w:cs="宋体"/>
                          <w:w w:val="134"/>
                          <w:sz w:val="14"/>
                        </w:rPr>
                      </w:pPr>
                      <w:r>
                        <w:rPr>
                          <w:rFonts w:ascii="宋体" w:hAnsi="宋体" w:eastAsia="宋体" w:cs="宋体"/>
                          <w:w w:val="134"/>
                          <w:sz w:val="14"/>
                        </w:rPr>
                        <w:t>H</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72576" behindDoc="0" locked="0" layoutInCell="1" allowOverlap="1">
                <wp:simplePos x="0" y="0"/>
                <wp:positionH relativeFrom="page">
                  <wp:posOffset>-2433955</wp:posOffset>
                </wp:positionH>
                <wp:positionV relativeFrom="page">
                  <wp:posOffset>14070965</wp:posOffset>
                </wp:positionV>
                <wp:extent cx="107950" cy="158750"/>
                <wp:effectExtent l="0" t="0" r="0" b="0"/>
                <wp:wrapNone/>
                <wp:docPr id="1421" name="1421"/>
                <wp:cNvGraphicFramePr/>
                <a:graphic xmlns:a="http://schemas.openxmlformats.org/drawingml/2006/main">
                  <a:graphicData uri="http://schemas.microsoft.com/office/word/2010/wordprocessingShape">
                    <wps:wsp>
                      <wps:cNvSpPr txBox="1"/>
                      <wps:spPr>
                        <a:xfrm>
                          <a:off x="0" y="0"/>
                          <a:ext cx="107950" cy="158750"/>
                        </a:xfrm>
                        <a:prstGeom prst="rect">
                          <a:avLst/>
                        </a:prstGeom>
                        <a:noFill/>
                        <a:ln>
                          <a:noFill/>
                        </a:ln>
                      </wps:spPr>
                      <wps:txbx>
                        <w:txbxContent>
                          <w:p w14:paraId="05F8E28A">
                            <w:pPr>
                              <w:autoSpaceDE w:val="0"/>
                              <w:autoSpaceDN w:val="0"/>
                              <w:snapToGrid w:val="0"/>
                              <w:spacing w:line="250" w:lineRule="exact"/>
                              <w:jc w:val="left"/>
                              <w:rPr>
                                <w:rFonts w:ascii="宋体" w:hAnsi="宋体" w:eastAsia="宋体" w:cs="宋体"/>
                                <w:w w:val="85"/>
                                <w:sz w:val="20"/>
                              </w:rPr>
                            </w:pPr>
                            <w:r>
                              <w:rPr>
                                <w:rFonts w:ascii="宋体" w:hAnsi="宋体" w:eastAsia="宋体" w:cs="宋体"/>
                                <w:w w:val="85"/>
                                <w:sz w:val="20"/>
                              </w:rPr>
                              <w:t>。</w:t>
                            </w:r>
                          </w:p>
                        </w:txbxContent>
                      </wps:txbx>
                      <wps:bodyPr vert="horz" wrap="square" lIns="0" tIns="0" rIns="0" bIns="0" anchor="t">
                        <a:noAutofit/>
                      </wps:bodyPr>
                    </wps:wsp>
                  </a:graphicData>
                </a:graphic>
              </wp:anchor>
            </w:drawing>
          </mc:Choice>
          <mc:Fallback>
            <w:pict>
              <v:shape id="1421" o:spid="_x0000_s1026" o:spt="202" type="#_x0000_t202" style="position:absolute;left:0pt;margin-left:-191.65pt;margin-top:1107.95pt;height:12.5pt;width:8.5pt;mso-position-horizontal-relative:page;mso-position-vertical-relative:page;z-index:251672576;mso-width-relative:page;mso-height-relative:page;" filled="f" stroked="f" coordsize="21600,21600" o:gfxdata="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nuxFV3AAAAA8BAAAPAAAAAAAAAAEAIAAAACIAAABkcnMvZG93&#10;bnJldi54bWxQSwECFAAUAAAACACHTuJAZPUi3MMBAACgAwAADgAAAAAAAAABACAAAAArAQAAZHJz&#10;L2Uyb0RvYy54bWxQSwUGAAAAAAYABgBZAQAAYAUAAAAA&#10;">
                <v:fill on="f" focussize="0,0"/>
                <v:stroke on="f"/>
                <v:imagedata o:title=""/>
                <o:lock v:ext="edit" aspectratio="f"/>
                <v:textbox inset="0mm,0mm,0mm,0mm">
                  <w:txbxContent>
                    <w:p w14:paraId="05F8E28A">
                      <w:pPr>
                        <w:autoSpaceDE w:val="0"/>
                        <w:autoSpaceDN w:val="0"/>
                        <w:snapToGrid w:val="0"/>
                        <w:spacing w:line="250" w:lineRule="exact"/>
                        <w:jc w:val="left"/>
                        <w:rPr>
                          <w:rFonts w:ascii="宋体" w:hAnsi="宋体" w:eastAsia="宋体" w:cs="宋体"/>
                          <w:w w:val="85"/>
                          <w:sz w:val="20"/>
                        </w:rPr>
                      </w:pPr>
                      <w:r>
                        <w:rPr>
                          <w:rFonts w:ascii="宋体" w:hAnsi="宋体" w:eastAsia="宋体" w:cs="宋体"/>
                          <w:w w:val="85"/>
                          <w:sz w:val="20"/>
                        </w:rPr>
                        <w:t>。</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73600" behindDoc="0" locked="0" layoutInCell="1" allowOverlap="1">
                <wp:simplePos x="0" y="0"/>
                <wp:positionH relativeFrom="page">
                  <wp:posOffset>-2308860</wp:posOffset>
                </wp:positionH>
                <wp:positionV relativeFrom="page">
                  <wp:posOffset>14070965</wp:posOffset>
                </wp:positionV>
                <wp:extent cx="107950" cy="158750"/>
                <wp:effectExtent l="0" t="0" r="0" b="0"/>
                <wp:wrapNone/>
                <wp:docPr id="1422" name="1422"/>
                <wp:cNvGraphicFramePr/>
                <a:graphic xmlns:a="http://schemas.openxmlformats.org/drawingml/2006/main">
                  <a:graphicData uri="http://schemas.microsoft.com/office/word/2010/wordprocessingShape">
                    <wps:wsp>
                      <wps:cNvSpPr txBox="1"/>
                      <wps:spPr>
                        <a:xfrm>
                          <a:off x="0" y="0"/>
                          <a:ext cx="107950" cy="158750"/>
                        </a:xfrm>
                        <a:prstGeom prst="rect">
                          <a:avLst/>
                        </a:prstGeom>
                        <a:noFill/>
                        <a:ln>
                          <a:noFill/>
                        </a:ln>
                      </wps:spPr>
                      <wps:txbx>
                        <w:txbxContent>
                          <w:p w14:paraId="3816DF8B">
                            <w:pPr>
                              <w:autoSpaceDE w:val="0"/>
                              <w:autoSpaceDN w:val="0"/>
                              <w:snapToGrid w:val="0"/>
                              <w:spacing w:line="250" w:lineRule="exact"/>
                              <w:jc w:val="left"/>
                              <w:rPr>
                                <w:rFonts w:ascii="宋体" w:hAnsi="宋体" w:eastAsia="宋体" w:cs="宋体"/>
                                <w:w w:val="85"/>
                                <w:sz w:val="20"/>
                              </w:rPr>
                            </w:pPr>
                            <w:r>
                              <w:rPr>
                                <w:rFonts w:ascii="宋体" w:hAnsi="宋体" w:eastAsia="宋体" w:cs="宋体"/>
                                <w:w w:val="85"/>
                                <w:sz w:val="20"/>
                              </w:rPr>
                              <w:t>阿</w:t>
                            </w:r>
                          </w:p>
                        </w:txbxContent>
                      </wps:txbx>
                      <wps:bodyPr vert="horz" wrap="square" lIns="0" tIns="0" rIns="0" bIns="0" anchor="t">
                        <a:noAutofit/>
                      </wps:bodyPr>
                    </wps:wsp>
                  </a:graphicData>
                </a:graphic>
              </wp:anchor>
            </w:drawing>
          </mc:Choice>
          <mc:Fallback>
            <w:pict>
              <v:shape id="1422" o:spid="_x0000_s1026" o:spt="202" type="#_x0000_t202" style="position:absolute;left:0pt;margin-left:-181.8pt;margin-top:1107.95pt;height:12.5pt;width:8.5pt;mso-position-horizontal-relative:page;mso-position-vertical-relative:page;z-index:251673600;mso-width-relative:page;mso-height-relative:page;" filled="f" stroked="f" coordsize="21600,21600" o:gfxdata="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Y6EuV3AAAAA8BAAAPAAAAAAAAAAEAIAAAACIAAABkcnMvZG93&#10;bnJldi54bWxQSwECFAAUAAAACACHTuJAi0JKZsMBAACgAwAADgAAAAAAAAABACAAAAArAQAAZHJz&#10;L2Uyb0RvYy54bWxQSwUGAAAAAAYABgBZAQAAYAUAAAAA&#10;">
                <v:fill on="f" focussize="0,0"/>
                <v:stroke on="f"/>
                <v:imagedata o:title=""/>
                <o:lock v:ext="edit" aspectratio="f"/>
                <v:textbox inset="0mm,0mm,0mm,0mm">
                  <w:txbxContent>
                    <w:p w14:paraId="3816DF8B">
                      <w:pPr>
                        <w:autoSpaceDE w:val="0"/>
                        <w:autoSpaceDN w:val="0"/>
                        <w:snapToGrid w:val="0"/>
                        <w:spacing w:line="250" w:lineRule="exact"/>
                        <w:jc w:val="left"/>
                        <w:rPr>
                          <w:rFonts w:ascii="宋体" w:hAnsi="宋体" w:eastAsia="宋体" w:cs="宋体"/>
                          <w:w w:val="85"/>
                          <w:sz w:val="20"/>
                        </w:rPr>
                      </w:pPr>
                      <w:r>
                        <w:rPr>
                          <w:rFonts w:ascii="宋体" w:hAnsi="宋体" w:eastAsia="宋体" w:cs="宋体"/>
                          <w:w w:val="85"/>
                          <w:sz w:val="20"/>
                        </w:rPr>
                        <w:t>阿</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74624" behindDoc="0" locked="0" layoutInCell="1" allowOverlap="1">
                <wp:simplePos x="0" y="0"/>
                <wp:positionH relativeFrom="page">
                  <wp:posOffset>-2183765</wp:posOffset>
                </wp:positionH>
                <wp:positionV relativeFrom="page">
                  <wp:posOffset>14070965</wp:posOffset>
                </wp:positionV>
                <wp:extent cx="107950" cy="158750"/>
                <wp:effectExtent l="0" t="0" r="0" b="0"/>
                <wp:wrapNone/>
                <wp:docPr id="1423" name="1423"/>
                <wp:cNvGraphicFramePr/>
                <a:graphic xmlns:a="http://schemas.openxmlformats.org/drawingml/2006/main">
                  <a:graphicData uri="http://schemas.microsoft.com/office/word/2010/wordprocessingShape">
                    <wps:wsp>
                      <wps:cNvSpPr txBox="1"/>
                      <wps:spPr>
                        <a:xfrm>
                          <a:off x="0" y="0"/>
                          <a:ext cx="107950" cy="158750"/>
                        </a:xfrm>
                        <a:prstGeom prst="rect">
                          <a:avLst/>
                        </a:prstGeom>
                        <a:noFill/>
                        <a:ln>
                          <a:noFill/>
                        </a:ln>
                      </wps:spPr>
                      <wps:txbx>
                        <w:txbxContent>
                          <w:p w14:paraId="5A9831F6">
                            <w:pPr>
                              <w:autoSpaceDE w:val="0"/>
                              <w:autoSpaceDN w:val="0"/>
                              <w:snapToGrid w:val="0"/>
                              <w:spacing w:line="250" w:lineRule="exact"/>
                              <w:jc w:val="left"/>
                              <w:rPr>
                                <w:rFonts w:ascii="宋体" w:hAnsi="宋体" w:eastAsia="宋体" w:cs="宋体"/>
                                <w:w w:val="85"/>
                                <w:sz w:val="20"/>
                              </w:rPr>
                            </w:pPr>
                            <w:r>
                              <w:rPr>
                                <w:rFonts w:ascii="宋体" w:hAnsi="宋体" w:eastAsia="宋体" w:cs="宋体"/>
                                <w:w w:val="85"/>
                                <w:sz w:val="20"/>
                              </w:rPr>
                              <w:t>拉</w:t>
                            </w:r>
                          </w:p>
                        </w:txbxContent>
                      </wps:txbx>
                      <wps:bodyPr vert="horz" wrap="square" lIns="0" tIns="0" rIns="0" bIns="0" anchor="t">
                        <a:noAutofit/>
                      </wps:bodyPr>
                    </wps:wsp>
                  </a:graphicData>
                </a:graphic>
              </wp:anchor>
            </w:drawing>
          </mc:Choice>
          <mc:Fallback>
            <w:pict>
              <v:shape id="1423" o:spid="_x0000_s1026" o:spt="202" type="#_x0000_t202" style="position:absolute;left:0pt;margin-left:-171.95pt;margin-top:1107.95pt;height:12.5pt;width:8.5pt;mso-position-horizontal-relative:page;mso-position-vertical-relative:page;z-index:251674624;mso-width-relative:page;mso-height-relative:page;" filled="f" stroked="f" coordsize="21600,21600" o:gfxdata="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jGyAb3AAAAA8BAAAPAAAAAAAAAAEAIAAAACIAAABkcnMvZG93&#10;bnJldi54bWxQSwECFAAUAAAACACHTuJAEdJCucMBAACgAwAADgAAAAAAAAABACAAAAArAQAAZHJz&#10;L2Uyb0RvYy54bWxQSwUGAAAAAAYABgBZAQAAYAUAAAAA&#10;">
                <v:fill on="f" focussize="0,0"/>
                <v:stroke on="f"/>
                <v:imagedata o:title=""/>
                <o:lock v:ext="edit" aspectratio="f"/>
                <v:textbox inset="0mm,0mm,0mm,0mm">
                  <w:txbxContent>
                    <w:p w14:paraId="5A9831F6">
                      <w:pPr>
                        <w:autoSpaceDE w:val="0"/>
                        <w:autoSpaceDN w:val="0"/>
                        <w:snapToGrid w:val="0"/>
                        <w:spacing w:line="250" w:lineRule="exact"/>
                        <w:jc w:val="left"/>
                        <w:rPr>
                          <w:rFonts w:ascii="宋体" w:hAnsi="宋体" w:eastAsia="宋体" w:cs="宋体"/>
                          <w:w w:val="85"/>
                          <w:sz w:val="20"/>
                        </w:rPr>
                      </w:pPr>
                      <w:r>
                        <w:rPr>
                          <w:rFonts w:ascii="宋体" w:hAnsi="宋体" w:eastAsia="宋体" w:cs="宋体"/>
                          <w:w w:val="85"/>
                          <w:sz w:val="20"/>
                        </w:rPr>
                        <w:t>拉</w:t>
                      </w:r>
                    </w:p>
                  </w:txbxContent>
                </v:textbox>
              </v:shape>
            </w:pict>
          </mc:Fallback>
        </mc:AlternateContent>
      </w:r>
      <w:r>
        <w:rPr>
          <w:rFonts w:hint="eastAsia" w:ascii="黑体" w:hAnsi="黑体" w:eastAsia="黑体" w:cs="黑体"/>
          <w:sz w:val="32"/>
          <w:szCs w:val="32"/>
        </w:rPr>
        <mc:AlternateContent>
          <mc:Choice Requires="wps">
            <w:drawing>
              <wp:anchor distT="0" distB="0" distL="0" distR="0" simplePos="0" relativeHeight="251675648" behindDoc="0" locked="0" layoutInCell="1" allowOverlap="1">
                <wp:simplePos x="0" y="0"/>
                <wp:positionH relativeFrom="page">
                  <wp:posOffset>-2059305</wp:posOffset>
                </wp:positionH>
                <wp:positionV relativeFrom="page">
                  <wp:posOffset>14070965</wp:posOffset>
                </wp:positionV>
                <wp:extent cx="107950" cy="158750"/>
                <wp:effectExtent l="0" t="0" r="0" b="0"/>
                <wp:wrapNone/>
                <wp:docPr id="1424" name="1424"/>
                <wp:cNvGraphicFramePr/>
                <a:graphic xmlns:a="http://schemas.openxmlformats.org/drawingml/2006/main">
                  <a:graphicData uri="http://schemas.microsoft.com/office/word/2010/wordprocessingShape">
                    <wps:wsp>
                      <wps:cNvSpPr txBox="1"/>
                      <wps:spPr>
                        <a:xfrm>
                          <a:off x="0" y="0"/>
                          <a:ext cx="107950" cy="158750"/>
                        </a:xfrm>
                        <a:prstGeom prst="rect">
                          <a:avLst/>
                        </a:prstGeom>
                        <a:noFill/>
                        <a:ln>
                          <a:noFill/>
                        </a:ln>
                      </wps:spPr>
                      <wps:txbx>
                        <w:txbxContent>
                          <w:p w14:paraId="7876FB69">
                            <w:pPr>
                              <w:autoSpaceDE w:val="0"/>
                              <w:autoSpaceDN w:val="0"/>
                              <w:snapToGrid w:val="0"/>
                              <w:spacing w:line="250" w:lineRule="exact"/>
                              <w:jc w:val="left"/>
                              <w:rPr>
                                <w:rFonts w:ascii="宋体" w:hAnsi="宋体" w:eastAsia="宋体" w:cs="宋体"/>
                                <w:w w:val="85"/>
                                <w:sz w:val="20"/>
                              </w:rPr>
                            </w:pPr>
                            <w:r>
                              <w:rPr>
                                <w:rFonts w:ascii="宋体" w:hAnsi="宋体" w:eastAsia="宋体" w:cs="宋体"/>
                                <w:w w:val="85"/>
                                <w:sz w:val="20"/>
                              </w:rPr>
                              <w:t>董</w:t>
                            </w:r>
                          </w:p>
                        </w:txbxContent>
                      </wps:txbx>
                      <wps:bodyPr vert="horz" wrap="square" lIns="0" tIns="0" rIns="0" bIns="0" anchor="t">
                        <a:noAutofit/>
                      </wps:bodyPr>
                    </wps:wsp>
                  </a:graphicData>
                </a:graphic>
              </wp:anchor>
            </w:drawing>
          </mc:Choice>
          <mc:Fallback>
            <w:pict>
              <v:shape id="1424" o:spid="_x0000_s1026" o:spt="202" type="#_x0000_t202" style="position:absolute;left:0pt;margin-left:-162.15pt;margin-top:1107.95pt;height:12.5pt;width:8.5pt;mso-position-horizontal-relative:page;mso-position-vertical-relative:page;z-index:251675648;mso-width-relative:page;mso-height-relative:page;" filled="f" stroked="f" coordsize="21600,21600" o:gfxdata="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YJGs3dAAAADwEAAA8AAAAAAAAAAQAgAAAAIgAAAGRycy9k&#10;b3ducmV2LnhtbFBLAQIUABQAAAAIAIdO4kAUK+rJxAEAAKADAAAOAAAAAAAAAAEAIAAAACwBAABk&#10;cnMvZTJvRG9jLnhtbFBLBQYAAAAABgAGAFkBAABiBQAAAAA=&#10;">
                <v:fill on="f" focussize="0,0"/>
                <v:stroke on="f"/>
                <v:imagedata o:title=""/>
                <o:lock v:ext="edit" aspectratio="f"/>
                <v:textbox inset="0mm,0mm,0mm,0mm">
                  <w:txbxContent>
                    <w:p w14:paraId="7876FB69">
                      <w:pPr>
                        <w:autoSpaceDE w:val="0"/>
                        <w:autoSpaceDN w:val="0"/>
                        <w:snapToGrid w:val="0"/>
                        <w:spacing w:line="250" w:lineRule="exact"/>
                        <w:jc w:val="left"/>
                        <w:rPr>
                          <w:rFonts w:ascii="宋体" w:hAnsi="宋体" w:eastAsia="宋体" w:cs="宋体"/>
                          <w:w w:val="85"/>
                          <w:sz w:val="20"/>
                        </w:rPr>
                      </w:pPr>
                      <w:r>
                        <w:rPr>
                          <w:rFonts w:ascii="宋体" w:hAnsi="宋体" w:eastAsia="宋体" w:cs="宋体"/>
                          <w:w w:val="85"/>
                          <w:sz w:val="20"/>
                        </w:rPr>
                        <w:t>董</w:t>
                      </w:r>
                    </w:p>
                  </w:txbxContent>
                </v:textbox>
              </v:shape>
            </w:pict>
          </mc:Fallback>
        </mc:AlternateContent>
      </w:r>
      <w:r>
        <w:rPr>
          <w:rFonts w:hint="eastAsia" w:ascii="黑体" w:hAnsi="黑体" w:eastAsia="黑体" w:cs="黑体"/>
          <w:sz w:val="32"/>
          <w:szCs w:val="32"/>
        </w:rPr>
        <w:t>本标准用词说明</w:t>
      </w:r>
      <w:bookmarkEnd w:id="65"/>
      <w:bookmarkEnd w:id="66"/>
    </w:p>
    <w:p w14:paraId="443BB951">
      <w:pPr>
        <w:autoSpaceDE w:val="0"/>
        <w:autoSpaceDN w:val="0"/>
        <w:adjustRightInd w:val="0"/>
        <w:ind w:firstLine="420" w:firstLineChars="200"/>
        <w:jc w:val="left"/>
        <w:rPr>
          <w:rFonts w:eastAsia="宋体"/>
          <w:szCs w:val="24"/>
        </w:rPr>
      </w:pPr>
      <w:r>
        <w:rPr>
          <w:rFonts w:eastAsia="宋体"/>
          <w:szCs w:val="24"/>
        </w:rPr>
        <w:t>1 为便于在执行本标准条文时区别对待，对要求程度不同的用词说明如下：</w:t>
      </w:r>
    </w:p>
    <w:p w14:paraId="0C4DEC6A">
      <w:pPr>
        <w:autoSpaceDE w:val="0"/>
        <w:autoSpaceDN w:val="0"/>
        <w:adjustRightInd w:val="0"/>
        <w:ind w:firstLine="420" w:firstLineChars="200"/>
        <w:jc w:val="left"/>
        <w:rPr>
          <w:rFonts w:eastAsia="宋体"/>
          <w:szCs w:val="24"/>
        </w:rPr>
      </w:pPr>
      <w:r>
        <w:rPr>
          <w:rFonts w:eastAsia="宋体"/>
          <w:szCs w:val="24"/>
        </w:rPr>
        <w:t>1）表示很严格，非这样做不可的用词：</w:t>
      </w:r>
    </w:p>
    <w:p w14:paraId="471D3C4F">
      <w:pPr>
        <w:autoSpaceDE w:val="0"/>
        <w:autoSpaceDN w:val="0"/>
        <w:adjustRightInd w:val="0"/>
        <w:ind w:firstLine="420" w:firstLineChars="200"/>
        <w:jc w:val="left"/>
        <w:rPr>
          <w:rFonts w:eastAsia="宋体"/>
          <w:szCs w:val="24"/>
        </w:rPr>
      </w:pPr>
      <w:r>
        <w:rPr>
          <w:rFonts w:eastAsia="宋体"/>
          <w:szCs w:val="24"/>
        </w:rPr>
        <w:t>正面词采用“必、须”，反面词采用“严禁”；</w:t>
      </w:r>
    </w:p>
    <w:p w14:paraId="30F15F6D">
      <w:pPr>
        <w:autoSpaceDE w:val="0"/>
        <w:autoSpaceDN w:val="0"/>
        <w:adjustRightInd w:val="0"/>
        <w:ind w:firstLine="420" w:firstLineChars="200"/>
        <w:jc w:val="left"/>
        <w:rPr>
          <w:rFonts w:eastAsia="宋体"/>
          <w:szCs w:val="24"/>
        </w:rPr>
      </w:pPr>
      <w:r>
        <w:rPr>
          <w:rFonts w:eastAsia="宋体"/>
          <w:szCs w:val="24"/>
        </w:rPr>
        <w:t>2）表示严格，在正常情况下均应这样做的用词：</w:t>
      </w:r>
    </w:p>
    <w:p w14:paraId="199FFC21">
      <w:pPr>
        <w:autoSpaceDE w:val="0"/>
        <w:autoSpaceDN w:val="0"/>
        <w:adjustRightInd w:val="0"/>
        <w:ind w:firstLine="420" w:firstLineChars="200"/>
        <w:jc w:val="left"/>
        <w:rPr>
          <w:rFonts w:eastAsia="宋体"/>
          <w:szCs w:val="24"/>
        </w:rPr>
      </w:pPr>
      <w:r>
        <w:rPr>
          <w:rFonts w:eastAsia="宋体"/>
          <w:szCs w:val="24"/>
        </w:rPr>
        <w:t>正面词采用“应”，反面词采用“不应”或“不得”；</w:t>
      </w:r>
    </w:p>
    <w:p w14:paraId="3C41854D">
      <w:pPr>
        <w:autoSpaceDE w:val="0"/>
        <w:autoSpaceDN w:val="0"/>
        <w:adjustRightInd w:val="0"/>
        <w:ind w:firstLine="420" w:firstLineChars="200"/>
        <w:jc w:val="left"/>
        <w:rPr>
          <w:rFonts w:eastAsia="宋体"/>
          <w:szCs w:val="24"/>
        </w:rPr>
      </w:pPr>
      <w:r>
        <w:rPr>
          <w:rFonts w:eastAsia="宋体"/>
          <w:szCs w:val="24"/>
        </w:rPr>
        <w:t>3）表示允许稍有选择，在条件许可时首先应这样做的用词：</w:t>
      </w:r>
    </w:p>
    <w:p w14:paraId="2C7A678F">
      <w:pPr>
        <w:autoSpaceDE w:val="0"/>
        <w:autoSpaceDN w:val="0"/>
        <w:adjustRightInd w:val="0"/>
        <w:ind w:firstLine="420" w:firstLineChars="200"/>
        <w:jc w:val="left"/>
        <w:rPr>
          <w:rFonts w:eastAsia="宋体"/>
          <w:szCs w:val="24"/>
        </w:rPr>
      </w:pPr>
      <w:r>
        <w:rPr>
          <w:rFonts w:eastAsia="宋体"/>
          <w:szCs w:val="24"/>
        </w:rPr>
        <w:t>正面词采用“宜”或“可”，反面词采用“不宜”。</w:t>
      </w:r>
    </w:p>
    <w:p w14:paraId="50966359">
      <w:pPr>
        <w:autoSpaceDE w:val="0"/>
        <w:autoSpaceDN w:val="0"/>
        <w:adjustRightInd w:val="0"/>
        <w:ind w:firstLine="420" w:firstLineChars="200"/>
        <w:jc w:val="left"/>
        <w:rPr>
          <w:rFonts w:eastAsia="宋体"/>
          <w:szCs w:val="24"/>
        </w:rPr>
      </w:pPr>
      <w:r>
        <w:rPr>
          <w:rFonts w:eastAsia="宋体"/>
          <w:szCs w:val="24"/>
        </w:rPr>
        <w:t>2 条文中指明应按其他标准、规范执行的，写法为“应按……执行”或“应符合……的规定( 或要求)”。非必须按指定的标准执行的，写法为“可参照……”。</w:t>
      </w:r>
    </w:p>
    <w:p w14:paraId="5FF39B58">
      <w:pPr>
        <w:autoSpaceDE w:val="0"/>
        <w:autoSpaceDN w:val="0"/>
        <w:adjustRightInd w:val="0"/>
        <w:ind w:firstLine="420" w:firstLineChars="200"/>
        <w:jc w:val="left"/>
        <w:rPr>
          <w:rFonts w:eastAsia="宋体"/>
          <w:szCs w:val="24"/>
        </w:rPr>
      </w:pPr>
    </w:p>
    <w:p w14:paraId="7FEBA944">
      <w:pPr>
        <w:autoSpaceDE w:val="0"/>
        <w:autoSpaceDN w:val="0"/>
        <w:adjustRightInd w:val="0"/>
        <w:ind w:firstLine="420" w:firstLineChars="200"/>
        <w:jc w:val="left"/>
        <w:rPr>
          <w:rFonts w:eastAsia="宋体"/>
          <w:szCs w:val="24"/>
        </w:rPr>
      </w:pPr>
    </w:p>
    <w:p w14:paraId="6F208825">
      <w:pPr>
        <w:autoSpaceDE w:val="0"/>
        <w:autoSpaceDN w:val="0"/>
        <w:adjustRightInd w:val="0"/>
        <w:ind w:firstLine="420" w:firstLineChars="200"/>
        <w:jc w:val="left"/>
        <w:rPr>
          <w:rFonts w:eastAsia="宋体"/>
          <w:szCs w:val="24"/>
        </w:rPr>
      </w:pPr>
    </w:p>
    <w:p w14:paraId="2354F893">
      <w:pPr>
        <w:autoSpaceDE w:val="0"/>
        <w:autoSpaceDN w:val="0"/>
        <w:adjustRightInd w:val="0"/>
        <w:ind w:firstLine="420" w:firstLineChars="200"/>
        <w:jc w:val="left"/>
        <w:rPr>
          <w:rFonts w:eastAsia="宋体"/>
          <w:szCs w:val="24"/>
        </w:rPr>
      </w:pPr>
    </w:p>
    <w:p w14:paraId="7698930B">
      <w:pPr>
        <w:autoSpaceDE w:val="0"/>
        <w:autoSpaceDN w:val="0"/>
        <w:adjustRightInd w:val="0"/>
        <w:ind w:firstLine="420" w:firstLineChars="200"/>
        <w:jc w:val="left"/>
        <w:rPr>
          <w:rFonts w:eastAsia="宋体"/>
          <w:szCs w:val="24"/>
        </w:rPr>
      </w:pPr>
    </w:p>
    <w:p w14:paraId="3FD7DAF3">
      <w:pPr>
        <w:autoSpaceDE w:val="0"/>
        <w:autoSpaceDN w:val="0"/>
        <w:adjustRightInd w:val="0"/>
        <w:ind w:firstLine="420" w:firstLineChars="200"/>
        <w:jc w:val="left"/>
        <w:rPr>
          <w:rFonts w:eastAsia="宋体"/>
          <w:szCs w:val="24"/>
        </w:rPr>
      </w:pPr>
    </w:p>
    <w:p w14:paraId="3C74CB4C">
      <w:pPr>
        <w:autoSpaceDE w:val="0"/>
        <w:autoSpaceDN w:val="0"/>
        <w:adjustRightInd w:val="0"/>
        <w:ind w:firstLine="420" w:firstLineChars="200"/>
        <w:jc w:val="left"/>
        <w:rPr>
          <w:rFonts w:eastAsia="宋体"/>
          <w:szCs w:val="24"/>
        </w:rPr>
      </w:pPr>
    </w:p>
    <w:p w14:paraId="41AA18A1">
      <w:pPr>
        <w:autoSpaceDE w:val="0"/>
        <w:autoSpaceDN w:val="0"/>
        <w:adjustRightInd w:val="0"/>
        <w:ind w:firstLine="420" w:firstLineChars="200"/>
        <w:jc w:val="left"/>
        <w:rPr>
          <w:rFonts w:eastAsia="宋体"/>
          <w:szCs w:val="24"/>
        </w:rPr>
      </w:pPr>
    </w:p>
    <w:p w14:paraId="5D8FA5CE">
      <w:pPr>
        <w:autoSpaceDE w:val="0"/>
        <w:autoSpaceDN w:val="0"/>
        <w:adjustRightInd w:val="0"/>
        <w:ind w:firstLine="420" w:firstLineChars="200"/>
        <w:jc w:val="left"/>
        <w:rPr>
          <w:rFonts w:eastAsia="宋体"/>
          <w:szCs w:val="24"/>
        </w:rPr>
      </w:pPr>
    </w:p>
    <w:p w14:paraId="1019B967">
      <w:pPr>
        <w:autoSpaceDE w:val="0"/>
        <w:autoSpaceDN w:val="0"/>
        <w:adjustRightInd w:val="0"/>
        <w:ind w:firstLine="420" w:firstLineChars="200"/>
        <w:jc w:val="left"/>
        <w:rPr>
          <w:rFonts w:eastAsia="宋体"/>
          <w:szCs w:val="24"/>
        </w:rPr>
      </w:pPr>
    </w:p>
    <w:p w14:paraId="16A21846">
      <w:pPr>
        <w:autoSpaceDE w:val="0"/>
        <w:autoSpaceDN w:val="0"/>
        <w:adjustRightInd w:val="0"/>
        <w:ind w:firstLine="420" w:firstLineChars="200"/>
        <w:jc w:val="left"/>
        <w:rPr>
          <w:rFonts w:eastAsia="宋体"/>
          <w:szCs w:val="24"/>
        </w:rPr>
      </w:pPr>
    </w:p>
    <w:p w14:paraId="03E36B0C">
      <w:pPr>
        <w:autoSpaceDE w:val="0"/>
        <w:autoSpaceDN w:val="0"/>
        <w:adjustRightInd w:val="0"/>
        <w:ind w:firstLine="420" w:firstLineChars="200"/>
        <w:jc w:val="left"/>
        <w:rPr>
          <w:rFonts w:eastAsia="宋体"/>
          <w:szCs w:val="24"/>
        </w:rPr>
      </w:pPr>
    </w:p>
    <w:p w14:paraId="024AEB98">
      <w:pPr>
        <w:autoSpaceDE w:val="0"/>
        <w:autoSpaceDN w:val="0"/>
        <w:adjustRightInd w:val="0"/>
        <w:ind w:firstLine="420" w:firstLineChars="200"/>
        <w:jc w:val="left"/>
        <w:rPr>
          <w:rFonts w:eastAsia="宋体"/>
          <w:szCs w:val="24"/>
        </w:rPr>
      </w:pPr>
    </w:p>
    <w:p w14:paraId="24053AF3">
      <w:pPr>
        <w:autoSpaceDE w:val="0"/>
        <w:autoSpaceDN w:val="0"/>
        <w:adjustRightInd w:val="0"/>
        <w:ind w:firstLine="420" w:firstLineChars="200"/>
        <w:jc w:val="left"/>
        <w:rPr>
          <w:rFonts w:eastAsia="宋体"/>
          <w:szCs w:val="24"/>
        </w:rPr>
      </w:pPr>
    </w:p>
    <w:p w14:paraId="46626E87">
      <w:pPr>
        <w:autoSpaceDE w:val="0"/>
        <w:autoSpaceDN w:val="0"/>
        <w:adjustRightInd w:val="0"/>
        <w:ind w:firstLine="420" w:firstLineChars="200"/>
        <w:jc w:val="left"/>
        <w:rPr>
          <w:rFonts w:eastAsia="宋体"/>
          <w:szCs w:val="24"/>
        </w:rPr>
      </w:pPr>
    </w:p>
    <w:p w14:paraId="1B04F363">
      <w:pPr>
        <w:autoSpaceDE w:val="0"/>
        <w:autoSpaceDN w:val="0"/>
        <w:adjustRightInd w:val="0"/>
        <w:ind w:firstLine="420" w:firstLineChars="200"/>
        <w:jc w:val="left"/>
        <w:rPr>
          <w:rFonts w:eastAsia="宋体"/>
          <w:szCs w:val="24"/>
        </w:rPr>
      </w:pPr>
    </w:p>
    <w:p w14:paraId="62783B8C">
      <w:pPr>
        <w:autoSpaceDE w:val="0"/>
        <w:autoSpaceDN w:val="0"/>
        <w:adjustRightInd w:val="0"/>
        <w:ind w:firstLine="420" w:firstLineChars="200"/>
        <w:jc w:val="left"/>
        <w:rPr>
          <w:rFonts w:eastAsia="宋体"/>
          <w:szCs w:val="24"/>
        </w:rPr>
      </w:pPr>
    </w:p>
    <w:p w14:paraId="05B28E02">
      <w:pPr>
        <w:autoSpaceDE w:val="0"/>
        <w:autoSpaceDN w:val="0"/>
        <w:adjustRightInd w:val="0"/>
        <w:ind w:firstLine="420" w:firstLineChars="200"/>
        <w:jc w:val="left"/>
        <w:rPr>
          <w:rFonts w:eastAsia="宋体"/>
          <w:szCs w:val="24"/>
        </w:rPr>
      </w:pPr>
    </w:p>
    <w:p w14:paraId="41A31217">
      <w:pPr>
        <w:autoSpaceDE w:val="0"/>
        <w:autoSpaceDN w:val="0"/>
        <w:adjustRightInd w:val="0"/>
        <w:ind w:firstLine="420" w:firstLineChars="200"/>
        <w:jc w:val="left"/>
        <w:rPr>
          <w:rFonts w:eastAsia="宋体"/>
          <w:szCs w:val="24"/>
        </w:rPr>
      </w:pPr>
    </w:p>
    <w:p w14:paraId="5EB084A4">
      <w:pPr>
        <w:autoSpaceDE w:val="0"/>
        <w:autoSpaceDN w:val="0"/>
        <w:adjustRightInd w:val="0"/>
        <w:ind w:firstLine="420" w:firstLineChars="200"/>
        <w:jc w:val="left"/>
        <w:rPr>
          <w:rFonts w:eastAsia="宋体"/>
          <w:szCs w:val="24"/>
        </w:rPr>
      </w:pPr>
    </w:p>
    <w:p w14:paraId="1A52D2CE">
      <w:pPr>
        <w:autoSpaceDE w:val="0"/>
        <w:autoSpaceDN w:val="0"/>
        <w:adjustRightInd w:val="0"/>
        <w:ind w:firstLine="420" w:firstLineChars="200"/>
        <w:jc w:val="left"/>
        <w:rPr>
          <w:rFonts w:eastAsia="宋体"/>
          <w:szCs w:val="24"/>
        </w:rPr>
      </w:pPr>
    </w:p>
    <w:p w14:paraId="69F0E5E0">
      <w:pPr>
        <w:autoSpaceDE w:val="0"/>
        <w:autoSpaceDN w:val="0"/>
        <w:adjustRightInd w:val="0"/>
        <w:ind w:firstLine="420" w:firstLineChars="200"/>
        <w:jc w:val="left"/>
        <w:rPr>
          <w:rFonts w:eastAsia="宋体"/>
          <w:szCs w:val="24"/>
        </w:rPr>
      </w:pPr>
    </w:p>
    <w:p w14:paraId="1EABFFBC">
      <w:pPr>
        <w:autoSpaceDE w:val="0"/>
        <w:autoSpaceDN w:val="0"/>
        <w:adjustRightInd w:val="0"/>
        <w:ind w:firstLine="420" w:firstLineChars="200"/>
        <w:jc w:val="left"/>
        <w:rPr>
          <w:rFonts w:eastAsia="宋体"/>
          <w:szCs w:val="24"/>
        </w:rPr>
      </w:pPr>
    </w:p>
    <w:p w14:paraId="78A04A28">
      <w:pPr>
        <w:autoSpaceDE w:val="0"/>
        <w:autoSpaceDN w:val="0"/>
        <w:adjustRightInd w:val="0"/>
        <w:ind w:firstLine="420" w:firstLineChars="200"/>
        <w:jc w:val="left"/>
        <w:rPr>
          <w:rFonts w:eastAsia="宋体"/>
          <w:szCs w:val="24"/>
        </w:rPr>
      </w:pPr>
    </w:p>
    <w:p w14:paraId="1078FDAD">
      <w:pPr>
        <w:autoSpaceDE w:val="0"/>
        <w:autoSpaceDN w:val="0"/>
        <w:adjustRightInd w:val="0"/>
        <w:ind w:firstLine="420" w:firstLineChars="200"/>
        <w:jc w:val="left"/>
        <w:rPr>
          <w:rFonts w:eastAsia="宋体"/>
          <w:szCs w:val="24"/>
        </w:rPr>
      </w:pPr>
    </w:p>
    <w:p w14:paraId="155BD6A0">
      <w:pPr>
        <w:autoSpaceDE w:val="0"/>
        <w:autoSpaceDN w:val="0"/>
        <w:adjustRightInd w:val="0"/>
        <w:ind w:firstLine="420" w:firstLineChars="200"/>
        <w:jc w:val="left"/>
        <w:rPr>
          <w:rFonts w:eastAsia="宋体"/>
          <w:szCs w:val="24"/>
        </w:rPr>
      </w:pPr>
    </w:p>
    <w:p w14:paraId="53543C47">
      <w:pPr>
        <w:autoSpaceDE w:val="0"/>
        <w:autoSpaceDN w:val="0"/>
        <w:adjustRightInd w:val="0"/>
        <w:ind w:firstLine="420" w:firstLineChars="200"/>
        <w:jc w:val="left"/>
        <w:rPr>
          <w:rFonts w:eastAsia="宋体"/>
          <w:szCs w:val="24"/>
        </w:rPr>
      </w:pPr>
    </w:p>
    <w:p w14:paraId="495165E6">
      <w:pPr>
        <w:autoSpaceDE w:val="0"/>
        <w:autoSpaceDN w:val="0"/>
        <w:adjustRightInd w:val="0"/>
        <w:ind w:firstLine="420" w:firstLineChars="200"/>
        <w:jc w:val="left"/>
        <w:rPr>
          <w:rFonts w:eastAsia="宋体"/>
          <w:szCs w:val="24"/>
        </w:rPr>
      </w:pPr>
    </w:p>
    <w:p w14:paraId="04CBB182">
      <w:pPr>
        <w:autoSpaceDE w:val="0"/>
        <w:autoSpaceDN w:val="0"/>
        <w:adjustRightInd w:val="0"/>
        <w:ind w:firstLine="420" w:firstLineChars="200"/>
        <w:jc w:val="left"/>
        <w:rPr>
          <w:rFonts w:eastAsia="宋体"/>
          <w:szCs w:val="24"/>
        </w:rPr>
      </w:pPr>
    </w:p>
    <w:p w14:paraId="46CD1F51">
      <w:pPr>
        <w:autoSpaceDE w:val="0"/>
        <w:autoSpaceDN w:val="0"/>
        <w:adjustRightInd w:val="0"/>
        <w:ind w:firstLine="420" w:firstLineChars="200"/>
        <w:jc w:val="left"/>
        <w:rPr>
          <w:rFonts w:eastAsia="宋体"/>
          <w:szCs w:val="24"/>
        </w:rPr>
      </w:pPr>
    </w:p>
    <w:p w14:paraId="2281A61D">
      <w:pPr>
        <w:autoSpaceDE w:val="0"/>
        <w:autoSpaceDN w:val="0"/>
        <w:adjustRightInd w:val="0"/>
        <w:ind w:firstLine="420" w:firstLineChars="200"/>
        <w:jc w:val="left"/>
        <w:rPr>
          <w:rFonts w:eastAsia="宋体"/>
          <w:szCs w:val="24"/>
        </w:rPr>
      </w:pPr>
    </w:p>
    <w:p w14:paraId="50A057F0">
      <w:pPr>
        <w:pStyle w:val="2"/>
        <w:spacing w:line="360" w:lineRule="auto"/>
        <w:jc w:val="center"/>
        <w:rPr>
          <w:rFonts w:ascii="黑体" w:hAnsi="黑体" w:eastAsia="黑体" w:cs="黑体"/>
          <w:sz w:val="32"/>
          <w:szCs w:val="32"/>
        </w:rPr>
      </w:pPr>
      <w:bookmarkStart w:id="67" w:name="_Toc10733"/>
      <w:bookmarkStart w:id="68" w:name="_Toc14160"/>
      <w:r>
        <w:rPr>
          <w:rFonts w:hint="eastAsia" w:ascii="黑体" w:hAnsi="黑体" w:eastAsia="黑体" w:cs="黑体"/>
          <w:sz w:val="32"/>
          <w:szCs w:val="32"/>
        </w:rPr>
        <w:t>引用标准名录</w:t>
      </w:r>
      <w:bookmarkEnd w:id="67"/>
      <w:bookmarkEnd w:id="68"/>
    </w:p>
    <w:p w14:paraId="4EEF5855">
      <w:pPr>
        <w:autoSpaceDE w:val="0"/>
        <w:autoSpaceDN w:val="0"/>
        <w:adjustRightInd w:val="0"/>
        <w:jc w:val="center"/>
        <w:rPr>
          <w:rFonts w:eastAsia="宋体"/>
          <w:szCs w:val="24"/>
        </w:rPr>
      </w:pPr>
    </w:p>
    <w:p w14:paraId="290A2E64">
      <w:pPr>
        <w:autoSpaceDE w:val="0"/>
        <w:autoSpaceDN w:val="0"/>
        <w:adjustRightInd w:val="0"/>
        <w:jc w:val="left"/>
        <w:rPr>
          <w:rFonts w:hint="eastAsia" w:eastAsia="宋体"/>
          <w:spacing w:val="-1"/>
          <w:w w:val="109"/>
          <w:szCs w:val="24"/>
        </w:rPr>
      </w:pPr>
      <w:r>
        <w:rPr>
          <w:rFonts w:hint="eastAsia" w:eastAsia="宋体"/>
          <w:spacing w:val="-1"/>
          <w:w w:val="109"/>
          <w:szCs w:val="24"/>
        </w:rPr>
        <w:t>1</w:t>
      </w:r>
      <w:r>
        <w:rPr>
          <w:rFonts w:eastAsia="宋体"/>
          <w:spacing w:val="-1"/>
          <w:w w:val="109"/>
          <w:szCs w:val="24"/>
        </w:rPr>
        <w:t xml:space="preserve"> </w:t>
      </w:r>
      <w:r>
        <w:rPr>
          <w:rFonts w:hint="eastAsia" w:eastAsia="宋体"/>
          <w:spacing w:val="-1"/>
          <w:w w:val="109"/>
          <w:szCs w:val="24"/>
        </w:rPr>
        <w:t>《既有建筑维护与改造通用规范》GB55022</w:t>
      </w:r>
    </w:p>
    <w:p w14:paraId="4EE2A5F2">
      <w:pPr>
        <w:autoSpaceDE w:val="0"/>
        <w:autoSpaceDN w:val="0"/>
        <w:adjustRightInd w:val="0"/>
        <w:jc w:val="left"/>
        <w:rPr>
          <w:rFonts w:hint="eastAsia" w:eastAsia="宋体"/>
          <w:spacing w:val="-1"/>
          <w:w w:val="109"/>
          <w:szCs w:val="24"/>
        </w:rPr>
      </w:pPr>
      <w:r>
        <w:rPr>
          <w:rFonts w:hint="eastAsia" w:eastAsia="宋体"/>
          <w:spacing w:val="-1"/>
          <w:w w:val="109"/>
          <w:szCs w:val="24"/>
          <w:lang w:val="en-US" w:eastAsia="zh-CN"/>
        </w:rPr>
        <w:t xml:space="preserve">2 </w:t>
      </w:r>
      <w:r>
        <w:rPr>
          <w:rFonts w:hint="eastAsia" w:eastAsia="宋体"/>
          <w:spacing w:val="-1"/>
          <w:w w:val="109"/>
          <w:szCs w:val="24"/>
        </w:rPr>
        <w:t>《建筑节能工程施工质量验收标准》GB50411</w:t>
      </w:r>
    </w:p>
    <w:p w14:paraId="08C1383F">
      <w:pPr>
        <w:autoSpaceDE w:val="0"/>
        <w:autoSpaceDN w:val="0"/>
        <w:adjustRightInd w:val="0"/>
        <w:jc w:val="left"/>
        <w:rPr>
          <w:rFonts w:hint="eastAsia" w:eastAsia="宋体"/>
          <w:spacing w:val="-1"/>
          <w:w w:val="109"/>
          <w:szCs w:val="24"/>
        </w:rPr>
      </w:pPr>
      <w:r>
        <w:rPr>
          <w:rFonts w:hint="eastAsia" w:eastAsia="宋体"/>
          <w:spacing w:val="-1"/>
          <w:w w:val="109"/>
          <w:szCs w:val="24"/>
          <w:lang w:val="en-US" w:eastAsia="zh-CN"/>
        </w:rPr>
        <w:t xml:space="preserve">3 </w:t>
      </w:r>
      <w:r>
        <w:rPr>
          <w:rFonts w:hint="eastAsia" w:eastAsia="宋体"/>
          <w:spacing w:val="-1"/>
          <w:w w:val="109"/>
          <w:szCs w:val="24"/>
        </w:rPr>
        <w:t>《建筑装饰装修工程质量验收标准》GB50210</w:t>
      </w:r>
    </w:p>
    <w:p w14:paraId="6AD861DC">
      <w:pPr>
        <w:autoSpaceDE w:val="0"/>
        <w:autoSpaceDN w:val="0"/>
        <w:adjustRightInd w:val="0"/>
        <w:jc w:val="left"/>
        <w:rPr>
          <w:rFonts w:hint="eastAsia" w:eastAsia="宋体"/>
          <w:spacing w:val="-1"/>
          <w:w w:val="109"/>
          <w:szCs w:val="24"/>
        </w:rPr>
      </w:pPr>
      <w:r>
        <w:rPr>
          <w:rFonts w:hint="eastAsia" w:eastAsia="宋体"/>
          <w:spacing w:val="-1"/>
          <w:w w:val="109"/>
          <w:szCs w:val="24"/>
          <w:lang w:val="en-US" w:eastAsia="zh-CN"/>
        </w:rPr>
        <w:t xml:space="preserve">4 </w:t>
      </w:r>
      <w:r>
        <w:rPr>
          <w:rFonts w:hint="eastAsia" w:eastAsia="宋体"/>
          <w:spacing w:val="-1"/>
          <w:w w:val="109"/>
          <w:szCs w:val="24"/>
        </w:rPr>
        <w:t>《建筑外墙外保温系统修缮标准》JGJ376</w:t>
      </w:r>
    </w:p>
    <w:p w14:paraId="576D9257">
      <w:pPr>
        <w:autoSpaceDE w:val="0"/>
        <w:autoSpaceDN w:val="0"/>
        <w:adjustRightInd w:val="0"/>
        <w:jc w:val="left"/>
        <w:rPr>
          <w:rFonts w:hint="eastAsia" w:eastAsia="宋体"/>
          <w:spacing w:val="-1"/>
          <w:w w:val="109"/>
          <w:szCs w:val="24"/>
        </w:rPr>
      </w:pPr>
      <w:r>
        <w:rPr>
          <w:rFonts w:hint="eastAsia" w:eastAsia="宋体"/>
          <w:spacing w:val="-1"/>
          <w:w w:val="109"/>
          <w:szCs w:val="24"/>
          <w:lang w:val="en-US" w:eastAsia="zh-CN"/>
        </w:rPr>
        <w:t xml:space="preserve">5 </w:t>
      </w:r>
      <w:r>
        <w:rPr>
          <w:rFonts w:hint="eastAsia" w:eastAsia="宋体"/>
          <w:spacing w:val="-1"/>
          <w:w w:val="109"/>
          <w:szCs w:val="24"/>
        </w:rPr>
        <w:t>《居住建筑节能检测标准》JGJ/T132</w:t>
      </w:r>
    </w:p>
    <w:p w14:paraId="11E14677">
      <w:pPr>
        <w:autoSpaceDE w:val="0"/>
        <w:autoSpaceDN w:val="0"/>
        <w:adjustRightInd w:val="0"/>
        <w:jc w:val="left"/>
        <w:rPr>
          <w:rFonts w:hint="eastAsia" w:eastAsia="宋体"/>
          <w:spacing w:val="-1"/>
          <w:w w:val="109"/>
          <w:szCs w:val="24"/>
        </w:rPr>
      </w:pPr>
      <w:r>
        <w:rPr>
          <w:rFonts w:hint="eastAsia" w:eastAsia="宋体"/>
          <w:spacing w:val="-1"/>
          <w:w w:val="109"/>
          <w:szCs w:val="24"/>
          <w:lang w:val="en-US" w:eastAsia="zh-CN"/>
        </w:rPr>
        <w:t xml:space="preserve">6 </w:t>
      </w:r>
      <w:r>
        <w:rPr>
          <w:rFonts w:hint="eastAsia" w:eastAsia="宋体"/>
          <w:spacing w:val="-1"/>
          <w:w w:val="109"/>
          <w:szCs w:val="24"/>
        </w:rPr>
        <w:t>《建筑工程饰面砖粘结强度检验标准》JGJ110</w:t>
      </w:r>
    </w:p>
    <w:p w14:paraId="1CE2175E">
      <w:pPr>
        <w:autoSpaceDE w:val="0"/>
        <w:autoSpaceDN w:val="0"/>
        <w:adjustRightInd w:val="0"/>
        <w:jc w:val="left"/>
        <w:rPr>
          <w:rFonts w:hint="eastAsia" w:eastAsia="宋体"/>
          <w:spacing w:val="-1"/>
          <w:w w:val="109"/>
          <w:szCs w:val="24"/>
        </w:rPr>
      </w:pPr>
      <w:r>
        <w:rPr>
          <w:rFonts w:hint="eastAsia" w:eastAsia="宋体"/>
          <w:spacing w:val="-1"/>
          <w:w w:val="109"/>
          <w:szCs w:val="24"/>
          <w:lang w:val="en-US" w:eastAsia="zh-CN"/>
        </w:rPr>
        <w:t xml:space="preserve">7 </w:t>
      </w:r>
      <w:r>
        <w:rPr>
          <w:rFonts w:hint="eastAsia" w:eastAsia="宋体"/>
          <w:spacing w:val="-1"/>
          <w:w w:val="109"/>
          <w:szCs w:val="24"/>
        </w:rPr>
        <w:t>《抹灰砂浆技术规程》JGJ/T 220</w:t>
      </w:r>
    </w:p>
    <w:p w14:paraId="132A7D21">
      <w:pPr>
        <w:autoSpaceDE w:val="0"/>
        <w:autoSpaceDN w:val="0"/>
        <w:adjustRightInd w:val="0"/>
        <w:jc w:val="left"/>
        <w:rPr>
          <w:rFonts w:hint="eastAsia" w:eastAsia="宋体"/>
          <w:spacing w:val="-1"/>
          <w:w w:val="109"/>
          <w:szCs w:val="24"/>
        </w:rPr>
      </w:pPr>
      <w:r>
        <w:rPr>
          <w:rFonts w:hint="eastAsia" w:eastAsia="宋体"/>
          <w:spacing w:val="-1"/>
          <w:w w:val="109"/>
          <w:szCs w:val="24"/>
          <w:lang w:val="en-US" w:eastAsia="zh-CN"/>
        </w:rPr>
        <w:t xml:space="preserve">8 </w:t>
      </w:r>
      <w:r>
        <w:rPr>
          <w:rFonts w:hint="eastAsia" w:eastAsia="宋体"/>
          <w:spacing w:val="-1"/>
          <w:w w:val="109"/>
          <w:szCs w:val="24"/>
        </w:rPr>
        <w:t>《预拌砂浆应用技术规程》JGJ/T223</w:t>
      </w:r>
    </w:p>
    <w:p w14:paraId="3A644A8E">
      <w:pPr>
        <w:autoSpaceDE w:val="0"/>
        <w:autoSpaceDN w:val="0"/>
        <w:adjustRightInd w:val="0"/>
        <w:jc w:val="left"/>
        <w:rPr>
          <w:rFonts w:hint="eastAsia" w:eastAsia="宋体"/>
          <w:spacing w:val="-1"/>
          <w:w w:val="109"/>
          <w:szCs w:val="24"/>
        </w:rPr>
      </w:pPr>
      <w:r>
        <w:rPr>
          <w:rFonts w:hint="eastAsia" w:eastAsia="宋体"/>
          <w:spacing w:val="-1"/>
          <w:w w:val="109"/>
          <w:szCs w:val="24"/>
          <w:lang w:val="en-US" w:eastAsia="zh-CN"/>
        </w:rPr>
        <w:t xml:space="preserve">9 </w:t>
      </w:r>
      <w:r>
        <w:rPr>
          <w:rFonts w:hint="eastAsia" w:eastAsia="宋体"/>
          <w:spacing w:val="-1"/>
          <w:w w:val="109"/>
          <w:szCs w:val="24"/>
        </w:rPr>
        <w:t>《湖南省膨胀玻化微珠保温装饰板外墙外保温系统应用技术标准》DBJ43/T354</w:t>
      </w:r>
    </w:p>
    <w:p w14:paraId="29C4C521">
      <w:pPr>
        <w:autoSpaceDE w:val="0"/>
        <w:autoSpaceDN w:val="0"/>
        <w:adjustRightInd w:val="0"/>
        <w:jc w:val="left"/>
        <w:rPr>
          <w:rFonts w:hint="eastAsia" w:eastAsia="宋体"/>
          <w:spacing w:val="-1"/>
          <w:w w:val="109"/>
          <w:szCs w:val="24"/>
          <w:highlight w:val="none"/>
        </w:rPr>
      </w:pPr>
      <w:r>
        <w:rPr>
          <w:rFonts w:hint="eastAsia" w:eastAsia="宋体"/>
          <w:spacing w:val="-1"/>
          <w:w w:val="109"/>
          <w:szCs w:val="24"/>
          <w:lang w:val="en-US" w:eastAsia="zh-CN"/>
        </w:rPr>
        <w:t xml:space="preserve">10 </w:t>
      </w:r>
      <w:r>
        <w:rPr>
          <w:rFonts w:hint="eastAsia" w:eastAsia="宋体"/>
          <w:spacing w:val="-1"/>
          <w:w w:val="109"/>
          <w:szCs w:val="24"/>
        </w:rPr>
        <w:t>《湖南省改性玻化微珠轻质砂浆应用技术标准》DBJ43/T311</w:t>
      </w:r>
    </w:p>
    <w:p w14:paraId="2CD6AA89">
      <w:pPr>
        <w:autoSpaceDE w:val="0"/>
        <w:autoSpaceDN w:val="0"/>
        <w:adjustRightInd w:val="0"/>
        <w:jc w:val="left"/>
        <w:rPr>
          <w:rFonts w:hint="default" w:eastAsia="宋体"/>
          <w:spacing w:val="-1"/>
          <w:w w:val="109"/>
          <w:szCs w:val="24"/>
          <w:highlight w:val="none"/>
          <w:lang w:val="en-US" w:eastAsia="zh-CN"/>
        </w:rPr>
      </w:pPr>
      <w:r>
        <w:rPr>
          <w:rFonts w:hint="eastAsia" w:eastAsia="宋体"/>
          <w:spacing w:val="-1"/>
          <w:w w:val="109"/>
          <w:szCs w:val="24"/>
          <w:highlight w:val="none"/>
          <w:lang w:val="en-US" w:eastAsia="zh-CN"/>
        </w:rPr>
        <w:t>11</w:t>
      </w:r>
      <w:r>
        <w:rPr>
          <w:rFonts w:hint="eastAsia" w:eastAsia="宋体"/>
          <w:spacing w:val="-1"/>
          <w:w w:val="109"/>
          <w:szCs w:val="24"/>
          <w:highlight w:val="none"/>
        </w:rPr>
        <w:t xml:space="preserve"> 《改性玻化微珠轻质砂浆通用技术条件》DB43/T</w:t>
      </w:r>
      <w:r>
        <w:rPr>
          <w:rFonts w:hint="eastAsia" w:eastAsia="宋体"/>
          <w:spacing w:val="-1"/>
          <w:w w:val="109"/>
          <w:szCs w:val="24"/>
          <w:highlight w:val="none"/>
          <w:lang w:val="en-US" w:eastAsia="zh-CN"/>
        </w:rPr>
        <w:t>2722</w:t>
      </w:r>
    </w:p>
    <w:p w14:paraId="4C233B4D">
      <w:pPr>
        <w:autoSpaceDE w:val="0"/>
        <w:autoSpaceDN w:val="0"/>
        <w:adjustRightInd w:val="0"/>
        <w:jc w:val="left"/>
        <w:rPr>
          <w:rFonts w:eastAsia="宋体"/>
          <w:spacing w:val="-1"/>
          <w:w w:val="109"/>
          <w:szCs w:val="24"/>
        </w:rPr>
      </w:pPr>
    </w:p>
    <w:p w14:paraId="5705FCD9">
      <w:pPr>
        <w:autoSpaceDE w:val="0"/>
        <w:autoSpaceDN w:val="0"/>
        <w:snapToGrid w:val="0"/>
        <w:spacing w:before="1878"/>
        <w:jc w:val="center"/>
        <w:rPr>
          <w:rFonts w:eastAsia="宋体"/>
          <w:szCs w:val="24"/>
        </w:rPr>
      </w:pPr>
    </w:p>
    <w:p w14:paraId="119332B8">
      <w:pPr>
        <w:pStyle w:val="14"/>
      </w:pPr>
    </w:p>
    <w:p w14:paraId="5EFDE994">
      <w:pPr>
        <w:autoSpaceDE w:val="0"/>
        <w:autoSpaceDN w:val="0"/>
        <w:snapToGrid w:val="0"/>
        <w:spacing w:before="1878"/>
        <w:jc w:val="center"/>
        <w:rPr>
          <w:rFonts w:eastAsia="宋体"/>
          <w:szCs w:val="24"/>
        </w:rPr>
      </w:pPr>
    </w:p>
    <w:p w14:paraId="24F6EA0F">
      <w:pPr>
        <w:autoSpaceDE w:val="0"/>
        <w:autoSpaceDN w:val="0"/>
        <w:snapToGrid w:val="0"/>
        <w:spacing w:before="1878"/>
        <w:jc w:val="center"/>
        <w:rPr>
          <w:rFonts w:eastAsia="宋体"/>
          <w:szCs w:val="24"/>
        </w:rPr>
      </w:pPr>
    </w:p>
    <w:p w14:paraId="4D6353AD">
      <w:pPr>
        <w:autoSpaceDE w:val="0"/>
        <w:autoSpaceDN w:val="0"/>
        <w:snapToGrid w:val="0"/>
        <w:spacing w:before="1878"/>
        <w:jc w:val="center"/>
        <w:rPr>
          <w:rFonts w:eastAsia="宋体"/>
          <w:szCs w:val="24"/>
        </w:rPr>
      </w:pPr>
    </w:p>
    <w:p w14:paraId="4DE73D81">
      <w:pPr>
        <w:autoSpaceDE w:val="0"/>
        <w:autoSpaceDN w:val="0"/>
        <w:snapToGrid w:val="0"/>
        <w:spacing w:before="1878"/>
        <w:jc w:val="center"/>
        <w:rPr>
          <w:rFonts w:eastAsia="宋体"/>
          <w:szCs w:val="24"/>
        </w:rPr>
      </w:pPr>
      <w:r>
        <w:rPr>
          <w:rFonts w:eastAsia="宋体"/>
          <w:szCs w:val="24"/>
        </w:rPr>
        <w:t>湖南省地方标准</w:t>
      </w:r>
    </w:p>
    <w:p w14:paraId="30C3FCF0">
      <w:pPr>
        <w:autoSpaceDE w:val="0"/>
        <w:autoSpaceDN w:val="0"/>
        <w:snapToGrid w:val="0"/>
        <w:spacing w:before="1878"/>
        <w:jc w:val="center"/>
        <w:rPr>
          <w:rFonts w:eastAsia="宋体"/>
          <w:szCs w:val="24"/>
        </w:rPr>
      </w:pPr>
    </w:p>
    <w:p w14:paraId="0B879788">
      <w:pPr>
        <w:jc w:val="center"/>
        <w:rPr>
          <w:rFonts w:hint="default" w:eastAsia="宋体"/>
          <w:b/>
          <w:kern w:val="0"/>
          <w:sz w:val="36"/>
          <w:szCs w:val="36"/>
          <w:lang w:val="en-US" w:eastAsia="zh-CN"/>
        </w:rPr>
      </w:pPr>
      <w:r>
        <w:rPr>
          <w:rFonts w:hint="eastAsia"/>
          <w:b/>
          <w:kern w:val="0"/>
          <w:sz w:val="36"/>
          <w:szCs w:val="36"/>
          <w:lang w:val="en-US" w:eastAsia="zh-CN"/>
        </w:rPr>
        <w:t>湖南省改性玻化微珠复合材料外墙修缮系统应用技术标准</w:t>
      </w:r>
    </w:p>
    <w:p w14:paraId="695C70B5">
      <w:pPr>
        <w:spacing w:line="360" w:lineRule="auto"/>
        <w:jc w:val="center"/>
        <w:rPr>
          <w:b/>
          <w:sz w:val="36"/>
          <w:szCs w:val="36"/>
        </w:rPr>
      </w:pPr>
    </w:p>
    <w:p w14:paraId="5B24BD43">
      <w:pPr>
        <w:jc w:val="center"/>
        <w:rPr>
          <w:rFonts w:hint="eastAsia" w:ascii="宋体" w:hAnsi="宋体" w:eastAsia="宋体" w:cs="宋体"/>
          <w:b/>
          <w:sz w:val="32"/>
          <w:szCs w:val="32"/>
          <w:lang w:eastAsia="zh-CN"/>
        </w:rPr>
      </w:pPr>
      <w:r>
        <w:rPr>
          <w:rFonts w:hint="eastAsia" w:ascii="宋体" w:hAnsi="宋体" w:cs="宋体"/>
          <w:b/>
          <w:sz w:val="32"/>
          <w:szCs w:val="32"/>
        </w:rPr>
        <w:t>DBJ 43/T     -202</w:t>
      </w:r>
      <w:r>
        <w:rPr>
          <w:rFonts w:hint="eastAsia" w:cs="宋体" w:asciiTheme="minorEastAsia" w:hAnsiTheme="minorEastAsia" w:eastAsiaTheme="minorEastAsia"/>
          <w:b/>
          <w:sz w:val="32"/>
          <w:szCs w:val="32"/>
          <w:lang w:val="en-US" w:eastAsia="zh-CN"/>
        </w:rPr>
        <w:t>5</w:t>
      </w:r>
    </w:p>
    <w:p w14:paraId="73707DFB">
      <w:pPr>
        <w:autoSpaceDE w:val="0"/>
        <w:autoSpaceDN w:val="0"/>
        <w:snapToGrid w:val="0"/>
        <w:spacing w:before="220"/>
        <w:jc w:val="center"/>
        <w:rPr>
          <w:rFonts w:eastAsia="宋体"/>
          <w:spacing w:val="5"/>
          <w:w w:val="220"/>
          <w:szCs w:val="24"/>
        </w:rPr>
      </w:pPr>
    </w:p>
    <w:p w14:paraId="0D605D9C">
      <w:pPr>
        <w:autoSpaceDE w:val="0"/>
        <w:autoSpaceDN w:val="0"/>
        <w:snapToGrid w:val="0"/>
        <w:spacing w:before="220"/>
        <w:jc w:val="center"/>
        <w:rPr>
          <w:rFonts w:eastAsia="宋体"/>
          <w:szCs w:val="24"/>
        </w:rPr>
      </w:pPr>
    </w:p>
    <w:p w14:paraId="6FE5E23B">
      <w:pPr>
        <w:autoSpaceDE w:val="0"/>
        <w:autoSpaceDN w:val="0"/>
        <w:snapToGrid w:val="0"/>
        <w:spacing w:before="220"/>
        <w:jc w:val="center"/>
        <w:rPr>
          <w:rFonts w:eastAsia="宋体"/>
          <w:szCs w:val="24"/>
        </w:rPr>
      </w:pPr>
    </w:p>
    <w:p w14:paraId="6B6F5D45">
      <w:pPr>
        <w:autoSpaceDE w:val="0"/>
        <w:autoSpaceDN w:val="0"/>
        <w:snapToGrid w:val="0"/>
        <w:spacing w:before="220"/>
        <w:jc w:val="center"/>
        <w:rPr>
          <w:rFonts w:eastAsia="宋体"/>
          <w:szCs w:val="24"/>
        </w:rPr>
      </w:pPr>
    </w:p>
    <w:p w14:paraId="05F5B34D">
      <w:pPr>
        <w:autoSpaceDE w:val="0"/>
        <w:autoSpaceDN w:val="0"/>
        <w:snapToGrid w:val="0"/>
        <w:spacing w:before="220"/>
        <w:jc w:val="center"/>
        <w:rPr>
          <w:rFonts w:eastAsia="宋体"/>
          <w:sz w:val="32"/>
          <w:szCs w:val="32"/>
        </w:rPr>
      </w:pPr>
      <w:r>
        <w:rPr>
          <w:rFonts w:eastAsia="宋体"/>
          <w:sz w:val="32"/>
          <w:szCs w:val="32"/>
        </w:rPr>
        <w:t>条 文 说 明</w:t>
      </w:r>
    </w:p>
    <w:p w14:paraId="0F6DD342">
      <w:pPr>
        <w:autoSpaceDE w:val="0"/>
        <w:autoSpaceDN w:val="0"/>
        <w:snapToGrid w:val="0"/>
        <w:spacing w:before="220"/>
        <w:jc w:val="center"/>
        <w:rPr>
          <w:rFonts w:eastAsia="宋体"/>
          <w:sz w:val="32"/>
          <w:szCs w:val="32"/>
        </w:rPr>
      </w:pPr>
    </w:p>
    <w:p w14:paraId="6A0512A2">
      <w:pPr>
        <w:autoSpaceDE w:val="0"/>
        <w:autoSpaceDN w:val="0"/>
        <w:snapToGrid w:val="0"/>
        <w:spacing w:before="220"/>
        <w:jc w:val="center"/>
        <w:rPr>
          <w:rFonts w:eastAsia="宋体"/>
          <w:sz w:val="32"/>
          <w:szCs w:val="32"/>
        </w:rPr>
      </w:pPr>
    </w:p>
    <w:p w14:paraId="6683E045">
      <w:pPr>
        <w:autoSpaceDE w:val="0"/>
        <w:autoSpaceDN w:val="0"/>
        <w:snapToGrid w:val="0"/>
        <w:spacing w:before="220"/>
        <w:jc w:val="center"/>
        <w:rPr>
          <w:rFonts w:eastAsia="宋体"/>
          <w:sz w:val="32"/>
          <w:szCs w:val="32"/>
        </w:rPr>
      </w:pPr>
    </w:p>
    <w:p w14:paraId="5C2AC3D4">
      <w:pPr>
        <w:autoSpaceDE w:val="0"/>
        <w:autoSpaceDN w:val="0"/>
        <w:snapToGrid w:val="0"/>
        <w:spacing w:before="220"/>
        <w:jc w:val="center"/>
        <w:rPr>
          <w:rFonts w:eastAsia="宋体"/>
          <w:sz w:val="32"/>
          <w:szCs w:val="32"/>
        </w:rPr>
      </w:pPr>
    </w:p>
    <w:p w14:paraId="703EC69C">
      <w:pPr>
        <w:autoSpaceDE w:val="0"/>
        <w:autoSpaceDN w:val="0"/>
        <w:snapToGrid w:val="0"/>
        <w:spacing w:before="220"/>
        <w:jc w:val="center"/>
        <w:rPr>
          <w:rFonts w:eastAsia="宋体"/>
          <w:sz w:val="32"/>
          <w:szCs w:val="32"/>
        </w:rPr>
      </w:pPr>
    </w:p>
    <w:p w14:paraId="5273D30D">
      <w:pPr>
        <w:pStyle w:val="14"/>
        <w:rPr>
          <w:rFonts w:hint="default" w:ascii="宋体" w:hAnsi="宋体"/>
          <w:sz w:val="24"/>
          <w:szCs w:val="24"/>
          <w:lang w:val="en-US" w:eastAsia="zh-CN"/>
        </w:rPr>
      </w:pPr>
    </w:p>
    <w:p w14:paraId="5194E3D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sz w:val="24"/>
          <w:szCs w:val="24"/>
          <w:lang w:val="en-US" w:eastAsia="zh-CN"/>
        </w:rPr>
      </w:pPr>
    </w:p>
    <w:p w14:paraId="57E5C4E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sz w:val="24"/>
          <w:szCs w:val="24"/>
          <w:lang w:val="en-US" w:eastAsia="zh-CN"/>
        </w:rPr>
      </w:pPr>
    </w:p>
    <w:sectPr>
      <w:pgSz w:w="11850" w:h="16783"/>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roman"/>
    <w:pitch w:val="default"/>
    <w:sig w:usb0="00000000" w:usb1="00000000" w:usb2="00000000" w:usb3="00000000" w:csb0="2000019F"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435C6">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2F86C4">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A2F86C4">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hNGQyN2ExYzhmNGFiZjUwODQzYTQ2MjQzMTI4MGMifQ=="/>
    <w:docVar w:name="KSO_WPS_MARK_KEY" w:val="3276390a-7eb3-4c43-8573-bfe8d4b405fa"/>
  </w:docVars>
  <w:rsids>
    <w:rsidRoot w:val="00000000"/>
    <w:rsid w:val="00462997"/>
    <w:rsid w:val="01036D07"/>
    <w:rsid w:val="03A9534C"/>
    <w:rsid w:val="04CC5EE2"/>
    <w:rsid w:val="05DC71DE"/>
    <w:rsid w:val="07C47AD1"/>
    <w:rsid w:val="083D1198"/>
    <w:rsid w:val="08784400"/>
    <w:rsid w:val="09DC2A3C"/>
    <w:rsid w:val="0A8C6210"/>
    <w:rsid w:val="0C436DA2"/>
    <w:rsid w:val="0C4373C0"/>
    <w:rsid w:val="0D83767D"/>
    <w:rsid w:val="0DED5218"/>
    <w:rsid w:val="10141066"/>
    <w:rsid w:val="10EA2E15"/>
    <w:rsid w:val="121D1E44"/>
    <w:rsid w:val="123A0A2D"/>
    <w:rsid w:val="142B70DA"/>
    <w:rsid w:val="16423A7B"/>
    <w:rsid w:val="16646CF5"/>
    <w:rsid w:val="17570AB0"/>
    <w:rsid w:val="17AD5A18"/>
    <w:rsid w:val="1A5952DF"/>
    <w:rsid w:val="1AB44438"/>
    <w:rsid w:val="1AB57B88"/>
    <w:rsid w:val="1AD37438"/>
    <w:rsid w:val="1B500619"/>
    <w:rsid w:val="1B5468D6"/>
    <w:rsid w:val="1CCB728D"/>
    <w:rsid w:val="1CD56535"/>
    <w:rsid w:val="1D34534F"/>
    <w:rsid w:val="1D8A44BC"/>
    <w:rsid w:val="1E504515"/>
    <w:rsid w:val="1F2714F3"/>
    <w:rsid w:val="1F4162F4"/>
    <w:rsid w:val="1FD46326"/>
    <w:rsid w:val="20281094"/>
    <w:rsid w:val="202D04AD"/>
    <w:rsid w:val="21553258"/>
    <w:rsid w:val="22AB080D"/>
    <w:rsid w:val="22F6588E"/>
    <w:rsid w:val="237C4C1C"/>
    <w:rsid w:val="27B97EBF"/>
    <w:rsid w:val="28B63573"/>
    <w:rsid w:val="299F585D"/>
    <w:rsid w:val="2AF86A7B"/>
    <w:rsid w:val="2CFA448F"/>
    <w:rsid w:val="2D13139C"/>
    <w:rsid w:val="2DB50381"/>
    <w:rsid w:val="2EDD02CB"/>
    <w:rsid w:val="2F67550A"/>
    <w:rsid w:val="30DC4F4C"/>
    <w:rsid w:val="30F41659"/>
    <w:rsid w:val="31033A07"/>
    <w:rsid w:val="31723E66"/>
    <w:rsid w:val="31EE1526"/>
    <w:rsid w:val="32256AC8"/>
    <w:rsid w:val="34B4484A"/>
    <w:rsid w:val="36EF4CF8"/>
    <w:rsid w:val="37E7006E"/>
    <w:rsid w:val="38186D4E"/>
    <w:rsid w:val="385029C3"/>
    <w:rsid w:val="39470384"/>
    <w:rsid w:val="3968488B"/>
    <w:rsid w:val="3B7D7659"/>
    <w:rsid w:val="3CFB53BC"/>
    <w:rsid w:val="3F992F25"/>
    <w:rsid w:val="40A278CC"/>
    <w:rsid w:val="40C91DD7"/>
    <w:rsid w:val="40CE4185"/>
    <w:rsid w:val="41590C35"/>
    <w:rsid w:val="416A2819"/>
    <w:rsid w:val="42652875"/>
    <w:rsid w:val="43072760"/>
    <w:rsid w:val="43236A0A"/>
    <w:rsid w:val="433113BC"/>
    <w:rsid w:val="450E6D94"/>
    <w:rsid w:val="45B90543"/>
    <w:rsid w:val="45DB633A"/>
    <w:rsid w:val="46C077C8"/>
    <w:rsid w:val="48E51133"/>
    <w:rsid w:val="49DF4FA4"/>
    <w:rsid w:val="4ABC6C12"/>
    <w:rsid w:val="4BD908C1"/>
    <w:rsid w:val="4CAA3CF8"/>
    <w:rsid w:val="4DDC15D0"/>
    <w:rsid w:val="4E3A7763"/>
    <w:rsid w:val="50141765"/>
    <w:rsid w:val="508807B4"/>
    <w:rsid w:val="50A14C02"/>
    <w:rsid w:val="50F104C3"/>
    <w:rsid w:val="512250C0"/>
    <w:rsid w:val="5229755A"/>
    <w:rsid w:val="53516ABA"/>
    <w:rsid w:val="54443B73"/>
    <w:rsid w:val="570D55B0"/>
    <w:rsid w:val="579446EC"/>
    <w:rsid w:val="5A064CAF"/>
    <w:rsid w:val="5B6D2CD8"/>
    <w:rsid w:val="5BB8793D"/>
    <w:rsid w:val="5C0A11F7"/>
    <w:rsid w:val="5C354448"/>
    <w:rsid w:val="5D263A16"/>
    <w:rsid w:val="5D9E51B4"/>
    <w:rsid w:val="5E1611EE"/>
    <w:rsid w:val="5EBD6A5A"/>
    <w:rsid w:val="60B81BFD"/>
    <w:rsid w:val="62096C5F"/>
    <w:rsid w:val="624E265B"/>
    <w:rsid w:val="6290653C"/>
    <w:rsid w:val="62BF1F1B"/>
    <w:rsid w:val="63E41AEC"/>
    <w:rsid w:val="65402FF4"/>
    <w:rsid w:val="66264C5F"/>
    <w:rsid w:val="69277A3E"/>
    <w:rsid w:val="6A3C4C15"/>
    <w:rsid w:val="6D251960"/>
    <w:rsid w:val="6DBF3EAC"/>
    <w:rsid w:val="6E127E3B"/>
    <w:rsid w:val="6E91666F"/>
    <w:rsid w:val="6F305A49"/>
    <w:rsid w:val="6FA81EC2"/>
    <w:rsid w:val="70586F9D"/>
    <w:rsid w:val="706A3740"/>
    <w:rsid w:val="72E574DB"/>
    <w:rsid w:val="731B0213"/>
    <w:rsid w:val="733C7A36"/>
    <w:rsid w:val="738231BD"/>
    <w:rsid w:val="738F6243"/>
    <w:rsid w:val="73F27F23"/>
    <w:rsid w:val="75597D2B"/>
    <w:rsid w:val="75933945"/>
    <w:rsid w:val="75A44870"/>
    <w:rsid w:val="764D35DC"/>
    <w:rsid w:val="77517852"/>
    <w:rsid w:val="775A4CF9"/>
    <w:rsid w:val="78CE2F54"/>
    <w:rsid w:val="79566CCB"/>
    <w:rsid w:val="79E04E60"/>
    <w:rsid w:val="7A06307E"/>
    <w:rsid w:val="7D353CFB"/>
    <w:rsid w:val="7E5A4278"/>
    <w:rsid w:val="7EA875A2"/>
    <w:rsid w:val="7FF65B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rPr>
      <w:rFonts w:ascii="宋体" w:hAnsi="宋体" w:eastAsia="宋体" w:cs="宋体"/>
      <w:sz w:val="22"/>
      <w:szCs w:val="22"/>
      <w:lang w:val="en-US" w:eastAsia="en-US" w:bidi="en-US"/>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unhideWhenUsed/>
    <w:qFormat/>
    <w:uiPriority w:val="0"/>
    <w:pPr>
      <w:spacing w:beforeAutospacing="1" w:afterAutospacing="1"/>
      <w:jc w:val="left"/>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3"/>
    <w:qFormat/>
    <w:uiPriority w:val="0"/>
    <w:pPr>
      <w:ind w:leftChars="400"/>
    </w:pPr>
    <w:rPr>
      <w:rFonts w:ascii="Times New Roman" w:hAnsi="Times New Roman" w:eastAsia="宋体" w:cs="Times New Roman"/>
      <w:sz w:val="20"/>
      <w:szCs w:val="20"/>
    </w:rPr>
  </w:style>
  <w:style w:type="paragraph" w:styleId="18">
    <w:name w:val="List Paragraph"/>
    <w:basedOn w:val="1"/>
    <w:qFormat/>
    <w:uiPriority w:val="1"/>
    <w:pPr>
      <w:ind w:left="452"/>
      <w:jc w:val="both"/>
    </w:pPr>
    <w:rPr>
      <w:rFonts w:ascii="宋体" w:hAnsi="宋体" w:eastAsia="宋体" w:cs="宋体"/>
      <w:lang w:val="en-US" w:eastAsia="en-US" w:bidi="en-US"/>
    </w:rPr>
  </w:style>
  <w:style w:type="paragraph" w:customStyle="1" w:styleId="19">
    <w:name w:val="Table Paragraph"/>
    <w:basedOn w:val="1"/>
    <w:qFormat/>
    <w:uiPriority w:val="1"/>
    <w:rPr>
      <w:rFonts w:ascii="宋体" w:hAnsi="宋体" w:eastAsia="宋体" w:cs="宋体"/>
      <w:lang w:val="en-US" w:eastAsia="en-US" w:bidi="en-US"/>
    </w:rPr>
  </w:style>
  <w:style w:type="character" w:customStyle="1" w:styleId="20">
    <w:name w:val="font61"/>
    <w:qFormat/>
    <w:uiPriority w:val="0"/>
    <w:rPr>
      <w:rFonts w:ascii="Calibri" w:hAnsi="Calibri" w:eastAsia="宋体" w:cs="Calibri"/>
      <w:color w:val="000000"/>
      <w:sz w:val="16"/>
      <w:szCs w:val="16"/>
      <w:u w:val="none"/>
    </w:rPr>
  </w:style>
  <w:style w:type="character" w:customStyle="1" w:styleId="21">
    <w:name w:val="font21"/>
    <w:qFormat/>
    <w:uiPriority w:val="0"/>
    <w:rPr>
      <w:rFonts w:hint="eastAsia" w:ascii="宋体" w:hAnsi="宋体" w:eastAsia="宋体" w:cs="宋体"/>
      <w:color w:val="000000"/>
      <w:sz w:val="16"/>
      <w:szCs w:val="16"/>
      <w:u w:val="none"/>
    </w:rPr>
  </w:style>
  <w:style w:type="character" w:customStyle="1" w:styleId="22">
    <w:name w:val="font71"/>
    <w:qFormat/>
    <w:uiPriority w:val="0"/>
    <w:rPr>
      <w:rFonts w:hint="default" w:ascii="Calibri" w:hAnsi="Calibri" w:eastAsia="宋体" w:cs="Calibri"/>
      <w:color w:val="000000"/>
      <w:sz w:val="16"/>
      <w:szCs w:val="16"/>
      <w:u w:val="none"/>
      <w:vertAlign w:val="superscript"/>
    </w:rPr>
  </w:style>
  <w:style w:type="character" w:customStyle="1" w:styleId="23">
    <w:name w:val="font01"/>
    <w:qFormat/>
    <w:uiPriority w:val="0"/>
    <w:rPr>
      <w:rFonts w:ascii="微软雅黑" w:hAnsi="微软雅黑" w:eastAsia="微软雅黑" w:cs="微软雅黑"/>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5373</Words>
  <Characters>6920</Characters>
  <Lines>0</Lines>
  <Paragraphs>0</Paragraphs>
  <TotalTime>7</TotalTime>
  <ScaleCrop>false</ScaleCrop>
  <LinksUpToDate>false</LinksUpToDate>
  <CharactersWithSpaces>7408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2024-01-24T00:55:00Z</dcterms:created>
  <dc:creator>Administrator</dc:creator>
  <cp:lastModifiedBy>程栋</cp:lastModifiedBy>
  <cp:lastPrinted>2024-08-27T07:07:00Z</cp:lastPrinted>
  <dcterms:modified xsi:type="dcterms:W3CDTF">2025-02-20T07:55:08Z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D153E50D89A44D61B6DBB31FB7FE4655</vt:lpwstr>
  </property>
  <property fmtid="{D5CDD505-2E9C-101B-9397-08002B2CF9AE}" pid="4" name="KSOTemplateDocerSaveRecord">
    <vt:lpwstr>eyJoZGlkIjoiYThmZWRiZWNiYTg0MDQ0MmIyYjI3Y2YzZjE4ZDU1ZDMiLCJ1c2VySWQiOiIyNTA1NzI2OTkifQ==</vt:lpwstr>
  </property>
</Properties>
</file>