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34"/>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浸渍胶膜纸饰面净醛耐水板通用质量规范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General quality specification for impregnated film paper faced anion-functional and water-resistant board</w:t>
      </w:r>
      <w:r>
        <w:rPr>
          <w:rFonts w:ascii="黑体" w:hAnsi="黑体" w:eastAsia="黑体"/>
          <w:szCs w:val="28"/>
        </w:rPr>
        <w:t>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231"/>
        <w:rPr>
          <w:rFonts w:hint="eastAsia"/>
        </w:rPr>
      </w:pPr>
      <w:bookmarkStart w:id="21" w:name="_Toc24982333"/>
      <w:bookmarkStart w:id="22" w:name="_Toc1701494974"/>
      <w:bookmarkStart w:id="23" w:name="_Toc183006971"/>
      <w:bookmarkStart w:id="24" w:name="_Toc27075211"/>
      <w:bookmarkStart w:id="25" w:name="BookMark4"/>
      <w:r>
        <w:rPr>
          <w:rFonts w:hint="eastAsia"/>
        </w:rPr>
        <w:t>前</w:t>
      </w:r>
      <w:bookmarkStart w:id="26" w:name="BKQY"/>
      <w:r>
        <w:rPr>
          <w:rFonts w:hAnsi="黑体"/>
        </w:rPr>
        <w:t> </w:t>
      </w:r>
      <w:r>
        <w:rPr>
          <w:rFonts w:hint="eastAsia"/>
        </w:rPr>
        <w:t>言</w:t>
      </w:r>
      <w:bookmarkEnd w:id="21"/>
      <w:bookmarkEnd w:id="22"/>
      <w:bookmarkEnd w:id="23"/>
      <w:bookmarkEnd w:id="24"/>
      <w:bookmarkEnd w:id="26"/>
    </w:p>
    <w:p>
      <w:pPr>
        <w:ind w:firstLine="420"/>
        <w:rPr>
          <w:rFonts w:hint="eastAsia" w:ascii="宋体" w:hAnsi="宋体"/>
          <w:szCs w:val="21"/>
        </w:rPr>
      </w:pPr>
      <w:r>
        <w:rPr>
          <w:rFonts w:hint="eastAsia" w:ascii="宋体" w:hAnsi="宋体"/>
          <w:szCs w:val="21"/>
        </w:rPr>
        <w:t>本文件按照GB/T 1.1-2020《标准化工作导则 第1部分：标准化文件的结构和起草规则》的规定起草。</w:t>
      </w:r>
    </w:p>
    <w:p>
      <w:pPr>
        <w:ind w:firstLine="420"/>
        <w:rPr>
          <w:rFonts w:hint="eastAsia" w:ascii="宋体" w:hAnsi="宋体"/>
          <w:szCs w:val="21"/>
        </w:rPr>
      </w:pPr>
      <w:r>
        <w:rPr>
          <w:rFonts w:hint="eastAsia" w:ascii="宋体" w:hAnsi="宋体"/>
          <w:szCs w:val="21"/>
        </w:rPr>
        <w:t>请注意本文件的某些内容可能涉及专利。本文件的发布机构不承担识别专利的责任。</w:t>
      </w:r>
    </w:p>
    <w:p>
      <w:pPr>
        <w:ind w:firstLine="420"/>
        <w:rPr>
          <w:rFonts w:hint="eastAsia" w:ascii="宋体" w:hAnsi="宋体"/>
          <w:szCs w:val="21"/>
        </w:rPr>
      </w:pPr>
      <w:r>
        <w:rPr>
          <w:rFonts w:hint="eastAsia" w:ascii="宋体" w:hAnsi="宋体"/>
          <w:szCs w:val="21"/>
        </w:rPr>
        <w:t>本规范由湖南省</w:t>
      </w:r>
      <w:r>
        <w:rPr>
          <w:rFonts w:hint="eastAsia" w:ascii="宋体" w:hAnsi="宋体"/>
          <w:szCs w:val="21"/>
          <w:lang w:val="en-US" w:eastAsia="zh-CN"/>
        </w:rPr>
        <w:t>市场监督管理局</w:t>
      </w:r>
      <w:r>
        <w:rPr>
          <w:rFonts w:hint="eastAsia" w:ascii="宋体" w:hAnsi="宋体"/>
          <w:szCs w:val="21"/>
        </w:rPr>
        <w:t>提出</w:t>
      </w:r>
      <w:r>
        <w:rPr>
          <w:rFonts w:hint="eastAsia" w:ascii="宋体" w:hAnsi="宋体"/>
          <w:szCs w:val="21"/>
          <w:lang w:eastAsia="zh-CN"/>
        </w:rPr>
        <w:t>并归口</w:t>
      </w:r>
      <w:r>
        <w:rPr>
          <w:rFonts w:hint="eastAsia" w:ascii="宋体" w:hAnsi="宋体"/>
          <w:szCs w:val="21"/>
        </w:rPr>
        <w:t>。</w:t>
      </w:r>
    </w:p>
    <w:p>
      <w:pPr>
        <w:ind w:firstLine="420"/>
        <w:rPr>
          <w:rFonts w:hint="default" w:ascii="宋体" w:hAnsi="宋体" w:eastAsia="宋体"/>
          <w:szCs w:val="21"/>
          <w:lang w:val="en-US" w:eastAsia="zh-CN"/>
        </w:rPr>
      </w:pPr>
      <w:r>
        <w:rPr>
          <w:rFonts w:hint="eastAsia" w:ascii="宋体" w:hAnsi="宋体"/>
          <w:szCs w:val="21"/>
        </w:rPr>
        <w:t>起草单位：</w:t>
      </w:r>
      <w:r>
        <w:rPr>
          <w:rFonts w:hint="eastAsia" w:ascii="宋体" w:hAnsi="宋体"/>
          <w:szCs w:val="21"/>
          <w:lang w:val="en-US" w:eastAsia="zh-CN"/>
        </w:rPr>
        <w:t>湖南省产商品质量检验研究院</w:t>
      </w:r>
    </w:p>
    <w:p>
      <w:pPr>
        <w:ind w:firstLine="420"/>
        <w:rPr>
          <w:rFonts w:hint="eastAsia" w:ascii="宋体" w:hAnsi="宋体"/>
          <w:szCs w:val="21"/>
        </w:rPr>
      </w:pPr>
      <w:r>
        <w:rPr>
          <w:rFonts w:hint="eastAsia" w:ascii="宋体" w:hAnsi="宋体"/>
          <w:szCs w:val="21"/>
        </w:rPr>
        <w:t>本规范主要起草人：</w:t>
      </w:r>
    </w:p>
    <w:p>
      <w:pPr>
        <w:ind w:firstLine="420"/>
        <w:rPr>
          <w:rFonts w:hint="eastAsia" w:ascii="宋体" w:hAnsi="宋体"/>
          <w:szCs w:val="21"/>
        </w:rPr>
      </w:pPr>
      <w:r>
        <w:rPr>
          <w:rFonts w:hint="eastAsia" w:ascii="宋体" w:hAnsi="宋体"/>
          <w:szCs w:val="21"/>
        </w:rPr>
        <w:t>本规范为推荐性标准。</w:t>
      </w:r>
    </w:p>
    <w:p>
      <w:pPr>
        <w:spacing w:line="20" w:lineRule="exact"/>
        <w:jc w:val="center"/>
        <w:rPr>
          <w:rFonts w:ascii="黑体" w:hAnsi="黑体" w:eastAsia="黑体"/>
          <w:sz w:val="32"/>
          <w:szCs w:val="32"/>
        </w:rPr>
        <w:sectPr>
          <w:headerReference r:id="rId9" w:type="default"/>
          <w:footerReference r:id="rId11" w:type="default"/>
          <w:headerReference r:id="rId10" w:type="even"/>
          <w:pgSz w:w="11906" w:h="16838"/>
          <w:pgMar w:top="1928" w:right="1134" w:bottom="1134" w:left="1134" w:header="1418" w:footer="1134" w:gutter="284"/>
          <w:pgNumType w:start="1"/>
          <w:cols w:space="425" w:num="1"/>
          <w:formProt w:val="0"/>
          <w:docGrid w:type="lines" w:linePitch="312" w:charSpace="0"/>
        </w:sectPr>
      </w:pPr>
      <w:bookmarkStart w:id="51" w:name="_GoBack"/>
      <w:bookmarkEnd w:id="51"/>
    </w:p>
    <w:p>
      <w:pPr>
        <w:pStyle w:val="233"/>
        <w:rPr>
          <w:rFonts w:hint="eastAsia"/>
        </w:rPr>
      </w:pPr>
      <w:bookmarkStart w:id="27" w:name="_Toc27075212"/>
      <w:bookmarkStart w:id="28" w:name="_Toc24982334"/>
      <w:bookmarkStart w:id="29" w:name="_Toc183006972"/>
      <w:r>
        <w:rPr>
          <w:rFonts w:hint="eastAsia"/>
        </w:rPr>
        <w:t>目　次</w:t>
      </w:r>
      <w:bookmarkEnd w:id="27"/>
      <w:bookmarkEnd w:id="28"/>
      <w:bookmarkEnd w:id="29"/>
    </w:p>
    <w:p>
      <w:pPr>
        <w:pStyle w:val="232"/>
      </w:pPr>
    </w:p>
    <w:p>
      <w:pPr>
        <w:pStyle w:val="19"/>
        <w:tabs>
          <w:tab w:val="right" w:leader="dot" w:pos="9242"/>
        </w:tabs>
        <w:rPr>
          <w:rFonts w:ascii="Calibri" w:hAnsi="Calibri"/>
          <w:szCs w:val="22"/>
        </w:rPr>
      </w:pPr>
      <w:r>
        <w:fldChar w:fldCharType="begin"/>
      </w:r>
      <w:r>
        <w:instrText xml:space="preserve"> TOC \o "1-2" \h \z \u </w:instrText>
      </w:r>
      <w:r>
        <w:fldChar w:fldCharType="separate"/>
      </w:r>
      <w:r>
        <w:fldChar w:fldCharType="begin"/>
      </w:r>
      <w:r>
        <w:rPr>
          <w:rStyle w:val="31"/>
        </w:rPr>
        <w:instrText xml:space="preserve"> </w:instrText>
      </w:r>
      <w:r>
        <w:instrText xml:space="preserve">HYPERLINK \l "_Toc183006971"</w:instrText>
      </w:r>
      <w:r>
        <w:rPr>
          <w:rStyle w:val="31"/>
        </w:rPr>
        <w:instrText xml:space="preserve"> </w:instrText>
      </w:r>
      <w:r>
        <w:fldChar w:fldCharType="separate"/>
      </w:r>
      <w:r>
        <w:rPr>
          <w:rStyle w:val="31"/>
          <w:rFonts w:hint="eastAsia"/>
        </w:rPr>
        <w:t>前</w:t>
      </w:r>
      <w:r>
        <w:rPr>
          <w:rStyle w:val="31"/>
          <w:rFonts w:hAnsi="黑体"/>
        </w:rPr>
        <w:t> </w:t>
      </w:r>
      <w:r>
        <w:rPr>
          <w:rStyle w:val="31"/>
          <w:rFonts w:hint="eastAsia"/>
        </w:rPr>
        <w:t>言</w:t>
      </w:r>
      <w:r>
        <w:tab/>
      </w:r>
      <w:r>
        <w:fldChar w:fldCharType="begin"/>
      </w:r>
      <w:r>
        <w:instrText xml:space="preserve"> PAGEREF _Toc183006971 \h </w:instrText>
      </w:r>
      <w:r>
        <w:fldChar w:fldCharType="separate"/>
      </w:r>
      <w:r>
        <w:t>I</w:t>
      </w:r>
      <w:r>
        <w:fldChar w:fldCharType="end"/>
      </w:r>
      <w:r>
        <w:fldChar w:fldCharType="end"/>
      </w:r>
    </w:p>
    <w:p>
      <w:pPr>
        <w:pStyle w:val="19"/>
        <w:tabs>
          <w:tab w:val="right" w:leader="dot" w:pos="9242"/>
        </w:tabs>
        <w:rPr>
          <w:rFonts w:ascii="Calibri" w:hAnsi="Calibri"/>
          <w:szCs w:val="22"/>
        </w:rPr>
      </w:pPr>
      <w:r>
        <w:fldChar w:fldCharType="begin"/>
      </w:r>
      <w:r>
        <w:rPr>
          <w:rStyle w:val="31"/>
        </w:rPr>
        <w:instrText xml:space="preserve"> </w:instrText>
      </w:r>
      <w:r>
        <w:instrText xml:space="preserve">HYPERLINK \l "_Toc183006972"</w:instrText>
      </w:r>
      <w:r>
        <w:rPr>
          <w:rStyle w:val="31"/>
        </w:rPr>
        <w:instrText xml:space="preserve"> </w:instrText>
      </w:r>
      <w:r>
        <w:fldChar w:fldCharType="separate"/>
      </w:r>
      <w:r>
        <w:rPr>
          <w:rStyle w:val="31"/>
          <w:rFonts w:hint="eastAsia"/>
        </w:rPr>
        <w:t>目　次</w:t>
      </w:r>
      <w:r>
        <w:tab/>
      </w:r>
      <w:r>
        <w:fldChar w:fldCharType="begin"/>
      </w:r>
      <w:r>
        <w:instrText xml:space="preserve"> PAGEREF _Toc183006972 \h </w:instrText>
      </w:r>
      <w:r>
        <w:fldChar w:fldCharType="separate"/>
      </w:r>
      <w:r>
        <w:t>II</w:t>
      </w:r>
      <w:r>
        <w:fldChar w:fldCharType="end"/>
      </w:r>
      <w:r>
        <w:fldChar w:fldCharType="end"/>
      </w:r>
    </w:p>
    <w:p>
      <w:pPr>
        <w:pStyle w:val="19"/>
        <w:tabs>
          <w:tab w:val="right" w:leader="dot" w:pos="9242"/>
        </w:tabs>
        <w:rPr>
          <w:rFonts w:ascii="Calibri" w:hAnsi="Calibri"/>
          <w:szCs w:val="22"/>
        </w:rPr>
      </w:pPr>
      <w:r>
        <w:fldChar w:fldCharType="begin"/>
      </w:r>
      <w:r>
        <w:rPr>
          <w:rStyle w:val="31"/>
        </w:rPr>
        <w:instrText xml:space="preserve"> </w:instrText>
      </w:r>
      <w:r>
        <w:instrText xml:space="preserve">HYPERLINK \l "_Toc183006973"</w:instrText>
      </w:r>
      <w:r>
        <w:rPr>
          <w:rStyle w:val="31"/>
        </w:rPr>
        <w:instrText xml:space="preserve"> </w:instrText>
      </w:r>
      <w:r>
        <w:fldChar w:fldCharType="separate"/>
      </w:r>
      <w:r>
        <w:rPr>
          <w:rStyle w:val="31"/>
          <w:rFonts w:hint="eastAsia"/>
          <w:lang w:val="en-US" w:eastAsia="zh-CN"/>
        </w:rPr>
        <w:t>浸渍胶膜纸饰面净醛耐水板通用质量规范</w:t>
      </w:r>
      <w:r>
        <w:tab/>
      </w:r>
      <w:r>
        <w:fldChar w:fldCharType="begin"/>
      </w:r>
      <w:r>
        <w:instrText xml:space="preserve"> PAGEREF _Toc183006973 \h </w:instrText>
      </w:r>
      <w:r>
        <w:fldChar w:fldCharType="separate"/>
      </w:r>
      <w:r>
        <w:t>1</w:t>
      </w:r>
      <w:r>
        <w:fldChar w:fldCharType="end"/>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"_Toc183006974"</w:instrText>
      </w:r>
      <w:r>
        <w:rPr>
          <w:rStyle w:val="31"/>
        </w:rPr>
        <w:instrText xml:space="preserve"> </w:instrText>
      </w:r>
      <w:r>
        <w:fldChar w:fldCharType="separate"/>
      </w:r>
      <w:r>
        <w:rPr>
          <w:rStyle w:val="31"/>
        </w:rPr>
        <w:t>1</w:t>
      </w:r>
      <w:r>
        <w:rPr>
          <w:rStyle w:val="31"/>
          <w:rFonts w:hint="eastAsia" w:hAnsi="黑体"/>
        </w:rPr>
        <w:t xml:space="preserve"> 范围</w:t>
      </w:r>
      <w:r>
        <w:tab/>
      </w:r>
      <w:r>
        <w:fldChar w:fldCharType="begin"/>
      </w:r>
      <w:r>
        <w:instrText xml:space="preserve"> PAGEREF _Toc183006974 \h </w:instrText>
      </w:r>
      <w:r>
        <w:fldChar w:fldCharType="separate"/>
      </w:r>
      <w:r>
        <w:t>1</w:t>
      </w:r>
      <w:r>
        <w:fldChar w:fldCharType="end"/>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"_Toc183006975"</w:instrText>
      </w:r>
      <w:r>
        <w:rPr>
          <w:rStyle w:val="31"/>
        </w:rPr>
        <w:instrText xml:space="preserve"> </w:instrText>
      </w:r>
      <w:r>
        <w:fldChar w:fldCharType="separate"/>
      </w:r>
      <w:r>
        <w:rPr>
          <w:rStyle w:val="31"/>
        </w:rPr>
        <w:t>2</w:t>
      </w:r>
      <w:r>
        <w:rPr>
          <w:rStyle w:val="31"/>
          <w:rFonts w:hint="eastAsia" w:hAnsi="黑体"/>
        </w:rPr>
        <w:t xml:space="preserve"> 规范性引用文件</w:t>
      </w:r>
      <w:r>
        <w:tab/>
      </w:r>
      <w:r>
        <w:fldChar w:fldCharType="begin"/>
      </w:r>
      <w:r>
        <w:instrText xml:space="preserve"> PAGEREF _Toc183006975 \h </w:instrText>
      </w:r>
      <w:r>
        <w:fldChar w:fldCharType="separate"/>
      </w:r>
      <w:r>
        <w:t>1</w:t>
      </w:r>
      <w:r>
        <w:fldChar w:fldCharType="end"/>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"_Toc183006976"</w:instrText>
      </w:r>
      <w:r>
        <w:rPr>
          <w:rStyle w:val="31"/>
        </w:rPr>
        <w:instrText xml:space="preserve"> </w:instrText>
      </w:r>
      <w:r>
        <w:fldChar w:fldCharType="separate"/>
      </w:r>
      <w:r>
        <w:rPr>
          <w:rStyle w:val="31"/>
        </w:rPr>
        <w:t>3</w:t>
      </w:r>
      <w:r>
        <w:rPr>
          <w:rStyle w:val="31"/>
          <w:rFonts w:hint="eastAsia" w:hAnsi="黑体"/>
        </w:rPr>
        <w:t xml:space="preserve"> 术语和定义</w:t>
      </w:r>
      <w:r>
        <w:tab/>
      </w:r>
      <w:r>
        <w:fldChar w:fldCharType="begin"/>
      </w:r>
      <w:r>
        <w:instrText xml:space="preserve"> PAGEREF _Toc183006976 \h </w:instrText>
      </w:r>
      <w:r>
        <w:fldChar w:fldCharType="separate"/>
      </w:r>
      <w:r>
        <w:t>1</w:t>
      </w:r>
      <w:r>
        <w:fldChar w:fldCharType="end"/>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"_Toc183006977"</w:instrText>
      </w:r>
      <w:r>
        <w:rPr>
          <w:rStyle w:val="31"/>
        </w:rPr>
        <w:instrText xml:space="preserve"> </w:instrText>
      </w:r>
      <w:r>
        <w:fldChar w:fldCharType="separate"/>
      </w:r>
      <w:r>
        <w:rPr>
          <w:rStyle w:val="31"/>
        </w:rPr>
        <w:t>4</w:t>
      </w:r>
      <w:r>
        <w:rPr>
          <w:rStyle w:val="31"/>
          <w:rFonts w:hint="eastAsia" w:ascii="Times New Roman"/>
          <w:bCs/>
          <w:kern w:val="44"/>
        </w:rPr>
        <w:t xml:space="preserve"> </w:t>
      </w:r>
      <w:r>
        <w:rPr>
          <w:rStyle w:val="31"/>
          <w:rFonts w:hint="eastAsia" w:ascii="Times New Roman"/>
          <w:bCs/>
          <w:kern w:val="44"/>
          <w:lang w:val="en-US" w:eastAsia="zh-CN"/>
        </w:rPr>
        <w:t>基本要求</w:t>
      </w:r>
      <w:r>
        <w:tab/>
      </w:r>
      <w:r>
        <w:fldChar w:fldCharType="begin"/>
      </w:r>
      <w:r>
        <w:instrText xml:space="preserve"> PAGEREF _Toc183006977 \h </w:instrText>
      </w:r>
      <w:r>
        <w:fldChar w:fldCharType="separate"/>
      </w:r>
      <w:r>
        <w:t>2</w:t>
      </w:r>
      <w:r>
        <w:fldChar w:fldCharType="end"/>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"_Toc183006978"</w:instrText>
      </w:r>
      <w:r>
        <w:rPr>
          <w:rStyle w:val="31"/>
        </w:rPr>
        <w:instrText xml:space="preserve"> </w:instrText>
      </w:r>
      <w:r>
        <w:fldChar w:fldCharType="separate"/>
      </w:r>
      <w:r>
        <w:rPr>
          <w:rStyle w:val="31"/>
        </w:rPr>
        <w:t>5</w:t>
      </w:r>
      <w:r>
        <w:rPr>
          <w:rStyle w:val="31"/>
          <w:rFonts w:hint="eastAsia" w:hAnsi="黑体"/>
        </w:rPr>
        <w:t xml:space="preserve"> </w:t>
      </w:r>
      <w:r>
        <w:rPr>
          <w:rStyle w:val="31"/>
          <w:rFonts w:hint="eastAsia" w:hAnsi="黑体"/>
          <w:lang w:val="en-US" w:eastAsia="zh-CN"/>
        </w:rPr>
        <w:t>质量管理</w:t>
      </w:r>
      <w:r>
        <w:tab/>
      </w:r>
      <w:r>
        <w:rPr>
          <w:rFonts w:hint="eastAsia"/>
          <w:lang w:val="en-US" w:eastAsia="zh-CN"/>
        </w:rPr>
        <w:t>2</w:t>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"_Toc183006979"</w:instrText>
      </w:r>
      <w:r>
        <w:rPr>
          <w:rStyle w:val="31"/>
        </w:rPr>
        <w:instrText xml:space="preserve"> </w:instrText>
      </w:r>
      <w:r>
        <w:fldChar w:fldCharType="separate"/>
      </w:r>
      <w:r>
        <w:rPr>
          <w:rStyle w:val="31"/>
        </w:rPr>
        <w:t>6</w:t>
      </w:r>
      <w:r>
        <w:rPr>
          <w:rStyle w:val="31"/>
          <w:rFonts w:hint="eastAsia" w:hAnsi="黑体"/>
        </w:rPr>
        <w:t xml:space="preserve"> </w:t>
      </w:r>
      <w:r>
        <w:rPr>
          <w:rStyle w:val="31"/>
          <w:rFonts w:hint="eastAsia" w:hAnsi="黑体"/>
          <w:lang w:val="en-US" w:eastAsia="zh-CN"/>
        </w:rPr>
        <w:t>材料要求</w:t>
      </w:r>
      <w:r>
        <w:tab/>
      </w:r>
      <w:r>
        <w:rPr>
          <w:rFonts w:hint="eastAsia"/>
          <w:lang w:val="en-US" w:eastAsia="zh-CN"/>
        </w:rPr>
        <w:t>3</w:t>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"_Toc183006980"</w:instrText>
      </w:r>
      <w:r>
        <w:rPr>
          <w:rStyle w:val="31"/>
        </w:rPr>
        <w:instrText xml:space="preserve"> </w:instrText>
      </w:r>
      <w:r>
        <w:fldChar w:fldCharType="separate"/>
      </w:r>
      <w:r>
        <w:rPr>
          <w:rStyle w:val="31"/>
        </w:rPr>
        <w:t>7</w:t>
      </w:r>
      <w:r>
        <w:rPr>
          <w:rStyle w:val="31"/>
          <w:rFonts w:hint="eastAsia" w:hAnsi="黑体"/>
        </w:rPr>
        <w:t xml:space="preserve"> </w:t>
      </w:r>
      <w:r>
        <w:rPr>
          <w:rStyle w:val="31"/>
          <w:rFonts w:hint="eastAsia" w:hAnsi="黑体"/>
          <w:lang w:val="en-US" w:eastAsia="zh-CN"/>
        </w:rPr>
        <w:t>设备</w:t>
      </w:r>
      <w:r>
        <w:rPr>
          <w:rStyle w:val="31"/>
          <w:rFonts w:hint="eastAsia" w:hAnsi="黑体"/>
        </w:rPr>
        <w:t>要求</w:t>
      </w:r>
      <w:r>
        <w:tab/>
      </w:r>
      <w:r>
        <w:rPr>
          <w:rFonts w:hint="eastAsia"/>
          <w:lang w:val="en-US" w:eastAsia="zh-CN"/>
        </w:rPr>
        <w:t>3</w:t>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"_Toc183006981"</w:instrText>
      </w:r>
      <w:r>
        <w:rPr>
          <w:rStyle w:val="31"/>
        </w:rPr>
        <w:instrText xml:space="preserve"> </w:instrText>
      </w:r>
      <w:r>
        <w:fldChar w:fldCharType="separate"/>
      </w:r>
      <w:r>
        <w:rPr>
          <w:rStyle w:val="31"/>
        </w:rPr>
        <w:t>8</w:t>
      </w:r>
      <w:r>
        <w:rPr>
          <w:rStyle w:val="31"/>
          <w:rFonts w:hint="eastAsia" w:hAnsi="黑体"/>
        </w:rPr>
        <w:t xml:space="preserve"> </w:t>
      </w:r>
      <w:r>
        <w:rPr>
          <w:rStyle w:val="31"/>
          <w:rFonts w:hint="eastAsia" w:hAnsi="黑体"/>
          <w:lang w:val="en-US" w:eastAsia="zh-CN"/>
        </w:rPr>
        <w:t>生产规范要求</w:t>
      </w:r>
      <w:r>
        <w:tab/>
      </w:r>
      <w:r>
        <w:rPr>
          <w:rFonts w:hint="eastAsia"/>
          <w:lang w:val="en-US" w:eastAsia="zh-CN"/>
        </w:rPr>
        <w:t>3</w:t>
      </w:r>
      <w:r>
        <w:fldChar w:fldCharType="end"/>
      </w:r>
    </w:p>
    <w:p>
      <w:pPr>
        <w:pStyle w:val="24"/>
        <w:tabs>
          <w:tab w:val="right" w:leader="dot" w:pos="9242"/>
          <w:tab w:val="clear" w:pos="9344"/>
        </w:tabs>
        <w:rPr>
          <w:rFonts w:ascii="Calibri" w:hAnsi="Calibri"/>
          <w:szCs w:val="22"/>
        </w:rPr>
      </w:pPr>
      <w:r>
        <w:fldChar w:fldCharType="begin"/>
      </w:r>
      <w:r>
        <w:rPr>
          <w:rStyle w:val="31"/>
        </w:rPr>
        <w:instrText xml:space="preserve"> </w:instrText>
      </w:r>
      <w:r>
        <w:instrText xml:space="preserve">HYPERLINK \l "_Toc183006982"</w:instrText>
      </w:r>
      <w:r>
        <w:rPr>
          <w:rStyle w:val="31"/>
        </w:rPr>
        <w:instrText xml:space="preserve"> </w:instrText>
      </w:r>
      <w:r>
        <w:fldChar w:fldCharType="separate"/>
      </w:r>
      <w:r>
        <w:rPr>
          <w:rStyle w:val="31"/>
        </w:rPr>
        <w:t>9</w:t>
      </w:r>
      <w:r>
        <w:rPr>
          <w:rStyle w:val="31"/>
          <w:rFonts w:hint="eastAsia" w:hAnsi="黑体"/>
        </w:rPr>
        <w:t xml:space="preserve"> </w:t>
      </w:r>
      <w:r>
        <w:rPr>
          <w:rStyle w:val="31"/>
          <w:rFonts w:hint="eastAsia" w:hAnsi="黑体"/>
          <w:lang w:val="en-US" w:eastAsia="zh-CN"/>
        </w:rPr>
        <w:t>能耗要求</w:t>
      </w:r>
      <w:r>
        <w:tab/>
      </w:r>
      <w:r>
        <w:rPr>
          <w:rFonts w:hint="eastAsia"/>
          <w:lang w:val="en-US" w:eastAsia="zh-CN"/>
        </w:rPr>
        <w:t>3</w:t>
      </w:r>
      <w:r>
        <w:fldChar w:fldCharType="end"/>
      </w:r>
    </w:p>
    <w:p>
      <w:pPr>
        <w:pStyle w:val="24"/>
        <w:tabs>
          <w:tab w:val="right" w:leader="dot" w:pos="9242"/>
          <w:tab w:val="clear" w:pos="9344"/>
        </w:tabs>
      </w:pPr>
      <w:r>
        <w:fldChar w:fldCharType="begin"/>
      </w:r>
      <w:r>
        <w:rPr>
          <w:rStyle w:val="31"/>
        </w:rPr>
        <w:instrText xml:space="preserve"> </w:instrText>
      </w:r>
      <w:r>
        <w:instrText xml:space="preserve">HYPERLINK \l "_Toc183006983"</w:instrText>
      </w:r>
      <w:r>
        <w:rPr>
          <w:rStyle w:val="31"/>
        </w:rPr>
        <w:instrText xml:space="preserve"> </w:instrText>
      </w:r>
      <w:r>
        <w:fldChar w:fldCharType="separate"/>
      </w:r>
      <w:r>
        <w:rPr>
          <w:rStyle w:val="31"/>
          <w:bCs/>
          <w:kern w:val="44"/>
        </w:rPr>
        <w:t>10</w:t>
      </w:r>
      <w:r>
        <w:rPr>
          <w:rStyle w:val="31"/>
          <w:rFonts w:hint="eastAsia" w:ascii="Times New Roman"/>
          <w:bCs/>
          <w:kern w:val="44"/>
        </w:rPr>
        <w:t xml:space="preserve"> </w:t>
      </w:r>
      <w:r>
        <w:rPr>
          <w:rStyle w:val="31"/>
          <w:rFonts w:hint="eastAsia" w:ascii="Times New Roman"/>
          <w:bCs/>
          <w:kern w:val="44"/>
          <w:lang w:val="en-US" w:eastAsia="zh-CN"/>
        </w:rPr>
        <w:t>产品要求和检验方法</w:t>
      </w:r>
      <w:r>
        <w:tab/>
      </w:r>
      <w:r>
        <w:rPr>
          <w:rFonts w:hint="eastAsia"/>
          <w:lang w:val="en-US" w:eastAsia="zh-CN"/>
        </w:rPr>
        <w:t>4</w:t>
      </w:r>
      <w:r>
        <w:fldChar w:fldCharType="end"/>
      </w:r>
    </w:p>
    <w:p>
      <w:pPr>
        <w:pStyle w:val="24"/>
        <w:tabs>
          <w:tab w:val="right" w:leader="dot" w:pos="9242"/>
          <w:tab w:val="clear" w:pos="9344"/>
        </w:tabs>
      </w:pPr>
      <w:r>
        <w:fldChar w:fldCharType="begin"/>
      </w:r>
      <w:r>
        <w:rPr>
          <w:rStyle w:val="31"/>
        </w:rPr>
        <w:instrText xml:space="preserve"> </w:instrText>
      </w:r>
      <w:r>
        <w:instrText xml:space="preserve">HYPERLINK \l "_Toc183006983"</w:instrText>
      </w:r>
      <w:r>
        <w:rPr>
          <w:rStyle w:val="31"/>
        </w:rPr>
        <w:instrText xml:space="preserve"> </w:instrText>
      </w:r>
      <w:r>
        <w:fldChar w:fldCharType="separate"/>
      </w:r>
      <w:r>
        <w:rPr>
          <w:rStyle w:val="31"/>
          <w:bCs/>
          <w:kern w:val="44"/>
        </w:rPr>
        <w:t>1</w:t>
      </w:r>
      <w:r>
        <w:rPr>
          <w:rStyle w:val="31"/>
          <w:rFonts w:hint="eastAsia"/>
          <w:bCs/>
          <w:kern w:val="44"/>
          <w:lang w:val="en-US" w:eastAsia="zh-CN"/>
        </w:rPr>
        <w:t>1</w:t>
      </w:r>
      <w:r>
        <w:rPr>
          <w:rStyle w:val="31"/>
          <w:rFonts w:hint="eastAsia" w:ascii="Times New Roman"/>
          <w:bCs/>
          <w:kern w:val="44"/>
        </w:rPr>
        <w:t xml:space="preserve"> </w:t>
      </w:r>
      <w:r>
        <w:rPr>
          <w:rStyle w:val="31"/>
          <w:rFonts w:hint="eastAsia" w:ascii="Times New Roman"/>
          <w:bCs/>
          <w:kern w:val="44"/>
          <w:lang w:val="en-US" w:eastAsia="zh-CN"/>
        </w:rPr>
        <w:t>标识、包装、运输、贮存</w:t>
      </w:r>
      <w:r>
        <w:tab/>
      </w:r>
      <w:r>
        <w:rPr>
          <w:rFonts w:hint="eastAsia"/>
          <w:lang w:val="en-US" w:eastAsia="zh-CN"/>
        </w:rPr>
        <w:t>4</w:t>
      </w:r>
      <w:r>
        <w:fldChar w:fldCharType="end"/>
      </w:r>
    </w:p>
    <w:p>
      <w:pPr>
        <w:rPr>
          <w:rFonts w:hint="default" w:eastAsia="宋体"/>
          <w:lang w:val="en-US" w:eastAsia="zh-CN"/>
        </w:rPr>
      </w:pPr>
    </w:p>
    <w:p>
      <w:pPr>
        <w:pStyle w:val="19"/>
        <w:tabs>
          <w:tab w:val="right" w:leader="dot" w:pos="9242"/>
        </w:tabs>
        <w:rPr>
          <w:rFonts w:ascii="Calibri" w:hAnsi="Calibri"/>
          <w:szCs w:val="22"/>
        </w:rPr>
      </w:pPr>
    </w:p>
    <w:p>
      <w:pPr>
        <w:spacing w:line="20" w:lineRule="exact"/>
        <w:jc w:val="center"/>
        <w:rPr>
          <w:rFonts w:ascii="黑体" w:hAnsi="黑体" w:eastAsia="黑体"/>
          <w:sz w:val="32"/>
          <w:szCs w:val="32"/>
        </w:rPr>
        <w:sectPr>
          <w:pgSz w:w="11906" w:h="16838"/>
          <w:pgMar w:top="1928" w:right="1134" w:bottom="1134" w:left="1134" w:header="1418" w:footer="1134" w:gutter="284"/>
          <w:pgNumType w:start="1"/>
          <w:cols w:space="425" w:num="1"/>
          <w:formProt w:val="0"/>
          <w:docGrid w:type="lines" w:linePitch="312" w:charSpace="0"/>
        </w:sectPr>
      </w:pPr>
      <w:r>
        <w:rPr>
          <w:rFonts w:hAnsi="宋体"/>
          <w:szCs w:val="21"/>
        </w:rPr>
        <w:fldChar w:fldCharType="end"/>
      </w:r>
    </w:p>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tag w:val="NEW_STAND_NAME"/>
        <w:id w:val="595910757"/>
        <w:lock w:val="sdtLocked"/>
        <w:placeholder>
          <w:docPart w:val="E29255EA8535446A8698BCEB2DD58785"/>
        </w:placeholder>
      </w:sdtPr>
      <w:sdtEndPr>
        <w:rPr>
          <w:rFonts w:hint="default"/>
          <w:lang w:val="en-US"/>
        </w:rPr>
      </w:sdtEndPr>
      <w:sdtContent>
        <w:p>
          <w:pPr>
            <w:pStyle w:val="178"/>
          </w:pPr>
          <w:bookmarkStart w:id="30" w:name="NEW_STAND_NAME"/>
          <w:r>
            <w:rPr>
              <w:rFonts w:hint="eastAsia"/>
              <w:lang w:val="en-US" w:eastAsia="zh-CN"/>
            </w:rPr>
            <w:t>浸渍胶膜纸饰面净醛耐水板通用质量规范</w:t>
          </w:r>
        </w:p>
      </w:sdtContent>
    </w:sdt>
    <w:bookmarkEnd w:id="30"/>
    <w:p>
      <w:pPr>
        <w:pStyle w:val="105"/>
        <w:spacing w:before="312" w:after="312"/>
      </w:pPr>
      <w:bookmarkStart w:id="31" w:name="_Toc24884211"/>
      <w:bookmarkStart w:id="32" w:name="_Toc17233333"/>
      <w:bookmarkStart w:id="33" w:name="_Toc97191423"/>
      <w:bookmarkStart w:id="34" w:name="_Toc26718930"/>
      <w:bookmarkStart w:id="35" w:name="_Toc26986771"/>
      <w:bookmarkStart w:id="36" w:name="_Toc17233325"/>
      <w:bookmarkStart w:id="37" w:name="_Toc24884218"/>
      <w:bookmarkStart w:id="38" w:name="_Toc26648465"/>
      <w:bookmarkStart w:id="39" w:name="_Toc26986530"/>
      <w:r>
        <w:rPr>
          <w:rFonts w:hint="eastAsia"/>
        </w:rPr>
        <w:t>范围</w:t>
      </w:r>
      <w:bookmarkEnd w:id="31"/>
      <w:bookmarkEnd w:id="32"/>
      <w:bookmarkEnd w:id="33"/>
      <w:bookmarkEnd w:id="34"/>
      <w:bookmarkEnd w:id="35"/>
      <w:bookmarkEnd w:id="36"/>
      <w:bookmarkEnd w:id="37"/>
      <w:bookmarkEnd w:id="38"/>
      <w:bookmarkEnd w:id="39"/>
    </w:p>
    <w:p>
      <w:pPr>
        <w:ind w:firstLine="420" w:firstLineChars="200"/>
        <w:jc w:val="left"/>
        <w:rPr>
          <w:rFonts w:hint="eastAsia"/>
          <w:lang w:val="en-US" w:eastAsia="zh-CN"/>
        </w:rPr>
      </w:pPr>
      <w:r>
        <w:rPr>
          <w:rFonts w:hint="eastAsia"/>
          <w:lang w:val="en-US" w:eastAsia="zh-CN"/>
        </w:rPr>
        <w:t>本文件规定了浸渍胶膜纸饰面净醛耐水板的术语和定义、基本要求、质量管理、材料要求、设备要求、生产规范要求、能耗要求、产品要求和检验方法、标识、包装、运输、贮存。</w:t>
      </w:r>
    </w:p>
    <w:p>
      <w:pPr>
        <w:ind w:firstLine="420" w:firstLineChars="200"/>
        <w:jc w:val="left"/>
      </w:pPr>
      <w:r>
        <w:rPr>
          <w:rFonts w:hint="eastAsia"/>
          <w:lang w:val="en-US" w:eastAsia="zh-CN"/>
        </w:rPr>
        <w:t>本文件适用于湖南省内以纤维板做为基材的浸渍胶膜纸饰面净醛耐水板。</w:t>
      </w:r>
      <w:bookmarkStart w:id="40" w:name="_Toc26648466"/>
      <w:bookmarkStart w:id="41" w:name="_Toc17233326"/>
      <w:bookmarkStart w:id="42" w:name="_Toc24884212"/>
      <w:bookmarkStart w:id="43" w:name="_Toc24884219"/>
      <w:bookmarkStart w:id="44" w:name="_Toc17233334"/>
    </w:p>
    <w:p>
      <w:pPr>
        <w:pStyle w:val="105"/>
        <w:spacing w:before="312" w:after="312"/>
      </w:pPr>
      <w:bookmarkStart w:id="45" w:name="_Toc26718931"/>
      <w:bookmarkStart w:id="46" w:name="_Toc26986772"/>
      <w:bookmarkStart w:id="47" w:name="_Toc26986531"/>
      <w:bookmarkStart w:id="48" w:name="_Toc97191424"/>
      <w:r>
        <w:rPr>
          <w:rFonts w:hint="eastAsia"/>
        </w:rPr>
        <w:t>规范性引用文件</w:t>
      </w:r>
      <w:bookmarkEnd w:id="40"/>
      <w:bookmarkEnd w:id="41"/>
      <w:bookmarkEnd w:id="42"/>
      <w:bookmarkEnd w:id="43"/>
      <w:bookmarkEnd w:id="44"/>
      <w:bookmarkEnd w:id="45"/>
      <w:bookmarkEnd w:id="46"/>
      <w:bookmarkEnd w:id="47"/>
      <w:bookmarkEnd w:id="48"/>
    </w:p>
    <w:sdt>
      <w:sdtPr>
        <w:rPr>
          <w:rFonts w:hint="eastAsia"/>
        </w:rPr>
        <w:id w:val="715848253"/>
        <w:placeholder>
          <w:docPart w:val="8AB26F249DB443D0B5D6F273C4C91EB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jc w:val="left"/>
        <w:rPr>
          <w:rFonts w:hint="eastAsia"/>
          <w:lang w:val="en-US" w:eastAsia="zh-CN"/>
        </w:rPr>
      </w:pPr>
      <w:r>
        <w:rPr>
          <w:rFonts w:hint="eastAsia"/>
          <w:lang w:val="en-US" w:eastAsia="zh-CN"/>
        </w:rPr>
        <w:t>GB 3095-2012环境空气质量标准</w:t>
      </w:r>
    </w:p>
    <w:p>
      <w:pPr>
        <w:jc w:val="left"/>
        <w:rPr>
          <w:rFonts w:hint="eastAsia"/>
          <w:lang w:val="en-US" w:eastAsia="zh-CN"/>
        </w:rPr>
      </w:pPr>
      <w:r>
        <w:rPr>
          <w:rFonts w:hint="eastAsia"/>
          <w:lang w:val="en-US" w:eastAsia="zh-CN"/>
        </w:rPr>
        <w:t>GB 3096-2008 声环境质量标准</w:t>
      </w:r>
    </w:p>
    <w:p>
      <w:pPr>
        <w:jc w:val="left"/>
        <w:rPr>
          <w:rFonts w:hint="eastAsia"/>
          <w:lang w:val="en-US" w:eastAsia="zh-CN"/>
        </w:rPr>
      </w:pPr>
      <w:r>
        <w:rPr>
          <w:rFonts w:hint="eastAsia"/>
          <w:lang w:val="en-US" w:eastAsia="zh-CN"/>
        </w:rPr>
        <w:t>GB 3838-2002地表水环境质量标准</w:t>
      </w:r>
    </w:p>
    <w:p>
      <w:pPr>
        <w:jc w:val="left"/>
        <w:rPr>
          <w:rFonts w:hint="default"/>
          <w:lang w:val="en-US" w:eastAsia="zh-CN"/>
        </w:rPr>
      </w:pPr>
      <w:r>
        <w:rPr>
          <w:rFonts w:hint="eastAsia"/>
          <w:lang w:val="en-US" w:eastAsia="zh-CN"/>
        </w:rPr>
        <w:t>GB 18580-2017 室内装饰装修材料人造板及其制品中甲醛释放限量</w:t>
      </w:r>
    </w:p>
    <w:p>
      <w:pPr>
        <w:jc w:val="left"/>
        <w:rPr>
          <w:rFonts w:hint="default"/>
          <w:lang w:val="en-US" w:eastAsia="zh-CN"/>
        </w:rPr>
      </w:pPr>
      <w:r>
        <w:rPr>
          <w:rFonts w:hint="eastAsia"/>
          <w:lang w:val="en-US" w:eastAsia="zh-CN"/>
        </w:rPr>
        <w:t>GB 6566-2010 建筑材料放射性核素限量</w:t>
      </w:r>
    </w:p>
    <w:p>
      <w:pPr>
        <w:jc w:val="left"/>
        <w:rPr>
          <w:rFonts w:hint="default"/>
          <w:lang w:val="en-US" w:eastAsia="zh-CN"/>
        </w:rPr>
      </w:pPr>
      <w:r>
        <w:rPr>
          <w:rFonts w:hint="eastAsia"/>
          <w:lang w:val="en-US" w:eastAsia="zh-CN"/>
        </w:rPr>
        <w:t>GB/T 39600-2021人造板及其制品甲醛释放量分级</w:t>
      </w:r>
    </w:p>
    <w:p>
      <w:pPr>
        <w:jc w:val="left"/>
        <w:rPr>
          <w:rFonts w:hint="eastAsia"/>
          <w:lang w:val="en-US" w:eastAsia="zh-CN"/>
        </w:rPr>
      </w:pPr>
      <w:r>
        <w:rPr>
          <w:rFonts w:hint="eastAsia"/>
          <w:lang w:val="en-US" w:eastAsia="zh-CN"/>
        </w:rPr>
        <w:t>GB/T 17657-2013人造板及饰面人造板理化性能试验方法</w:t>
      </w:r>
    </w:p>
    <w:p>
      <w:pPr>
        <w:jc w:val="left"/>
        <w:rPr>
          <w:rFonts w:hint="eastAsia"/>
          <w:lang w:val="en-US" w:eastAsia="zh-CN"/>
        </w:rPr>
      </w:pPr>
      <w:r>
        <w:rPr>
          <w:rFonts w:hint="eastAsia"/>
          <w:lang w:val="en-US" w:eastAsia="zh-CN"/>
        </w:rPr>
        <w:t>GB/T 18259-2018人造板及其表面装饰术语</w:t>
      </w:r>
    </w:p>
    <w:p>
      <w:pPr>
        <w:jc w:val="left"/>
        <w:rPr>
          <w:rFonts w:hint="eastAsia"/>
          <w:lang w:val="en-US" w:eastAsia="zh-CN"/>
        </w:rPr>
      </w:pPr>
      <w:r>
        <w:rPr>
          <w:rFonts w:hint="eastAsia"/>
          <w:lang w:val="en-US" w:eastAsia="zh-CN"/>
        </w:rPr>
        <w:t>GB/T 18514-2018人造板机械安全通则</w:t>
      </w:r>
    </w:p>
    <w:p>
      <w:pPr>
        <w:jc w:val="left"/>
        <w:rPr>
          <w:rFonts w:hint="eastAsia"/>
          <w:lang w:val="en-US" w:eastAsia="zh-CN"/>
        </w:rPr>
      </w:pPr>
      <w:r>
        <w:rPr>
          <w:rFonts w:hint="eastAsia"/>
          <w:lang w:val="en-US" w:eastAsia="zh-CN"/>
        </w:rPr>
        <w:t>GB/T 19001 质量管理体系要求</w:t>
      </w:r>
    </w:p>
    <w:p>
      <w:pPr>
        <w:jc w:val="left"/>
        <w:rPr>
          <w:rFonts w:hint="eastAsia"/>
          <w:lang w:val="en-US" w:eastAsia="zh-CN"/>
        </w:rPr>
      </w:pPr>
      <w:r>
        <w:rPr>
          <w:rFonts w:hint="eastAsia"/>
          <w:lang w:val="en-US" w:eastAsia="zh-CN"/>
        </w:rPr>
        <w:t>GB/T 11718-2021 中密度纤维板</w:t>
      </w:r>
    </w:p>
    <w:p>
      <w:pPr>
        <w:jc w:val="left"/>
        <w:rPr>
          <w:rFonts w:hint="default"/>
          <w:lang w:val="en-US" w:eastAsia="zh-CN"/>
        </w:rPr>
      </w:pPr>
      <w:r>
        <w:rPr>
          <w:rFonts w:hint="eastAsia"/>
          <w:lang w:val="en-US" w:eastAsia="zh-CN"/>
        </w:rPr>
        <w:t>GB/T 15102-2017浸渍胶膜纸饰面纤维板和刨花板</w:t>
      </w:r>
    </w:p>
    <w:p>
      <w:pPr>
        <w:jc w:val="left"/>
        <w:rPr>
          <w:rFonts w:hint="default"/>
          <w:lang w:val="en-US" w:eastAsia="zh-CN"/>
        </w:rPr>
      </w:pPr>
      <w:r>
        <w:rPr>
          <w:rFonts w:hint="eastAsia"/>
          <w:lang w:val="en-US" w:eastAsia="zh-CN"/>
        </w:rPr>
        <w:t>LY/T  2071-2024 人造板类产品生产综合能耗</w:t>
      </w:r>
    </w:p>
    <w:p>
      <w:pPr>
        <w:jc w:val="left"/>
        <w:rPr>
          <w:rFonts w:hint="default"/>
          <w:lang w:val="en-US" w:eastAsia="zh-CN"/>
        </w:rPr>
      </w:pPr>
      <w:r>
        <w:rPr>
          <w:rFonts w:hint="eastAsia"/>
          <w:lang w:val="en-US" w:eastAsia="zh-CN"/>
        </w:rPr>
        <w:t xml:space="preserve">LY/T 3235-2020  </w:t>
      </w:r>
      <w:r>
        <w:rPr>
          <w:rFonts w:hint="default"/>
          <w:lang w:val="en-US" w:eastAsia="zh-CN"/>
        </w:rPr>
        <w:t>负离子功能人造板及其制品通用技术要求</w:t>
      </w:r>
    </w:p>
    <w:p>
      <w:pPr>
        <w:jc w:val="left"/>
        <w:rPr>
          <w:rFonts w:hint="eastAsia"/>
          <w:lang w:val="en-US" w:eastAsia="zh-CN"/>
        </w:rPr>
      </w:pPr>
      <w:r>
        <w:rPr>
          <w:rFonts w:hint="eastAsia"/>
          <w:lang w:val="en-US" w:eastAsia="zh-CN"/>
        </w:rPr>
        <w:t>LY/T 2230-2013</w:t>
      </w:r>
      <w:r>
        <w:rPr>
          <w:rFonts w:hint="default"/>
          <w:lang w:val="en-US" w:eastAsia="zh-CN"/>
        </w:rPr>
        <w:t>人造板防霉性能评价</w:t>
      </w:r>
    </w:p>
    <w:p>
      <w:pPr>
        <w:jc w:val="left"/>
        <w:rPr>
          <w:rFonts w:hint="eastAsia"/>
          <w:lang w:val="en-US" w:eastAsia="zh-CN"/>
        </w:rPr>
      </w:pPr>
      <w:r>
        <w:rPr>
          <w:rFonts w:hint="eastAsia"/>
          <w:lang w:val="en-US" w:eastAsia="zh-CN"/>
        </w:rPr>
        <w:t>AQ 4228   木材加工系统粉尘防爆安全规范</w:t>
      </w:r>
    </w:p>
    <w:p>
      <w:pPr>
        <w:jc w:val="left"/>
      </w:pPr>
      <w:r>
        <w:rPr>
          <w:rFonts w:hint="eastAsia"/>
          <w:lang w:val="en-US" w:eastAsia="zh-CN"/>
        </w:rPr>
        <w:t>AQ/T 9006 企业安全生产标准化基本规范</w:t>
      </w:r>
    </w:p>
    <w:p>
      <w:pPr>
        <w:pStyle w:val="105"/>
        <w:spacing w:before="312" w:after="312"/>
      </w:pPr>
      <w:bookmarkStart w:id="49" w:name="_Toc97191425"/>
      <w:r>
        <w:rPr>
          <w:rFonts w:hint="eastAsia"/>
          <w:szCs w:val="21"/>
        </w:rPr>
        <w:t>术语和定义</w:t>
      </w:r>
      <w:bookmarkEnd w:id="49"/>
    </w:p>
    <w:sdt>
      <w:sdtPr>
        <w:id w:val="-1909835108"/>
        <w:placeholder>
          <w:docPart w:val="55B6A2045FF84569944B83F618A3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jc w:val="left"/>
            <w:rPr>
              <w:rFonts w:hint="eastAsia"/>
              <w:lang w:val="en-US" w:eastAsia="zh-CN"/>
            </w:rPr>
          </w:pPr>
          <w:bookmarkStart w:id="50" w:name="_Toc26986532"/>
          <w:bookmarkEnd w:id="50"/>
          <w:r>
            <w:rPr>
              <w:rFonts w:hint="eastAsia"/>
              <w:lang w:val="en-US" w:eastAsia="zh-CN"/>
            </w:rPr>
            <w:t>下列术语和定义适用于本文件。</w:t>
          </w:r>
        </w:p>
        <w:p>
          <w:pPr>
            <w:ind w:firstLine="420" w:firstLineChars="200"/>
            <w:jc w:val="left"/>
            <w:rPr>
              <w:rFonts w:hint="eastAsia"/>
              <w:lang w:val="en-US" w:eastAsia="zh-CN"/>
            </w:rPr>
          </w:pPr>
          <w:r>
            <w:rPr>
              <w:rFonts w:hint="eastAsia"/>
              <w:lang w:val="en-US" w:eastAsia="zh-CN"/>
            </w:rPr>
            <w:t>3.1 纤维板 fiberboard</w:t>
          </w:r>
        </w:p>
        <w:p>
          <w:pPr>
            <w:ind w:firstLine="420" w:firstLineChars="200"/>
            <w:jc w:val="left"/>
            <w:rPr>
              <w:rFonts w:hint="eastAsia"/>
              <w:lang w:val="en-US" w:eastAsia="zh-CN"/>
            </w:rPr>
          </w:pPr>
          <w:r>
            <w:rPr>
              <w:rFonts w:hint="eastAsia"/>
              <w:lang w:val="en-US" w:eastAsia="zh-CN"/>
            </w:rPr>
            <w:t xml:space="preserve">将木材或其他植物纤维原料分离成纤维，利用纤维之间的交织及其自身固有的粘结物质，或者施加 胶粘剂，在加热和（或）加压条件下制成的人造板材。[GB/T 18259-2018，3.2.1]  </w:t>
          </w:r>
        </w:p>
        <w:p>
          <w:pPr>
            <w:ind w:firstLine="420" w:firstLineChars="200"/>
            <w:jc w:val="left"/>
            <w:rPr>
              <w:rFonts w:hint="eastAsia"/>
              <w:lang w:val="en-US" w:eastAsia="zh-CN"/>
            </w:rPr>
          </w:pPr>
          <w:r>
            <w:rPr>
              <w:rFonts w:hint="eastAsia"/>
              <w:lang w:val="en-US" w:eastAsia="zh-CN"/>
            </w:rPr>
            <w:t xml:space="preserve">3.2 浸渍胶膜纸impregnated paper </w:t>
          </w:r>
        </w:p>
        <w:p>
          <w:pPr>
            <w:jc w:val="left"/>
            <w:rPr>
              <w:rFonts w:hint="default"/>
              <w:lang w:val="en-US" w:eastAsia="zh-CN"/>
            </w:rPr>
          </w:pPr>
          <w:r>
            <w:rPr>
              <w:rFonts w:hint="eastAsia"/>
              <w:lang w:val="en-US" w:eastAsia="zh-CN"/>
            </w:rPr>
            <w:t xml:space="preserve">    树脂浸渍纸</w:t>
          </w:r>
        </w:p>
        <w:p>
          <w:pPr>
            <w:ind w:firstLine="420" w:firstLineChars="200"/>
            <w:jc w:val="left"/>
            <w:rPr>
              <w:rFonts w:hint="eastAsia"/>
              <w:lang w:val="en-US" w:eastAsia="zh-CN"/>
            </w:rPr>
          </w:pPr>
          <w:r>
            <w:rPr>
              <w:rFonts w:hint="eastAsia"/>
              <w:lang w:val="en-US" w:eastAsia="zh-CN"/>
            </w:rPr>
            <w:t>由专用纸浸渍氨基树脂或酚醛树脂，并干燥到一定程度，经热压可相互粘合或覆盖在人造板表面的浸胶纸</w:t>
          </w:r>
          <w:r>
            <w:rPr>
              <w:rFonts w:hint="default"/>
              <w:lang w:val="en-US" w:eastAsia="zh-CN"/>
            </w:rPr>
            <w:t>。</w:t>
          </w:r>
          <w:r>
            <w:rPr>
              <w:rFonts w:hint="eastAsia"/>
              <w:lang w:val="en-US" w:eastAsia="zh-CN"/>
            </w:rPr>
            <w:t xml:space="preserve"> [GB/T 18259-2018，3.4.31] </w:t>
          </w:r>
        </w:p>
        <w:p>
          <w:pPr>
            <w:ind w:left="420" w:leftChars="200" w:firstLine="0" w:firstLineChars="0"/>
            <w:jc w:val="left"/>
            <w:rPr>
              <w:rFonts w:hint="eastAsia"/>
              <w:lang w:val="en-US" w:eastAsia="zh-CN"/>
            </w:rPr>
          </w:pPr>
          <w:r>
            <w:rPr>
              <w:rFonts w:hint="eastAsia"/>
              <w:lang w:val="en-US" w:eastAsia="zh-CN"/>
            </w:rPr>
            <w:t>3.3负离子（空气负离子） negative air ion</w:t>
          </w:r>
          <w:r>
            <w:rPr>
              <w:rFonts w:hint="default"/>
              <w:lang w:val="en-US" w:eastAsia="zh-CN"/>
            </w:rPr>
            <w:br w:type="textWrapping"/>
          </w:r>
          <w:r>
            <w:rPr>
              <w:rFonts w:hint="default"/>
              <w:lang w:val="en-US" w:eastAsia="zh-CN"/>
            </w:rPr>
            <w:t>空气中带负电荷的离子，如O</w:t>
          </w:r>
          <w:r>
            <w:rPr>
              <w:rFonts w:hint="default"/>
              <w:vertAlign w:val="subscript"/>
              <w:lang w:val="en-US" w:eastAsia="zh-CN"/>
            </w:rPr>
            <w:t>2</w:t>
          </w:r>
          <w:r>
            <w:rPr>
              <w:rFonts w:hint="eastAsia"/>
              <w:vertAlign w:val="superscript"/>
              <w:lang w:val="en-US" w:eastAsia="zh-CN"/>
            </w:rPr>
            <w:t>——</w:t>
          </w:r>
          <w:r>
            <w:rPr>
              <w:rFonts w:hint="default"/>
              <w:vertAlign w:val="superscript"/>
              <w:lang w:val="en-US" w:eastAsia="zh-CN"/>
            </w:rPr>
            <w:t>(</w:t>
          </w:r>
          <w:r>
            <w:rPr>
              <w:rFonts w:hint="default"/>
              <w:lang w:val="en-US" w:eastAsia="zh-CN"/>
            </w:rPr>
            <w:t xml:space="preserve"> H</w:t>
          </w:r>
          <w:r>
            <w:rPr>
              <w:rFonts w:hint="eastAsia"/>
              <w:vertAlign w:val="subscript"/>
              <w:lang w:val="en-US" w:eastAsia="zh-CN"/>
            </w:rPr>
            <w:t>2</w:t>
          </w:r>
          <w:r>
            <w:rPr>
              <w:rFonts w:hint="default"/>
              <w:lang w:val="en-US" w:eastAsia="zh-CN"/>
            </w:rPr>
            <w:t>O )</w:t>
          </w:r>
          <w:r>
            <w:rPr>
              <w:rFonts w:hint="eastAsia"/>
              <w:vertAlign w:val="subscript"/>
              <w:lang w:val="en-US" w:eastAsia="zh-CN"/>
            </w:rPr>
            <w:t>n</w:t>
          </w:r>
          <w:r>
            <w:rPr>
              <w:rFonts w:hint="default"/>
              <w:lang w:val="en-US" w:eastAsia="zh-CN"/>
            </w:rPr>
            <w:t>、 OH</w:t>
          </w:r>
          <w:r>
            <w:rPr>
              <w:rFonts w:hint="eastAsia"/>
              <w:vertAlign w:val="superscript"/>
              <w:lang w:val="en-US" w:eastAsia="zh-CN"/>
            </w:rPr>
            <w:t>——</w:t>
          </w:r>
          <w:r>
            <w:rPr>
              <w:rFonts w:hint="default"/>
              <w:lang w:val="en-US" w:eastAsia="zh-CN"/>
            </w:rPr>
            <w:t>( H</w:t>
          </w:r>
          <w:r>
            <w:rPr>
              <w:rFonts w:hint="eastAsia"/>
              <w:vertAlign w:val="subscript"/>
              <w:lang w:val="en-US" w:eastAsia="zh-CN"/>
            </w:rPr>
            <w:t>2</w:t>
          </w:r>
          <w:r>
            <w:rPr>
              <w:rFonts w:hint="default"/>
              <w:lang w:val="en-US" w:eastAsia="zh-CN"/>
            </w:rPr>
            <w:t>O )</w:t>
          </w:r>
          <w:r>
            <w:rPr>
              <w:rFonts w:hint="default"/>
              <w:vertAlign w:val="subscript"/>
              <w:lang w:val="en-US" w:eastAsia="zh-CN"/>
            </w:rPr>
            <w:t>n</w:t>
          </w:r>
          <w:r>
            <w:rPr>
              <w:rFonts w:hint="default"/>
              <w:lang w:val="en-US" w:eastAsia="zh-CN"/>
            </w:rPr>
            <w:t>。</w:t>
          </w:r>
          <w:r>
            <w:rPr>
              <w:rFonts w:hint="eastAsia"/>
              <w:lang w:val="en-US" w:eastAsia="zh-CN"/>
            </w:rPr>
            <w:t xml:space="preserve">。 [LY/T 3235-2020,3.1]  </w:t>
          </w:r>
        </w:p>
        <w:p>
          <w:pPr>
            <w:ind w:left="420" w:leftChars="200" w:firstLine="0" w:firstLineChars="0"/>
            <w:jc w:val="left"/>
            <w:rPr>
              <w:rFonts w:hint="eastAsia"/>
              <w:lang w:val="en-US" w:eastAsia="zh-CN"/>
            </w:rPr>
          </w:pPr>
          <w:r>
            <w:rPr>
              <w:rFonts w:hint="eastAsia"/>
              <w:lang w:val="en-US" w:eastAsia="zh-CN"/>
            </w:rPr>
            <w:t>3.4 负离子发生量 negative air ion concentration</w:t>
          </w:r>
        </w:p>
        <w:p>
          <w:pPr>
            <w:ind w:firstLine="420" w:firstLineChars="200"/>
            <w:jc w:val="left"/>
            <w:rPr>
              <w:rFonts w:hint="eastAsia"/>
              <w:lang w:val="en-US" w:eastAsia="zh-CN"/>
            </w:rPr>
          </w:pPr>
          <w:r>
            <w:rPr>
              <w:rFonts w:hint="default"/>
              <w:lang w:val="en-US" w:eastAsia="zh-CN"/>
            </w:rPr>
            <w:t>负离子功能人造板在单位体积空气中产生的空气负离子数量，单位为负离子数／每立方厘米（个／cm3)</w:t>
          </w:r>
          <w:r>
            <w:rPr>
              <w:rFonts w:hint="eastAsia"/>
              <w:lang w:val="en-US" w:eastAsia="zh-CN"/>
            </w:rPr>
            <w:t xml:space="preserve"> </w:t>
          </w:r>
          <w:r>
            <w:rPr>
              <w:rFonts w:hint="default"/>
              <w:lang w:val="en-US" w:eastAsia="zh-CN"/>
            </w:rPr>
            <w:t>。</w:t>
          </w:r>
          <w:r>
            <w:rPr>
              <w:rFonts w:hint="eastAsia"/>
              <w:lang w:val="en-US" w:eastAsia="zh-CN"/>
            </w:rPr>
            <w:t xml:space="preserve">[LY/T 3235-2020，3.3]  </w:t>
          </w:r>
        </w:p>
        <w:p>
          <w:pPr>
            <w:ind w:left="420" w:leftChars="200" w:firstLine="0" w:firstLineChars="0"/>
            <w:jc w:val="left"/>
            <w:rPr>
              <w:rFonts w:hint="eastAsia"/>
              <w:lang w:val="en-US" w:eastAsia="zh-CN"/>
            </w:rPr>
          </w:pPr>
          <w:r>
            <w:rPr>
              <w:rFonts w:hint="eastAsia"/>
              <w:lang w:val="en-US" w:eastAsia="zh-CN"/>
            </w:rPr>
            <w:t>3.5浸渍胶膜纸饰面净醛耐水板Impregnated film paper faced aldehyde-purifying and water-resistant board</w:t>
          </w:r>
        </w:p>
        <w:p>
          <w:pPr>
            <w:ind w:firstLine="420" w:firstLineChars="200"/>
            <w:jc w:val="left"/>
            <w:rPr>
              <w:rFonts w:hint="default"/>
              <w:lang w:val="en-US" w:eastAsia="zh-CN"/>
            </w:rPr>
          </w:pPr>
          <w:r>
            <w:rPr>
              <w:rFonts w:hint="eastAsia"/>
              <w:lang w:val="en-US" w:eastAsia="zh-CN"/>
            </w:rPr>
            <w:t xml:space="preserve">在正常使用条件下，能够持续产生负离子的浸渍胶膜纸铺装在以纤维板为基材的人造板上，经热压而成的装饰板材。  </w:t>
          </w:r>
        </w:p>
        <w:p>
          <w:pPr>
            <w:pStyle w:val="105"/>
            <w:spacing w:before="312" w:after="312"/>
            <w:rPr>
              <w:rFonts w:hint="default"/>
              <w:szCs w:val="21"/>
              <w:lang w:val="en-US" w:eastAsia="zh-CN"/>
            </w:rPr>
          </w:pPr>
          <w:r>
            <w:rPr>
              <w:rFonts w:hint="eastAsia"/>
              <w:szCs w:val="21"/>
              <w:lang w:val="en-US" w:eastAsia="zh-CN"/>
            </w:rPr>
            <w:t>基本要求</w:t>
          </w:r>
        </w:p>
        <w:p>
          <w:pPr>
            <w:ind w:firstLine="420" w:firstLineChars="200"/>
            <w:jc w:val="left"/>
            <w:rPr>
              <w:rFonts w:hint="eastAsia"/>
              <w:lang w:val="en-US" w:eastAsia="zh-CN"/>
            </w:rPr>
          </w:pPr>
          <w:r>
            <w:rPr>
              <w:rFonts w:hint="eastAsia"/>
              <w:lang w:val="en-US" w:eastAsia="zh-CN"/>
            </w:rPr>
            <w:t>4.1生产安全要求</w:t>
          </w:r>
        </w:p>
        <w:p>
          <w:pPr>
            <w:ind w:firstLine="420" w:firstLineChars="200"/>
            <w:jc w:val="left"/>
            <w:rPr>
              <w:rFonts w:hint="eastAsia"/>
              <w:lang w:val="en-US" w:eastAsia="zh-CN"/>
            </w:rPr>
          </w:pPr>
          <w:r>
            <w:rPr>
              <w:rFonts w:hint="eastAsia"/>
              <w:lang w:val="en-US" w:eastAsia="zh-CN"/>
            </w:rPr>
            <w:t xml:space="preserve">企业安全生产应符合AQ/T 9006的规定，粉尘防爆安全应符合AQ 4228的规定，消防安全要求符合《中华人民共和国消防法》和公安部(第61号令)《机关、团体、企业、事业单位消防安全管理规定》的规定。 </w:t>
          </w:r>
        </w:p>
        <w:p>
          <w:pPr>
            <w:ind w:firstLine="420" w:firstLineChars="200"/>
            <w:jc w:val="left"/>
            <w:rPr>
              <w:rFonts w:hint="eastAsia"/>
              <w:lang w:val="en-US" w:eastAsia="zh-CN"/>
            </w:rPr>
          </w:pPr>
          <w:r>
            <w:rPr>
              <w:rFonts w:hint="eastAsia"/>
              <w:lang w:val="en-US" w:eastAsia="zh-CN"/>
            </w:rPr>
            <w:t>4.2生产环境要求</w:t>
          </w:r>
        </w:p>
        <w:p>
          <w:pPr>
            <w:ind w:firstLine="420" w:firstLineChars="200"/>
            <w:jc w:val="left"/>
            <w:rPr>
              <w:rFonts w:hint="eastAsia"/>
              <w:lang w:val="en-US" w:eastAsia="zh-CN"/>
            </w:rPr>
          </w:pPr>
          <w:r>
            <w:rPr>
              <w:rFonts w:hint="eastAsia"/>
              <w:lang w:val="en-US" w:eastAsia="zh-CN"/>
            </w:rPr>
            <w:t xml:space="preserve">4.2.1生产企业应对生产设备及设施配置必要的消音装置，或者采取必要的措施降低生产噪音，厂区噪声宜参照GB3096-2008的规定要求。 </w:t>
          </w:r>
        </w:p>
        <w:p>
          <w:pPr>
            <w:ind w:firstLine="420" w:firstLineChars="200"/>
            <w:jc w:val="left"/>
            <w:rPr>
              <w:rFonts w:hint="eastAsia"/>
              <w:lang w:val="en-US" w:eastAsia="zh-CN"/>
            </w:rPr>
          </w:pPr>
          <w:r>
            <w:rPr>
              <w:rFonts w:hint="eastAsia"/>
              <w:lang w:val="en-US" w:eastAsia="zh-CN"/>
            </w:rPr>
            <w:t xml:space="preserve">4.2.2 生产企业应配置必备的污水处理设施，处理后的水质应符合GB3838-2002中的IV类水的规定要求。 </w:t>
          </w:r>
        </w:p>
        <w:p>
          <w:pPr>
            <w:ind w:firstLine="420" w:firstLineChars="200"/>
            <w:jc w:val="left"/>
            <w:rPr>
              <w:rFonts w:hint="eastAsia"/>
              <w:lang w:val="en-US" w:eastAsia="zh-CN"/>
            </w:rPr>
          </w:pPr>
          <w:r>
            <w:rPr>
              <w:rFonts w:hint="eastAsia"/>
              <w:lang w:val="en-US" w:eastAsia="zh-CN"/>
            </w:rPr>
            <w:t>4.2.3生产企业应对生产设施及其附属设施、设备生产的废气排放采取必要的措施，处理后的空气质量符合 GB3095-2012中规定的二级要求。</w:t>
          </w:r>
        </w:p>
        <w:p>
          <w:pPr>
            <w:pStyle w:val="105"/>
            <w:spacing w:before="312" w:after="312"/>
            <w:rPr>
              <w:rFonts w:hint="eastAsia"/>
              <w:szCs w:val="21"/>
              <w:lang w:val="en-US" w:eastAsia="zh-CN"/>
            </w:rPr>
          </w:pPr>
          <w:r>
            <w:rPr>
              <w:rFonts w:hint="eastAsia"/>
              <w:szCs w:val="21"/>
              <w:lang w:val="en-US" w:eastAsia="zh-CN"/>
            </w:rPr>
            <w:t>质量管理</w:t>
          </w:r>
        </w:p>
        <w:p>
          <w:pPr>
            <w:jc w:val="left"/>
            <w:rPr>
              <w:rFonts w:hint="default"/>
              <w:lang w:val="en-US" w:eastAsia="zh-CN"/>
            </w:rPr>
          </w:pPr>
          <w:r>
            <w:rPr>
              <w:rFonts w:hint="eastAsia"/>
              <w:lang w:val="en-US" w:eastAsia="zh-CN"/>
            </w:rPr>
            <w:t xml:space="preserve">   生产企业应建立质量管理体系，保证产品质量。质量管理体系的建立和运行参照GB/T 19001的规定要求。</w:t>
          </w:r>
        </w:p>
        <w:p>
          <w:pPr>
            <w:pStyle w:val="105"/>
            <w:spacing w:before="312" w:after="312"/>
            <w:rPr>
              <w:rFonts w:hint="eastAsia"/>
              <w:szCs w:val="21"/>
              <w:lang w:val="en-US" w:eastAsia="zh-CN"/>
            </w:rPr>
          </w:pPr>
          <w:r>
            <w:rPr>
              <w:rFonts w:hint="eastAsia"/>
              <w:szCs w:val="21"/>
              <w:lang w:val="en-US" w:eastAsia="zh-CN"/>
            </w:rPr>
            <w:t xml:space="preserve">材料要求 </w:t>
          </w:r>
        </w:p>
        <w:p>
          <w:pPr>
            <w:ind w:firstLine="420" w:firstLineChars="200"/>
            <w:jc w:val="left"/>
            <w:rPr>
              <w:rFonts w:hint="eastAsia"/>
              <w:lang w:val="en-US" w:eastAsia="zh-CN"/>
            </w:rPr>
          </w:pPr>
          <w:r>
            <w:rPr>
              <w:rFonts w:hint="eastAsia"/>
              <w:lang w:val="en-US" w:eastAsia="zh-CN"/>
            </w:rPr>
            <w:t>浸渍胶膜纸饰面净醛耐水板的基材应为纤维板，纤维板的防潮性能应符合GB/T11718-2021的要求，负离子发生材料应符合GB 6566-2010中A类装饰装修材料规定，生产企业应要求负离子发生材料供应商提供该批次的产品检验报告。</w:t>
          </w:r>
        </w:p>
        <w:p>
          <w:pPr>
            <w:pStyle w:val="105"/>
            <w:spacing w:before="312" w:after="312"/>
            <w:rPr>
              <w:rFonts w:hint="eastAsia"/>
              <w:szCs w:val="21"/>
              <w:lang w:val="en-US" w:eastAsia="zh-CN"/>
            </w:rPr>
          </w:pPr>
          <w:r>
            <w:rPr>
              <w:rFonts w:hint="eastAsia"/>
              <w:szCs w:val="21"/>
              <w:lang w:val="en-US" w:eastAsia="zh-CN"/>
            </w:rPr>
            <w:t xml:space="preserve">设备要求 </w:t>
          </w:r>
        </w:p>
        <w:p>
          <w:pPr>
            <w:ind w:firstLine="420" w:firstLineChars="200"/>
            <w:jc w:val="left"/>
            <w:rPr>
              <w:rFonts w:hint="eastAsia"/>
              <w:lang w:val="en-US" w:eastAsia="zh-CN"/>
            </w:rPr>
          </w:pPr>
          <w:r>
            <w:rPr>
              <w:rFonts w:hint="eastAsia"/>
              <w:lang w:val="en-US" w:eastAsia="zh-CN"/>
            </w:rPr>
            <w:t>设备应符合GB/T18514-2018的规定要求，应有压机。</w:t>
          </w:r>
        </w:p>
        <w:p>
          <w:pPr>
            <w:pStyle w:val="105"/>
            <w:spacing w:before="312" w:after="312"/>
            <w:rPr>
              <w:rFonts w:hint="default"/>
              <w:szCs w:val="21"/>
              <w:lang w:val="en-US" w:eastAsia="zh-CN"/>
            </w:rPr>
          </w:pPr>
          <w:r>
            <w:rPr>
              <w:rFonts w:hint="eastAsia"/>
              <w:szCs w:val="21"/>
              <w:lang w:val="en-US" w:eastAsia="zh-CN"/>
            </w:rPr>
            <w:t>生产规范要求</w:t>
          </w:r>
        </w:p>
        <w:p>
          <w:pPr>
            <w:jc w:val="left"/>
            <w:rPr>
              <w:rFonts w:hint="eastAsia"/>
              <w:lang w:val="en-US" w:eastAsia="zh-CN"/>
            </w:rPr>
          </w:pPr>
          <w:r>
            <w:rPr>
              <w:rFonts w:hint="eastAsia"/>
              <w:lang w:val="en-US" w:eastAsia="zh-CN"/>
            </w:rPr>
            <w:t>8.1热压生产工艺流程图</w:t>
          </w:r>
        </w:p>
        <w:p>
          <w:pPr>
            <w:jc w:val="left"/>
            <w:rPr>
              <w:rFonts w:hint="eastAsia"/>
              <w:lang w:val="en-US" w:eastAsia="zh-CN"/>
            </w:rPr>
          </w:pPr>
          <w:r>
            <mc:AlternateContent>
              <mc:Choice Requires="wpg">
                <w:drawing>
                  <wp:anchor distT="0" distB="0" distL="114300" distR="114300" simplePos="0" relativeHeight="251661312" behindDoc="0" locked="0" layoutInCell="1" allowOverlap="1">
                    <wp:simplePos x="0" y="0"/>
                    <wp:positionH relativeFrom="column">
                      <wp:posOffset>396875</wp:posOffset>
                    </wp:positionH>
                    <wp:positionV relativeFrom="paragraph">
                      <wp:posOffset>87630</wp:posOffset>
                    </wp:positionV>
                    <wp:extent cx="3599815" cy="1699895"/>
                    <wp:effectExtent l="5080" t="4445" r="14605" b="10160"/>
                    <wp:wrapNone/>
                    <wp:docPr id="24" name="组合 24"/>
                    <wp:cNvGraphicFramePr/>
                    <a:graphic xmlns:a="http://schemas.openxmlformats.org/drawingml/2006/main">
                      <a:graphicData uri="http://schemas.microsoft.com/office/word/2010/wordprocessingGroup">
                        <wpg:wgp>
                          <wpg:cNvGrpSpPr/>
                          <wpg:grpSpPr>
                            <a:xfrm>
                              <a:off x="0" y="0"/>
                              <a:ext cx="3599815" cy="1699895"/>
                              <a:chOff x="0" y="0"/>
                              <a:chExt cx="7020" cy="2206"/>
                            </a:xfrm>
                          </wpg:grpSpPr>
                          <wps:wsp>
                            <wps:cNvPr id="1" name="矩形 1"/>
                            <wps:cNvSpPr/>
                            <wps:spPr>
                              <a:xfrm>
                                <a:off x="0" y="0"/>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素板</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2" name="矩形 2"/>
                            <wps:cNvSpPr/>
                            <wps:spPr>
                              <a:xfrm>
                                <a:off x="1620" y="0"/>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除尘</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4" name="矩形 4"/>
                            <wps:cNvSpPr/>
                            <wps:spPr>
                              <a:xfrm>
                                <a:off x="0" y="780"/>
                                <a:ext cx="108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left"/>
                                    <w:textAlignment w:val="baseline"/>
                                    <w:rPr>
                                      <w:sz w:val="18"/>
                                      <w:szCs w:val="18"/>
                                    </w:rPr>
                                  </w:pPr>
                                  <w:r>
                                    <w:rPr>
                                      <w:rFonts w:hint="eastAsia" w:ascii="Arial" w:hAnsi="Times New Roman"/>
                                      <w:color w:val="000000"/>
                                      <w:kern w:val="24"/>
                                      <w:sz w:val="13"/>
                                      <w:szCs w:val="13"/>
                                      <w:lang w:eastAsia="zh-CN"/>
                                    </w:rPr>
                                    <w:t>浸渍胶膜纸</w:t>
                                  </w:r>
                                </w:p>
                              </w:txbxContent>
                            </wps:txbx>
                            <wps:bodyPr upright="0">
                              <a:spAutoFit/>
                            </wps:bodyPr>
                          </wps:wsp>
                          <wps:wsp>
                            <wps:cNvPr id="6" name="矩形 6"/>
                            <wps:cNvSpPr/>
                            <wps:spPr>
                              <a:xfrm>
                                <a:off x="1620" y="780"/>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配纸</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7" name="矩形 7"/>
                            <wps:cNvSpPr/>
                            <wps:spPr>
                              <a:xfrm>
                                <a:off x="3240" y="312"/>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组坯</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8" name="矩形 8"/>
                            <wps:cNvSpPr/>
                            <wps:spPr>
                              <a:xfrm>
                                <a:off x="4680" y="312"/>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热压</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9" name="矩形 9"/>
                            <wps:cNvSpPr/>
                            <wps:spPr>
                              <a:xfrm>
                                <a:off x="1620" y="1560"/>
                                <a:ext cx="108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3"/>
                                      <w:szCs w:val="13"/>
                                    </w:rPr>
                                  </w:pPr>
                                  <w:r>
                                    <w:rPr>
                                      <w:rFonts w:hint="eastAsia" w:ascii="Arial" w:hAnsi="Times New Roman"/>
                                      <w:color w:val="000000"/>
                                      <w:kern w:val="24"/>
                                      <w:sz w:val="13"/>
                                      <w:szCs w:val="13"/>
                                      <w:lang w:eastAsia="zh-CN"/>
                                    </w:rPr>
                                    <w:t>包装</w:t>
                                  </w:r>
                                  <w:r>
                                    <w:rPr>
                                      <w:rFonts w:ascii="Arial" w:hAnsi="Times New Roman" w:eastAsia="宋体"/>
                                      <w:color w:val="000000"/>
                                      <w:kern w:val="24"/>
                                      <w:sz w:val="13"/>
                                      <w:szCs w:val="13"/>
                                    </w:rPr>
                                    <w:t>入库</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10" name="矩形 10"/>
                            <wps:cNvSpPr/>
                            <wps:spPr>
                              <a:xfrm>
                                <a:off x="3240" y="1560"/>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rFonts w:hint="eastAsia" w:eastAsia="宋体"/>
                                      <w:sz w:val="18"/>
                                      <w:szCs w:val="18"/>
                                      <w:lang w:eastAsia="zh-CN"/>
                                    </w:rPr>
                                  </w:pPr>
                                  <w:r>
                                    <w:rPr>
                                      <w:rFonts w:hint="eastAsia"/>
                                      <w:sz w:val="18"/>
                                      <w:szCs w:val="18"/>
                                      <w:lang w:eastAsia="zh-CN"/>
                                    </w:rPr>
                                    <w:t>凉板</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11" name="矩形 11"/>
                            <wps:cNvSpPr/>
                            <wps:spPr>
                              <a:xfrm>
                                <a:off x="4680" y="1560"/>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分选</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12" name="矩形 12"/>
                            <wps:cNvSpPr/>
                            <wps:spPr>
                              <a:xfrm>
                                <a:off x="6120" y="1560"/>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检验</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13" name="矩形 13"/>
                            <wps:cNvSpPr/>
                            <wps:spPr>
                              <a:xfrm>
                                <a:off x="6120" y="312"/>
                                <a:ext cx="900" cy="64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5"/>
                                    <w:kinsoku/>
                                    <w:spacing w:before="0" w:after="0" w:line="240" w:lineRule="auto"/>
                                    <w:ind w:left="0" w:firstLine="0"/>
                                    <w:jc w:val="center"/>
                                    <w:textAlignment w:val="baseline"/>
                                    <w:rPr>
                                      <w:sz w:val="18"/>
                                      <w:szCs w:val="18"/>
                                    </w:rPr>
                                  </w:pPr>
                                  <w:r>
                                    <w:rPr>
                                      <w:rFonts w:hint="eastAsia" w:ascii="Arial" w:hAnsi="Times New Roman"/>
                                      <w:color w:val="000000"/>
                                      <w:kern w:val="24"/>
                                      <w:sz w:val="18"/>
                                      <w:szCs w:val="18"/>
                                      <w:lang w:eastAsia="zh-CN"/>
                                    </w:rPr>
                                    <w:t>修</w:t>
                                  </w:r>
                                  <w:r>
                                    <w:rPr>
                                      <w:rFonts w:ascii="Arial" w:hAnsi="Times New Roman" w:eastAsia="宋体"/>
                                      <w:color w:val="000000"/>
                                      <w:kern w:val="24"/>
                                      <w:sz w:val="18"/>
                                      <w:szCs w:val="18"/>
                                    </w:rPr>
                                    <w:t>边</w:t>
                                  </w:r>
                                </w:p>
                                <w:p>
                                  <w:pPr>
                                    <w:pStyle w:val="25"/>
                                    <w:kinsoku/>
                                    <w:spacing w:before="0" w:after="0" w:line="240" w:lineRule="auto"/>
                                    <w:ind w:left="0" w:firstLine="0"/>
                                    <w:jc w:val="left"/>
                                    <w:textAlignment w:val="baseline"/>
                                    <w:rPr>
                                      <w:sz w:val="18"/>
                                      <w:szCs w:val="18"/>
                                    </w:rPr>
                                  </w:pPr>
                                </w:p>
                              </w:txbxContent>
                            </wps:txbx>
                            <wps:bodyPr upright="0">
                              <a:spAutoFit/>
                            </wps:bodyPr>
                          </wps:wsp>
                          <wps:wsp>
                            <wps:cNvPr id="14" name="直接连接符 14"/>
                            <wps:cNvCnPr/>
                            <wps:spPr>
                              <a:xfrm>
                                <a:off x="4140" y="624"/>
                                <a:ext cx="540" cy="0"/>
                              </a:xfrm>
                              <a:prstGeom prst="line">
                                <a:avLst/>
                              </a:prstGeom>
                              <a:ln w="9525" cap="flat" cmpd="sng">
                                <a:solidFill>
                                  <a:srgbClr val="000000"/>
                                </a:solidFill>
                                <a:prstDash val="solid"/>
                                <a:round/>
                                <a:headEnd type="none" w="med" len="med"/>
                                <a:tailEnd type="triangle" w="med" len="med"/>
                              </a:ln>
                            </wps:spPr>
                            <wps:bodyPr upright="0"/>
                          </wps:wsp>
                          <wps:wsp>
                            <wps:cNvPr id="15" name="直接连接符 15"/>
                            <wps:cNvCnPr/>
                            <wps:spPr>
                              <a:xfrm>
                                <a:off x="5580" y="624"/>
                                <a:ext cx="540" cy="0"/>
                              </a:xfrm>
                              <a:prstGeom prst="line">
                                <a:avLst/>
                              </a:prstGeom>
                              <a:ln w="9525" cap="flat" cmpd="sng">
                                <a:solidFill>
                                  <a:srgbClr val="000000"/>
                                </a:solidFill>
                                <a:prstDash val="solid"/>
                                <a:round/>
                                <a:headEnd type="none" w="med" len="med"/>
                                <a:tailEnd type="triangle" w="med" len="med"/>
                              </a:ln>
                            </wps:spPr>
                            <wps:bodyPr upright="0"/>
                          </wps:wsp>
                          <wps:wsp>
                            <wps:cNvPr id="16" name="直接连接符 16"/>
                            <wps:cNvCnPr/>
                            <wps:spPr>
                              <a:xfrm rot="5233993">
                                <a:off x="6260" y="1159"/>
                                <a:ext cx="780" cy="1"/>
                              </a:xfrm>
                              <a:prstGeom prst="line">
                                <a:avLst/>
                              </a:prstGeom>
                              <a:ln w="9525" cap="flat" cmpd="sng">
                                <a:solidFill>
                                  <a:srgbClr val="000000"/>
                                </a:solidFill>
                                <a:prstDash val="solid"/>
                                <a:round/>
                                <a:headEnd type="none" w="med" len="med"/>
                                <a:tailEnd type="triangle" w="med" len="med"/>
                              </a:ln>
                            </wps:spPr>
                            <wps:bodyPr upright="0"/>
                          </wps:wsp>
                          <wps:wsp>
                            <wps:cNvPr id="17" name="直接连接符 17"/>
                            <wps:cNvCnPr/>
                            <wps:spPr>
                              <a:xfrm>
                                <a:off x="2700" y="624"/>
                                <a:ext cx="540" cy="0"/>
                              </a:xfrm>
                              <a:prstGeom prst="line">
                                <a:avLst/>
                              </a:prstGeom>
                              <a:ln w="9525" cap="flat" cmpd="sng">
                                <a:solidFill>
                                  <a:srgbClr val="000000"/>
                                </a:solidFill>
                                <a:prstDash val="solid"/>
                                <a:round/>
                                <a:headEnd type="none" w="med" len="med"/>
                                <a:tailEnd type="triangle" w="med" len="med"/>
                              </a:ln>
                            </wps:spPr>
                            <wps:bodyPr upright="0"/>
                          </wps:wsp>
                          <wps:wsp>
                            <wps:cNvPr id="18" name="直接连接符 18"/>
                            <wps:cNvCnPr/>
                            <wps:spPr>
                              <a:xfrm>
                                <a:off x="1080" y="1092"/>
                                <a:ext cx="540" cy="0"/>
                              </a:xfrm>
                              <a:prstGeom prst="line">
                                <a:avLst/>
                              </a:prstGeom>
                              <a:ln w="9525" cap="flat" cmpd="sng">
                                <a:solidFill>
                                  <a:srgbClr val="000000"/>
                                </a:solidFill>
                                <a:prstDash val="solid"/>
                                <a:round/>
                                <a:headEnd type="none" w="med" len="med"/>
                                <a:tailEnd type="triangle" w="med" len="med"/>
                              </a:ln>
                            </wps:spPr>
                            <wps:bodyPr upright="0"/>
                          </wps:wsp>
                          <wps:wsp>
                            <wps:cNvPr id="19" name="直接连接符 19"/>
                            <wps:cNvCnPr/>
                            <wps:spPr>
                              <a:xfrm rot="5400000">
                                <a:off x="5839" y="1592"/>
                                <a:ext cx="1" cy="540"/>
                              </a:xfrm>
                              <a:prstGeom prst="line">
                                <a:avLst/>
                              </a:prstGeom>
                              <a:ln w="9525" cap="flat" cmpd="sng">
                                <a:solidFill>
                                  <a:srgbClr val="000000"/>
                                </a:solidFill>
                                <a:prstDash val="solid"/>
                                <a:round/>
                                <a:headEnd type="none" w="med" len="med"/>
                                <a:tailEnd type="triangle" w="med" len="med"/>
                              </a:ln>
                            </wps:spPr>
                            <wps:bodyPr upright="0"/>
                          </wps:wsp>
                          <wps:wsp>
                            <wps:cNvPr id="20" name="直接连接符 20"/>
                            <wps:cNvCnPr/>
                            <wps:spPr>
                              <a:xfrm rot="5400000">
                                <a:off x="4410" y="1602"/>
                                <a:ext cx="0" cy="540"/>
                              </a:xfrm>
                              <a:prstGeom prst="line">
                                <a:avLst/>
                              </a:prstGeom>
                              <a:ln w="9525" cap="flat" cmpd="sng">
                                <a:solidFill>
                                  <a:srgbClr val="000000"/>
                                </a:solidFill>
                                <a:prstDash val="solid"/>
                                <a:round/>
                                <a:headEnd type="none" w="med" len="med"/>
                                <a:tailEnd type="triangle" w="med" len="med"/>
                              </a:ln>
                            </wps:spPr>
                            <wps:bodyPr upright="0"/>
                          </wps:wsp>
                          <wps:wsp>
                            <wps:cNvPr id="21" name="直接连接符 21"/>
                            <wps:cNvCnPr/>
                            <wps:spPr>
                              <a:xfrm rot="5400000">
                                <a:off x="2970" y="1602"/>
                                <a:ext cx="0" cy="540"/>
                              </a:xfrm>
                              <a:prstGeom prst="line">
                                <a:avLst/>
                              </a:prstGeom>
                              <a:ln w="9525" cap="flat" cmpd="sng">
                                <a:solidFill>
                                  <a:srgbClr val="000000"/>
                                </a:solidFill>
                                <a:prstDash val="solid"/>
                                <a:round/>
                                <a:headEnd type="none" w="med" len="med"/>
                                <a:tailEnd type="triangle" w="med" len="med"/>
                              </a:ln>
                            </wps:spPr>
                            <wps:bodyPr upright="0"/>
                          </wps:wsp>
                          <wps:wsp>
                            <wps:cNvPr id="22" name="直接连接符 22"/>
                            <wps:cNvCnPr/>
                            <wps:spPr>
                              <a:xfrm>
                                <a:off x="900" y="156"/>
                                <a:ext cx="720" cy="0"/>
                              </a:xfrm>
                              <a:prstGeom prst="line">
                                <a:avLst/>
                              </a:prstGeom>
                              <a:ln w="9525" cap="flat" cmpd="sng">
                                <a:solidFill>
                                  <a:srgbClr val="000000"/>
                                </a:solidFill>
                                <a:prstDash val="solid"/>
                                <a:round/>
                                <a:headEnd type="none" w="med" len="med"/>
                                <a:tailEnd type="triangle" w="med" len="med"/>
                              </a:ln>
                            </wps:spPr>
                            <wps:bodyPr upright="0"/>
                          </wps:wsp>
                          <wps:wsp>
                            <wps:cNvPr id="23" name="等腰三角形 23"/>
                            <wps:cNvSpPr/>
                            <wps:spPr>
                              <a:xfrm>
                                <a:off x="5040" y="780"/>
                                <a:ext cx="360" cy="156"/>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0">
                              <a:spAutoFit/>
                            </wps:bodyPr>
                          </wps:wsp>
                        </wpg:wgp>
                      </a:graphicData>
                    </a:graphic>
                  </wp:anchor>
                </w:drawing>
              </mc:Choice>
              <mc:Fallback>
                <w:pict>
                  <v:group id="_x0000_s1026" o:spid="_x0000_s1026" o:spt="203" style="position:absolute;left:0pt;margin-left:31.25pt;margin-top:6.9pt;height:133.85pt;width:283.45pt;z-index:251661312;mso-width-relative:page;mso-height-relative:page;" coordsize="7020,2206" o:gfxdata="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F22QPvaAAAACQEAAA8A&#10;AAAAAAAAAQAgAAAAIgAAAGRycy9kb3ducmV2LnhtbFBLAQIUABQAAAAIAIdO4kD+Bwo3MwUAAKAy&#10;AAAOAAAAAAAAAAEAIAAAACkBAABkcnMvZTJvRG9jLnhtbFBLBQYAAAAABgAGAFkBAADOCAAAAAA=&#10;">
                    <o:lock v:ext="edit" aspectratio="f"/>
                    <v:rect id="_x0000_s1026" o:spid="_x0000_s1026" o:spt="1" style="position:absolute;left:0;top:0;height:646;width:900;" fillcolor="#FFFFFF" filled="t" stroked="t" coordsize="21600,21600" o:gfxdata="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e1I4G2AAAA2gAAAA8A&#10;AAAAAAAAAQAgAAAAIgAAAGRycy9kb3ducmV2LnhtbFBLAQIUABQAAAAIAIdO4kAzLwWeOwAAADkA&#10;AAAQAAAAAAAAAAEAIAAAAAUBAABkcnMvc2hhcGV4bWwueG1sUEsFBgAAAAAGAAYAWwEAAK8DAAAA&#10;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素板</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1620;top:0;height:646;width:900;" fillcolor="#FFFFFF" filled="t" stroked="t" coordsize="21600,21600" o:gfxdata="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nZ732ugAAANo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除尘</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0;top:780;height:646;width:1080;" fillcolor="#FFFFFF" filled="t" stroked="t" coordsize="21600,21600" o:gfxdata="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8KAG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style="mso-fit-shape-to-text:t;">
                        <w:txbxContent>
                          <w:p>
                            <w:pPr>
                              <w:pStyle w:val="25"/>
                              <w:kinsoku/>
                              <w:spacing w:before="0" w:after="0" w:line="240" w:lineRule="auto"/>
                              <w:ind w:left="0" w:firstLine="0"/>
                              <w:jc w:val="left"/>
                              <w:textAlignment w:val="baseline"/>
                              <w:rPr>
                                <w:sz w:val="18"/>
                                <w:szCs w:val="18"/>
                              </w:rPr>
                            </w:pPr>
                            <w:r>
                              <w:rPr>
                                <w:rFonts w:hint="eastAsia" w:ascii="Arial" w:hAnsi="Times New Roman"/>
                                <w:color w:val="000000"/>
                                <w:kern w:val="24"/>
                                <w:sz w:val="13"/>
                                <w:szCs w:val="13"/>
                                <w:lang w:eastAsia="zh-CN"/>
                              </w:rPr>
                              <w:t>浸渍胶膜纸</w:t>
                            </w:r>
                          </w:p>
                        </w:txbxContent>
                      </v:textbox>
                    </v:rect>
                    <v:rect id="_x0000_s1026" o:spid="_x0000_s1026" o:spt="1" style="position:absolute;left:1620;top:780;height:646;width:900;" fillcolor="#FFFFFF" filled="t" stroked="t" coordsize="21600,21600" o:gfxdata="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Fy79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配纸</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3240;top:312;height:646;width:900;" fillcolor="#FFFFFF" filled="t" stroked="t" coordsize="21600,21600" o:gfxdata="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xAebr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组坯</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4680;top:312;height:646;width:900;" fillcolor="#FFFFFF" filled="t" stroked="t" coordsize="21600,21600" o:gfxdata="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j4ocugAAANo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热压</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1620;top:1560;height:646;width:1080;" fillcolor="#FFFFFF" filled="t" stroked="t" coordsize="21600,21600" o:gfxdata="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cMvh7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3"/>
                                <w:szCs w:val="13"/>
                              </w:rPr>
                            </w:pPr>
                            <w:r>
                              <w:rPr>
                                <w:rFonts w:hint="eastAsia" w:ascii="Arial" w:hAnsi="Times New Roman"/>
                                <w:color w:val="000000"/>
                                <w:kern w:val="24"/>
                                <w:sz w:val="13"/>
                                <w:szCs w:val="13"/>
                                <w:lang w:eastAsia="zh-CN"/>
                              </w:rPr>
                              <w:t>包装</w:t>
                            </w:r>
                            <w:r>
                              <w:rPr>
                                <w:rFonts w:ascii="Arial" w:hAnsi="Times New Roman" w:eastAsia="宋体"/>
                                <w:color w:val="000000"/>
                                <w:kern w:val="24"/>
                                <w:sz w:val="13"/>
                                <w:szCs w:val="13"/>
                              </w:rPr>
                              <w:t>入库</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3240;top:1560;height:646;width:900;" fillcolor="#FFFFFF" filled="t" stroked="t" coordsize="21600,21600" o:gfxdata="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X+1d7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rFonts w:hint="eastAsia" w:eastAsia="宋体"/>
                                <w:sz w:val="18"/>
                                <w:szCs w:val="18"/>
                                <w:lang w:eastAsia="zh-CN"/>
                              </w:rPr>
                            </w:pPr>
                            <w:r>
                              <w:rPr>
                                <w:rFonts w:hint="eastAsia"/>
                                <w:sz w:val="18"/>
                                <w:szCs w:val="18"/>
                                <w:lang w:eastAsia="zh-CN"/>
                              </w:rPr>
                              <w:t>凉板</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4680;top:1560;height:646;width:900;" fillcolor="#FFFFFF" filled="t" stroked="t" coordsize="21600,21600" o:gfxdata="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MxDstwAAANsAAAAP&#10;AAAAAAAAAAEAIAAAACIAAABkcnMvZG93bnJldi54bWxQSwECFAAUAAAACACHTuJAMy8FnjsAAAA5&#10;AAAAEAAAAAAAAAABACAAAAAGAQAAZHJzL3NoYXBleG1sLnhtbFBLBQYAAAAABgAGAFsBAACwAwAA&#10;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分选</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6120;top:1560;height:646;width:900;" fillcolor="#FFFFFF" filled="t" stroked="t" coordsize="21600,21600" o:gfxdata="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uGOm7gAAADbAAAA&#10;DwAAAAAAAAABACAAAAAiAAAAZHJzL2Rvd25yZXYueG1sUEsBAhQAFAAAAAgAh07iQDMvBZ47AAAA&#10;OQAAABAAAAAAAAAAAQAgAAAABwEAAGRycy9zaGFwZXhtbC54bWxQSwUGAAAAAAYABgBbAQAAsQMA&#10;A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8"/>
                                <w:szCs w:val="18"/>
                              </w:rPr>
                            </w:pPr>
                            <w:r>
                              <w:rPr>
                                <w:rFonts w:ascii="Arial" w:hAnsi="Times New Roman" w:eastAsia="宋体"/>
                                <w:color w:val="000000"/>
                                <w:kern w:val="24"/>
                                <w:sz w:val="18"/>
                                <w:szCs w:val="18"/>
                              </w:rPr>
                              <w:t>检验</w:t>
                            </w:r>
                          </w:p>
                          <w:p>
                            <w:pPr>
                              <w:pStyle w:val="25"/>
                              <w:kinsoku/>
                              <w:spacing w:before="0" w:after="0" w:line="240" w:lineRule="auto"/>
                              <w:ind w:left="0" w:firstLine="0"/>
                              <w:jc w:val="left"/>
                              <w:textAlignment w:val="baseline"/>
                              <w:rPr>
                                <w:sz w:val="18"/>
                                <w:szCs w:val="18"/>
                              </w:rPr>
                            </w:pPr>
                          </w:p>
                        </w:txbxContent>
                      </v:textbox>
                    </v:rect>
                    <v:rect id="_x0000_s1026" o:spid="_x0000_s1026" o:spt="1" style="position:absolute;left:6120;top:312;height:646;width:900;" fillcolor="#FFFFFF" filled="t" stroked="t" coordsize="21600,21600" o:gfxdata="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GtKwC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style="mso-fit-shape-to-text:t;">
                        <w:txbxContent>
                          <w:p>
                            <w:pPr>
                              <w:pStyle w:val="25"/>
                              <w:kinsoku/>
                              <w:spacing w:before="0" w:after="0" w:line="240" w:lineRule="auto"/>
                              <w:ind w:left="0" w:firstLine="0"/>
                              <w:jc w:val="center"/>
                              <w:textAlignment w:val="baseline"/>
                              <w:rPr>
                                <w:sz w:val="18"/>
                                <w:szCs w:val="18"/>
                              </w:rPr>
                            </w:pPr>
                            <w:r>
                              <w:rPr>
                                <w:rFonts w:hint="eastAsia" w:ascii="Arial" w:hAnsi="Times New Roman"/>
                                <w:color w:val="000000"/>
                                <w:kern w:val="24"/>
                                <w:sz w:val="18"/>
                                <w:szCs w:val="18"/>
                                <w:lang w:eastAsia="zh-CN"/>
                              </w:rPr>
                              <w:t>修</w:t>
                            </w:r>
                            <w:r>
                              <w:rPr>
                                <w:rFonts w:ascii="Arial" w:hAnsi="Times New Roman" w:eastAsia="宋体"/>
                                <w:color w:val="000000"/>
                                <w:kern w:val="24"/>
                                <w:sz w:val="18"/>
                                <w:szCs w:val="18"/>
                              </w:rPr>
                              <w:t>边</w:t>
                            </w:r>
                          </w:p>
                          <w:p>
                            <w:pPr>
                              <w:pStyle w:val="25"/>
                              <w:kinsoku/>
                              <w:spacing w:before="0" w:after="0" w:line="240" w:lineRule="auto"/>
                              <w:ind w:left="0" w:firstLine="0"/>
                              <w:jc w:val="left"/>
                              <w:textAlignment w:val="baseline"/>
                              <w:rPr>
                                <w:sz w:val="18"/>
                                <w:szCs w:val="18"/>
                              </w:rPr>
                            </w:pPr>
                          </w:p>
                        </w:txbxContent>
                      </v:textbox>
                    </v:rect>
                    <v:line id="_x0000_s1026" o:spid="_x0000_s1026" o:spt="20" style="position:absolute;left:4140;top:624;height:0;width:540;" filled="f" stroked="t" coordsize="21600,21600" o:gfxdata="UEsDBAoAAAAAAIdO4kAAAAAAAAAAAAAAAAAEAAAAZHJzL1BLAwQUAAAACACHTuJAFpL6qLwAAADb&#10;AAAADwAAAGRycy9kb3ducmV2LnhtbEVPS2vCQBC+F/oflil4q5uI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aS+q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5580;top:624;height:0;width:540;"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6260;top:1159;height:1;width:780;rotation:5716916f;" filled="f" stroked="t" coordsize="21600,21600" o:gfxdata="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ToPR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2700;top:624;height:0;width:540;" filled="f" stroked="t" coordsize="21600,21600" o:gfxdata="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AZN+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1080;top:1092;height:0;width:540;"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839;top:1592;height:540;width:1;rotation:5898240f;" filled="f" stroked="t" coordsize="21600,21600" o:gfxdata="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AMLM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4410;top:1602;height:540;width:0;rotation:5898240f;" filled="f" stroked="t" coordsize="21600,21600" o:gfxdata="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Woey5AAAA2w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line id="_x0000_s1026" o:spid="_x0000_s1026" o:spt="20" style="position:absolute;left:2970;top:1602;height:540;width:0;rotation:5898240f;" filled="f" stroked="t" coordsize="21600,21600" o:gfxdata="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aBHe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900;top:156;height:0;width:720;" filled="f" stroked="t" coordsize="21600,21600" o:gfxdata="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hbDf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5" type="#_x0000_t5" style="position:absolute;left:5040;top:780;height:156;width:360;" fillcolor="#000000" filled="t" stroked="t" coordsize="21600,21600" o:gfxdata="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gAXSO8AAAA&#10;2wAAAA8AAAAAAAAAAQAgAAAAIgAAAGRycy9kb3ducmV2LnhtbFBLAQIUABQAAAAIAIdO4kAzLwWe&#10;OwAAADkAAAAQAAAAAAAAAAEAIAAAAAsBAABkcnMvc2hhcGV4bWwueG1sUEsFBgAAAAAGAAYAWwEA&#10;ALUDAAAAAA==&#10;" adj="10800">
                      <v:fill on="t" focussize="0,0"/>
                      <v:stroke color="#000000" joinstyle="miter"/>
                      <v:imagedata o:title=""/>
                      <o:lock v:ext="edit" aspectratio="f"/>
                      <v:textbox style="mso-fit-shape-to-text:t;"/>
                    </v:shape>
                  </v:group>
                </w:pict>
              </mc:Fallback>
            </mc:AlternateContent>
          </w: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ind w:firstLine="420" w:firstLineChars="200"/>
            <w:jc w:val="left"/>
            <w:rPr>
              <w:rFonts w:hint="eastAsia"/>
              <w:lang w:val="en-US" w:eastAsia="zh-CN"/>
            </w:rPr>
          </w:pPr>
          <w:r>
            <w:rPr>
              <w:rFonts w:hint="eastAsia"/>
              <w:lang w:val="en-US" w:eastAsia="zh-CN"/>
            </w:rPr>
            <w:t>8.2关键工序参数</w:t>
          </w:r>
        </w:p>
        <w:p>
          <w:pPr>
            <w:ind w:firstLine="420" w:firstLineChars="200"/>
            <w:jc w:val="left"/>
            <w:rPr>
              <w:rFonts w:hint="eastAsia"/>
              <w:lang w:val="en-US" w:eastAsia="zh-CN"/>
            </w:rPr>
          </w:pPr>
          <w:r>
            <w:rPr>
              <w:rFonts w:hint="eastAsia"/>
              <w:lang w:val="en-US" w:eastAsia="zh-CN"/>
            </w:rPr>
            <w:t>8.2.1热压工序参数</w:t>
          </w:r>
        </w:p>
        <w:tbl>
          <w:tblPr>
            <w:tblStyle w:val="34"/>
            <w:tblW w:w="938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1912"/>
            <w:gridCol w:w="1914"/>
            <w:gridCol w:w="1914"/>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7" w:hRule="atLeast"/>
            </w:trPr>
            <w:tc>
              <w:tcPr>
                <w:tcW w:w="1794" w:type="dxa"/>
                <w:vAlign w:val="top"/>
              </w:tcPr>
              <w:p>
                <w:pPr>
                  <w:jc w:val="left"/>
                  <w:rPr>
                    <w:rFonts w:hint="default"/>
                    <w:vertAlign w:val="baseline"/>
                    <w:lang w:val="en-US" w:eastAsia="zh-CN"/>
                  </w:rPr>
                </w:pPr>
                <w:r>
                  <w:rPr>
                    <w:rFonts w:hint="eastAsia"/>
                    <w:vertAlign w:val="baseline"/>
                    <w:lang w:val="en-US" w:eastAsia="zh-CN"/>
                  </w:rPr>
                  <w:t>厚度</w:t>
                </w:r>
                <w:r>
                  <w:rPr>
                    <w:rFonts w:hint="default"/>
                    <w:vertAlign w:val="baseline"/>
                    <w:lang w:val="en-US" w:eastAsia="zh-CN"/>
                  </w:rPr>
                  <w:t>(mm)</w:t>
                </w:r>
              </w:p>
            </w:tc>
            <w:tc>
              <w:tcPr>
                <w:tcW w:w="1912" w:type="dxa"/>
                <w:vAlign w:val="top"/>
              </w:tcPr>
              <w:p>
                <w:pPr>
                  <w:jc w:val="left"/>
                  <w:rPr>
                    <w:rFonts w:hint="default"/>
                    <w:vertAlign w:val="baseline"/>
                    <w:lang w:val="en-US" w:eastAsia="zh-CN"/>
                  </w:rPr>
                </w:pPr>
                <w:r>
                  <w:rPr>
                    <w:rFonts w:hint="eastAsia"/>
                    <w:vertAlign w:val="baseline"/>
                    <w:lang w:val="en-US" w:eastAsia="zh-CN"/>
                  </w:rPr>
                  <w:t>温度(℃)</w:t>
                </w:r>
              </w:p>
            </w:tc>
            <w:tc>
              <w:tcPr>
                <w:tcW w:w="1914" w:type="dxa"/>
                <w:vAlign w:val="top"/>
              </w:tcPr>
              <w:p>
                <w:pPr>
                  <w:jc w:val="left"/>
                  <w:rPr>
                    <w:rFonts w:hint="eastAsia"/>
                    <w:vertAlign w:val="baseline"/>
                    <w:lang w:val="en-US" w:eastAsia="zh-CN"/>
                  </w:rPr>
                </w:pPr>
                <w:r>
                  <w:rPr>
                    <w:rFonts w:hint="eastAsia"/>
                    <w:vertAlign w:val="baseline"/>
                    <w:lang w:val="en-US" w:eastAsia="zh-CN"/>
                  </w:rPr>
                  <w:t>热压时间（秒）</w:t>
                </w:r>
              </w:p>
            </w:tc>
            <w:tc>
              <w:tcPr>
                <w:tcW w:w="1914" w:type="dxa"/>
                <w:vAlign w:val="top"/>
              </w:tcPr>
              <w:p>
                <w:pPr>
                  <w:jc w:val="left"/>
                  <w:rPr>
                    <w:rFonts w:hint="eastAsia"/>
                    <w:vertAlign w:val="baseline"/>
                    <w:lang w:val="en-US" w:eastAsia="zh-CN"/>
                  </w:rPr>
                </w:pPr>
                <w:r>
                  <w:rPr>
                    <w:rFonts w:hint="eastAsia"/>
                    <w:vertAlign w:val="baseline"/>
                    <w:lang w:val="en-US" w:eastAsia="zh-CN"/>
                  </w:rPr>
                  <w:t>压力（MPA）</w:t>
                </w:r>
              </w:p>
            </w:tc>
            <w:tc>
              <w:tcPr>
                <w:tcW w:w="1852" w:type="dxa"/>
                <w:vAlign w:val="top"/>
              </w:tcPr>
              <w:p>
                <w:pPr>
                  <w:jc w:val="left"/>
                  <w:rPr>
                    <w:rFonts w:hint="default"/>
                    <w:vertAlign w:val="baseline"/>
                    <w:lang w:val="en-US" w:eastAsia="zh-CN"/>
                  </w:rPr>
                </w:pPr>
                <w:r>
                  <w:rPr>
                    <w:rFonts w:hint="eastAsia"/>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92" w:hRule="atLeast"/>
            </w:trPr>
            <w:tc>
              <w:tcPr>
                <w:tcW w:w="1794" w:type="dxa"/>
                <w:vAlign w:val="top"/>
              </w:tcPr>
              <w:p>
                <w:pPr>
                  <w:jc w:val="left"/>
                  <w:rPr>
                    <w:rFonts w:hint="default"/>
                    <w:vertAlign w:val="baseline"/>
                    <w:lang w:val="en-US" w:eastAsia="zh-CN"/>
                  </w:rPr>
                </w:pPr>
                <w:r>
                  <w:rPr>
                    <w:rFonts w:hint="eastAsia"/>
                    <w:vertAlign w:val="baseline"/>
                    <w:lang w:val="en-US" w:eastAsia="zh-CN"/>
                  </w:rPr>
                  <w:t>3~6</w:t>
                </w:r>
              </w:p>
            </w:tc>
            <w:tc>
              <w:tcPr>
                <w:tcW w:w="1912" w:type="dxa"/>
                <w:vAlign w:val="top"/>
              </w:tcPr>
              <w:p>
                <w:pPr>
                  <w:jc w:val="left"/>
                  <w:rPr>
                    <w:rFonts w:hint="default"/>
                    <w:vertAlign w:val="baseline"/>
                    <w:lang w:val="en-US" w:eastAsia="zh-CN"/>
                  </w:rPr>
                </w:pPr>
                <w:r>
                  <w:rPr>
                    <w:rFonts w:hint="eastAsia"/>
                    <w:vertAlign w:val="baseline"/>
                    <w:lang w:val="en-US" w:eastAsia="zh-CN"/>
                  </w:rPr>
                  <w:t>180~190</w:t>
                </w:r>
              </w:p>
            </w:tc>
            <w:tc>
              <w:tcPr>
                <w:tcW w:w="1914" w:type="dxa"/>
                <w:vAlign w:val="top"/>
              </w:tcPr>
              <w:p>
                <w:pPr>
                  <w:jc w:val="left"/>
                  <w:rPr>
                    <w:rFonts w:hint="default"/>
                    <w:vertAlign w:val="baseline"/>
                    <w:lang w:val="en-US" w:eastAsia="zh-CN"/>
                  </w:rPr>
                </w:pPr>
                <w:r>
                  <w:rPr>
                    <w:rFonts w:hint="eastAsia"/>
                    <w:vertAlign w:val="baseline"/>
                    <w:lang w:val="en-US" w:eastAsia="zh-CN"/>
                  </w:rPr>
                  <w:t>20~25</w:t>
                </w:r>
              </w:p>
            </w:tc>
            <w:tc>
              <w:tcPr>
                <w:tcW w:w="1914" w:type="dxa"/>
                <w:vAlign w:val="top"/>
              </w:tcPr>
              <w:p>
                <w:pPr>
                  <w:jc w:val="left"/>
                  <w:rPr>
                    <w:rFonts w:hint="default"/>
                    <w:vertAlign w:val="baseline"/>
                    <w:lang w:val="en-US" w:eastAsia="zh-CN"/>
                  </w:rPr>
                </w:pPr>
                <w:r>
                  <w:rPr>
                    <w:rFonts w:hint="eastAsia"/>
                    <w:vertAlign w:val="baseline"/>
                    <w:lang w:val="en-US" w:eastAsia="zh-CN"/>
                  </w:rPr>
                  <w:t>12~16</w:t>
                </w:r>
              </w:p>
            </w:tc>
            <w:tc>
              <w:tcPr>
                <w:tcW w:w="1852" w:type="dxa"/>
                <w:vMerge w:val="restart"/>
                <w:vAlign w:val="top"/>
              </w:tcPr>
              <w:p>
                <w:pPr>
                  <w:spacing w:line="240" w:lineRule="auto"/>
                  <w:jc w:val="left"/>
                  <w:rPr>
                    <w:rFonts w:hint="default"/>
                    <w:vertAlign w:val="baseline"/>
                    <w:lang w:val="en-US" w:eastAsia="zh-CN"/>
                  </w:rPr>
                </w:pPr>
                <w:r>
                  <w:rPr>
                    <w:rFonts w:hint="eastAsia"/>
                    <w:vertAlign w:val="baseline"/>
                    <w:lang w:val="en-US" w:eastAsia="zh-CN"/>
                  </w:rPr>
                  <w:t>深色浸渍胶膜纸热压时间加3~5秒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1794" w:type="dxa"/>
                <w:vAlign w:val="top"/>
              </w:tcPr>
              <w:p>
                <w:pPr>
                  <w:jc w:val="left"/>
                  <w:rPr>
                    <w:rFonts w:hint="default"/>
                    <w:vertAlign w:val="baseline"/>
                    <w:lang w:val="en-US" w:eastAsia="zh-CN"/>
                  </w:rPr>
                </w:pPr>
                <w:r>
                  <w:rPr>
                    <w:rFonts w:hint="eastAsia"/>
                    <w:vertAlign w:val="baseline"/>
                    <w:lang w:val="en-US" w:eastAsia="zh-CN"/>
                  </w:rPr>
                  <w:t>9~12</w:t>
                </w:r>
              </w:p>
            </w:tc>
            <w:tc>
              <w:tcPr>
                <w:tcW w:w="1912" w:type="dxa"/>
                <w:vAlign w:val="top"/>
              </w:tcPr>
              <w:p>
                <w:pPr>
                  <w:jc w:val="left"/>
                  <w:rPr>
                    <w:rFonts w:hint="default"/>
                    <w:vertAlign w:val="baseline"/>
                    <w:lang w:val="en-US" w:eastAsia="zh-CN"/>
                  </w:rPr>
                </w:pPr>
                <w:r>
                  <w:rPr>
                    <w:rFonts w:hint="eastAsia"/>
                    <w:vertAlign w:val="baseline"/>
                    <w:lang w:val="en-US" w:eastAsia="zh-CN"/>
                  </w:rPr>
                  <w:t>188~192</w:t>
                </w:r>
              </w:p>
            </w:tc>
            <w:tc>
              <w:tcPr>
                <w:tcW w:w="1914" w:type="dxa"/>
                <w:vAlign w:val="top"/>
              </w:tcPr>
              <w:p>
                <w:pPr>
                  <w:jc w:val="left"/>
                  <w:rPr>
                    <w:rFonts w:hint="default"/>
                    <w:vertAlign w:val="baseline"/>
                    <w:lang w:val="en-US" w:eastAsia="zh-CN"/>
                  </w:rPr>
                </w:pPr>
                <w:r>
                  <w:rPr>
                    <w:rFonts w:hint="eastAsia"/>
                    <w:vertAlign w:val="baseline"/>
                    <w:lang w:val="en-US" w:eastAsia="zh-CN"/>
                  </w:rPr>
                  <w:t>25~30</w:t>
                </w:r>
              </w:p>
            </w:tc>
            <w:tc>
              <w:tcPr>
                <w:tcW w:w="1914" w:type="dxa"/>
                <w:vAlign w:val="top"/>
              </w:tcPr>
              <w:p>
                <w:pPr>
                  <w:jc w:val="left"/>
                  <w:rPr>
                    <w:rFonts w:hint="default"/>
                    <w:vertAlign w:val="baseline"/>
                    <w:lang w:val="en-US" w:eastAsia="zh-CN"/>
                  </w:rPr>
                </w:pPr>
                <w:r>
                  <w:rPr>
                    <w:rFonts w:hint="eastAsia"/>
                    <w:vertAlign w:val="baseline"/>
                    <w:lang w:val="en-US" w:eastAsia="zh-CN"/>
                  </w:rPr>
                  <w:t>16~18</w:t>
                </w:r>
              </w:p>
            </w:tc>
            <w:tc>
              <w:tcPr>
                <w:tcW w:w="1852" w:type="dxa"/>
                <w:vMerge w:val="continue"/>
                <w:vAlign w:val="top"/>
              </w:tcPr>
              <w:p>
                <w:pPr>
                  <w:spacing w:line="240" w:lineRule="auto"/>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1794" w:type="dxa"/>
                <w:vAlign w:val="top"/>
              </w:tcPr>
              <w:p>
                <w:pPr>
                  <w:jc w:val="left"/>
                  <w:rPr>
                    <w:rFonts w:hint="default"/>
                    <w:vertAlign w:val="baseline"/>
                    <w:lang w:val="en-US" w:eastAsia="zh-CN"/>
                  </w:rPr>
                </w:pPr>
                <w:r>
                  <w:rPr>
                    <w:rFonts w:hint="eastAsia"/>
                    <w:vertAlign w:val="baseline"/>
                    <w:lang w:val="en-US" w:eastAsia="zh-CN"/>
                  </w:rPr>
                  <w:t>15~30</w:t>
                </w:r>
              </w:p>
            </w:tc>
            <w:tc>
              <w:tcPr>
                <w:tcW w:w="1912" w:type="dxa"/>
                <w:vAlign w:val="top"/>
              </w:tcPr>
              <w:p>
                <w:pPr>
                  <w:jc w:val="left"/>
                  <w:rPr>
                    <w:rFonts w:hint="default"/>
                    <w:vertAlign w:val="baseline"/>
                    <w:lang w:val="en-US" w:eastAsia="zh-CN"/>
                  </w:rPr>
                </w:pPr>
                <w:r>
                  <w:rPr>
                    <w:rFonts w:hint="eastAsia"/>
                    <w:vertAlign w:val="baseline"/>
                    <w:lang w:val="en-US" w:eastAsia="zh-CN"/>
                  </w:rPr>
                  <w:t>190~195</w:t>
                </w:r>
              </w:p>
            </w:tc>
            <w:tc>
              <w:tcPr>
                <w:tcW w:w="1914" w:type="dxa"/>
                <w:vAlign w:val="top"/>
              </w:tcPr>
              <w:p>
                <w:pPr>
                  <w:jc w:val="left"/>
                  <w:rPr>
                    <w:rFonts w:hint="default"/>
                    <w:vertAlign w:val="baseline"/>
                    <w:lang w:val="en-US" w:eastAsia="zh-CN"/>
                  </w:rPr>
                </w:pPr>
                <w:r>
                  <w:rPr>
                    <w:rFonts w:hint="eastAsia"/>
                    <w:vertAlign w:val="baseline"/>
                    <w:lang w:val="en-US" w:eastAsia="zh-CN"/>
                  </w:rPr>
                  <w:t>30~40</w:t>
                </w:r>
              </w:p>
            </w:tc>
            <w:tc>
              <w:tcPr>
                <w:tcW w:w="1914" w:type="dxa"/>
                <w:vAlign w:val="top"/>
              </w:tcPr>
              <w:p>
                <w:pPr>
                  <w:jc w:val="left"/>
                  <w:rPr>
                    <w:rFonts w:hint="default"/>
                    <w:vertAlign w:val="baseline"/>
                    <w:lang w:val="en-US" w:eastAsia="zh-CN"/>
                  </w:rPr>
                </w:pPr>
                <w:r>
                  <w:rPr>
                    <w:rFonts w:hint="eastAsia"/>
                    <w:vertAlign w:val="baseline"/>
                    <w:lang w:val="en-US" w:eastAsia="zh-CN"/>
                  </w:rPr>
                  <w:t>18~20</w:t>
                </w:r>
              </w:p>
            </w:tc>
            <w:tc>
              <w:tcPr>
                <w:tcW w:w="1852" w:type="dxa"/>
                <w:vMerge w:val="continue"/>
                <w:vAlign w:val="top"/>
              </w:tcPr>
              <w:p>
                <w:pPr>
                  <w:spacing w:line="240" w:lineRule="auto"/>
                  <w:jc w:val="left"/>
                  <w:rPr>
                    <w:rFonts w:hint="eastAsia"/>
                    <w:vertAlign w:val="baseline"/>
                    <w:lang w:val="en-US" w:eastAsia="zh-CN"/>
                  </w:rPr>
                </w:pPr>
              </w:p>
            </w:tc>
          </w:tr>
        </w:tbl>
        <w:p>
          <w:pPr>
            <w:jc w:val="left"/>
          </w:pPr>
        </w:p>
        <w:p>
          <w:pPr>
            <w:pStyle w:val="105"/>
            <w:spacing w:before="312" w:after="312"/>
            <w:rPr>
              <w:rFonts w:hint="eastAsia"/>
              <w:szCs w:val="21"/>
              <w:lang w:val="en-US" w:eastAsia="zh-CN"/>
            </w:rPr>
          </w:pPr>
          <w:r>
            <w:rPr>
              <w:rFonts w:hint="eastAsia"/>
              <w:szCs w:val="21"/>
              <w:lang w:val="en-US" w:eastAsia="zh-CN"/>
            </w:rPr>
            <w:t xml:space="preserve">能耗要求 </w:t>
          </w:r>
        </w:p>
        <w:p>
          <w:pPr>
            <w:ind w:firstLine="420" w:firstLineChars="200"/>
            <w:jc w:val="left"/>
            <w:rPr>
              <w:rFonts w:hint="eastAsia"/>
              <w:lang w:val="en-US" w:eastAsia="zh-CN"/>
            </w:rPr>
          </w:pPr>
          <w:r>
            <w:rPr>
              <w:rFonts w:hint="eastAsia"/>
              <w:lang w:val="en-US" w:eastAsia="zh-CN"/>
            </w:rPr>
            <w:t>浸渍胶膜纸饰面净醛耐水板生产综合能耗应符合 LY / T 2071-2024规定的要求。</w:t>
          </w:r>
        </w:p>
        <w:p>
          <w:pPr>
            <w:pStyle w:val="105"/>
            <w:spacing w:before="312" w:after="312"/>
            <w:rPr>
              <w:rFonts w:hint="eastAsia"/>
              <w:szCs w:val="21"/>
              <w:lang w:val="en-US" w:eastAsia="zh-CN"/>
            </w:rPr>
          </w:pPr>
          <w:r>
            <w:rPr>
              <w:rFonts w:hint="eastAsia"/>
              <w:szCs w:val="21"/>
              <w:lang w:val="en-US" w:eastAsia="zh-CN"/>
            </w:rPr>
            <w:t>产品要求和检验方法</w:t>
          </w:r>
        </w:p>
        <w:p>
          <w:pPr>
            <w:ind w:firstLine="420" w:firstLineChars="200"/>
            <w:jc w:val="left"/>
            <w:rPr>
              <w:rFonts w:hint="eastAsia"/>
              <w:lang w:val="en-US" w:eastAsia="zh-CN"/>
            </w:rPr>
          </w:pPr>
          <w:r>
            <w:rPr>
              <w:rFonts w:hint="eastAsia"/>
              <w:lang w:val="en-US" w:eastAsia="zh-CN"/>
            </w:rPr>
            <w:t xml:space="preserve">10.1负离子发生量 </w:t>
          </w:r>
        </w:p>
        <w:p>
          <w:pPr>
            <w:ind w:firstLine="420" w:firstLineChars="200"/>
            <w:jc w:val="left"/>
            <w:rPr>
              <w:rFonts w:hint="default"/>
              <w:lang w:val="en-US" w:eastAsia="zh-CN"/>
            </w:rPr>
          </w:pPr>
          <w:r>
            <w:rPr>
              <w:rFonts w:hint="eastAsia"/>
              <w:lang w:val="en-US" w:eastAsia="zh-CN"/>
            </w:rPr>
            <w:t>浸渍胶膜纸饰面净醛耐水板的负离子发生量应符合LY/T 3235-2020规定要求，检验方法按LY/T 3235-2020规定的方法进行。</w:t>
          </w:r>
        </w:p>
        <w:p>
          <w:pPr>
            <w:ind w:firstLine="420" w:firstLineChars="200"/>
            <w:jc w:val="left"/>
            <w:rPr>
              <w:rFonts w:hint="eastAsia"/>
              <w:lang w:val="en-US" w:eastAsia="zh-CN"/>
            </w:rPr>
          </w:pPr>
          <w:r>
            <w:rPr>
              <w:rFonts w:hint="eastAsia"/>
              <w:lang w:val="en-US" w:eastAsia="zh-CN"/>
            </w:rPr>
            <w:t>10.2 防霉质量分级</w:t>
          </w:r>
        </w:p>
        <w:p>
          <w:pPr>
            <w:ind w:firstLine="420" w:firstLineChars="200"/>
            <w:jc w:val="left"/>
            <w:rPr>
              <w:rFonts w:hint="eastAsia"/>
              <w:lang w:val="en-US" w:eastAsia="zh-CN"/>
            </w:rPr>
          </w:pPr>
          <w:r>
            <w:rPr>
              <w:rFonts w:hint="eastAsia"/>
              <w:lang w:val="en-US" w:eastAsia="zh-CN"/>
            </w:rPr>
            <w:t xml:space="preserve">浸渍胶膜纸饰面净醛耐水板的防霉质量分级应符合LY/T 2230-2013规定要求，检验方法按LY/T 2230-2013规定的检验方法进行。  </w:t>
          </w:r>
        </w:p>
        <w:p>
          <w:pPr>
            <w:ind w:firstLine="420" w:firstLineChars="200"/>
            <w:jc w:val="left"/>
            <w:rPr>
              <w:rFonts w:hint="eastAsia"/>
              <w:lang w:val="en-US" w:eastAsia="zh-CN"/>
            </w:rPr>
          </w:pPr>
          <w:r>
            <w:rPr>
              <w:rFonts w:hint="eastAsia"/>
              <w:lang w:val="en-US" w:eastAsia="zh-CN"/>
            </w:rPr>
            <w:t>10.3甲醛释放限量</w:t>
          </w:r>
        </w:p>
        <w:p>
          <w:pPr>
            <w:ind w:firstLine="420" w:firstLineChars="200"/>
            <w:jc w:val="left"/>
            <w:rPr>
              <w:rFonts w:hint="default"/>
              <w:lang w:val="en-US" w:eastAsia="zh-CN"/>
            </w:rPr>
          </w:pPr>
          <w:r>
            <w:rPr>
              <w:rFonts w:hint="eastAsia"/>
              <w:lang w:val="en-US" w:eastAsia="zh-CN"/>
            </w:rPr>
            <w:t>甲醛释放限量应符合GB/T 39600-2021中的</w:t>
          </w:r>
          <w:r>
            <w:rPr>
              <w:rFonts w:hint="default"/>
              <w:lang w:val="en-US" w:eastAsia="zh-CN"/>
            </w:rPr>
            <w:t>E</w:t>
          </w:r>
          <w:r>
            <w:rPr>
              <w:rFonts w:hint="eastAsia"/>
              <w:vertAlign w:val="subscript"/>
              <w:lang w:val="en-US" w:eastAsia="zh-CN"/>
            </w:rPr>
            <w:t>NF</w:t>
          </w:r>
          <w:r>
            <w:rPr>
              <w:rFonts w:hint="eastAsia"/>
              <w:lang w:val="en-US" w:eastAsia="zh-CN"/>
            </w:rPr>
            <w:t>级，检验方法按GB/T 17657-2013中4.61甲醛释放量测定——气体分析法的规定进行。</w:t>
          </w:r>
        </w:p>
        <w:p>
          <w:pPr>
            <w:ind w:firstLine="420" w:firstLineChars="200"/>
            <w:jc w:val="left"/>
            <w:rPr>
              <w:rFonts w:hint="eastAsia"/>
              <w:lang w:val="en-US" w:eastAsia="zh-CN"/>
            </w:rPr>
          </w:pPr>
          <w:r>
            <w:rPr>
              <w:rFonts w:hint="eastAsia"/>
              <w:lang w:val="en-US" w:eastAsia="zh-CN"/>
            </w:rPr>
            <w:t xml:space="preserve">10.4产品其他性能 </w:t>
          </w:r>
        </w:p>
        <w:p>
          <w:pPr>
            <w:ind w:firstLine="420" w:firstLineChars="200"/>
            <w:jc w:val="left"/>
            <w:rPr>
              <w:rFonts w:hint="eastAsia"/>
              <w:lang w:val="en-US" w:eastAsia="zh-CN"/>
            </w:rPr>
          </w:pPr>
          <w:r>
            <w:rPr>
              <w:rFonts w:hint="eastAsia"/>
              <w:lang w:val="en-US" w:eastAsia="zh-CN"/>
            </w:rPr>
            <w:t>产品的其他性能指标按照GB/T 15102-2017及相应产品的国家标准或行业标准规定方法进行。</w:t>
          </w:r>
        </w:p>
        <w:p>
          <w:pPr>
            <w:keepNext w:val="0"/>
            <w:keepLines w:val="0"/>
            <w:widowControl/>
            <w:suppressLineNumbers w:val="0"/>
            <w:jc w:val="left"/>
            <w:rPr>
              <w:rFonts w:hint="eastAsia"/>
              <w:lang w:val="en-US" w:eastAsia="zh-CN"/>
            </w:rPr>
          </w:pPr>
          <w:r>
            <w:rPr>
              <w:rFonts w:hint="eastAsia" w:ascii="黑体" w:hAnsi="Times New Roman" w:eastAsia="黑体" w:cs="Times New Roman"/>
              <w:kern w:val="0"/>
              <w:sz w:val="21"/>
              <w:szCs w:val="21"/>
              <w:lang w:val="en-US" w:eastAsia="zh-CN" w:bidi="ar-SA"/>
            </w:rPr>
            <w:t>11 标识、包装、运输、贮存</w:t>
          </w:r>
          <w:r>
            <w:rPr>
              <w:rFonts w:hint="default"/>
              <w:lang w:val="en-US" w:eastAsia="zh-CN"/>
            </w:rPr>
            <w:br w:type="textWrapping"/>
          </w:r>
          <w:r>
            <w:rPr>
              <w:rFonts w:hint="eastAsia"/>
              <w:lang w:val="en-US" w:eastAsia="zh-CN"/>
            </w:rPr>
            <w:t xml:space="preserve">    11.1 </w:t>
          </w:r>
          <w:r>
            <w:rPr>
              <w:rFonts w:hint="default"/>
              <w:lang w:val="en-US" w:eastAsia="zh-CN"/>
            </w:rPr>
            <w:t>产品应在产品的一个表面或侧边明显牢固标记产品名称、商标、等级、甲醛释放量级别、产品标准号和生产厂名等</w:t>
          </w:r>
          <w:r>
            <w:rPr>
              <w:rFonts w:hint="eastAsia"/>
              <w:lang w:val="en-US" w:eastAsia="zh-CN"/>
            </w:rPr>
            <w:t>。</w:t>
          </w:r>
          <w:r>
            <w:rPr>
              <w:rFonts w:hint="default"/>
              <w:lang w:val="en-US" w:eastAsia="zh-CN"/>
            </w:rPr>
            <w:br w:type="textWrapping"/>
          </w:r>
          <w:r>
            <w:rPr>
              <w:rFonts w:hint="eastAsia"/>
              <w:lang w:val="en-US" w:eastAsia="zh-CN"/>
            </w:rPr>
            <w:t xml:space="preserve">    11</w:t>
          </w:r>
          <w:r>
            <w:rPr>
              <w:rFonts w:hint="default"/>
              <w:lang w:val="en-US" w:eastAsia="zh-CN"/>
            </w:rPr>
            <w:t>.2包装</w:t>
          </w:r>
          <w:r>
            <w:rPr>
              <w:rFonts w:hint="default"/>
              <w:lang w:val="en-US" w:eastAsia="zh-CN"/>
            </w:rPr>
            <w:br w:type="textWrapping"/>
          </w:r>
          <w:r>
            <w:rPr>
              <w:rFonts w:hint="eastAsia"/>
              <w:lang w:val="en-US" w:eastAsia="zh-CN"/>
            </w:rPr>
            <w:t xml:space="preserve">    </w:t>
          </w:r>
          <w:r>
            <w:rPr>
              <w:rFonts w:hint="default"/>
              <w:lang w:val="en-US" w:eastAsia="zh-CN"/>
            </w:rPr>
            <w:t>产品包装应按不同类型、规格、等级分别包装。每个包装应挂有注明生产厂名厂址、产品名称、执行标准、商标、规格、等级、甲醛释放限量、张数、防潮、防晒以及盖有合格的标签等。</w:t>
          </w:r>
          <w:r>
            <w:rPr>
              <w:rFonts w:hint="default"/>
              <w:lang w:val="en-US" w:eastAsia="zh-CN"/>
            </w:rPr>
            <w:br w:type="textWrapping"/>
          </w:r>
          <w:r>
            <w:rPr>
              <w:rFonts w:hint="eastAsia"/>
              <w:lang w:val="en-US" w:eastAsia="zh-CN"/>
            </w:rPr>
            <w:t xml:space="preserve">    11</w:t>
          </w:r>
          <w:r>
            <w:rPr>
              <w:rFonts w:hint="default"/>
              <w:lang w:val="en-US" w:eastAsia="zh-CN"/>
            </w:rPr>
            <w:t>.3运输</w:t>
          </w:r>
          <w:r>
            <w:rPr>
              <w:rFonts w:hint="default"/>
              <w:lang w:val="en-US" w:eastAsia="zh-CN"/>
            </w:rPr>
            <w:br w:type="textWrapping"/>
          </w:r>
          <w:r>
            <w:rPr>
              <w:rFonts w:hint="eastAsia"/>
              <w:lang w:val="en-US" w:eastAsia="zh-CN"/>
            </w:rPr>
            <w:t xml:space="preserve">    </w:t>
          </w:r>
          <w:r>
            <w:rPr>
              <w:rFonts w:hint="default"/>
              <w:lang w:val="en-US" w:eastAsia="zh-CN"/>
            </w:rPr>
            <w:t>产品的运输方式由供需双方商定。在运输时应避免划伤表面和磕碰，且防雨、防潮和防晒。</w:t>
          </w:r>
          <w:r>
            <w:rPr>
              <w:rFonts w:hint="default"/>
              <w:lang w:val="en-US" w:eastAsia="zh-CN"/>
            </w:rPr>
            <w:br w:type="textWrapping"/>
          </w:r>
          <w:r>
            <w:rPr>
              <w:rFonts w:hint="eastAsia"/>
              <w:lang w:val="en-US" w:eastAsia="zh-CN"/>
            </w:rPr>
            <w:t xml:space="preserve">    11</w:t>
          </w:r>
          <w:r>
            <w:rPr>
              <w:rFonts w:hint="default"/>
              <w:lang w:val="en-US" w:eastAsia="zh-CN"/>
            </w:rPr>
            <w:t>.4贮存</w:t>
          </w:r>
          <w:r>
            <w:rPr>
              <w:rFonts w:hint="default"/>
              <w:lang w:val="en-US" w:eastAsia="zh-CN"/>
            </w:rPr>
            <w:br w:type="textWrapping"/>
          </w:r>
          <w:r>
            <w:rPr>
              <w:rFonts w:hint="eastAsia"/>
              <w:lang w:val="en-US" w:eastAsia="zh-CN"/>
            </w:rPr>
            <w:t xml:space="preserve">    </w:t>
          </w:r>
          <w:r>
            <w:rPr>
              <w:rFonts w:hint="default"/>
              <w:lang w:val="en-US" w:eastAsia="zh-CN"/>
            </w:rPr>
            <w:t>产品的存放基础应平整，码放应整齐，板面不应与地面接触，并按不同类别、规格、等级堆放，每垛应有相应的标记。贮存地点应防雨、防潮、防晒且远离火源。</w:t>
          </w:r>
        </w:p>
        <w:p>
          <w:pPr>
            <w:jc w:val="left"/>
            <w:rPr>
              <w:rFonts w:hint="eastAsia"/>
              <w:lang w:val="en-US" w:eastAsia="zh-CN"/>
            </w:rPr>
          </w:pPr>
        </w:p>
        <w:p>
          <w:pPr>
            <w:jc w:val="left"/>
            <w:rPr>
              <w:rFonts w:hint="eastAsia"/>
              <w:lang w:val="en-US" w:eastAsia="zh-CN"/>
            </w:rPr>
          </w:pPr>
        </w:p>
        <w:p>
          <w:pPr>
            <w:pStyle w:val="57"/>
            <w:ind w:firstLine="420"/>
          </w:pPr>
        </w:p>
      </w:sdtContent>
    </w:sdt>
    <w:p>
      <w:pPr>
        <w:pStyle w:val="57"/>
        <w:ind w:firstLine="420"/>
      </w:pPr>
    </w:p>
    <w:p>
      <w:pPr>
        <w:pStyle w:val="57"/>
        <w:ind w:firstLine="420"/>
      </w:pPr>
    </w:p>
    <w:bookmarkEnd w:id="25"/>
    <w:p>
      <w:pPr>
        <w:pStyle w:val="57"/>
        <w:ind w:firstLine="420"/>
      </w:pPr>
    </w:p>
    <w:p>
      <w:pPr>
        <w:pStyle w:val="57"/>
        <w:ind w:firstLine="420"/>
      </w:pPr>
    </w:p>
    <w:sectPr>
      <w:pgSz w:w="11906" w:h="16838"/>
      <w:pgMar w:top="1928" w:right="1134" w:bottom="1134" w:left="1134" w:header="1418" w:footer="1134" w:gutter="284"/>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1"/>
  <w:bordersDoNotSurroundFooter w:val="1"/>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EF022B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CF66FCD"/>
    <w:rsid w:val="1F8A0D81"/>
    <w:rsid w:val="2EF022B7"/>
    <w:rsid w:val="5F4F1107"/>
    <w:rsid w:val="7EC22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7">
    <w:name w:val="Default Paragraph Font"/>
    <w:unhideWhenUsed/>
    <w:qFormat/>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character" w:styleId="28">
    <w:name w:val="Strong"/>
    <w:qFormat/>
    <w:uiPriority w:val="22"/>
    <w:rPr>
      <w:b/>
      <w:bCs/>
    </w:rPr>
  </w:style>
  <w:style w:type="character" w:styleId="29">
    <w:name w:val="page number"/>
    <w:qFormat/>
    <w:uiPriority w:val="0"/>
    <w:rPr>
      <w:rFonts w:ascii="宋体" w:hAnsi="Times New Roman" w:eastAsia="宋体"/>
      <w:sz w:val="18"/>
    </w:rPr>
  </w:style>
  <w:style w:type="character" w:styleId="30">
    <w:name w:val="Emphasis"/>
    <w:qFormat/>
    <w:uiPriority w:val="20"/>
    <w:rPr>
      <w:i/>
      <w:iCs/>
    </w:rPr>
  </w:style>
  <w:style w:type="character" w:styleId="31">
    <w:name w:val="Hyperlink"/>
    <w:qFormat/>
    <w:uiPriority w:val="99"/>
    <w:rPr>
      <w:rFonts w:ascii="宋体" w:hAnsi="Times New Roman" w:eastAsia="宋体"/>
      <w:color w:val="auto"/>
      <w:spacing w:val="0"/>
      <w:w w:val="100"/>
      <w:position w:val="0"/>
      <w:sz w:val="21"/>
      <w:u w:val="none"/>
      <w:vertAlign w:val="baseline"/>
    </w:rPr>
  </w:style>
  <w:style w:type="character" w:styleId="32">
    <w:name w:val="footnote reference"/>
    <w:semiHidden/>
    <w:qFormat/>
    <w:uiPriority w:val="0"/>
    <w:rPr>
      <w:rFonts w:ascii="宋体" w:hAnsi="宋体" w:eastAsia="宋体" w:cs="Times New Roman"/>
      <w:spacing w:val="0"/>
      <w:sz w:val="18"/>
      <w:vertAlign w:val="superscript"/>
    </w:rPr>
  </w:style>
  <w:style w:type="table" w:styleId="34">
    <w:name w:val="Table Grid"/>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customStyle="1"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customStyle="1" w:styleId="187">
    <w:name w:val="Placeholder Text"/>
    <w:basedOn w:val="27"/>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7"/>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7"/>
    <w:qFormat/>
    <w:uiPriority w:val="0"/>
    <w:rPr>
      <w:rFonts w:ascii="黑体" w:eastAsia="黑体"/>
      <w:spacing w:val="85"/>
      <w:w w:val="100"/>
      <w:position w:val="3"/>
      <w:sz w:val="28"/>
      <w:szCs w:val="28"/>
    </w:rPr>
  </w:style>
  <w:style w:type="paragraph" w:customStyle="1" w:styleId="231">
    <w:name w:val="前言、引言标题"/>
    <w:next w:val="23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目次、标准名称标题"/>
    <w:basedOn w:val="1"/>
    <w:next w:val="23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6631;&#20934;&#21270;&#25991;&#20214;&#32534;&#20889;&#24037;&#20855;&#36719;&#20214;\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29255EA8535446A8698BCEB2DD58785"/>
        <w:style w:val=""/>
        <w:category>
          <w:name w:val="常规"/>
          <w:gallery w:val="placeholder"/>
        </w:category>
        <w:types>
          <w:type w:val="bbPlcHdr"/>
        </w:types>
        <w:behaviors>
          <w:behavior w:val="content"/>
        </w:behaviors>
        <w:description w:val=""/>
        <w:guid w:val="{16E02438-0576-4C29-8C55-007E4B9A5563}"/>
      </w:docPartPr>
      <w:docPartBody>
        <w:p>
          <w:pPr>
            <w:pStyle w:val="5"/>
          </w:pPr>
          <w:r>
            <w:rPr>
              <w:rStyle w:val="4"/>
              <w:rFonts w:hint="eastAsia"/>
            </w:rPr>
            <w:t>单击或点击此处输入文字。</w:t>
          </w:r>
        </w:p>
      </w:docPartBody>
    </w:docPart>
    <w:docPart>
      <w:docPartPr>
        <w:name w:val="8AB26F249DB443D0B5D6F273C4C91EBD"/>
        <w:style w:val=""/>
        <w:category>
          <w:name w:val="常规"/>
          <w:gallery w:val="placeholder"/>
        </w:category>
        <w:types>
          <w:type w:val="bbPlcHdr"/>
        </w:types>
        <w:behaviors>
          <w:behavior w:val="content"/>
        </w:behaviors>
        <w:description w:val=""/>
        <w:guid w:val="{C4D205A4-7212-4061-9D44-761EE81BEDDE}"/>
      </w:docPartPr>
      <w:docPartBody>
        <w:p>
          <w:pPr>
            <w:pStyle w:val="6"/>
          </w:pPr>
          <w:r>
            <w:rPr>
              <w:rStyle w:val="4"/>
              <w:rFonts w:hint="eastAsia"/>
            </w:rPr>
            <w:t>选择一项。</w:t>
          </w:r>
        </w:p>
      </w:docPartBody>
    </w:docPart>
    <w:docPart>
      <w:docPartPr>
        <w:name w:val="55B6A2045FF84569944B83F618A356CE"/>
        <w:style w:val=""/>
        <w:category>
          <w:name w:val="常规"/>
          <w:gallery w:val="placeholder"/>
        </w:category>
        <w:types>
          <w:type w:val="bbPlcHdr"/>
        </w:types>
        <w:behaviors>
          <w:behavior w:val="content"/>
        </w:behaviors>
        <w:description w:val=""/>
        <w:guid w:val="{F1C886F0-3E37-4EBF-9A39-567B3429D41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C75"/>
    <w:rsid w:val="00135C75"/>
    <w:rsid w:val="00204DF9"/>
    <w:rsid w:val="0034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E29255EA8535446A8698BCEB2DD587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AB26F249DB443D0B5D6F273C4C91EB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5B6A2045FF84569944B83F618A356C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Pages>7</Pages>
  <Words>2133</Words>
  <Characters>2939</Characters>
  <Lines>45</Lines>
  <Paragraphs>49</Paragraphs>
  <TotalTime>5</TotalTime>
  <ScaleCrop>false</ScaleCrop>
  <LinksUpToDate>false</LinksUpToDate>
  <CharactersWithSpaces>3133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2025-02-17T05:01:00Z</dcterms:created>
  <dc:creator>Tom</dc:creator>
  <dc:description>&lt;config cover="true" show_menu="true" version="1.0.0" doctype="SDKXY"&gt;_x000d_
&lt;/config&gt;</dc:description>
  <cp:lastModifiedBy>admin</cp:lastModifiedBy>
  <dcterms:modified xsi:type="dcterms:W3CDTF">2025-02-25T02:17:33Z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50F2713D8A4944F99A7AD1FBCDE54C0D_13</vt:lpwstr>
  </property>
  <property fmtid="{D5CDD505-2E9C-101B-9397-08002B2CF9AE}" pid="15" name="KSOTemplateDocerSaveRecord">
    <vt:lpwstr>eyJoZGlkIjoiNzliNDU1N2U0MGZjZTlkZTQzMmYzZjM0ZTQ4OGRmNmQifQ==</vt:lpwstr>
  </property>
  <property fmtid="{D5CDD505-2E9C-101B-9397-08002B2CF9AE}" pid="16" name="KSOProductBuildVer">
    <vt:lpwstr>2052-10.8.0.6423</vt:lpwstr>
  </property>
</Properties>
</file>