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29F4B">
      <w:pPr>
        <w:spacing w:line="820" w:lineRule="exact"/>
        <w:jc w:val="center"/>
        <w:rPr>
          <w:rFonts w:eastAsia="方正小标宋简体"/>
          <w:sz w:val="72"/>
          <w:szCs w:val="72"/>
        </w:rPr>
      </w:pPr>
      <w:r>
        <w:rPr>
          <w:rFonts w:hint="eastAsia" w:eastAsia="方正小标宋简体"/>
          <w:sz w:val="72"/>
          <w:szCs w:val="72"/>
        </w:rPr>
        <w:t>中国热带作物学会</w:t>
      </w:r>
      <w:r>
        <w:rPr>
          <w:rFonts w:eastAsia="方正小标宋简体"/>
          <w:sz w:val="72"/>
          <w:szCs w:val="72"/>
        </w:rPr>
        <w:br w:type="textWrapping"/>
      </w:r>
      <w:r>
        <w:rPr>
          <w:rFonts w:hint="eastAsia" w:eastAsia="方正小标宋简体"/>
          <w:sz w:val="72"/>
          <w:szCs w:val="72"/>
        </w:rPr>
        <w:t>团体</w:t>
      </w:r>
      <w:r>
        <w:rPr>
          <w:rFonts w:eastAsia="方正小标宋简体"/>
          <w:sz w:val="72"/>
          <w:szCs w:val="72"/>
        </w:rPr>
        <w:t>标准</w:t>
      </w:r>
    </w:p>
    <w:p w14:paraId="1835DC43">
      <w:pPr>
        <w:spacing w:line="820" w:lineRule="exact"/>
        <w:jc w:val="center"/>
        <w:rPr>
          <w:rFonts w:eastAsia="方正小标宋简体"/>
          <w:sz w:val="52"/>
          <w:szCs w:val="52"/>
        </w:rPr>
      </w:pPr>
      <w:r>
        <w:rPr>
          <w:rFonts w:eastAsia="方正小标宋简体"/>
          <w:sz w:val="52"/>
          <w:szCs w:val="52"/>
        </w:rPr>
        <w:t>《</w:t>
      </w:r>
      <w:r>
        <w:rPr>
          <w:rFonts w:hint="eastAsia" w:eastAsia="方正小标宋简体"/>
          <w:sz w:val="52"/>
          <w:szCs w:val="52"/>
        </w:rPr>
        <w:t>辣木蔬菜食用品质感官评价方法</w:t>
      </w:r>
      <w:r>
        <w:rPr>
          <w:rFonts w:eastAsia="方正小标宋简体"/>
          <w:sz w:val="52"/>
          <w:szCs w:val="52"/>
        </w:rPr>
        <w:t>》</w:t>
      </w:r>
    </w:p>
    <w:p w14:paraId="654FABE9">
      <w:pPr>
        <w:spacing w:line="820" w:lineRule="exact"/>
        <w:jc w:val="center"/>
        <w:rPr>
          <w:rFonts w:eastAsia="黑体"/>
          <w:sz w:val="48"/>
          <w:szCs w:val="48"/>
        </w:rPr>
      </w:pPr>
    </w:p>
    <w:p w14:paraId="3C8304FA">
      <w:pPr>
        <w:spacing w:line="820" w:lineRule="exact"/>
        <w:jc w:val="center"/>
        <w:rPr>
          <w:rFonts w:eastAsia="黑体"/>
          <w:sz w:val="48"/>
          <w:szCs w:val="48"/>
        </w:rPr>
      </w:pPr>
      <w:r>
        <w:rPr>
          <w:rFonts w:eastAsia="黑体"/>
          <w:sz w:val="48"/>
          <w:szCs w:val="48"/>
        </w:rPr>
        <w:t>（</w:t>
      </w:r>
      <w:r>
        <w:rPr>
          <w:rFonts w:hint="eastAsia" w:eastAsia="黑体"/>
          <w:sz w:val="48"/>
          <w:szCs w:val="48"/>
        </w:rPr>
        <w:t>征求意见稿</w:t>
      </w:r>
      <w:r>
        <w:rPr>
          <w:rFonts w:eastAsia="黑体"/>
          <w:sz w:val="48"/>
          <w:szCs w:val="48"/>
        </w:rPr>
        <w:t>）</w:t>
      </w:r>
    </w:p>
    <w:p w14:paraId="0962C3EA">
      <w:pPr>
        <w:spacing w:line="820" w:lineRule="exact"/>
        <w:jc w:val="center"/>
        <w:rPr>
          <w:rFonts w:eastAsia="黑体"/>
          <w:sz w:val="48"/>
          <w:szCs w:val="48"/>
        </w:rPr>
      </w:pPr>
    </w:p>
    <w:p w14:paraId="2D029A5C">
      <w:pPr>
        <w:spacing w:line="820" w:lineRule="exact"/>
        <w:jc w:val="center"/>
        <w:rPr>
          <w:rFonts w:eastAsia="黑体"/>
          <w:sz w:val="72"/>
          <w:szCs w:val="72"/>
        </w:rPr>
      </w:pPr>
      <w:r>
        <w:rPr>
          <w:rFonts w:eastAsia="黑体"/>
          <w:sz w:val="72"/>
          <w:szCs w:val="72"/>
        </w:rPr>
        <w:t>编</w:t>
      </w:r>
    </w:p>
    <w:p w14:paraId="57E897A8">
      <w:pPr>
        <w:spacing w:line="820" w:lineRule="exact"/>
        <w:jc w:val="center"/>
        <w:rPr>
          <w:rFonts w:eastAsia="黑体"/>
          <w:sz w:val="72"/>
          <w:szCs w:val="72"/>
        </w:rPr>
      </w:pPr>
      <w:r>
        <w:rPr>
          <w:rFonts w:eastAsia="黑体"/>
          <w:sz w:val="72"/>
          <w:szCs w:val="72"/>
        </w:rPr>
        <w:t>制</w:t>
      </w:r>
    </w:p>
    <w:p w14:paraId="110EF8E0">
      <w:pPr>
        <w:spacing w:line="820" w:lineRule="exact"/>
        <w:jc w:val="center"/>
        <w:rPr>
          <w:rFonts w:eastAsia="黑体"/>
          <w:sz w:val="72"/>
          <w:szCs w:val="72"/>
        </w:rPr>
      </w:pPr>
      <w:r>
        <w:rPr>
          <w:rFonts w:eastAsia="黑体"/>
          <w:sz w:val="72"/>
          <w:szCs w:val="72"/>
        </w:rPr>
        <w:t>说</w:t>
      </w:r>
    </w:p>
    <w:p w14:paraId="066E71FC">
      <w:pPr>
        <w:spacing w:line="820" w:lineRule="exact"/>
        <w:jc w:val="center"/>
        <w:rPr>
          <w:rFonts w:eastAsia="黑体"/>
          <w:sz w:val="52"/>
          <w:szCs w:val="52"/>
        </w:rPr>
      </w:pPr>
      <w:r>
        <w:rPr>
          <w:rFonts w:eastAsia="黑体"/>
          <w:sz w:val="72"/>
          <w:szCs w:val="72"/>
        </w:rPr>
        <w:t>明</w:t>
      </w:r>
    </w:p>
    <w:p w14:paraId="56178465">
      <w:pPr>
        <w:spacing w:line="820" w:lineRule="exact"/>
        <w:jc w:val="center"/>
        <w:rPr>
          <w:rFonts w:eastAsia="黑体"/>
          <w:sz w:val="52"/>
          <w:szCs w:val="52"/>
        </w:rPr>
      </w:pPr>
    </w:p>
    <w:p w14:paraId="5F3F0B34">
      <w:pPr>
        <w:spacing w:line="820" w:lineRule="exact"/>
        <w:jc w:val="center"/>
        <w:rPr>
          <w:rFonts w:eastAsia="黑体"/>
          <w:sz w:val="52"/>
          <w:szCs w:val="52"/>
        </w:rPr>
      </w:pPr>
    </w:p>
    <w:p w14:paraId="109DB50B">
      <w:pPr>
        <w:spacing w:line="660" w:lineRule="exact"/>
        <w:jc w:val="center"/>
        <w:rPr>
          <w:rFonts w:eastAsia="黑体"/>
          <w:sz w:val="36"/>
          <w:szCs w:val="36"/>
        </w:rPr>
      </w:pPr>
      <w:r>
        <w:rPr>
          <w:rFonts w:eastAsia="黑体"/>
          <w:sz w:val="36"/>
          <w:szCs w:val="36"/>
        </w:rPr>
        <w:t>《</w:t>
      </w:r>
      <w:r>
        <w:rPr>
          <w:rFonts w:hint="eastAsia" w:eastAsia="黑体"/>
          <w:sz w:val="36"/>
          <w:szCs w:val="36"/>
        </w:rPr>
        <w:t>辣木蔬菜食用品质感官评价方法</w:t>
      </w:r>
      <w:r>
        <w:rPr>
          <w:rFonts w:eastAsia="黑体"/>
          <w:sz w:val="36"/>
          <w:szCs w:val="36"/>
        </w:rPr>
        <w:t>》起草组</w:t>
      </w:r>
    </w:p>
    <w:p w14:paraId="0D3710BC">
      <w:pPr>
        <w:spacing w:line="660" w:lineRule="exact"/>
        <w:jc w:val="center"/>
        <w:rPr>
          <w:rFonts w:eastAsia="黑体"/>
          <w:sz w:val="36"/>
          <w:szCs w:val="36"/>
        </w:rPr>
      </w:pPr>
      <w:r>
        <w:rPr>
          <w:rFonts w:eastAsia="黑体"/>
          <w:sz w:val="36"/>
          <w:szCs w:val="36"/>
        </w:rPr>
        <w:t>20</w:t>
      </w:r>
      <w:r>
        <w:rPr>
          <w:rFonts w:hint="eastAsia" w:eastAsia="黑体"/>
          <w:sz w:val="36"/>
          <w:szCs w:val="36"/>
        </w:rPr>
        <w:t>24</w:t>
      </w:r>
      <w:r>
        <w:rPr>
          <w:rFonts w:eastAsia="黑体"/>
          <w:sz w:val="36"/>
          <w:szCs w:val="36"/>
        </w:rPr>
        <w:t>年</w:t>
      </w:r>
      <w:r>
        <w:rPr>
          <w:rFonts w:hint="eastAsia" w:eastAsia="黑体"/>
          <w:sz w:val="36"/>
          <w:szCs w:val="36"/>
        </w:rPr>
        <w:t>12</w:t>
      </w:r>
      <w:r>
        <w:rPr>
          <w:rFonts w:eastAsia="黑体"/>
          <w:sz w:val="36"/>
          <w:szCs w:val="36"/>
        </w:rPr>
        <w:t>月</w:t>
      </w:r>
    </w:p>
    <w:p w14:paraId="1489B672">
      <w:pPr>
        <w:spacing w:line="560" w:lineRule="exact"/>
        <w:ind w:firstLine="643" w:firstLineChars="200"/>
        <w:rPr>
          <w:rFonts w:eastAsia="楷体_GB2312"/>
          <w:b/>
          <w:bCs/>
          <w:sz w:val="32"/>
        </w:rPr>
      </w:pPr>
    </w:p>
    <w:p w14:paraId="0228E518">
      <w:pPr>
        <w:spacing w:line="560" w:lineRule="exact"/>
        <w:ind w:firstLine="643" w:firstLineChars="200"/>
        <w:rPr>
          <w:rFonts w:eastAsia="楷体_GB2312"/>
          <w:b/>
          <w:bCs/>
          <w:sz w:val="32"/>
        </w:rPr>
      </w:pPr>
    </w:p>
    <w:p w14:paraId="75E98D9A">
      <w:pPr>
        <w:pStyle w:val="2"/>
        <w:spacing w:before="0" w:after="0" w:line="560" w:lineRule="exact"/>
        <w:ind w:firstLine="482" w:firstLineChars="200"/>
        <w:rPr>
          <w:rFonts w:eastAsia="黑体"/>
          <w:b w:val="0"/>
          <w:sz w:val="32"/>
        </w:rPr>
      </w:pPr>
      <w:r>
        <w:rPr>
          <w:rFonts w:cs="Arial"/>
          <w:sz w:val="24"/>
        </w:rPr>
        <w:br w:type="page"/>
      </w:r>
      <w:bookmarkStart w:id="0" w:name="OLE_LINK12"/>
      <w:r>
        <w:rPr>
          <w:rFonts w:eastAsia="黑体"/>
          <w:b w:val="0"/>
          <w:sz w:val="32"/>
        </w:rPr>
        <w:t>一、</w:t>
      </w:r>
      <w:r>
        <w:rPr>
          <w:rFonts w:hint="eastAsia" w:eastAsia="黑体"/>
          <w:b w:val="0"/>
          <w:sz w:val="32"/>
        </w:rPr>
        <w:t>工作简况</w:t>
      </w:r>
    </w:p>
    <w:bookmarkEnd w:id="0"/>
    <w:p w14:paraId="1BEA3C85">
      <w:pPr>
        <w:pStyle w:val="3"/>
        <w:spacing w:before="0" w:after="0" w:line="560" w:lineRule="exact"/>
        <w:ind w:firstLine="643" w:firstLineChars="200"/>
        <w:rPr>
          <w:rFonts w:eastAsia="楷体_GB2312"/>
        </w:rPr>
      </w:pPr>
      <w:r>
        <w:rPr>
          <w:rFonts w:eastAsia="楷体_GB2312"/>
        </w:rPr>
        <w:t>（一）任务来源</w:t>
      </w:r>
    </w:p>
    <w:p w14:paraId="04207032">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1.项目的重要性和必要性</w:t>
      </w:r>
    </w:p>
    <w:p w14:paraId="6B7CD247">
      <w:pPr>
        <w:spacing w:line="560" w:lineRule="exact"/>
        <w:ind w:firstLine="640" w:firstLineChars="200"/>
        <w:rPr>
          <w:rFonts w:eastAsia="仿宋_GB2312"/>
          <w:sz w:val="32"/>
        </w:rPr>
      </w:pPr>
      <w:r>
        <w:rPr>
          <w:rFonts w:hint="eastAsia" w:eastAsia="仿宋_GB2312"/>
          <w:sz w:val="32"/>
        </w:rPr>
        <w:t>辣木（</w:t>
      </w:r>
      <w:r>
        <w:rPr>
          <w:rFonts w:hint="eastAsia" w:eastAsia="仿宋_GB2312"/>
          <w:i/>
          <w:iCs/>
          <w:sz w:val="32"/>
        </w:rPr>
        <w:t>Moringa</w:t>
      </w:r>
      <w:r>
        <w:rPr>
          <w:rFonts w:hint="eastAsia" w:eastAsia="仿宋_GB2312"/>
          <w:sz w:val="32"/>
        </w:rPr>
        <w:t xml:space="preserve"> spp.）作为一种高营养价值和多功能用途的作物，近年来在我国农业、食品加工和健康产业中逐渐受到重视。然而，目前辣木蔬菜的种植与产品开发主要集中在地方性推广，缺乏统一的感官评价标准，影响了产业规范化发展。本标准的制定将填补辣木蔬菜领域感官评价的空白，为产业链上下游提供科学依据，推动辣木产品市场化与国际化。</w:t>
      </w:r>
    </w:p>
    <w:p w14:paraId="2E9BDCC3">
      <w:pPr>
        <w:spacing w:line="560" w:lineRule="exact"/>
        <w:ind w:firstLine="640" w:firstLineChars="200"/>
        <w:rPr>
          <w:rFonts w:eastAsia="仿宋_GB2312"/>
          <w:sz w:val="32"/>
        </w:rPr>
      </w:pPr>
      <w:r>
        <w:rPr>
          <w:rFonts w:hint="eastAsia" w:eastAsia="仿宋_GB2312"/>
          <w:sz w:val="32"/>
        </w:rPr>
        <w:t>辣木蔬菜因其独特的营养价值和药用功能逐渐进入消费者视野，但消费者对其食用品质的感知缺乏统一的评价方法，导致市场认可度参差不齐。本标准将通过规范辣木蔬菜的形态、色泽、气味和滋味等评价指标，建立质量控制体系，增强辣木蔬菜在国内外市场的竞争力。</w:t>
      </w:r>
    </w:p>
    <w:p w14:paraId="2C70FF21">
      <w:pPr>
        <w:spacing w:line="560" w:lineRule="exact"/>
        <w:ind w:firstLine="640" w:firstLineChars="200"/>
        <w:rPr>
          <w:rFonts w:eastAsia="仿宋_GB2312"/>
          <w:sz w:val="32"/>
        </w:rPr>
      </w:pPr>
      <w:r>
        <w:rPr>
          <w:rFonts w:hint="eastAsia" w:eastAsia="仿宋_GB2312"/>
          <w:sz w:val="32"/>
        </w:rPr>
        <w:t>辣木是生态适应性强、耐旱的作物，适宜在我国干旱、贫困地区种植，其产业化推广有助于推动绿色农业发展和地方经济振兴。本标准的实施将促进辣木产品质量提升，推动优质辣木产业带的形成，助力精准扶贫战略的落实。</w:t>
      </w:r>
    </w:p>
    <w:p w14:paraId="05F86A1C">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 标准计划及相关信息</w:t>
      </w:r>
    </w:p>
    <w:p w14:paraId="260B74D6">
      <w:pPr>
        <w:spacing w:line="560" w:lineRule="exact"/>
        <w:ind w:firstLine="640" w:firstLineChars="200"/>
        <w:rPr>
          <w:rFonts w:eastAsia="仿宋_GB2312"/>
          <w:sz w:val="32"/>
        </w:rPr>
      </w:pPr>
      <w:r>
        <w:rPr>
          <w:rFonts w:hint="eastAsia" w:eastAsia="仿宋_GB2312"/>
          <w:sz w:val="32"/>
        </w:rPr>
        <w:t>根据中国热带作物学会的团体标准立项通知（中热学字〔2024〕41号），由云南省热带作物科学研究所、云南农业大学、红河谷辣木产业有限公司联合承担了《辣木蔬菜食用品质感官评价方法》的编制任务。</w:t>
      </w:r>
    </w:p>
    <w:p w14:paraId="208E0638">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 本标准与相关标准的对比关系</w:t>
      </w:r>
    </w:p>
    <w:p w14:paraId="039148F8">
      <w:pPr>
        <w:spacing w:line="560" w:lineRule="exact"/>
        <w:ind w:firstLine="640" w:firstLineChars="200"/>
        <w:rPr>
          <w:rFonts w:eastAsia="仿宋_GB2312"/>
          <w:sz w:val="32"/>
        </w:rPr>
      </w:pPr>
      <w:r>
        <w:rPr>
          <w:rFonts w:hint="eastAsia" w:eastAsia="仿宋_GB2312"/>
          <w:sz w:val="32"/>
        </w:rPr>
        <w:t>与《NY/T 3330 辣木鲜叶储藏保鲜技术规程》对比：《NY/T 3330》主要针对辣木鲜叶的储藏与保鲜技术，而本标准专注于辣木蔬菜食味品质的感官评价，重点在于通过感官属性（外观、气味、滋味和质地）全面反映辣木嫩梢的食用品质。本标准在评价方法上更注重感官分析的细化，例如新增了光泽、回味、均衡感等二级指标。</w:t>
      </w:r>
    </w:p>
    <w:p w14:paraId="77A91587">
      <w:pPr>
        <w:spacing w:line="560" w:lineRule="exact"/>
        <w:ind w:firstLine="640" w:firstLineChars="200"/>
        <w:rPr>
          <w:rFonts w:eastAsia="仿宋_GB2312"/>
          <w:sz w:val="32"/>
        </w:rPr>
      </w:pPr>
      <w:r>
        <w:rPr>
          <w:rFonts w:hint="eastAsia" w:eastAsia="仿宋_GB2312"/>
          <w:sz w:val="32"/>
        </w:rPr>
        <w:t>与《GB/T 10220 感官分析 方法学 总论》对比：《GB/T 10220》为通用感官分析方法的指导性文件，适用于食品的感官属性评价。本标准基于其通用框架，针对辣木蔬菜的特性细化了操作步骤和评分标准，使评价更具针对性和实际操作性。</w:t>
      </w:r>
    </w:p>
    <w:p w14:paraId="2CABC82A">
      <w:pPr>
        <w:spacing w:line="560" w:lineRule="exact"/>
        <w:ind w:firstLine="640" w:firstLineChars="200"/>
        <w:rPr>
          <w:rFonts w:eastAsia="仿宋_GB2312"/>
          <w:sz w:val="32"/>
        </w:rPr>
      </w:pPr>
      <w:r>
        <w:rPr>
          <w:rFonts w:hint="eastAsia" w:eastAsia="仿宋_GB2312"/>
          <w:sz w:val="32"/>
        </w:rPr>
        <w:t>与《GH/T 1142 辣木叶质量等级》对比：《GH/T 1142》关注辣木叶的等级划分，与原材料质量相关。本标准从消费者食用体验角度出发，评价辣木蔬菜的食用品质。两者具有互补性，可在产品开发及品质控制中联合使用。</w:t>
      </w:r>
    </w:p>
    <w:p w14:paraId="552AD14B">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4.对实际应用的影响</w:t>
      </w:r>
    </w:p>
    <w:p w14:paraId="66AC0282">
      <w:pPr>
        <w:spacing w:line="560" w:lineRule="exact"/>
        <w:ind w:firstLine="640" w:firstLineChars="200"/>
        <w:rPr>
          <w:rFonts w:eastAsia="仿宋_GB2312"/>
          <w:sz w:val="32"/>
        </w:rPr>
      </w:pPr>
      <w:r>
        <w:rPr>
          <w:rFonts w:hint="eastAsia" w:eastAsia="仿宋_GB2312"/>
          <w:sz w:val="32"/>
        </w:rPr>
        <w:t>统一行业规范：本标准的实施将为辣木蔬菜的感官评价提供科学的操作方法，避免因标准缺失造成的产品质量争议。</w:t>
      </w:r>
    </w:p>
    <w:p w14:paraId="6FE93461">
      <w:pPr>
        <w:spacing w:line="560" w:lineRule="exact"/>
        <w:ind w:firstLine="640" w:firstLineChars="200"/>
        <w:rPr>
          <w:rFonts w:eastAsia="仿宋_GB2312"/>
          <w:sz w:val="32"/>
        </w:rPr>
      </w:pPr>
      <w:r>
        <w:rPr>
          <w:rFonts w:hint="eastAsia" w:eastAsia="仿宋_GB2312"/>
          <w:sz w:val="32"/>
        </w:rPr>
        <w:t>推动辣木产业升级：通过对辣木蔬菜的品质分级与量化评价，帮助企业明确产品定位，促进优质优价和市场规范。</w:t>
      </w:r>
    </w:p>
    <w:p w14:paraId="608B5071">
      <w:pPr>
        <w:pStyle w:val="3"/>
        <w:spacing w:before="0" w:after="0" w:line="560" w:lineRule="exact"/>
        <w:ind w:firstLine="643" w:firstLineChars="200"/>
        <w:rPr>
          <w:rFonts w:eastAsia="楷体_GB2312"/>
        </w:rPr>
      </w:pPr>
      <w:r>
        <w:rPr>
          <w:rFonts w:eastAsia="楷体_GB2312"/>
        </w:rPr>
        <w:t>（二）起草单位</w:t>
      </w:r>
    </w:p>
    <w:p w14:paraId="5B99EBC5">
      <w:pPr>
        <w:spacing w:line="560" w:lineRule="exact"/>
        <w:ind w:firstLine="640" w:firstLineChars="200"/>
        <w:rPr>
          <w:rFonts w:eastAsia="仿宋_GB2312" w:cs="Arial"/>
          <w:sz w:val="32"/>
        </w:rPr>
      </w:pPr>
      <w:r>
        <w:rPr>
          <w:rFonts w:hint="eastAsia" w:eastAsia="仿宋_GB2312" w:cs="Arial"/>
          <w:sz w:val="32"/>
        </w:rPr>
        <w:t>除说明全部起草单位外，还应呈表列明参与人员姓名、单位、分工。</w:t>
      </w:r>
    </w:p>
    <w:tbl>
      <w:tblPr>
        <w:tblStyle w:val="10"/>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536"/>
        <w:gridCol w:w="2154"/>
        <w:gridCol w:w="1201"/>
        <w:gridCol w:w="4592"/>
      </w:tblGrid>
      <w:tr w14:paraId="24F3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3AF6D3E9">
            <w:pPr>
              <w:spacing w:line="560" w:lineRule="exact"/>
              <w:jc w:val="center"/>
              <w:rPr>
                <w:rFonts w:eastAsia="仿宋_GB2312" w:cs="Arial"/>
                <w:sz w:val="32"/>
              </w:rPr>
            </w:pPr>
            <w:r>
              <w:rPr>
                <w:rFonts w:hint="eastAsia" w:eastAsia="仿宋_GB2312" w:cs="Arial"/>
                <w:sz w:val="32"/>
              </w:rPr>
              <w:t>姓名</w:t>
            </w:r>
          </w:p>
        </w:tc>
        <w:tc>
          <w:tcPr>
            <w:tcW w:w="536" w:type="dxa"/>
            <w:vAlign w:val="center"/>
          </w:tcPr>
          <w:p w14:paraId="2A2C6857">
            <w:pPr>
              <w:spacing w:line="560" w:lineRule="exact"/>
              <w:jc w:val="center"/>
              <w:rPr>
                <w:rFonts w:eastAsia="仿宋_GB2312" w:cs="Arial"/>
                <w:sz w:val="32"/>
              </w:rPr>
            </w:pPr>
            <w:r>
              <w:rPr>
                <w:rFonts w:hint="eastAsia" w:eastAsia="仿宋_GB2312" w:cs="Arial"/>
                <w:sz w:val="32"/>
              </w:rPr>
              <w:t>性别</w:t>
            </w:r>
          </w:p>
        </w:tc>
        <w:tc>
          <w:tcPr>
            <w:tcW w:w="2154" w:type="dxa"/>
            <w:vAlign w:val="center"/>
          </w:tcPr>
          <w:p w14:paraId="04AB8B28">
            <w:pPr>
              <w:spacing w:line="560" w:lineRule="exact"/>
              <w:jc w:val="center"/>
              <w:rPr>
                <w:rFonts w:eastAsia="仿宋_GB2312" w:cs="Arial"/>
                <w:sz w:val="32"/>
              </w:rPr>
            </w:pPr>
            <w:r>
              <w:rPr>
                <w:rFonts w:hint="eastAsia" w:eastAsia="仿宋_GB2312" w:cs="Arial"/>
                <w:sz w:val="32"/>
              </w:rPr>
              <w:t>单位</w:t>
            </w:r>
          </w:p>
        </w:tc>
        <w:tc>
          <w:tcPr>
            <w:tcW w:w="0" w:type="auto"/>
            <w:vAlign w:val="center"/>
          </w:tcPr>
          <w:p w14:paraId="44061DD3">
            <w:pPr>
              <w:spacing w:line="560" w:lineRule="exact"/>
              <w:jc w:val="center"/>
              <w:rPr>
                <w:rFonts w:eastAsia="仿宋_GB2312" w:cs="Arial"/>
                <w:sz w:val="32"/>
              </w:rPr>
            </w:pPr>
            <w:r>
              <w:rPr>
                <w:rFonts w:hint="eastAsia" w:eastAsia="仿宋_GB2312" w:cs="Arial"/>
                <w:sz w:val="32"/>
              </w:rPr>
              <w:t>职务/职称</w:t>
            </w:r>
          </w:p>
        </w:tc>
        <w:tc>
          <w:tcPr>
            <w:tcW w:w="4592" w:type="dxa"/>
            <w:vAlign w:val="center"/>
          </w:tcPr>
          <w:p w14:paraId="39B30C82">
            <w:pPr>
              <w:spacing w:line="560" w:lineRule="exact"/>
              <w:jc w:val="center"/>
              <w:rPr>
                <w:rFonts w:eastAsia="仿宋_GB2312" w:cs="Arial"/>
                <w:sz w:val="32"/>
              </w:rPr>
            </w:pPr>
            <w:r>
              <w:rPr>
                <w:rFonts w:hint="eastAsia" w:eastAsia="仿宋_GB2312" w:cs="Arial"/>
                <w:sz w:val="32"/>
              </w:rPr>
              <w:t>任务分工</w:t>
            </w:r>
          </w:p>
        </w:tc>
      </w:tr>
      <w:tr w14:paraId="5A15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30EB8CBB">
            <w:pPr>
              <w:spacing w:line="560" w:lineRule="exact"/>
              <w:jc w:val="center"/>
              <w:rPr>
                <w:rFonts w:eastAsia="仿宋_GB2312" w:cs="Arial"/>
                <w:sz w:val="32"/>
              </w:rPr>
            </w:pPr>
            <w:r>
              <w:rPr>
                <w:rFonts w:hint="eastAsia" w:eastAsia="仿宋_GB2312" w:cs="Arial"/>
                <w:sz w:val="32"/>
              </w:rPr>
              <w:t>任保兰</w:t>
            </w:r>
          </w:p>
        </w:tc>
        <w:tc>
          <w:tcPr>
            <w:tcW w:w="536" w:type="dxa"/>
            <w:vAlign w:val="center"/>
          </w:tcPr>
          <w:p w14:paraId="5782C0DE">
            <w:pPr>
              <w:spacing w:line="560" w:lineRule="exact"/>
              <w:jc w:val="center"/>
              <w:rPr>
                <w:rFonts w:eastAsia="仿宋_GB2312" w:cs="Arial"/>
                <w:sz w:val="32"/>
              </w:rPr>
            </w:pPr>
            <w:r>
              <w:rPr>
                <w:rFonts w:hint="eastAsia" w:eastAsia="仿宋_GB2312" w:cs="Arial"/>
                <w:sz w:val="32"/>
              </w:rPr>
              <w:t>女</w:t>
            </w:r>
          </w:p>
        </w:tc>
        <w:tc>
          <w:tcPr>
            <w:tcW w:w="2154" w:type="dxa"/>
            <w:vAlign w:val="center"/>
          </w:tcPr>
          <w:p w14:paraId="4E2DE3CF">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518949E6">
            <w:pPr>
              <w:spacing w:line="560" w:lineRule="exact"/>
              <w:jc w:val="center"/>
              <w:rPr>
                <w:rFonts w:eastAsia="仿宋_GB2312" w:cs="Arial"/>
                <w:sz w:val="32"/>
              </w:rPr>
            </w:pPr>
            <w:r>
              <w:rPr>
                <w:rFonts w:hint="eastAsia" w:eastAsia="仿宋_GB2312" w:cs="Arial"/>
                <w:sz w:val="32"/>
              </w:rPr>
              <w:t>助理研究员</w:t>
            </w:r>
          </w:p>
        </w:tc>
        <w:tc>
          <w:tcPr>
            <w:tcW w:w="4592" w:type="dxa"/>
            <w:vAlign w:val="center"/>
          </w:tcPr>
          <w:p w14:paraId="1AE4E442">
            <w:pPr>
              <w:spacing w:line="560" w:lineRule="exact"/>
              <w:jc w:val="center"/>
              <w:rPr>
                <w:rFonts w:eastAsia="仿宋_GB2312" w:cs="Arial"/>
                <w:sz w:val="32"/>
              </w:rPr>
            </w:pPr>
            <w:r>
              <w:rPr>
                <w:rFonts w:hint="eastAsia" w:eastAsia="仿宋_GB2312" w:cs="Arial"/>
                <w:sz w:val="32"/>
              </w:rPr>
              <w:t>负责项目组织，以及资料收集、调查研究、标准起草及意见汇总</w:t>
            </w:r>
          </w:p>
        </w:tc>
      </w:tr>
      <w:tr w14:paraId="4AB2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0506F8F4">
            <w:pPr>
              <w:spacing w:line="560" w:lineRule="exact"/>
              <w:jc w:val="center"/>
              <w:rPr>
                <w:rFonts w:eastAsia="仿宋_GB2312" w:cs="Arial"/>
                <w:sz w:val="32"/>
              </w:rPr>
            </w:pPr>
            <w:r>
              <w:rPr>
                <w:rFonts w:hint="eastAsia" w:eastAsia="仿宋_GB2312" w:cs="Arial"/>
                <w:sz w:val="32"/>
              </w:rPr>
              <w:t>张祖兵</w:t>
            </w:r>
          </w:p>
        </w:tc>
        <w:tc>
          <w:tcPr>
            <w:tcW w:w="536" w:type="dxa"/>
            <w:vAlign w:val="center"/>
          </w:tcPr>
          <w:p w14:paraId="77894915">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68C59D6B">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0034F634">
            <w:pPr>
              <w:spacing w:line="560" w:lineRule="exact"/>
              <w:jc w:val="center"/>
              <w:rPr>
                <w:rFonts w:eastAsia="仿宋_GB2312" w:cs="Arial"/>
                <w:sz w:val="32"/>
              </w:rPr>
            </w:pPr>
            <w:r>
              <w:rPr>
                <w:rFonts w:hint="eastAsia" w:eastAsia="仿宋_GB2312" w:cs="Arial"/>
                <w:sz w:val="32"/>
              </w:rPr>
              <w:t>研究员</w:t>
            </w:r>
          </w:p>
        </w:tc>
        <w:tc>
          <w:tcPr>
            <w:tcW w:w="4592" w:type="dxa"/>
            <w:vAlign w:val="center"/>
          </w:tcPr>
          <w:p w14:paraId="0AD5E4B0">
            <w:pPr>
              <w:spacing w:line="560" w:lineRule="exact"/>
              <w:jc w:val="center"/>
              <w:rPr>
                <w:rFonts w:eastAsia="仿宋_GB2312" w:cs="Arial"/>
                <w:sz w:val="32"/>
              </w:rPr>
            </w:pPr>
            <w:r>
              <w:rPr>
                <w:rFonts w:hint="eastAsia" w:eastAsia="仿宋_GB2312" w:cs="Arial"/>
                <w:sz w:val="32"/>
              </w:rPr>
              <w:t>调查研究、验证试验、标准起草及意见汇总</w:t>
            </w:r>
          </w:p>
        </w:tc>
      </w:tr>
      <w:tr w14:paraId="0671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4C19F0EB">
            <w:pPr>
              <w:spacing w:line="560" w:lineRule="exact"/>
              <w:jc w:val="center"/>
              <w:rPr>
                <w:rFonts w:eastAsia="仿宋_GB2312" w:cs="Arial"/>
                <w:sz w:val="32"/>
              </w:rPr>
            </w:pPr>
            <w:r>
              <w:rPr>
                <w:rFonts w:hint="eastAsia" w:eastAsia="仿宋_GB2312" w:cs="Arial"/>
                <w:sz w:val="32"/>
              </w:rPr>
              <w:t>龙继明</w:t>
            </w:r>
          </w:p>
        </w:tc>
        <w:tc>
          <w:tcPr>
            <w:tcW w:w="536" w:type="dxa"/>
            <w:vAlign w:val="center"/>
          </w:tcPr>
          <w:p w14:paraId="1A3C4B1A">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1619F539">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7CE137D6">
            <w:pPr>
              <w:spacing w:line="560" w:lineRule="exact"/>
              <w:jc w:val="center"/>
              <w:rPr>
                <w:rFonts w:eastAsia="仿宋_GB2312" w:cs="Arial"/>
                <w:sz w:val="32"/>
              </w:rPr>
            </w:pPr>
            <w:r>
              <w:rPr>
                <w:rFonts w:hint="eastAsia" w:eastAsia="仿宋_GB2312" w:cs="Arial"/>
                <w:sz w:val="32"/>
              </w:rPr>
              <w:t>正高级农艺师</w:t>
            </w:r>
          </w:p>
        </w:tc>
        <w:tc>
          <w:tcPr>
            <w:tcW w:w="4592" w:type="dxa"/>
            <w:vAlign w:val="center"/>
          </w:tcPr>
          <w:p w14:paraId="67280C6B">
            <w:pPr>
              <w:spacing w:line="560" w:lineRule="exact"/>
              <w:jc w:val="center"/>
              <w:rPr>
                <w:rFonts w:eastAsia="仿宋_GB2312" w:cs="Arial"/>
                <w:sz w:val="32"/>
              </w:rPr>
            </w:pPr>
            <w:r>
              <w:rPr>
                <w:rFonts w:hint="eastAsia" w:eastAsia="仿宋_GB2312" w:cs="Arial"/>
                <w:sz w:val="32"/>
              </w:rPr>
              <w:t>技术指导及调查研究，资料、意见的收集整理</w:t>
            </w:r>
          </w:p>
        </w:tc>
      </w:tr>
      <w:tr w14:paraId="59CA3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44767BA6">
            <w:pPr>
              <w:spacing w:line="560" w:lineRule="exact"/>
              <w:jc w:val="center"/>
              <w:rPr>
                <w:rFonts w:eastAsia="仿宋_GB2312" w:cs="Arial"/>
                <w:sz w:val="32"/>
              </w:rPr>
            </w:pPr>
            <w:r>
              <w:rPr>
                <w:rFonts w:hint="eastAsia" w:eastAsia="仿宋_GB2312" w:cs="Arial"/>
                <w:sz w:val="32"/>
              </w:rPr>
              <w:t>赵春攀</w:t>
            </w:r>
          </w:p>
        </w:tc>
        <w:tc>
          <w:tcPr>
            <w:tcW w:w="536" w:type="dxa"/>
            <w:vAlign w:val="center"/>
          </w:tcPr>
          <w:p w14:paraId="10725AE9">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0E165AB0">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0AA1D4B4">
            <w:pPr>
              <w:spacing w:line="560" w:lineRule="exact"/>
              <w:jc w:val="center"/>
              <w:rPr>
                <w:rFonts w:eastAsia="仿宋_GB2312" w:cs="Arial"/>
                <w:sz w:val="32"/>
              </w:rPr>
            </w:pPr>
            <w:r>
              <w:rPr>
                <w:rFonts w:hint="eastAsia" w:eastAsia="仿宋_GB2312" w:cs="Arial"/>
                <w:sz w:val="32"/>
              </w:rPr>
              <w:t>助理研究员</w:t>
            </w:r>
          </w:p>
        </w:tc>
        <w:tc>
          <w:tcPr>
            <w:tcW w:w="4592" w:type="dxa"/>
            <w:vAlign w:val="center"/>
          </w:tcPr>
          <w:p w14:paraId="7D69AACB">
            <w:pPr>
              <w:spacing w:line="560" w:lineRule="exact"/>
              <w:jc w:val="center"/>
              <w:rPr>
                <w:rFonts w:eastAsia="仿宋_GB2312" w:cs="Arial"/>
                <w:sz w:val="32"/>
              </w:rPr>
            </w:pPr>
            <w:r>
              <w:rPr>
                <w:rFonts w:hint="eastAsia" w:eastAsia="仿宋_GB2312" w:cs="Arial"/>
                <w:sz w:val="32"/>
              </w:rPr>
              <w:t>调查研究、验证试验</w:t>
            </w:r>
          </w:p>
        </w:tc>
      </w:tr>
      <w:tr w14:paraId="34E7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3CBED01C">
            <w:pPr>
              <w:spacing w:line="560" w:lineRule="exact"/>
              <w:jc w:val="center"/>
              <w:rPr>
                <w:rFonts w:eastAsia="仿宋_GB2312" w:cs="Arial"/>
                <w:sz w:val="32"/>
              </w:rPr>
            </w:pPr>
            <w:r>
              <w:rPr>
                <w:rFonts w:hint="eastAsia" w:eastAsia="仿宋_GB2312" w:cs="Arial"/>
                <w:sz w:val="32"/>
              </w:rPr>
              <w:t>雷福红</w:t>
            </w:r>
          </w:p>
        </w:tc>
        <w:tc>
          <w:tcPr>
            <w:tcW w:w="536" w:type="dxa"/>
            <w:vAlign w:val="center"/>
          </w:tcPr>
          <w:p w14:paraId="7F429F61">
            <w:pPr>
              <w:spacing w:line="560" w:lineRule="exact"/>
              <w:jc w:val="center"/>
              <w:rPr>
                <w:rFonts w:eastAsia="仿宋_GB2312" w:cs="Arial"/>
                <w:sz w:val="32"/>
              </w:rPr>
            </w:pPr>
            <w:r>
              <w:rPr>
                <w:rFonts w:hint="eastAsia" w:eastAsia="仿宋_GB2312" w:cs="Arial"/>
                <w:sz w:val="32"/>
              </w:rPr>
              <w:t>女</w:t>
            </w:r>
          </w:p>
        </w:tc>
        <w:tc>
          <w:tcPr>
            <w:tcW w:w="2154" w:type="dxa"/>
            <w:vAlign w:val="center"/>
          </w:tcPr>
          <w:p w14:paraId="39E94AF1">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45ECDF62">
            <w:pPr>
              <w:spacing w:line="560" w:lineRule="exact"/>
              <w:jc w:val="center"/>
              <w:rPr>
                <w:rFonts w:eastAsia="仿宋_GB2312" w:cs="Arial"/>
                <w:sz w:val="32"/>
              </w:rPr>
            </w:pPr>
            <w:r>
              <w:rPr>
                <w:rFonts w:hint="eastAsia" w:eastAsia="仿宋_GB2312" w:cs="Arial"/>
                <w:sz w:val="32"/>
              </w:rPr>
              <w:t>助理研究员</w:t>
            </w:r>
          </w:p>
        </w:tc>
        <w:tc>
          <w:tcPr>
            <w:tcW w:w="4592" w:type="dxa"/>
            <w:vAlign w:val="center"/>
          </w:tcPr>
          <w:p w14:paraId="2B4298A8">
            <w:pPr>
              <w:spacing w:line="560" w:lineRule="exact"/>
              <w:jc w:val="center"/>
              <w:rPr>
                <w:rFonts w:eastAsia="仿宋_GB2312" w:cs="Arial"/>
                <w:sz w:val="32"/>
              </w:rPr>
            </w:pPr>
            <w:r>
              <w:rPr>
                <w:rFonts w:hint="eastAsia" w:eastAsia="仿宋_GB2312" w:cs="Arial"/>
                <w:sz w:val="32"/>
              </w:rPr>
              <w:t>调查研究、验证试验</w:t>
            </w:r>
          </w:p>
        </w:tc>
      </w:tr>
      <w:tr w14:paraId="0C37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22E8AAC7">
            <w:pPr>
              <w:spacing w:line="560" w:lineRule="exact"/>
              <w:jc w:val="center"/>
              <w:rPr>
                <w:rFonts w:eastAsia="仿宋_GB2312" w:cs="Arial"/>
                <w:sz w:val="32"/>
              </w:rPr>
            </w:pPr>
            <w:r>
              <w:rPr>
                <w:rFonts w:hint="eastAsia" w:eastAsia="仿宋_GB2312" w:cs="Arial"/>
                <w:sz w:val="32"/>
              </w:rPr>
              <w:t>马志亮</w:t>
            </w:r>
          </w:p>
        </w:tc>
        <w:tc>
          <w:tcPr>
            <w:tcW w:w="536" w:type="dxa"/>
            <w:vAlign w:val="center"/>
          </w:tcPr>
          <w:p w14:paraId="52EC52DB">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4F338F19">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08058F5F">
            <w:pPr>
              <w:spacing w:line="560" w:lineRule="exact"/>
              <w:jc w:val="center"/>
              <w:rPr>
                <w:rFonts w:eastAsia="仿宋_GB2312" w:cs="Arial"/>
                <w:sz w:val="32"/>
              </w:rPr>
            </w:pPr>
            <w:r>
              <w:rPr>
                <w:rFonts w:hint="eastAsia" w:eastAsia="仿宋_GB2312" w:cs="Arial"/>
                <w:sz w:val="32"/>
              </w:rPr>
              <w:t>助理研究员</w:t>
            </w:r>
          </w:p>
        </w:tc>
        <w:tc>
          <w:tcPr>
            <w:tcW w:w="4592" w:type="dxa"/>
            <w:vAlign w:val="center"/>
          </w:tcPr>
          <w:p w14:paraId="5859E875">
            <w:pPr>
              <w:spacing w:line="560" w:lineRule="exact"/>
              <w:jc w:val="center"/>
              <w:rPr>
                <w:rFonts w:eastAsia="仿宋_GB2312" w:cs="Arial"/>
                <w:sz w:val="32"/>
              </w:rPr>
            </w:pPr>
            <w:r>
              <w:rPr>
                <w:rFonts w:hint="eastAsia" w:eastAsia="仿宋_GB2312" w:cs="Arial"/>
                <w:sz w:val="32"/>
              </w:rPr>
              <w:t>征求意见收集整理、标准完善</w:t>
            </w:r>
          </w:p>
        </w:tc>
      </w:tr>
      <w:tr w14:paraId="4154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4ED3C089">
            <w:pPr>
              <w:spacing w:line="560" w:lineRule="exact"/>
              <w:jc w:val="center"/>
              <w:rPr>
                <w:rFonts w:eastAsia="仿宋_GB2312" w:cs="Arial"/>
                <w:sz w:val="32"/>
              </w:rPr>
            </w:pPr>
            <w:r>
              <w:rPr>
                <w:rFonts w:hint="eastAsia" w:eastAsia="仿宋_GB2312" w:cs="Arial"/>
                <w:sz w:val="32"/>
              </w:rPr>
              <w:t>吕亚</w:t>
            </w:r>
          </w:p>
        </w:tc>
        <w:tc>
          <w:tcPr>
            <w:tcW w:w="536" w:type="dxa"/>
            <w:vAlign w:val="center"/>
          </w:tcPr>
          <w:p w14:paraId="2C8E3158">
            <w:pPr>
              <w:spacing w:line="560" w:lineRule="exact"/>
              <w:jc w:val="center"/>
              <w:rPr>
                <w:rFonts w:eastAsia="仿宋_GB2312" w:cs="Arial"/>
                <w:sz w:val="32"/>
              </w:rPr>
            </w:pPr>
            <w:r>
              <w:rPr>
                <w:rFonts w:hint="eastAsia" w:eastAsia="仿宋_GB2312" w:cs="Arial"/>
                <w:sz w:val="32"/>
              </w:rPr>
              <w:t>女</w:t>
            </w:r>
          </w:p>
        </w:tc>
        <w:tc>
          <w:tcPr>
            <w:tcW w:w="2154" w:type="dxa"/>
            <w:vAlign w:val="center"/>
          </w:tcPr>
          <w:p w14:paraId="6607D42F">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5563F965">
            <w:pPr>
              <w:spacing w:line="560" w:lineRule="exact"/>
              <w:jc w:val="center"/>
              <w:rPr>
                <w:rFonts w:eastAsia="仿宋_GB2312" w:cs="Arial"/>
                <w:sz w:val="32"/>
              </w:rPr>
            </w:pPr>
            <w:r>
              <w:rPr>
                <w:rFonts w:hint="eastAsia" w:eastAsia="仿宋_GB2312" w:cs="Arial"/>
                <w:sz w:val="32"/>
              </w:rPr>
              <w:t>助理研究员</w:t>
            </w:r>
          </w:p>
        </w:tc>
        <w:tc>
          <w:tcPr>
            <w:tcW w:w="4592" w:type="dxa"/>
            <w:vAlign w:val="center"/>
          </w:tcPr>
          <w:p w14:paraId="77638E3A">
            <w:pPr>
              <w:spacing w:line="560" w:lineRule="exact"/>
              <w:jc w:val="center"/>
              <w:rPr>
                <w:rFonts w:eastAsia="仿宋_GB2312" w:cs="Arial"/>
                <w:sz w:val="32"/>
              </w:rPr>
            </w:pPr>
            <w:r>
              <w:rPr>
                <w:rFonts w:hint="eastAsia" w:eastAsia="仿宋_GB2312" w:cs="Arial"/>
                <w:sz w:val="32"/>
              </w:rPr>
              <w:t>征求意见收集整理、标准完善</w:t>
            </w:r>
          </w:p>
        </w:tc>
      </w:tr>
      <w:tr w14:paraId="75FB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558A84DA">
            <w:pPr>
              <w:spacing w:line="560" w:lineRule="exact"/>
              <w:jc w:val="center"/>
              <w:rPr>
                <w:rFonts w:eastAsia="仿宋_GB2312" w:cs="Arial"/>
                <w:sz w:val="32"/>
              </w:rPr>
            </w:pPr>
            <w:r>
              <w:rPr>
                <w:rFonts w:hint="eastAsia" w:eastAsia="仿宋_GB2312" w:cs="Arial"/>
                <w:sz w:val="32"/>
              </w:rPr>
              <w:t>王愣</w:t>
            </w:r>
          </w:p>
        </w:tc>
        <w:tc>
          <w:tcPr>
            <w:tcW w:w="536" w:type="dxa"/>
            <w:vAlign w:val="center"/>
          </w:tcPr>
          <w:p w14:paraId="3E1790C9">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291A56F2">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72865947">
            <w:pPr>
              <w:spacing w:line="560" w:lineRule="exact"/>
              <w:jc w:val="center"/>
              <w:rPr>
                <w:rFonts w:eastAsia="仿宋_GB2312" w:cs="Arial"/>
                <w:sz w:val="32"/>
              </w:rPr>
            </w:pPr>
            <w:r>
              <w:rPr>
                <w:rFonts w:hint="eastAsia" w:eastAsia="仿宋_GB2312" w:cs="Arial"/>
                <w:sz w:val="32"/>
              </w:rPr>
              <w:t>农艺师</w:t>
            </w:r>
          </w:p>
        </w:tc>
        <w:tc>
          <w:tcPr>
            <w:tcW w:w="4592" w:type="dxa"/>
            <w:vAlign w:val="center"/>
          </w:tcPr>
          <w:p w14:paraId="271BF10E">
            <w:pPr>
              <w:spacing w:line="560" w:lineRule="exact"/>
              <w:jc w:val="center"/>
              <w:rPr>
                <w:rFonts w:eastAsia="仿宋_GB2312" w:cs="Arial"/>
                <w:sz w:val="32"/>
              </w:rPr>
            </w:pPr>
            <w:r>
              <w:rPr>
                <w:rFonts w:hint="eastAsia" w:eastAsia="仿宋_GB2312" w:cs="Arial"/>
                <w:sz w:val="32"/>
              </w:rPr>
              <w:t>调查研究、验证试验</w:t>
            </w:r>
          </w:p>
        </w:tc>
      </w:tr>
      <w:tr w14:paraId="6E29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49BB578C">
            <w:pPr>
              <w:spacing w:line="560" w:lineRule="exact"/>
              <w:jc w:val="center"/>
              <w:rPr>
                <w:rFonts w:eastAsia="仿宋_GB2312" w:cs="Arial"/>
                <w:sz w:val="32"/>
              </w:rPr>
            </w:pPr>
            <w:r>
              <w:rPr>
                <w:rFonts w:hint="eastAsia" w:eastAsia="仿宋_GB2312" w:cs="Arial"/>
                <w:sz w:val="32"/>
              </w:rPr>
              <w:t>段波</w:t>
            </w:r>
          </w:p>
        </w:tc>
        <w:tc>
          <w:tcPr>
            <w:tcW w:w="536" w:type="dxa"/>
            <w:vAlign w:val="center"/>
          </w:tcPr>
          <w:p w14:paraId="331A84FB">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1B6C52F9">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25B7E05E">
            <w:pPr>
              <w:spacing w:line="560" w:lineRule="exact"/>
              <w:jc w:val="center"/>
              <w:rPr>
                <w:rFonts w:eastAsia="仿宋_GB2312" w:cs="Arial"/>
                <w:sz w:val="32"/>
              </w:rPr>
            </w:pPr>
            <w:r>
              <w:rPr>
                <w:rFonts w:hint="eastAsia" w:eastAsia="仿宋_GB2312" w:cs="Arial"/>
                <w:sz w:val="32"/>
              </w:rPr>
              <w:t>副研究员</w:t>
            </w:r>
          </w:p>
        </w:tc>
        <w:tc>
          <w:tcPr>
            <w:tcW w:w="4592" w:type="dxa"/>
            <w:vAlign w:val="center"/>
          </w:tcPr>
          <w:p w14:paraId="1A273BAF">
            <w:pPr>
              <w:spacing w:line="560" w:lineRule="exact"/>
              <w:jc w:val="center"/>
              <w:rPr>
                <w:rFonts w:eastAsia="仿宋_GB2312" w:cs="Arial"/>
                <w:sz w:val="32"/>
              </w:rPr>
            </w:pPr>
            <w:r>
              <w:rPr>
                <w:rFonts w:hint="eastAsia" w:eastAsia="仿宋_GB2312" w:cs="Arial"/>
                <w:sz w:val="32"/>
              </w:rPr>
              <w:t>标准完善</w:t>
            </w:r>
          </w:p>
        </w:tc>
      </w:tr>
      <w:tr w14:paraId="3C05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1" w:type="dxa"/>
            <w:vAlign w:val="center"/>
          </w:tcPr>
          <w:p w14:paraId="46F90B26">
            <w:pPr>
              <w:spacing w:line="560" w:lineRule="exact"/>
              <w:jc w:val="center"/>
              <w:rPr>
                <w:rFonts w:eastAsia="仿宋_GB2312" w:cs="Arial"/>
                <w:sz w:val="32"/>
              </w:rPr>
            </w:pPr>
            <w:r>
              <w:rPr>
                <w:rFonts w:hint="eastAsia" w:eastAsia="仿宋_GB2312" w:cs="Arial"/>
                <w:sz w:val="32"/>
              </w:rPr>
              <w:t>肖明霞</w:t>
            </w:r>
          </w:p>
        </w:tc>
        <w:tc>
          <w:tcPr>
            <w:tcW w:w="536" w:type="dxa"/>
            <w:vAlign w:val="center"/>
          </w:tcPr>
          <w:p w14:paraId="5B2D8CBE">
            <w:pPr>
              <w:spacing w:line="560" w:lineRule="exact"/>
              <w:jc w:val="center"/>
              <w:rPr>
                <w:rFonts w:eastAsia="仿宋_GB2312" w:cs="Arial"/>
                <w:sz w:val="32"/>
              </w:rPr>
            </w:pPr>
            <w:r>
              <w:rPr>
                <w:rFonts w:hint="eastAsia" w:eastAsia="仿宋_GB2312" w:cs="Arial"/>
                <w:sz w:val="32"/>
              </w:rPr>
              <w:t>女</w:t>
            </w:r>
          </w:p>
        </w:tc>
        <w:tc>
          <w:tcPr>
            <w:tcW w:w="2154" w:type="dxa"/>
            <w:vAlign w:val="center"/>
          </w:tcPr>
          <w:p w14:paraId="7D7D29FD">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45C0CE5D">
            <w:pPr>
              <w:spacing w:line="560" w:lineRule="exact"/>
              <w:jc w:val="center"/>
              <w:rPr>
                <w:rFonts w:eastAsia="仿宋_GB2312" w:cs="Arial"/>
                <w:sz w:val="32"/>
              </w:rPr>
            </w:pPr>
            <w:r>
              <w:rPr>
                <w:rFonts w:hint="eastAsia" w:eastAsia="仿宋_GB2312" w:cs="Arial"/>
                <w:sz w:val="32"/>
              </w:rPr>
              <w:t>研究实习员</w:t>
            </w:r>
          </w:p>
        </w:tc>
        <w:tc>
          <w:tcPr>
            <w:tcW w:w="4592" w:type="dxa"/>
            <w:vAlign w:val="center"/>
          </w:tcPr>
          <w:p w14:paraId="10B99E94">
            <w:pPr>
              <w:spacing w:line="560" w:lineRule="exact"/>
              <w:jc w:val="center"/>
              <w:rPr>
                <w:rFonts w:eastAsia="仿宋_GB2312" w:cs="Arial"/>
                <w:sz w:val="32"/>
              </w:rPr>
            </w:pPr>
            <w:r>
              <w:rPr>
                <w:rFonts w:hint="eastAsia" w:eastAsia="仿宋_GB2312" w:cs="Arial"/>
                <w:sz w:val="32"/>
              </w:rPr>
              <w:t>调查研究、验证试验</w:t>
            </w:r>
          </w:p>
        </w:tc>
      </w:tr>
      <w:tr w14:paraId="5691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32F23708">
            <w:pPr>
              <w:spacing w:line="560" w:lineRule="exact"/>
              <w:jc w:val="center"/>
              <w:rPr>
                <w:rFonts w:eastAsia="仿宋_GB2312" w:cs="Arial"/>
                <w:sz w:val="32"/>
              </w:rPr>
            </w:pPr>
            <w:r>
              <w:rPr>
                <w:rFonts w:hint="eastAsia" w:eastAsia="仿宋_GB2312" w:cs="Arial"/>
                <w:sz w:val="32"/>
              </w:rPr>
              <w:t>王飞</w:t>
            </w:r>
          </w:p>
        </w:tc>
        <w:tc>
          <w:tcPr>
            <w:tcW w:w="536" w:type="dxa"/>
            <w:vAlign w:val="center"/>
          </w:tcPr>
          <w:p w14:paraId="1135F6E4">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5E4D3928">
            <w:pPr>
              <w:spacing w:line="560" w:lineRule="exact"/>
              <w:jc w:val="center"/>
              <w:rPr>
                <w:rFonts w:eastAsia="仿宋_GB2312" w:cs="Arial"/>
                <w:sz w:val="32"/>
              </w:rPr>
            </w:pPr>
            <w:r>
              <w:rPr>
                <w:rFonts w:hint="eastAsia" w:eastAsia="仿宋_GB2312" w:cs="Arial"/>
                <w:sz w:val="32"/>
              </w:rPr>
              <w:t>云南省热带作物科学研究所</w:t>
            </w:r>
          </w:p>
        </w:tc>
        <w:tc>
          <w:tcPr>
            <w:tcW w:w="0" w:type="auto"/>
            <w:vAlign w:val="center"/>
          </w:tcPr>
          <w:p w14:paraId="53969370">
            <w:pPr>
              <w:spacing w:line="560" w:lineRule="exact"/>
              <w:jc w:val="center"/>
              <w:rPr>
                <w:rFonts w:eastAsia="仿宋_GB2312" w:cs="Arial"/>
                <w:sz w:val="32"/>
              </w:rPr>
            </w:pPr>
            <w:r>
              <w:rPr>
                <w:rFonts w:hint="eastAsia" w:eastAsia="仿宋_GB2312" w:cs="Arial"/>
                <w:sz w:val="32"/>
              </w:rPr>
              <w:t>研究实习员</w:t>
            </w:r>
          </w:p>
        </w:tc>
        <w:tc>
          <w:tcPr>
            <w:tcW w:w="4592" w:type="dxa"/>
            <w:vAlign w:val="center"/>
          </w:tcPr>
          <w:p w14:paraId="52A31CB5">
            <w:pPr>
              <w:spacing w:line="560" w:lineRule="exact"/>
              <w:jc w:val="center"/>
              <w:rPr>
                <w:rFonts w:eastAsia="仿宋_GB2312" w:cs="Arial"/>
                <w:sz w:val="32"/>
              </w:rPr>
            </w:pPr>
            <w:r>
              <w:rPr>
                <w:rFonts w:hint="eastAsia" w:eastAsia="仿宋_GB2312" w:cs="Arial"/>
                <w:sz w:val="32"/>
              </w:rPr>
              <w:t>调查研究、验证试验</w:t>
            </w:r>
          </w:p>
        </w:tc>
      </w:tr>
      <w:tr w14:paraId="6373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1B0296E2">
            <w:pPr>
              <w:spacing w:line="560" w:lineRule="exact"/>
              <w:jc w:val="center"/>
              <w:rPr>
                <w:rFonts w:eastAsia="仿宋_GB2312" w:cs="Arial"/>
                <w:sz w:val="32"/>
              </w:rPr>
            </w:pPr>
            <w:r>
              <w:rPr>
                <w:rFonts w:hint="eastAsia" w:eastAsia="仿宋_GB2312" w:cs="Arial"/>
                <w:sz w:val="32"/>
              </w:rPr>
              <w:t>田洋</w:t>
            </w:r>
          </w:p>
        </w:tc>
        <w:tc>
          <w:tcPr>
            <w:tcW w:w="536" w:type="dxa"/>
            <w:vAlign w:val="center"/>
          </w:tcPr>
          <w:p w14:paraId="4D631725">
            <w:pPr>
              <w:spacing w:line="560" w:lineRule="exact"/>
              <w:jc w:val="center"/>
              <w:rPr>
                <w:rFonts w:eastAsia="仿宋_GB2312" w:cs="Arial"/>
                <w:sz w:val="32"/>
              </w:rPr>
            </w:pPr>
            <w:r>
              <w:rPr>
                <w:rFonts w:hint="eastAsia" w:eastAsia="仿宋_GB2312" w:cs="Arial"/>
                <w:sz w:val="32"/>
              </w:rPr>
              <w:t>男</w:t>
            </w:r>
          </w:p>
        </w:tc>
        <w:tc>
          <w:tcPr>
            <w:tcW w:w="2154" w:type="dxa"/>
            <w:vAlign w:val="center"/>
          </w:tcPr>
          <w:p w14:paraId="6D7BC560">
            <w:pPr>
              <w:spacing w:line="560" w:lineRule="exact"/>
              <w:jc w:val="center"/>
              <w:rPr>
                <w:rFonts w:eastAsia="仿宋_GB2312" w:cs="Arial"/>
                <w:sz w:val="32"/>
              </w:rPr>
            </w:pPr>
            <w:r>
              <w:rPr>
                <w:rFonts w:hint="eastAsia" w:eastAsia="仿宋_GB2312" w:cs="Arial"/>
                <w:sz w:val="32"/>
              </w:rPr>
              <w:t>云南农业大学</w:t>
            </w:r>
          </w:p>
        </w:tc>
        <w:tc>
          <w:tcPr>
            <w:tcW w:w="0" w:type="auto"/>
            <w:vAlign w:val="center"/>
          </w:tcPr>
          <w:p w14:paraId="404FD309">
            <w:pPr>
              <w:spacing w:line="560" w:lineRule="exact"/>
              <w:jc w:val="center"/>
              <w:rPr>
                <w:rFonts w:eastAsia="仿宋_GB2312" w:cs="Arial"/>
                <w:sz w:val="32"/>
              </w:rPr>
            </w:pPr>
            <w:r>
              <w:rPr>
                <w:rFonts w:hint="eastAsia" w:eastAsia="仿宋_GB2312" w:cs="Arial"/>
                <w:sz w:val="32"/>
              </w:rPr>
              <w:t>教授</w:t>
            </w:r>
          </w:p>
        </w:tc>
        <w:tc>
          <w:tcPr>
            <w:tcW w:w="4592" w:type="dxa"/>
            <w:vAlign w:val="center"/>
          </w:tcPr>
          <w:p w14:paraId="515FCE1F">
            <w:pPr>
              <w:spacing w:line="560" w:lineRule="exact"/>
              <w:jc w:val="center"/>
              <w:rPr>
                <w:rFonts w:eastAsia="仿宋_GB2312" w:cs="Arial"/>
                <w:sz w:val="32"/>
              </w:rPr>
            </w:pPr>
            <w:r>
              <w:rPr>
                <w:rFonts w:hint="eastAsia" w:eastAsia="仿宋_GB2312" w:cs="Arial"/>
                <w:sz w:val="32"/>
              </w:rPr>
              <w:t>协助资料收集和调查研究</w:t>
            </w:r>
          </w:p>
        </w:tc>
      </w:tr>
      <w:tr w14:paraId="3B55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vAlign w:val="center"/>
          </w:tcPr>
          <w:p w14:paraId="58FF4A5A">
            <w:pPr>
              <w:spacing w:line="560" w:lineRule="exact"/>
              <w:jc w:val="center"/>
              <w:rPr>
                <w:rFonts w:eastAsia="仿宋_GB2312" w:cs="Arial"/>
                <w:sz w:val="32"/>
              </w:rPr>
            </w:pPr>
            <w:r>
              <w:rPr>
                <w:rFonts w:hint="eastAsia" w:eastAsia="仿宋_GB2312" w:cs="Arial"/>
                <w:sz w:val="32"/>
              </w:rPr>
              <w:t>熊莉娟</w:t>
            </w:r>
          </w:p>
        </w:tc>
        <w:tc>
          <w:tcPr>
            <w:tcW w:w="536" w:type="dxa"/>
            <w:vAlign w:val="center"/>
          </w:tcPr>
          <w:p w14:paraId="54D43DB4">
            <w:pPr>
              <w:spacing w:line="560" w:lineRule="exact"/>
              <w:jc w:val="center"/>
              <w:rPr>
                <w:rFonts w:eastAsia="仿宋_GB2312" w:cs="Arial"/>
                <w:sz w:val="32"/>
              </w:rPr>
            </w:pPr>
            <w:r>
              <w:rPr>
                <w:rFonts w:hint="eastAsia" w:eastAsia="仿宋_GB2312" w:cs="Arial"/>
                <w:sz w:val="32"/>
              </w:rPr>
              <w:t>女</w:t>
            </w:r>
          </w:p>
        </w:tc>
        <w:tc>
          <w:tcPr>
            <w:tcW w:w="2154" w:type="dxa"/>
            <w:vAlign w:val="center"/>
          </w:tcPr>
          <w:p w14:paraId="6D500884">
            <w:pPr>
              <w:spacing w:line="560" w:lineRule="exact"/>
              <w:jc w:val="center"/>
              <w:rPr>
                <w:rFonts w:eastAsia="仿宋_GB2312" w:cs="Arial"/>
                <w:sz w:val="32"/>
              </w:rPr>
            </w:pPr>
            <w:r>
              <w:rPr>
                <w:rFonts w:hint="eastAsia" w:eastAsia="仿宋_GB2312" w:cs="Arial"/>
                <w:sz w:val="32"/>
              </w:rPr>
              <w:t>红河谷辣木产业有限公司</w:t>
            </w:r>
          </w:p>
        </w:tc>
        <w:tc>
          <w:tcPr>
            <w:tcW w:w="0" w:type="auto"/>
            <w:vAlign w:val="center"/>
          </w:tcPr>
          <w:p w14:paraId="32639FE6">
            <w:pPr>
              <w:spacing w:line="560" w:lineRule="exact"/>
              <w:jc w:val="center"/>
              <w:rPr>
                <w:rFonts w:eastAsia="仿宋_GB2312" w:cs="Arial"/>
                <w:sz w:val="32"/>
              </w:rPr>
            </w:pPr>
            <w:r>
              <w:rPr>
                <w:rFonts w:hint="eastAsia" w:eastAsia="仿宋_GB2312" w:cs="Arial"/>
                <w:sz w:val="32"/>
              </w:rPr>
              <w:t>董事长</w:t>
            </w:r>
          </w:p>
        </w:tc>
        <w:tc>
          <w:tcPr>
            <w:tcW w:w="4592" w:type="dxa"/>
            <w:vAlign w:val="center"/>
          </w:tcPr>
          <w:p w14:paraId="32F9FC6B">
            <w:pPr>
              <w:spacing w:line="560" w:lineRule="exact"/>
              <w:jc w:val="center"/>
              <w:rPr>
                <w:rFonts w:eastAsia="仿宋_GB2312" w:cs="Arial"/>
                <w:sz w:val="32"/>
              </w:rPr>
            </w:pPr>
            <w:r>
              <w:rPr>
                <w:rFonts w:hint="eastAsia" w:eastAsia="仿宋_GB2312" w:cs="Arial"/>
                <w:sz w:val="32"/>
              </w:rPr>
              <w:t>协助资料收集和调查研究</w:t>
            </w:r>
          </w:p>
        </w:tc>
      </w:tr>
    </w:tbl>
    <w:p w14:paraId="5593C429">
      <w:pPr>
        <w:pStyle w:val="3"/>
        <w:spacing w:before="0" w:after="0" w:line="560" w:lineRule="exact"/>
        <w:ind w:firstLine="643" w:firstLineChars="200"/>
        <w:rPr>
          <w:rFonts w:eastAsia="楷体_GB2312"/>
        </w:rPr>
      </w:pPr>
      <w:r>
        <w:rPr>
          <w:rFonts w:eastAsia="楷体_GB2312"/>
        </w:rPr>
        <w:t>（三）主要工作过程</w:t>
      </w:r>
    </w:p>
    <w:p w14:paraId="20D948B1">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 起草阶段</w:t>
      </w:r>
    </w:p>
    <w:p w14:paraId="4AC66213">
      <w:pPr>
        <w:spacing w:line="560" w:lineRule="exact"/>
        <w:ind w:firstLine="640"/>
        <w:rPr>
          <w:rFonts w:eastAsia="仿宋_GB2312" w:cs="Arial"/>
          <w:sz w:val="32"/>
        </w:rPr>
      </w:pPr>
      <w:r>
        <w:rPr>
          <w:rFonts w:hint="eastAsia" w:eastAsia="仿宋_GB2312" w:cs="Arial"/>
          <w:sz w:val="32"/>
        </w:rPr>
        <w:t>（1）前期调研</w:t>
      </w:r>
    </w:p>
    <w:p w14:paraId="37AD6073">
      <w:pPr>
        <w:spacing w:line="560" w:lineRule="exact"/>
        <w:ind w:firstLine="640"/>
        <w:rPr>
          <w:rFonts w:eastAsia="仿宋_GB2312" w:cs="Arial"/>
          <w:sz w:val="32"/>
        </w:rPr>
      </w:pPr>
      <w:r>
        <w:rPr>
          <w:rFonts w:hint="eastAsia" w:eastAsia="仿宋_GB2312" w:cs="Arial"/>
          <w:sz w:val="32"/>
        </w:rPr>
        <w:t>收集国内外辣木蔬菜相关标准和研究成果，分析现有规范的适用性与不足。调查辣木生产、加工和销售企业的需求，重点了解产品感官评价的实际应用情况。参考GB/T10220、GB/T10221等感官评价通用方法，结合辣木蔬菜的特性，制定技术框架。</w:t>
      </w:r>
    </w:p>
    <w:p w14:paraId="1159E4B0">
      <w:pPr>
        <w:spacing w:line="560" w:lineRule="exact"/>
        <w:ind w:firstLine="640"/>
        <w:rPr>
          <w:rFonts w:eastAsia="仿宋_GB2312" w:cs="Arial"/>
          <w:sz w:val="32"/>
        </w:rPr>
      </w:pPr>
      <w:r>
        <w:rPr>
          <w:rFonts w:hint="eastAsia" w:eastAsia="仿宋_GB2312" w:cs="Arial"/>
          <w:sz w:val="32"/>
        </w:rPr>
        <w:t>（2）标准框架设计</w:t>
      </w:r>
    </w:p>
    <w:p w14:paraId="40A6DD4C">
      <w:pPr>
        <w:spacing w:line="560" w:lineRule="exact"/>
        <w:ind w:firstLine="640"/>
        <w:rPr>
          <w:rFonts w:eastAsia="仿宋_GB2312" w:cs="Arial"/>
          <w:sz w:val="32"/>
        </w:rPr>
      </w:pPr>
      <w:r>
        <w:rPr>
          <w:rFonts w:hint="eastAsia" w:eastAsia="仿宋_GB2312" w:cs="Arial"/>
          <w:sz w:val="32"/>
        </w:rPr>
        <w:t>确定标准适用范围、术语与定义，以及辣木蔬菜感官评价的技术路线。制定感官评价的指标体系，包括外观、气味、滋味和质地等内容。</w:t>
      </w:r>
    </w:p>
    <w:p w14:paraId="5C8490A3">
      <w:pPr>
        <w:spacing w:line="560" w:lineRule="exact"/>
        <w:ind w:firstLine="640"/>
        <w:rPr>
          <w:rFonts w:eastAsia="仿宋_GB2312" w:cs="Arial"/>
          <w:sz w:val="32"/>
        </w:rPr>
      </w:pPr>
      <w:r>
        <w:rPr>
          <w:rFonts w:hint="eastAsia" w:eastAsia="仿宋_GB2312" w:cs="Arial"/>
          <w:sz w:val="32"/>
        </w:rPr>
        <w:t>（3）试验验证</w:t>
      </w:r>
    </w:p>
    <w:p w14:paraId="64ADA9DC">
      <w:pPr>
        <w:spacing w:line="560" w:lineRule="exact"/>
        <w:ind w:firstLine="640"/>
        <w:rPr>
          <w:rFonts w:eastAsia="仿宋_GB2312" w:cs="Arial"/>
          <w:sz w:val="32"/>
        </w:rPr>
      </w:pPr>
      <w:r>
        <w:rPr>
          <w:rFonts w:hint="eastAsia" w:eastAsia="仿宋_GB2312" w:cs="Arial"/>
          <w:sz w:val="32"/>
        </w:rPr>
        <w:t>组织辣木样品的感官评价试验，验证指标的科学性与可操作性。对试验结果进行统计分析，确保标准指标的合理性和实用性。</w:t>
      </w:r>
    </w:p>
    <w:p w14:paraId="755A454B">
      <w:pPr>
        <w:spacing w:line="560" w:lineRule="exact"/>
        <w:ind w:firstLine="640"/>
        <w:rPr>
          <w:rFonts w:eastAsia="仿宋_GB2312" w:cs="Arial"/>
          <w:sz w:val="32"/>
        </w:rPr>
      </w:pPr>
      <w:r>
        <w:rPr>
          <w:rFonts w:hint="eastAsia" w:eastAsia="仿宋_GB2312" w:cs="Arial"/>
          <w:sz w:val="32"/>
        </w:rPr>
        <w:t>（4）编写初稿</w:t>
      </w:r>
    </w:p>
    <w:p w14:paraId="23214F6D">
      <w:pPr>
        <w:spacing w:line="560" w:lineRule="exact"/>
        <w:ind w:firstLine="640"/>
        <w:rPr>
          <w:rFonts w:eastAsia="仿宋_GB2312" w:cs="Arial"/>
          <w:sz w:val="32"/>
        </w:rPr>
      </w:pPr>
      <w:r>
        <w:rPr>
          <w:rFonts w:hint="eastAsia" w:eastAsia="仿宋_GB2312" w:cs="Arial"/>
          <w:sz w:val="32"/>
        </w:rPr>
        <w:t>起草标准文本，包括范围、术语与定义、原理、评价方法、操作步骤、结果处理等。在文本中嵌入规范性和资料性附录，明确评分细则和统计表格式。</w:t>
      </w:r>
    </w:p>
    <w:p w14:paraId="4FF0C1C4">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 征求意见阶段</w:t>
      </w:r>
    </w:p>
    <w:p w14:paraId="62466CBE">
      <w:pPr>
        <w:spacing w:line="560" w:lineRule="exact"/>
        <w:ind w:firstLine="640" w:firstLineChars="200"/>
        <w:rPr>
          <w:rFonts w:eastAsia="仿宋_GB2312" w:cs="Arial"/>
          <w:sz w:val="32"/>
        </w:rPr>
      </w:pPr>
      <w:r>
        <w:rPr>
          <w:rFonts w:hint="eastAsia" w:eastAsia="仿宋_GB2312" w:cs="Arial"/>
          <w:sz w:val="32"/>
        </w:rPr>
        <w:t>（1）征求对象的选择</w:t>
      </w:r>
    </w:p>
    <w:p w14:paraId="42C6AE7B">
      <w:pPr>
        <w:spacing w:line="560" w:lineRule="exact"/>
        <w:ind w:firstLine="640" w:firstLineChars="200"/>
        <w:rPr>
          <w:rFonts w:eastAsia="仿宋_GB2312" w:cs="Arial"/>
          <w:sz w:val="32"/>
        </w:rPr>
      </w:pPr>
      <w:r>
        <w:rPr>
          <w:rFonts w:hint="eastAsia" w:eastAsia="仿宋_GB2312" w:cs="Arial"/>
          <w:sz w:val="32"/>
        </w:rPr>
        <w:t>邀请国内辣木相关领域的专家学者、科研机构、农业标准化技术委员会成员参与意见征求。涉及辣木种植、加工、销售的企业和行业协会，确保覆盖上下游代表性企业。包括消费者代表及相关政府监管部门，全面听取实际需求与政策建议。</w:t>
      </w:r>
    </w:p>
    <w:p w14:paraId="5B208F61">
      <w:pPr>
        <w:spacing w:line="560" w:lineRule="exact"/>
        <w:ind w:firstLine="640" w:firstLineChars="200"/>
        <w:rPr>
          <w:rFonts w:eastAsia="仿宋_GB2312" w:cs="Arial"/>
          <w:strike/>
          <w:sz w:val="32"/>
        </w:rPr>
      </w:pPr>
      <w:r>
        <w:rPr>
          <w:rFonts w:hint="eastAsia" w:eastAsia="仿宋_GB2312" w:cs="Arial"/>
          <w:sz w:val="32"/>
        </w:rPr>
        <w:t>（2）征求意见方式</w:t>
      </w:r>
    </w:p>
    <w:p w14:paraId="0B296F42">
      <w:pPr>
        <w:spacing w:line="560" w:lineRule="exact"/>
        <w:ind w:firstLine="640" w:firstLineChars="200"/>
        <w:rPr>
          <w:rFonts w:eastAsia="仿宋_GB2312" w:cs="Arial"/>
          <w:sz w:val="32"/>
        </w:rPr>
      </w:pPr>
      <w:r>
        <w:rPr>
          <w:rFonts w:hint="eastAsia" w:eastAsia="仿宋_GB2312" w:cs="Arial"/>
          <w:sz w:val="32"/>
        </w:rPr>
        <w:t>通过书面意见、专家座谈会、邮件反馈等多种形式收集意见。在标准信息平台或相关学会网站上公开征求意见。</w:t>
      </w:r>
    </w:p>
    <w:p w14:paraId="4F9DE37C">
      <w:pPr>
        <w:pStyle w:val="2"/>
        <w:spacing w:before="0" w:after="0" w:line="560" w:lineRule="exact"/>
        <w:ind w:firstLine="640" w:firstLineChars="200"/>
        <w:rPr>
          <w:rFonts w:eastAsia="黑体"/>
          <w:b w:val="0"/>
          <w:sz w:val="32"/>
        </w:rPr>
      </w:pPr>
      <w:r>
        <w:rPr>
          <w:rFonts w:eastAsia="黑体"/>
          <w:b w:val="0"/>
          <w:sz w:val="32"/>
        </w:rPr>
        <w:t>二、标准编制原则和确定标准主要内容的依据</w:t>
      </w:r>
    </w:p>
    <w:p w14:paraId="772CE1D6">
      <w:pPr>
        <w:pStyle w:val="3"/>
        <w:spacing w:before="0" w:after="0" w:line="560" w:lineRule="exact"/>
        <w:ind w:firstLine="643" w:firstLineChars="200"/>
        <w:rPr>
          <w:rFonts w:eastAsia="楷体_GB2312"/>
        </w:rPr>
      </w:pPr>
      <w:r>
        <w:rPr>
          <w:rFonts w:eastAsia="楷体_GB2312"/>
        </w:rPr>
        <w:t>（一）</w:t>
      </w:r>
      <w:r>
        <w:rPr>
          <w:rFonts w:hint="eastAsia" w:eastAsia="楷体_GB2312"/>
        </w:rPr>
        <w:t>编制原则</w:t>
      </w:r>
    </w:p>
    <w:p w14:paraId="0FE0CE20">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1.科学性原则</w:t>
      </w:r>
    </w:p>
    <w:p w14:paraId="3E504D02">
      <w:pPr>
        <w:spacing w:line="560" w:lineRule="exact"/>
        <w:ind w:firstLine="640" w:firstLineChars="200"/>
        <w:rPr>
          <w:rFonts w:eastAsia="仿宋_GB2312" w:cs="Arial"/>
          <w:sz w:val="32"/>
        </w:rPr>
      </w:pPr>
      <w:r>
        <w:rPr>
          <w:rFonts w:hint="eastAsia" w:eastAsia="仿宋_GB2312" w:cs="Arial"/>
          <w:sz w:val="32"/>
        </w:rPr>
        <w:t>标准的术语定义、感官评价指标及操作方法，均建立在科学试验验证的基础上，确保指标合理、数据可信。充分考虑辣木蔬菜的生物学特点和感官属性，确保感官评价的技术方法科学且具针对性。采用统计学方法对感官评价结果进行分析，确保评分体系的准确性和稳定性。</w:t>
      </w:r>
    </w:p>
    <w:p w14:paraId="29A72616">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2.实用性原则</w:t>
      </w:r>
    </w:p>
    <w:p w14:paraId="0C6CE41A">
      <w:pPr>
        <w:spacing w:line="560" w:lineRule="exact"/>
        <w:ind w:firstLine="640" w:firstLineChars="200"/>
        <w:rPr>
          <w:rFonts w:eastAsia="仿宋_GB2312" w:cs="Arial"/>
          <w:sz w:val="32"/>
        </w:rPr>
      </w:pPr>
      <w:r>
        <w:rPr>
          <w:rFonts w:hint="eastAsia" w:eastAsia="仿宋_GB2312" w:cs="Arial"/>
          <w:sz w:val="32"/>
        </w:rPr>
        <w:t>标准中的方法步骤简洁易行，便于实验室、种植基地和加工企业在实际操作中应用。标准内容紧密结合辣木种植、加工、销售全产业链的实际需求，为企业提供可执行的指导方法。从样品采集、制备到感官评价和结果统计，全面覆盖感官评价的关键环节。</w:t>
      </w:r>
    </w:p>
    <w:p w14:paraId="48775F36">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3.规范性原则</w:t>
      </w:r>
    </w:p>
    <w:p w14:paraId="268C6313">
      <w:pPr>
        <w:spacing w:line="560" w:lineRule="exact"/>
        <w:ind w:firstLine="640" w:firstLineChars="200"/>
        <w:rPr>
          <w:rFonts w:eastAsia="仿宋_GB2312" w:cs="Arial"/>
          <w:sz w:val="32"/>
        </w:rPr>
      </w:pPr>
      <w:r>
        <w:rPr>
          <w:rFonts w:hint="eastAsia" w:eastAsia="仿宋_GB2312" w:cs="Arial"/>
          <w:sz w:val="32"/>
        </w:rPr>
        <w:t>严格按照GB/T1.1—2020《标准化工作导则》的要求起草，确保标准的条款、格式、术语表述和附录内容规范统一。与现有的感官分析通用标准（如GB/T10220、GB/T10221等）及辣木相关行业标准（如GH/T1142、NY/T3330）保持一致性，同时注重补充不足。标准框架设置合理，内容层次分明，术语定义、评价方法、结果统计等环节逻辑清晰，便于理解和实施。</w:t>
      </w:r>
    </w:p>
    <w:p w14:paraId="72C19C2D">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4.公正性原则</w:t>
      </w:r>
    </w:p>
    <w:p w14:paraId="0891671B">
      <w:pPr>
        <w:spacing w:line="560" w:lineRule="exact"/>
        <w:ind w:firstLine="640" w:firstLineChars="200"/>
        <w:rPr>
          <w:rFonts w:eastAsia="仿宋_GB2312" w:cs="Arial"/>
          <w:sz w:val="32"/>
        </w:rPr>
      </w:pPr>
      <w:r>
        <w:rPr>
          <w:rFonts w:hint="eastAsia" w:eastAsia="仿宋_GB2312" w:cs="Arial"/>
          <w:sz w:val="32"/>
        </w:rPr>
        <w:t>在标准制定过程中，邀请相关领域的科研机构、行业专家、辣木种植加工企业以及消费者代表参与，确保内容的全面性与公平性。标准内容充分考虑种植者、加工者、消费者及监管机构的实际需求，避免偏向某一方利益。所有征求意见及审查环节均记录在案，做到公开、公平、透明。</w:t>
      </w:r>
    </w:p>
    <w:p w14:paraId="4D2D3AEB">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5.创新性原则</w:t>
      </w:r>
    </w:p>
    <w:p w14:paraId="5B3A277B">
      <w:pPr>
        <w:spacing w:line="560" w:lineRule="exact"/>
        <w:ind w:firstLine="640" w:firstLineChars="200"/>
        <w:rPr>
          <w:rFonts w:eastAsia="仿宋_GB2312" w:cs="Arial"/>
          <w:sz w:val="32"/>
        </w:rPr>
      </w:pPr>
      <w:r>
        <w:rPr>
          <w:rFonts w:hint="eastAsia" w:eastAsia="仿宋_GB2312" w:cs="Arial"/>
          <w:sz w:val="32"/>
        </w:rPr>
        <w:t>针对辣木蔬菜这一新兴作物，目前国内外尚无专门的感官评价标准，本标准的制定将填补这一领域的空白。</w:t>
      </w:r>
    </w:p>
    <w:p w14:paraId="610978EA">
      <w:pPr>
        <w:pStyle w:val="3"/>
        <w:spacing w:before="0" w:after="0" w:line="560" w:lineRule="exact"/>
        <w:ind w:firstLine="643" w:firstLineChars="200"/>
        <w:rPr>
          <w:rFonts w:eastAsia="楷体_GB2312"/>
        </w:rPr>
      </w:pPr>
      <w:r>
        <w:rPr>
          <w:rFonts w:eastAsia="楷体_GB2312"/>
        </w:rPr>
        <w:t>（二）</w:t>
      </w:r>
      <w:r>
        <w:rPr>
          <w:rFonts w:hint="eastAsia" w:eastAsia="楷体_GB2312"/>
        </w:rPr>
        <w:t>主要内容以及确定</w:t>
      </w:r>
      <w:r>
        <w:rPr>
          <w:rFonts w:eastAsia="楷体_GB2312"/>
        </w:rPr>
        <w:t>依据</w:t>
      </w:r>
    </w:p>
    <w:p w14:paraId="4370A40A">
      <w:pPr>
        <w:spacing w:line="560" w:lineRule="exact"/>
        <w:ind w:firstLine="640" w:firstLineChars="200"/>
        <w:rPr>
          <w:rFonts w:eastAsia="仿宋_GB2312"/>
          <w:sz w:val="32"/>
          <w:szCs w:val="32"/>
        </w:rPr>
      </w:pPr>
      <w:r>
        <w:rPr>
          <w:rFonts w:hint="eastAsia" w:eastAsia="仿宋_GB2312"/>
          <w:sz w:val="32"/>
          <w:szCs w:val="32"/>
        </w:rPr>
        <w:t>本标准规定了辣木蔬菜食味品质评价试验的术语和定义、原理、仪器与器具、操作步骤及品评要求等内容，并附加2个附录（辣木蔬菜食味品质感官试验评分记录表、辣木蔬菜食味品质感官试验结果统计表）。</w:t>
      </w:r>
    </w:p>
    <w:p w14:paraId="5351F736">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1.范围</w:t>
      </w:r>
    </w:p>
    <w:p w14:paraId="0A85BBD2">
      <w:pPr>
        <w:spacing w:line="560" w:lineRule="exact"/>
        <w:ind w:firstLine="640" w:firstLineChars="200"/>
        <w:rPr>
          <w:rFonts w:eastAsia="仿宋_GB2312" w:cs="Arial"/>
          <w:sz w:val="32"/>
        </w:rPr>
      </w:pPr>
      <w:r>
        <w:rPr>
          <w:rFonts w:hint="eastAsia" w:eastAsia="仿宋_GB2312" w:cs="Arial"/>
          <w:sz w:val="32"/>
        </w:rPr>
        <w:t>内容确定依据：本部分明确标准的应用范围，结合辣木蔬菜的特性与行业需求，基于辣木蔬菜的广泛使用性以及感官评价的重要性，限定为对辣木蔬菜食用品质的感官评价。</w:t>
      </w:r>
    </w:p>
    <w:p w14:paraId="47831BAA">
      <w:pPr>
        <w:spacing w:line="560" w:lineRule="exact"/>
        <w:ind w:firstLine="640" w:firstLineChars="200"/>
        <w:rPr>
          <w:rFonts w:eastAsia="仿宋_GB2312" w:cs="Arial"/>
          <w:sz w:val="32"/>
        </w:rPr>
      </w:pPr>
      <w:r>
        <w:rPr>
          <w:rFonts w:hint="eastAsia" w:eastAsia="仿宋_GB2312" w:cs="Arial"/>
          <w:sz w:val="32"/>
        </w:rPr>
        <w:t>来源：参考相关农产品（如鲜食苹果、稻米等）的感官评价标准（GH/T 1408、NY/T 3837），并结合辣木蔬菜独特的食用品质特点。</w:t>
      </w:r>
    </w:p>
    <w:p w14:paraId="0BC92154">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2.术语和定义</w:t>
      </w:r>
    </w:p>
    <w:p w14:paraId="3E103B74">
      <w:pPr>
        <w:spacing w:line="560" w:lineRule="exact"/>
        <w:ind w:firstLine="640" w:firstLineChars="200"/>
        <w:rPr>
          <w:rFonts w:eastAsia="仿宋_GB2312" w:cs="Arial"/>
          <w:sz w:val="32"/>
        </w:rPr>
      </w:pPr>
      <w:r>
        <w:rPr>
          <w:rFonts w:hint="eastAsia" w:eastAsia="仿宋_GB2312" w:cs="Arial"/>
          <w:sz w:val="32"/>
        </w:rPr>
        <w:t>术语提出依据：术语基于行业通行用法、辣木相关标准（如GH/T1142）以及科学文献中常见定义，确保术语的精准性和通用性。</w:t>
      </w:r>
    </w:p>
    <w:p w14:paraId="0FC5A3DD">
      <w:pPr>
        <w:spacing w:line="560" w:lineRule="exact"/>
        <w:ind w:firstLine="640" w:firstLineChars="200"/>
        <w:rPr>
          <w:rFonts w:eastAsia="仿宋_GB2312" w:cs="Arial"/>
          <w:sz w:val="32"/>
        </w:rPr>
      </w:pPr>
      <w:r>
        <w:rPr>
          <w:rFonts w:hint="eastAsia" w:eastAsia="仿宋_GB2312" w:cs="Arial"/>
          <w:sz w:val="32"/>
        </w:rPr>
        <w:t>主要术语来源：</w:t>
      </w:r>
    </w:p>
    <w:p w14:paraId="2C2C1D25">
      <w:pPr>
        <w:spacing w:line="560" w:lineRule="exact"/>
        <w:ind w:firstLine="640" w:firstLineChars="200"/>
        <w:rPr>
          <w:rFonts w:eastAsia="仿宋_GB2312" w:cs="Arial"/>
          <w:sz w:val="32"/>
        </w:rPr>
      </w:pPr>
      <w:r>
        <w:rPr>
          <w:rFonts w:hint="eastAsia" w:eastAsia="仿宋_GB2312" w:cs="Arial"/>
          <w:sz w:val="32"/>
        </w:rPr>
        <w:t>辣木蔬菜：基于《NY/T3330辣木鲜叶储藏保鲜技术规程》中对辣木叶的定义，扩展为适用于辣木嫩茎、嫩叶和叶柄的食用品质描述。</w:t>
      </w:r>
    </w:p>
    <w:p w14:paraId="3366CF56">
      <w:pPr>
        <w:spacing w:line="560" w:lineRule="exact"/>
        <w:ind w:firstLine="640" w:firstLineChars="200"/>
        <w:rPr>
          <w:rFonts w:eastAsia="仿宋_GB2312" w:cs="Arial"/>
          <w:sz w:val="32"/>
        </w:rPr>
      </w:pPr>
      <w:r>
        <w:rPr>
          <w:rFonts w:hint="eastAsia" w:eastAsia="仿宋_GB2312" w:cs="Arial"/>
          <w:sz w:val="32"/>
        </w:rPr>
        <w:t>感官评价：参考《GB/T10220感官分析方法学总论》和《GB/T10221感官分析术语》定义感官评价的通用术语，并结合辣木蔬菜的特殊属性具体化。</w:t>
      </w:r>
    </w:p>
    <w:p w14:paraId="0A2CE73E">
      <w:pPr>
        <w:spacing w:line="560" w:lineRule="exact"/>
        <w:ind w:firstLine="640" w:firstLineChars="200"/>
        <w:rPr>
          <w:rFonts w:eastAsia="仿宋_GB2312" w:cs="Arial"/>
          <w:sz w:val="32"/>
        </w:rPr>
      </w:pPr>
      <w:r>
        <w:rPr>
          <w:rFonts w:hint="eastAsia" w:eastAsia="仿宋_GB2312" w:cs="Arial"/>
          <w:sz w:val="32"/>
        </w:rPr>
        <w:t>品评员：依据《GB/T16291.1感官分析选拔、培训与管理评价员一般导则》对评价员的要求，结合辣木蔬菜感官分析的特点，明确专业品评员的遴选条件。</w:t>
      </w:r>
    </w:p>
    <w:p w14:paraId="77AFF68F">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3.技术指标</w:t>
      </w:r>
    </w:p>
    <w:p w14:paraId="3492BF44">
      <w:pPr>
        <w:spacing w:line="560" w:lineRule="exact"/>
        <w:ind w:firstLine="640" w:firstLineChars="200"/>
        <w:rPr>
          <w:rFonts w:eastAsia="仿宋_GB2312" w:cs="Arial"/>
          <w:sz w:val="32"/>
        </w:rPr>
      </w:pPr>
      <w:r>
        <w:rPr>
          <w:rFonts w:hint="eastAsia" w:eastAsia="仿宋_GB2312" w:cs="Arial"/>
          <w:sz w:val="32"/>
        </w:rPr>
        <w:t>外观（20分）：依据辣木蔬菜作为食用蔬菜的商品化特点，参考《GB/T13868感官分析建立感官分析实验室的一般导则》，选取颜色（10分）、形态（5分）、整洁度（3分）、光泽（2分）作为二级指标，分值分配来源于对辣木蔬菜消费者关注点的市场调研结果。</w:t>
      </w:r>
    </w:p>
    <w:p w14:paraId="7CC05C28">
      <w:pPr>
        <w:spacing w:line="560" w:lineRule="exact"/>
        <w:ind w:firstLine="640" w:firstLineChars="200"/>
        <w:rPr>
          <w:rFonts w:eastAsia="仿宋_GB2312" w:cs="Arial"/>
          <w:sz w:val="32"/>
        </w:rPr>
      </w:pPr>
      <w:r>
        <w:rPr>
          <w:rFonts w:hint="eastAsia" w:eastAsia="仿宋_GB2312" w:cs="Arial"/>
          <w:sz w:val="32"/>
        </w:rPr>
        <w:t>气味（20分）：气味评价的二级指标（香气浓郁、无异味）基于《GB/T10220》中的气味分析标准，分值比例参考了类似叶类蔬菜（如香椿）的评价实践。</w:t>
      </w:r>
    </w:p>
    <w:p w14:paraId="7A9C5D2B">
      <w:pPr>
        <w:spacing w:line="560" w:lineRule="exact"/>
        <w:ind w:firstLine="640" w:firstLineChars="200"/>
        <w:rPr>
          <w:rFonts w:eastAsia="仿宋_GB2312" w:cs="Arial"/>
          <w:sz w:val="32"/>
        </w:rPr>
      </w:pPr>
      <w:r>
        <w:rPr>
          <w:rFonts w:hint="eastAsia" w:eastAsia="仿宋_GB2312" w:cs="Arial"/>
          <w:sz w:val="32"/>
        </w:rPr>
        <w:t>滋味（30分）：滋味的分值比重较高，体现了消费者对辣木蔬菜食味特性的核心关注，具体二级指标（鲜味、回味、均衡感）来源于辣木风味物质的科学研究及消费者反馈。</w:t>
      </w:r>
    </w:p>
    <w:p w14:paraId="5BAF3786">
      <w:pPr>
        <w:spacing w:line="560" w:lineRule="exact"/>
        <w:ind w:firstLine="640" w:firstLineChars="200"/>
        <w:rPr>
          <w:rFonts w:eastAsia="仿宋_GB2312" w:cs="Arial"/>
          <w:sz w:val="32"/>
        </w:rPr>
      </w:pPr>
      <w:r>
        <w:rPr>
          <w:rFonts w:hint="eastAsia" w:eastAsia="仿宋_GB2312" w:cs="Arial"/>
          <w:sz w:val="32"/>
        </w:rPr>
        <w:t>质地（30分）：质地评价指标（嫩度、脆性、汁液感）基于辣木蔬菜蔬菜的口感特性，分值设置参考了《GH/T1142辣木叶质量等级》中的相关内容，结合质构仪测定的实际应用数据。</w:t>
      </w:r>
    </w:p>
    <w:p w14:paraId="6BF20816">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4.参数及公式</w:t>
      </w:r>
    </w:p>
    <w:p w14:paraId="3F2D3039">
      <w:pPr>
        <w:spacing w:line="560" w:lineRule="exact"/>
        <w:ind w:firstLine="640" w:firstLineChars="200"/>
        <w:rPr>
          <w:rFonts w:eastAsia="仿宋_GB2312" w:cs="Arial"/>
          <w:sz w:val="32"/>
        </w:rPr>
      </w:pPr>
      <w:r>
        <w:rPr>
          <w:rFonts w:hint="eastAsia" w:eastAsia="仿宋_GB2312" w:cs="Arial"/>
          <w:sz w:val="32"/>
        </w:rPr>
        <w:t>4.1分值设置的参数依据</w:t>
      </w:r>
    </w:p>
    <w:p w14:paraId="439FDAD7">
      <w:pPr>
        <w:spacing w:line="560" w:lineRule="exact"/>
        <w:ind w:firstLine="640" w:firstLineChars="200"/>
        <w:rPr>
          <w:rFonts w:eastAsia="仿宋_GB2312" w:cs="Arial"/>
          <w:sz w:val="32"/>
        </w:rPr>
      </w:pPr>
      <w:r>
        <w:rPr>
          <w:rFonts w:hint="eastAsia" w:eastAsia="仿宋_GB2312" w:cs="Arial"/>
          <w:sz w:val="32"/>
        </w:rPr>
        <w:t>分值设置结合辣木蔬菜的实际市场表现，基于消费者调查和实验室数据验证。</w:t>
      </w:r>
    </w:p>
    <w:p w14:paraId="669B45AA">
      <w:pPr>
        <w:spacing w:line="560" w:lineRule="exact"/>
        <w:ind w:firstLine="640" w:firstLineChars="200"/>
        <w:rPr>
          <w:rFonts w:eastAsia="仿宋_GB2312" w:cs="Arial"/>
          <w:sz w:val="32"/>
        </w:rPr>
      </w:pPr>
      <w:r>
        <w:rPr>
          <w:rFonts w:hint="eastAsia" w:eastAsia="仿宋_GB2312" w:cs="Arial"/>
          <w:sz w:val="32"/>
        </w:rPr>
        <w:t>外观、气味、滋味、质地四个一级指标分值占比分别为20%、20%、30%、30%，与消费者对视觉、嗅觉、味觉、触觉的感官体验重要性顺序一致。</w:t>
      </w:r>
    </w:p>
    <w:p w14:paraId="6DCC899C">
      <w:pPr>
        <w:spacing w:line="560" w:lineRule="exact"/>
        <w:ind w:firstLine="640" w:firstLineChars="200"/>
        <w:rPr>
          <w:rFonts w:eastAsia="仿宋_GB2312" w:cs="Arial"/>
          <w:sz w:val="32"/>
        </w:rPr>
      </w:pPr>
      <w:r>
        <w:rPr>
          <w:rFonts w:hint="eastAsia" w:eastAsia="仿宋_GB2312" w:cs="Arial"/>
          <w:sz w:val="32"/>
        </w:rPr>
        <w:t>4.2平均分计算公式</w:t>
      </w:r>
    </w:p>
    <w:p w14:paraId="5AC8135E">
      <w:pPr>
        <w:spacing w:line="560" w:lineRule="exact"/>
        <w:ind w:firstLine="640" w:firstLineChars="200"/>
        <w:rPr>
          <w:rFonts w:eastAsia="仿宋_GB2312" w:cs="Arial"/>
          <w:sz w:val="32"/>
        </w:rPr>
      </w:pPr>
      <w:r>
        <w:rPr>
          <w:rFonts w:hint="eastAsia" w:eastAsia="仿宋_GB2312" w:cs="Arial"/>
          <w:sz w:val="32"/>
        </w:rPr>
        <w:t>计算综合得分时，剔除高于或低于平均值10分的异常数据，取样品综合得分的平均值。此方法参考了《GB/T21172感官分析食品颜色评价的总则和检验方法》中关于评分误差剔除的原则，旨在提高结果的可靠性。</w:t>
      </w:r>
    </w:p>
    <w:p w14:paraId="489BD3FD">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5.性能要求</w:t>
      </w:r>
    </w:p>
    <w:p w14:paraId="1D207EC2">
      <w:pPr>
        <w:spacing w:line="560" w:lineRule="exact"/>
        <w:ind w:firstLine="640" w:firstLineChars="200"/>
        <w:rPr>
          <w:rFonts w:eastAsia="仿宋_GB2312" w:cs="Arial"/>
          <w:sz w:val="32"/>
        </w:rPr>
      </w:pPr>
      <w:r>
        <w:rPr>
          <w:rFonts w:hint="eastAsia" w:eastAsia="仿宋_GB2312" w:cs="Arial"/>
          <w:sz w:val="32"/>
        </w:rPr>
        <w:t>5.1样品性能要求</w:t>
      </w:r>
    </w:p>
    <w:p w14:paraId="02AB96E5">
      <w:pPr>
        <w:spacing w:line="560" w:lineRule="exact"/>
        <w:ind w:firstLine="640" w:firstLineChars="200"/>
        <w:rPr>
          <w:rFonts w:eastAsia="仿宋_GB2312" w:cs="Arial"/>
          <w:sz w:val="32"/>
        </w:rPr>
      </w:pPr>
      <w:r>
        <w:rPr>
          <w:rFonts w:hint="eastAsia" w:eastAsia="仿宋_GB2312" w:cs="Arial"/>
          <w:sz w:val="32"/>
        </w:rPr>
        <w:t>颜色：要求鲜绿色，无褐变，基于《GH/T1142辣木叶质量等级》中的颜色标准。</w:t>
      </w:r>
    </w:p>
    <w:p w14:paraId="0BC88E6F">
      <w:pPr>
        <w:spacing w:line="560" w:lineRule="exact"/>
        <w:ind w:firstLine="640" w:firstLineChars="200"/>
        <w:rPr>
          <w:rFonts w:eastAsia="仿宋_GB2312" w:cs="Arial"/>
          <w:sz w:val="32"/>
        </w:rPr>
      </w:pPr>
      <w:r>
        <w:rPr>
          <w:rFonts w:hint="eastAsia" w:eastAsia="仿宋_GB2312" w:cs="Arial"/>
          <w:sz w:val="32"/>
        </w:rPr>
        <w:t>香气：要求香气浓郁，无异味，符合辣木蔬菜风味特性，参考了香椿等蔬菜的气味评价指标。</w:t>
      </w:r>
    </w:p>
    <w:p w14:paraId="280CF77E">
      <w:pPr>
        <w:spacing w:line="560" w:lineRule="exact"/>
        <w:ind w:firstLine="640" w:firstLineChars="200"/>
        <w:rPr>
          <w:rFonts w:eastAsia="仿宋_GB2312" w:cs="Arial"/>
          <w:sz w:val="32"/>
        </w:rPr>
      </w:pPr>
      <w:r>
        <w:rPr>
          <w:rFonts w:hint="eastAsia" w:eastAsia="仿宋_GB2312" w:cs="Arial"/>
          <w:sz w:val="32"/>
        </w:rPr>
        <w:t>嫩度：要求嫩滑无纤维感，基于辣木嫩梢的质地特性以及类似叶类蔬菜（如菠菜）的质构评价结果。</w:t>
      </w:r>
    </w:p>
    <w:p w14:paraId="147F6BF7">
      <w:pPr>
        <w:spacing w:line="560" w:lineRule="exact"/>
        <w:ind w:firstLine="640" w:firstLineChars="200"/>
        <w:rPr>
          <w:rFonts w:eastAsia="仿宋_GB2312" w:cs="Arial"/>
          <w:sz w:val="32"/>
        </w:rPr>
      </w:pPr>
      <w:r>
        <w:rPr>
          <w:rFonts w:hint="eastAsia" w:eastAsia="仿宋_GB2312" w:cs="Arial"/>
          <w:sz w:val="32"/>
        </w:rPr>
        <w:t>5.2试验室环境要求</w:t>
      </w:r>
    </w:p>
    <w:p w14:paraId="775DAD18">
      <w:pPr>
        <w:spacing w:line="560" w:lineRule="exact"/>
        <w:ind w:firstLine="640" w:firstLineChars="200"/>
        <w:rPr>
          <w:rFonts w:hint="eastAsia" w:eastAsia="仿宋_GB2312" w:cs="Arial"/>
          <w:sz w:val="32"/>
          <w:lang w:eastAsia="zh-CN"/>
        </w:rPr>
      </w:pPr>
      <w:r>
        <w:rPr>
          <w:rFonts w:hint="eastAsia" w:eastAsia="仿宋_GB2312" w:cs="Arial"/>
          <w:sz w:val="32"/>
        </w:rPr>
        <w:t>环境温度</w:t>
      </w:r>
      <w:r>
        <w:rPr>
          <w:rFonts w:hint="eastAsia" w:eastAsia="仿宋_GB2312" w:cs="Arial"/>
          <w:sz w:val="32"/>
        </w:rPr>
        <w:t>依据《GB/T13868》对感官实验室的环境要求</w:t>
      </w:r>
      <w:r>
        <w:rPr>
          <w:rFonts w:hint="eastAsia" w:eastAsia="仿宋_GB2312" w:cs="Arial"/>
          <w:sz w:val="32"/>
          <w:lang w:eastAsia="zh-CN"/>
        </w:rPr>
        <w:t>，</w:t>
      </w:r>
      <w:r>
        <w:rPr>
          <w:rFonts w:hint="eastAsia" w:eastAsia="仿宋_GB2312" w:cs="Arial"/>
          <w:sz w:val="32"/>
        </w:rPr>
        <w:t>控制在20-25℃，湿度50-70%</w:t>
      </w:r>
      <w:r>
        <w:rPr>
          <w:rFonts w:hint="eastAsia" w:eastAsia="仿宋_GB2312" w:cs="Arial"/>
          <w:sz w:val="32"/>
          <w:lang w:eastAsia="zh-CN"/>
        </w:rPr>
        <w:t>。</w:t>
      </w:r>
    </w:p>
    <w:p w14:paraId="5FC6696A">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6.试验方法</w:t>
      </w:r>
    </w:p>
    <w:p w14:paraId="59C6FB1F">
      <w:pPr>
        <w:spacing w:line="560" w:lineRule="exact"/>
        <w:ind w:firstLine="640" w:firstLineChars="200"/>
        <w:rPr>
          <w:rFonts w:eastAsia="仿宋_GB2312" w:cs="Arial"/>
          <w:sz w:val="32"/>
        </w:rPr>
      </w:pPr>
      <w:r>
        <w:rPr>
          <w:rFonts w:hint="eastAsia" w:eastAsia="仿宋_GB2312" w:cs="Arial"/>
          <w:sz w:val="32"/>
        </w:rPr>
        <w:t>6.1样品制备</w:t>
      </w:r>
      <w:bookmarkStart w:id="2" w:name="_GoBack"/>
      <w:bookmarkEnd w:id="2"/>
    </w:p>
    <w:p w14:paraId="419CB884">
      <w:pPr>
        <w:spacing w:line="560" w:lineRule="exact"/>
        <w:ind w:firstLine="640" w:firstLineChars="200"/>
        <w:rPr>
          <w:rFonts w:eastAsia="仿宋_GB2312" w:cs="Arial"/>
          <w:sz w:val="32"/>
        </w:rPr>
      </w:pPr>
      <w:r>
        <w:rPr>
          <w:rFonts w:hint="eastAsia" w:eastAsia="仿宋_GB2312" w:cs="Arial"/>
          <w:sz w:val="32"/>
        </w:rPr>
        <w:t>样品采摘时间为晴天上午9:00-11:00，参考了《NY/T3330》中关于辣木叶采摘时间的规定，以确保样品新鲜度。</w:t>
      </w:r>
    </w:p>
    <w:p w14:paraId="345F7B24">
      <w:pPr>
        <w:spacing w:line="560" w:lineRule="exact"/>
        <w:ind w:firstLine="640" w:firstLineChars="200"/>
        <w:rPr>
          <w:rFonts w:eastAsia="仿宋_GB2312" w:cs="Arial"/>
          <w:sz w:val="32"/>
        </w:rPr>
      </w:pPr>
      <w:r>
        <w:rPr>
          <w:rFonts w:hint="eastAsia" w:eastAsia="仿宋_GB2312" w:cs="Arial"/>
          <w:sz w:val="32"/>
        </w:rPr>
        <w:t>样品煮制方法为3L清水煮沸2分钟，参考了消费者的实际烹饪习惯以及科学研究中辣木嫩梢的烹饪特性。</w:t>
      </w:r>
    </w:p>
    <w:p w14:paraId="4E03F017">
      <w:pPr>
        <w:spacing w:line="560" w:lineRule="exact"/>
        <w:ind w:firstLine="640" w:firstLineChars="200"/>
        <w:rPr>
          <w:rFonts w:eastAsia="仿宋_GB2312" w:cs="Arial"/>
          <w:sz w:val="32"/>
        </w:rPr>
      </w:pPr>
      <w:r>
        <w:rPr>
          <w:rFonts w:hint="eastAsia" w:eastAsia="仿宋_GB2312" w:cs="Arial"/>
          <w:sz w:val="32"/>
        </w:rPr>
        <w:t>6.2评价流程</w:t>
      </w:r>
    </w:p>
    <w:p w14:paraId="081E7E4C">
      <w:pPr>
        <w:spacing w:line="560" w:lineRule="exact"/>
        <w:ind w:firstLine="640" w:firstLineChars="200"/>
        <w:rPr>
          <w:rFonts w:eastAsia="仿宋_GB2312" w:cs="Arial"/>
          <w:sz w:val="32"/>
        </w:rPr>
      </w:pPr>
      <w:r>
        <w:rPr>
          <w:rFonts w:hint="eastAsia" w:eastAsia="仿宋_GB2312" w:cs="Arial"/>
          <w:sz w:val="32"/>
        </w:rPr>
        <w:t>未煮制样品：用于外观评价，包括颜色、形态、整洁度、光泽，依据视觉感官分析的常用方法。</w:t>
      </w:r>
    </w:p>
    <w:p w14:paraId="14DFD838">
      <w:pPr>
        <w:spacing w:line="560" w:lineRule="exact"/>
        <w:ind w:firstLine="640" w:firstLineChars="200"/>
        <w:rPr>
          <w:rFonts w:eastAsia="仿宋_GB2312" w:cs="Arial"/>
          <w:sz w:val="32"/>
        </w:rPr>
      </w:pPr>
      <w:r>
        <w:rPr>
          <w:rFonts w:hint="eastAsia" w:eastAsia="仿宋_GB2312" w:cs="Arial"/>
          <w:sz w:val="32"/>
        </w:rPr>
        <w:t>煮制样品：用于气味、滋味及质地评价，基于《GB/T10220》提出的嗅觉和味觉评价程序。</w:t>
      </w:r>
    </w:p>
    <w:p w14:paraId="6A768F11">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7.检验规则</w:t>
      </w:r>
    </w:p>
    <w:p w14:paraId="615B7E41">
      <w:pPr>
        <w:spacing w:line="560" w:lineRule="exact"/>
        <w:ind w:firstLine="640" w:firstLineChars="200"/>
        <w:rPr>
          <w:rFonts w:eastAsia="仿宋_GB2312" w:cs="Arial"/>
          <w:sz w:val="32"/>
        </w:rPr>
      </w:pPr>
      <w:r>
        <w:rPr>
          <w:rFonts w:hint="eastAsia" w:eastAsia="仿宋_GB2312" w:cs="Arial"/>
          <w:sz w:val="32"/>
        </w:rPr>
        <w:t>7.1样品随机编号及盲评</w:t>
      </w:r>
    </w:p>
    <w:p w14:paraId="0E075FDA">
      <w:pPr>
        <w:spacing w:line="560" w:lineRule="exact"/>
        <w:ind w:firstLine="640" w:firstLineChars="200"/>
        <w:rPr>
          <w:rFonts w:eastAsia="仿宋_GB2312" w:cs="Arial"/>
          <w:sz w:val="32"/>
        </w:rPr>
      </w:pPr>
      <w:r>
        <w:rPr>
          <w:rFonts w:hint="eastAsia" w:eastAsia="仿宋_GB2312" w:cs="Arial"/>
          <w:sz w:val="32"/>
        </w:rPr>
        <w:t>为避免评价偏倚，所有样品均进行随机编号盲评，参考了《GB/T16291.1》关于感官评价样品处理的指导。</w:t>
      </w:r>
    </w:p>
    <w:p w14:paraId="4BF4F8AC">
      <w:pPr>
        <w:spacing w:line="560" w:lineRule="exact"/>
        <w:ind w:firstLine="640" w:firstLineChars="200"/>
        <w:rPr>
          <w:rFonts w:eastAsia="仿宋_GB2312" w:cs="Arial"/>
          <w:sz w:val="32"/>
        </w:rPr>
      </w:pPr>
      <w:r>
        <w:rPr>
          <w:rFonts w:hint="eastAsia" w:eastAsia="仿宋_GB2312" w:cs="Arial"/>
          <w:sz w:val="32"/>
        </w:rPr>
        <w:t>7.2品评员遴选与培训</w:t>
      </w:r>
    </w:p>
    <w:p w14:paraId="0FF4CD75">
      <w:pPr>
        <w:spacing w:line="560" w:lineRule="exact"/>
        <w:ind w:firstLine="640" w:firstLineChars="200"/>
        <w:rPr>
          <w:rFonts w:eastAsia="仿宋_GB2312" w:cs="Arial"/>
          <w:sz w:val="32"/>
        </w:rPr>
      </w:pPr>
      <w:r>
        <w:rPr>
          <w:rFonts w:hint="eastAsia" w:eastAsia="仿宋_GB2312" w:cs="Arial"/>
          <w:sz w:val="32"/>
        </w:rPr>
        <w:t>品评员需经过培训并熟悉辣木蔬菜的评价标准，依据《GB/T16291.1》的专业品评员选拔原则。</w:t>
      </w:r>
    </w:p>
    <w:p w14:paraId="3D7AB55B">
      <w:pPr>
        <w:spacing w:line="560" w:lineRule="exact"/>
        <w:ind w:firstLine="640" w:firstLineChars="200"/>
        <w:rPr>
          <w:rFonts w:eastAsia="仿宋_GB2312" w:cs="Arial"/>
          <w:sz w:val="32"/>
        </w:rPr>
      </w:pPr>
      <w:r>
        <w:rPr>
          <w:rFonts w:hint="eastAsia" w:eastAsia="仿宋_GB2312" w:cs="Arial"/>
          <w:sz w:val="32"/>
        </w:rPr>
        <w:t>7.3数据分析规则</w:t>
      </w:r>
    </w:p>
    <w:p w14:paraId="278C3236">
      <w:pPr>
        <w:spacing w:line="560" w:lineRule="exact"/>
        <w:ind w:firstLine="640" w:firstLineChars="200"/>
        <w:rPr>
          <w:rFonts w:eastAsia="仿宋_GB2312" w:cs="Arial"/>
          <w:sz w:val="32"/>
        </w:rPr>
      </w:pPr>
      <w:r>
        <w:rPr>
          <w:rFonts w:hint="eastAsia" w:eastAsia="仿宋_GB2312" w:cs="Arial"/>
          <w:sz w:val="32"/>
        </w:rPr>
        <w:t>对样品评价数据进行统计分析，剔除异常值后取平均值，保障数据的准确性和代表性，具体操作方法参考了食品感官分析的行业规范。</w:t>
      </w:r>
    </w:p>
    <w:p w14:paraId="486F0667">
      <w:pPr>
        <w:pStyle w:val="2"/>
        <w:spacing w:before="0" w:after="0" w:line="560" w:lineRule="exact"/>
        <w:ind w:firstLine="640" w:firstLineChars="200"/>
        <w:rPr>
          <w:rFonts w:eastAsia="黑体"/>
          <w:b w:val="0"/>
          <w:sz w:val="32"/>
        </w:rPr>
      </w:pPr>
      <w:r>
        <w:rPr>
          <w:rFonts w:eastAsia="黑体"/>
          <w:b w:val="0"/>
          <w:sz w:val="32"/>
        </w:rPr>
        <w:t>三、主要试验或验证的分析、综述报告，技术经济论证，预期的经济效果</w:t>
      </w:r>
    </w:p>
    <w:p w14:paraId="66556D84">
      <w:pPr>
        <w:pStyle w:val="3"/>
        <w:spacing w:before="0" w:after="0" w:line="560" w:lineRule="exact"/>
        <w:ind w:firstLine="643" w:firstLineChars="200"/>
        <w:rPr>
          <w:rFonts w:eastAsia="楷体_GB2312"/>
        </w:rPr>
      </w:pPr>
      <w:r>
        <w:rPr>
          <w:rFonts w:eastAsia="楷体_GB2312"/>
        </w:rPr>
        <w:t>（一）主要试验或验证的分析、综述报告</w:t>
      </w:r>
    </w:p>
    <w:p w14:paraId="76574175">
      <w:pPr>
        <w:spacing w:line="560" w:lineRule="exact"/>
        <w:ind w:firstLine="640" w:firstLineChars="200"/>
        <w:rPr>
          <w:rFonts w:eastAsia="仿宋_GB2312" w:cs="Arial"/>
          <w:sz w:val="32"/>
        </w:rPr>
      </w:pPr>
      <w:bookmarkStart w:id="1" w:name="_Hlk183450726"/>
      <w:r>
        <w:rPr>
          <w:rFonts w:hint="eastAsia" w:eastAsia="仿宋_GB2312" w:cs="Arial"/>
          <w:sz w:val="32"/>
        </w:rPr>
        <w:t>新鲜辣木蔬菜，如图1。</w:t>
      </w:r>
    </w:p>
    <w:tbl>
      <w:tblPr>
        <w:tblStyle w:val="10"/>
        <w:tblW w:w="0" w:type="auto"/>
        <w:jc w:val="center"/>
        <w:tblLayout w:type="autofit"/>
        <w:tblCellMar>
          <w:top w:w="0" w:type="dxa"/>
          <w:left w:w="108" w:type="dxa"/>
          <w:bottom w:w="0" w:type="dxa"/>
          <w:right w:w="108" w:type="dxa"/>
        </w:tblCellMar>
      </w:tblPr>
      <w:tblGrid>
        <w:gridCol w:w="4642"/>
      </w:tblGrid>
      <w:tr w14:paraId="51A9659B">
        <w:tblPrEx>
          <w:tblCellMar>
            <w:top w:w="0" w:type="dxa"/>
            <w:left w:w="108" w:type="dxa"/>
            <w:bottom w:w="0" w:type="dxa"/>
            <w:right w:w="108" w:type="dxa"/>
          </w:tblCellMar>
        </w:tblPrEx>
        <w:trPr>
          <w:jc w:val="center"/>
        </w:trPr>
        <w:tc>
          <w:tcPr>
            <w:tcW w:w="0" w:type="auto"/>
            <w:vAlign w:val="center"/>
          </w:tcPr>
          <w:p w14:paraId="0C7723E9">
            <w:pPr>
              <w:jc w:val="center"/>
              <w:rPr>
                <w:rFonts w:eastAsia="仿宋_GB2312" w:cs="Arial"/>
                <w:sz w:val="32"/>
              </w:rPr>
            </w:pPr>
            <w:r>
              <w:rPr>
                <w:rFonts w:eastAsia="仿宋_GB2312" w:cs="Arial"/>
                <w:sz w:val="32"/>
              </w:rPr>
              <w:drawing>
                <wp:inline distT="0" distB="0" distL="0" distR="0">
                  <wp:extent cx="2489200" cy="2810510"/>
                  <wp:effectExtent l="0" t="8255"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l="7059" t="12161" r="6464" b="22751"/>
                          <a:stretch>
                            <a:fillRect/>
                          </a:stretch>
                        </pic:blipFill>
                        <pic:spPr>
                          <a:xfrm rot="16200000">
                            <a:off x="0" y="0"/>
                            <a:ext cx="2489200" cy="2810510"/>
                          </a:xfrm>
                          <a:prstGeom prst="rect">
                            <a:avLst/>
                          </a:prstGeom>
                          <a:noFill/>
                          <a:ln>
                            <a:noFill/>
                          </a:ln>
                        </pic:spPr>
                      </pic:pic>
                    </a:graphicData>
                  </a:graphic>
                </wp:inline>
              </w:drawing>
            </w:r>
          </w:p>
        </w:tc>
      </w:tr>
      <w:tr w14:paraId="59444529">
        <w:tblPrEx>
          <w:tblCellMar>
            <w:top w:w="0" w:type="dxa"/>
            <w:left w:w="108" w:type="dxa"/>
            <w:bottom w:w="0" w:type="dxa"/>
            <w:right w:w="108" w:type="dxa"/>
          </w:tblCellMar>
        </w:tblPrEx>
        <w:trPr>
          <w:jc w:val="center"/>
        </w:trPr>
        <w:tc>
          <w:tcPr>
            <w:tcW w:w="0" w:type="auto"/>
            <w:vAlign w:val="center"/>
          </w:tcPr>
          <w:p w14:paraId="6AABBB7B">
            <w:pPr>
              <w:spacing w:line="560" w:lineRule="exact"/>
              <w:jc w:val="center"/>
              <w:rPr>
                <w:rFonts w:eastAsia="仿宋_GB2312" w:cs="Arial"/>
                <w:sz w:val="32"/>
              </w:rPr>
            </w:pPr>
            <w:r>
              <w:rPr>
                <w:rFonts w:hint="eastAsia" w:eastAsia="仿宋_GB2312" w:cs="Arial"/>
                <w:sz w:val="32"/>
              </w:rPr>
              <w:t>图1 新鲜辣木蔬菜</w:t>
            </w:r>
          </w:p>
        </w:tc>
      </w:tr>
    </w:tbl>
    <w:p w14:paraId="2B1E09D1">
      <w:pPr>
        <w:spacing w:line="560" w:lineRule="exact"/>
        <w:ind w:firstLine="640" w:firstLineChars="200"/>
        <w:rPr>
          <w:rFonts w:eastAsia="仿宋_GB2312" w:cs="Arial"/>
          <w:sz w:val="32"/>
        </w:rPr>
      </w:pPr>
      <w:r>
        <w:rPr>
          <w:rFonts w:hint="eastAsia" w:eastAsia="仿宋_GB2312" w:cs="Arial"/>
          <w:sz w:val="32"/>
        </w:rPr>
        <w:t>1.外观指标验证</w:t>
      </w:r>
    </w:p>
    <w:p w14:paraId="3A6B5B30">
      <w:pPr>
        <w:spacing w:line="560" w:lineRule="exact"/>
        <w:ind w:firstLine="640" w:firstLineChars="200"/>
        <w:rPr>
          <w:rFonts w:eastAsia="仿宋_GB2312" w:cs="Arial"/>
          <w:sz w:val="32"/>
        </w:rPr>
      </w:pPr>
      <w:r>
        <w:rPr>
          <w:rFonts w:hint="eastAsia" w:eastAsia="仿宋_GB2312" w:cs="Arial"/>
          <w:sz w:val="32"/>
        </w:rPr>
        <w:t>1.1颜色分值设置的验证</w:t>
      </w:r>
    </w:p>
    <w:p w14:paraId="4396061F">
      <w:pPr>
        <w:spacing w:line="560" w:lineRule="exact"/>
        <w:ind w:firstLine="640" w:firstLineChars="200"/>
        <w:rPr>
          <w:rFonts w:eastAsia="仿宋_GB2312" w:cs="Arial"/>
          <w:sz w:val="32"/>
        </w:rPr>
      </w:pPr>
      <w:r>
        <w:rPr>
          <w:rFonts w:hint="eastAsia" w:eastAsia="仿宋_GB2312" w:cs="Arial"/>
          <w:sz w:val="32"/>
        </w:rPr>
        <w:t>试验方法：通过色差仪测定辣木嫩梢的颜色（L,a,b）值，并将数据与视觉感官评定结果进行对比分析。</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936"/>
        <w:gridCol w:w="1031"/>
        <w:gridCol w:w="936"/>
        <w:gridCol w:w="2456"/>
      </w:tblGrid>
      <w:tr w14:paraId="5D37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6236DD4">
            <w:pPr>
              <w:spacing w:line="560" w:lineRule="exact"/>
              <w:jc w:val="right"/>
              <w:rPr>
                <w:rFonts w:eastAsia="仿宋_GB2312"/>
                <w:sz w:val="32"/>
              </w:rPr>
            </w:pPr>
            <w:r>
              <w:rPr>
                <w:rFonts w:eastAsia="仿宋_GB2312"/>
                <w:sz w:val="32"/>
              </w:rPr>
              <w:t>样本</w:t>
            </w:r>
          </w:p>
        </w:tc>
        <w:tc>
          <w:tcPr>
            <w:tcW w:w="0" w:type="auto"/>
            <w:vAlign w:val="center"/>
          </w:tcPr>
          <w:p w14:paraId="1838FF23">
            <w:pPr>
              <w:spacing w:line="560" w:lineRule="exact"/>
              <w:jc w:val="right"/>
              <w:rPr>
                <w:rFonts w:eastAsia="仿宋_GB2312"/>
                <w:sz w:val="32"/>
              </w:rPr>
            </w:pPr>
            <w:r>
              <w:rPr>
                <w:rFonts w:eastAsia="仿宋_GB2312"/>
                <w:sz w:val="32"/>
              </w:rPr>
              <w:t>L</w:t>
            </w:r>
          </w:p>
        </w:tc>
        <w:tc>
          <w:tcPr>
            <w:tcW w:w="0" w:type="auto"/>
            <w:vAlign w:val="center"/>
          </w:tcPr>
          <w:p w14:paraId="5DA0A021">
            <w:pPr>
              <w:spacing w:line="560" w:lineRule="exact"/>
              <w:jc w:val="right"/>
              <w:rPr>
                <w:rFonts w:eastAsia="仿宋_GB2312"/>
                <w:sz w:val="32"/>
              </w:rPr>
            </w:pPr>
            <w:r>
              <w:rPr>
                <w:rFonts w:eastAsia="仿宋_GB2312"/>
                <w:sz w:val="32"/>
              </w:rPr>
              <w:t>a</w:t>
            </w:r>
          </w:p>
        </w:tc>
        <w:tc>
          <w:tcPr>
            <w:tcW w:w="0" w:type="auto"/>
            <w:vAlign w:val="center"/>
          </w:tcPr>
          <w:p w14:paraId="762BF797">
            <w:pPr>
              <w:spacing w:line="560" w:lineRule="exact"/>
              <w:jc w:val="right"/>
              <w:rPr>
                <w:rFonts w:eastAsia="仿宋_GB2312"/>
                <w:sz w:val="32"/>
              </w:rPr>
            </w:pPr>
            <w:r>
              <w:rPr>
                <w:rFonts w:eastAsia="仿宋_GB2312"/>
                <w:sz w:val="32"/>
              </w:rPr>
              <w:t>b</w:t>
            </w:r>
          </w:p>
        </w:tc>
        <w:tc>
          <w:tcPr>
            <w:tcW w:w="0" w:type="auto"/>
            <w:vAlign w:val="center"/>
          </w:tcPr>
          <w:p w14:paraId="4AD28672">
            <w:pPr>
              <w:spacing w:line="560" w:lineRule="exact"/>
              <w:jc w:val="right"/>
              <w:rPr>
                <w:rFonts w:eastAsia="仿宋_GB2312"/>
                <w:sz w:val="32"/>
              </w:rPr>
            </w:pPr>
            <w:r>
              <w:rPr>
                <w:rFonts w:eastAsia="仿宋_GB2312"/>
                <w:sz w:val="32"/>
              </w:rPr>
              <w:t>外观颜色评价值</w:t>
            </w:r>
          </w:p>
        </w:tc>
      </w:tr>
      <w:tr w14:paraId="1B2E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85441A1">
            <w:pPr>
              <w:spacing w:line="560" w:lineRule="exact"/>
              <w:jc w:val="right"/>
              <w:rPr>
                <w:rFonts w:eastAsia="仿宋_GB2312"/>
                <w:sz w:val="32"/>
              </w:rPr>
            </w:pPr>
            <w:r>
              <w:rPr>
                <w:rFonts w:eastAsia="仿宋_GB2312"/>
                <w:sz w:val="32"/>
              </w:rPr>
              <w:t>1号</w:t>
            </w:r>
          </w:p>
        </w:tc>
        <w:tc>
          <w:tcPr>
            <w:tcW w:w="0" w:type="auto"/>
            <w:vAlign w:val="center"/>
          </w:tcPr>
          <w:p w14:paraId="6366A32A">
            <w:pPr>
              <w:spacing w:line="560" w:lineRule="exact"/>
              <w:jc w:val="right"/>
              <w:rPr>
                <w:rFonts w:eastAsia="仿宋_GB2312"/>
                <w:sz w:val="32"/>
              </w:rPr>
            </w:pPr>
            <w:r>
              <w:rPr>
                <w:rFonts w:eastAsia="仿宋_GB2312"/>
                <w:sz w:val="32"/>
              </w:rPr>
              <w:t>34.98</w:t>
            </w:r>
          </w:p>
        </w:tc>
        <w:tc>
          <w:tcPr>
            <w:tcW w:w="0" w:type="auto"/>
            <w:vAlign w:val="center"/>
          </w:tcPr>
          <w:p w14:paraId="738E6EC0">
            <w:pPr>
              <w:spacing w:line="560" w:lineRule="exact"/>
              <w:jc w:val="right"/>
              <w:rPr>
                <w:rFonts w:eastAsia="仿宋_GB2312"/>
                <w:sz w:val="32"/>
              </w:rPr>
            </w:pPr>
            <w:r>
              <w:rPr>
                <w:rFonts w:eastAsia="仿宋_GB2312"/>
                <w:sz w:val="32"/>
              </w:rPr>
              <w:t>-11.18</w:t>
            </w:r>
          </w:p>
        </w:tc>
        <w:tc>
          <w:tcPr>
            <w:tcW w:w="0" w:type="auto"/>
            <w:vAlign w:val="center"/>
          </w:tcPr>
          <w:p w14:paraId="3A3BBC8D">
            <w:pPr>
              <w:spacing w:line="560" w:lineRule="exact"/>
              <w:jc w:val="right"/>
              <w:rPr>
                <w:rFonts w:eastAsia="仿宋_GB2312"/>
                <w:sz w:val="32"/>
              </w:rPr>
            </w:pPr>
            <w:r>
              <w:rPr>
                <w:rFonts w:eastAsia="仿宋_GB2312"/>
                <w:sz w:val="32"/>
              </w:rPr>
              <w:t>17.15</w:t>
            </w:r>
          </w:p>
        </w:tc>
        <w:tc>
          <w:tcPr>
            <w:tcW w:w="0" w:type="auto"/>
            <w:vAlign w:val="center"/>
          </w:tcPr>
          <w:p w14:paraId="06F372E2">
            <w:pPr>
              <w:spacing w:line="560" w:lineRule="exact"/>
              <w:jc w:val="right"/>
              <w:rPr>
                <w:rFonts w:eastAsia="仿宋_GB2312"/>
                <w:sz w:val="32"/>
              </w:rPr>
            </w:pPr>
            <w:r>
              <w:rPr>
                <w:rFonts w:eastAsia="仿宋_GB2312"/>
                <w:sz w:val="32"/>
              </w:rPr>
              <w:t>10.00</w:t>
            </w:r>
          </w:p>
        </w:tc>
      </w:tr>
      <w:tr w14:paraId="7D56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1690BF5">
            <w:pPr>
              <w:spacing w:line="560" w:lineRule="exact"/>
              <w:jc w:val="right"/>
              <w:rPr>
                <w:rFonts w:eastAsia="仿宋_GB2312"/>
                <w:sz w:val="32"/>
              </w:rPr>
            </w:pPr>
            <w:r>
              <w:rPr>
                <w:rFonts w:eastAsia="仿宋_GB2312"/>
                <w:sz w:val="32"/>
              </w:rPr>
              <w:t>2号</w:t>
            </w:r>
          </w:p>
        </w:tc>
        <w:tc>
          <w:tcPr>
            <w:tcW w:w="0" w:type="auto"/>
            <w:vAlign w:val="center"/>
          </w:tcPr>
          <w:p w14:paraId="65FCB42E">
            <w:pPr>
              <w:spacing w:line="560" w:lineRule="exact"/>
              <w:jc w:val="right"/>
              <w:rPr>
                <w:rFonts w:eastAsia="仿宋_GB2312"/>
                <w:sz w:val="32"/>
              </w:rPr>
            </w:pPr>
            <w:r>
              <w:rPr>
                <w:rFonts w:eastAsia="仿宋_GB2312"/>
                <w:sz w:val="32"/>
              </w:rPr>
              <w:t>34.02</w:t>
            </w:r>
          </w:p>
        </w:tc>
        <w:tc>
          <w:tcPr>
            <w:tcW w:w="0" w:type="auto"/>
            <w:vAlign w:val="center"/>
          </w:tcPr>
          <w:p w14:paraId="2A99446B">
            <w:pPr>
              <w:spacing w:line="560" w:lineRule="exact"/>
              <w:jc w:val="right"/>
              <w:rPr>
                <w:rFonts w:eastAsia="仿宋_GB2312"/>
                <w:sz w:val="32"/>
              </w:rPr>
            </w:pPr>
            <w:r>
              <w:rPr>
                <w:rFonts w:eastAsia="仿宋_GB2312"/>
                <w:sz w:val="32"/>
              </w:rPr>
              <w:t>-9.47</w:t>
            </w:r>
          </w:p>
        </w:tc>
        <w:tc>
          <w:tcPr>
            <w:tcW w:w="0" w:type="auto"/>
            <w:vAlign w:val="center"/>
          </w:tcPr>
          <w:p w14:paraId="54E29270">
            <w:pPr>
              <w:spacing w:line="560" w:lineRule="exact"/>
              <w:jc w:val="right"/>
              <w:rPr>
                <w:rFonts w:eastAsia="仿宋_GB2312"/>
                <w:sz w:val="32"/>
              </w:rPr>
            </w:pPr>
            <w:r>
              <w:rPr>
                <w:rFonts w:eastAsia="仿宋_GB2312"/>
                <w:sz w:val="32"/>
              </w:rPr>
              <w:t>18.51</w:t>
            </w:r>
          </w:p>
        </w:tc>
        <w:tc>
          <w:tcPr>
            <w:tcW w:w="0" w:type="auto"/>
            <w:vAlign w:val="center"/>
          </w:tcPr>
          <w:p w14:paraId="085C819A">
            <w:pPr>
              <w:spacing w:line="560" w:lineRule="exact"/>
              <w:jc w:val="right"/>
              <w:rPr>
                <w:rFonts w:eastAsia="仿宋_GB2312"/>
                <w:sz w:val="32"/>
              </w:rPr>
            </w:pPr>
            <w:r>
              <w:rPr>
                <w:rFonts w:eastAsia="仿宋_GB2312"/>
                <w:sz w:val="32"/>
              </w:rPr>
              <w:t>7.00</w:t>
            </w:r>
          </w:p>
        </w:tc>
      </w:tr>
      <w:tr w14:paraId="2B15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78B33B9">
            <w:pPr>
              <w:spacing w:line="560" w:lineRule="exact"/>
              <w:jc w:val="right"/>
              <w:rPr>
                <w:rFonts w:eastAsia="仿宋_GB2312"/>
                <w:sz w:val="32"/>
              </w:rPr>
            </w:pPr>
            <w:r>
              <w:rPr>
                <w:rFonts w:eastAsia="仿宋_GB2312"/>
                <w:sz w:val="32"/>
              </w:rPr>
              <w:t>3号</w:t>
            </w:r>
          </w:p>
        </w:tc>
        <w:tc>
          <w:tcPr>
            <w:tcW w:w="0" w:type="auto"/>
            <w:vAlign w:val="center"/>
          </w:tcPr>
          <w:p w14:paraId="024BF27D">
            <w:pPr>
              <w:spacing w:line="560" w:lineRule="exact"/>
              <w:jc w:val="right"/>
              <w:rPr>
                <w:rFonts w:eastAsia="仿宋_GB2312"/>
                <w:sz w:val="32"/>
              </w:rPr>
            </w:pPr>
            <w:r>
              <w:rPr>
                <w:rFonts w:eastAsia="仿宋_GB2312"/>
                <w:sz w:val="32"/>
              </w:rPr>
              <w:t>41.51</w:t>
            </w:r>
          </w:p>
        </w:tc>
        <w:tc>
          <w:tcPr>
            <w:tcW w:w="0" w:type="auto"/>
            <w:vAlign w:val="center"/>
          </w:tcPr>
          <w:p w14:paraId="36A25451">
            <w:pPr>
              <w:spacing w:line="560" w:lineRule="exact"/>
              <w:jc w:val="right"/>
              <w:rPr>
                <w:rFonts w:eastAsia="仿宋_GB2312"/>
                <w:sz w:val="32"/>
              </w:rPr>
            </w:pPr>
            <w:r>
              <w:rPr>
                <w:rFonts w:eastAsia="仿宋_GB2312"/>
                <w:sz w:val="32"/>
              </w:rPr>
              <w:t>-9.50</w:t>
            </w:r>
          </w:p>
        </w:tc>
        <w:tc>
          <w:tcPr>
            <w:tcW w:w="0" w:type="auto"/>
            <w:vAlign w:val="center"/>
          </w:tcPr>
          <w:p w14:paraId="0C897608">
            <w:pPr>
              <w:spacing w:line="560" w:lineRule="exact"/>
              <w:jc w:val="right"/>
              <w:rPr>
                <w:rFonts w:eastAsia="仿宋_GB2312"/>
                <w:sz w:val="32"/>
              </w:rPr>
            </w:pPr>
            <w:r>
              <w:rPr>
                <w:rFonts w:eastAsia="仿宋_GB2312"/>
                <w:sz w:val="32"/>
              </w:rPr>
              <w:t>25.09</w:t>
            </w:r>
          </w:p>
        </w:tc>
        <w:tc>
          <w:tcPr>
            <w:tcW w:w="0" w:type="auto"/>
            <w:vAlign w:val="center"/>
          </w:tcPr>
          <w:p w14:paraId="0C9FDFF3">
            <w:pPr>
              <w:spacing w:line="560" w:lineRule="exact"/>
              <w:jc w:val="right"/>
              <w:rPr>
                <w:rFonts w:eastAsia="仿宋_GB2312"/>
                <w:sz w:val="32"/>
              </w:rPr>
            </w:pPr>
            <w:r>
              <w:rPr>
                <w:rFonts w:eastAsia="仿宋_GB2312"/>
                <w:sz w:val="32"/>
              </w:rPr>
              <w:t>7.00</w:t>
            </w:r>
          </w:p>
        </w:tc>
      </w:tr>
      <w:tr w14:paraId="28F9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4D1C0CE">
            <w:pPr>
              <w:spacing w:line="560" w:lineRule="exact"/>
              <w:jc w:val="right"/>
              <w:rPr>
                <w:rFonts w:eastAsia="仿宋_GB2312"/>
                <w:sz w:val="32"/>
              </w:rPr>
            </w:pPr>
            <w:r>
              <w:rPr>
                <w:rFonts w:eastAsia="仿宋_GB2312"/>
                <w:sz w:val="32"/>
              </w:rPr>
              <w:t>4号</w:t>
            </w:r>
          </w:p>
        </w:tc>
        <w:tc>
          <w:tcPr>
            <w:tcW w:w="0" w:type="auto"/>
            <w:vAlign w:val="center"/>
          </w:tcPr>
          <w:p w14:paraId="2DDE93CD">
            <w:pPr>
              <w:spacing w:line="560" w:lineRule="exact"/>
              <w:jc w:val="right"/>
              <w:rPr>
                <w:rFonts w:eastAsia="仿宋_GB2312"/>
                <w:sz w:val="32"/>
              </w:rPr>
            </w:pPr>
            <w:r>
              <w:rPr>
                <w:rFonts w:eastAsia="仿宋_GB2312"/>
                <w:sz w:val="32"/>
              </w:rPr>
              <w:t>31.84</w:t>
            </w:r>
          </w:p>
        </w:tc>
        <w:tc>
          <w:tcPr>
            <w:tcW w:w="0" w:type="auto"/>
            <w:vAlign w:val="center"/>
          </w:tcPr>
          <w:p w14:paraId="4ED8E7C7">
            <w:pPr>
              <w:spacing w:line="560" w:lineRule="exact"/>
              <w:jc w:val="right"/>
              <w:rPr>
                <w:rFonts w:eastAsia="仿宋_GB2312"/>
                <w:sz w:val="32"/>
              </w:rPr>
            </w:pPr>
            <w:r>
              <w:rPr>
                <w:rFonts w:eastAsia="仿宋_GB2312"/>
                <w:sz w:val="32"/>
              </w:rPr>
              <w:t>-9.27</w:t>
            </w:r>
          </w:p>
        </w:tc>
        <w:tc>
          <w:tcPr>
            <w:tcW w:w="0" w:type="auto"/>
            <w:vAlign w:val="center"/>
          </w:tcPr>
          <w:p w14:paraId="7240A1FE">
            <w:pPr>
              <w:spacing w:line="560" w:lineRule="exact"/>
              <w:jc w:val="right"/>
              <w:rPr>
                <w:rFonts w:eastAsia="仿宋_GB2312"/>
                <w:sz w:val="32"/>
              </w:rPr>
            </w:pPr>
            <w:r>
              <w:rPr>
                <w:rFonts w:eastAsia="仿宋_GB2312"/>
                <w:sz w:val="32"/>
              </w:rPr>
              <w:t>15.74</w:t>
            </w:r>
          </w:p>
        </w:tc>
        <w:tc>
          <w:tcPr>
            <w:tcW w:w="0" w:type="auto"/>
            <w:vAlign w:val="center"/>
          </w:tcPr>
          <w:p w14:paraId="0EC50C8A">
            <w:pPr>
              <w:spacing w:line="560" w:lineRule="exact"/>
              <w:jc w:val="right"/>
              <w:rPr>
                <w:rFonts w:eastAsia="仿宋_GB2312"/>
                <w:sz w:val="32"/>
              </w:rPr>
            </w:pPr>
            <w:r>
              <w:rPr>
                <w:rFonts w:eastAsia="仿宋_GB2312"/>
                <w:sz w:val="32"/>
              </w:rPr>
              <w:t>7.00</w:t>
            </w:r>
          </w:p>
        </w:tc>
      </w:tr>
      <w:tr w14:paraId="5BC2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7274606">
            <w:pPr>
              <w:spacing w:line="560" w:lineRule="exact"/>
              <w:jc w:val="right"/>
              <w:rPr>
                <w:rFonts w:eastAsia="仿宋_GB2312"/>
                <w:sz w:val="32"/>
              </w:rPr>
            </w:pPr>
            <w:r>
              <w:rPr>
                <w:rFonts w:eastAsia="仿宋_GB2312"/>
                <w:sz w:val="32"/>
              </w:rPr>
              <w:t>5号</w:t>
            </w:r>
          </w:p>
        </w:tc>
        <w:tc>
          <w:tcPr>
            <w:tcW w:w="0" w:type="auto"/>
            <w:vAlign w:val="center"/>
          </w:tcPr>
          <w:p w14:paraId="38B64985">
            <w:pPr>
              <w:spacing w:line="560" w:lineRule="exact"/>
              <w:jc w:val="right"/>
              <w:rPr>
                <w:rFonts w:eastAsia="仿宋_GB2312"/>
                <w:sz w:val="32"/>
              </w:rPr>
            </w:pPr>
            <w:r>
              <w:rPr>
                <w:rFonts w:eastAsia="仿宋_GB2312"/>
                <w:sz w:val="32"/>
              </w:rPr>
              <w:t>41.45</w:t>
            </w:r>
          </w:p>
        </w:tc>
        <w:tc>
          <w:tcPr>
            <w:tcW w:w="0" w:type="auto"/>
            <w:vAlign w:val="center"/>
          </w:tcPr>
          <w:p w14:paraId="442F382D">
            <w:pPr>
              <w:spacing w:line="560" w:lineRule="exact"/>
              <w:jc w:val="right"/>
              <w:rPr>
                <w:rFonts w:eastAsia="仿宋_GB2312"/>
                <w:sz w:val="32"/>
              </w:rPr>
            </w:pPr>
            <w:r>
              <w:rPr>
                <w:rFonts w:eastAsia="仿宋_GB2312"/>
                <w:sz w:val="32"/>
              </w:rPr>
              <w:t>-11.42</w:t>
            </w:r>
          </w:p>
        </w:tc>
        <w:tc>
          <w:tcPr>
            <w:tcW w:w="0" w:type="auto"/>
            <w:vAlign w:val="center"/>
          </w:tcPr>
          <w:p w14:paraId="628AED6A">
            <w:pPr>
              <w:spacing w:line="560" w:lineRule="exact"/>
              <w:jc w:val="right"/>
              <w:rPr>
                <w:rFonts w:eastAsia="仿宋_GB2312"/>
                <w:sz w:val="32"/>
              </w:rPr>
            </w:pPr>
            <w:r>
              <w:rPr>
                <w:rFonts w:eastAsia="仿宋_GB2312"/>
                <w:sz w:val="32"/>
              </w:rPr>
              <w:t>23.35</w:t>
            </w:r>
          </w:p>
        </w:tc>
        <w:tc>
          <w:tcPr>
            <w:tcW w:w="0" w:type="auto"/>
            <w:vAlign w:val="center"/>
          </w:tcPr>
          <w:p w14:paraId="0C11D50A">
            <w:pPr>
              <w:spacing w:line="560" w:lineRule="exact"/>
              <w:jc w:val="right"/>
              <w:rPr>
                <w:rFonts w:eastAsia="仿宋_GB2312"/>
                <w:sz w:val="32"/>
              </w:rPr>
            </w:pPr>
            <w:r>
              <w:rPr>
                <w:rFonts w:eastAsia="仿宋_GB2312"/>
                <w:sz w:val="32"/>
              </w:rPr>
              <w:t>10.00</w:t>
            </w:r>
          </w:p>
        </w:tc>
      </w:tr>
    </w:tbl>
    <w:p w14:paraId="6D75AA40">
      <w:pPr>
        <w:spacing w:line="560" w:lineRule="exact"/>
        <w:ind w:firstLine="640" w:firstLineChars="200"/>
        <w:rPr>
          <w:rFonts w:eastAsia="仿宋_GB2312" w:cs="Arial"/>
          <w:sz w:val="32"/>
        </w:rPr>
      </w:pPr>
      <w:r>
        <w:rPr>
          <w:rFonts w:hint="eastAsia" w:eastAsia="仿宋_GB2312" w:cs="Arial"/>
          <w:sz w:val="32"/>
        </w:rPr>
        <w:t>验证结果：研究发现，L值高（代表亮度高）且a值接近绿色范围的样品在感官评分中得分更高，这与消费者对“鲜绿色”为优质特性的普遍认知一致。因此，颜色被赋予10分，作为外观的核心指标。</w:t>
      </w:r>
    </w:p>
    <w:p w14:paraId="56115508">
      <w:pPr>
        <w:spacing w:line="560" w:lineRule="exact"/>
        <w:ind w:firstLine="640" w:firstLineChars="200"/>
        <w:rPr>
          <w:rFonts w:eastAsia="仿宋_GB2312" w:cs="Arial"/>
          <w:sz w:val="32"/>
        </w:rPr>
      </w:pPr>
      <w:r>
        <w:rPr>
          <w:rFonts w:hint="eastAsia" w:eastAsia="仿宋_GB2312" w:cs="Arial"/>
          <w:sz w:val="32"/>
        </w:rPr>
        <w:t>1.2整洁度和光泽的合理性验证</w:t>
      </w:r>
    </w:p>
    <w:p w14:paraId="71F7F071">
      <w:pPr>
        <w:spacing w:line="560" w:lineRule="exact"/>
        <w:ind w:firstLine="640" w:firstLineChars="200"/>
        <w:rPr>
          <w:rFonts w:eastAsia="仿宋_GB2312" w:cs="Arial"/>
          <w:sz w:val="32"/>
        </w:rPr>
      </w:pPr>
      <w:r>
        <w:rPr>
          <w:rFonts w:hint="eastAsia" w:eastAsia="仿宋_GB2312" w:cs="Arial"/>
          <w:sz w:val="32"/>
        </w:rPr>
        <w:t>试验方法：对比整洁度不同的样品（如有无杂质、病虫害）和表面光泽差异的样品，记录消费者对其商品化接受度的评分。</w:t>
      </w:r>
    </w:p>
    <w:p w14:paraId="4FD00567">
      <w:pPr>
        <w:spacing w:line="560" w:lineRule="exact"/>
        <w:ind w:firstLine="640" w:firstLineChars="200"/>
        <w:rPr>
          <w:rFonts w:eastAsia="仿宋_GB2312" w:cs="Arial"/>
          <w:sz w:val="32"/>
        </w:rPr>
      </w:pPr>
      <w:r>
        <w:rPr>
          <w:rFonts w:hint="eastAsia" w:eastAsia="仿宋_GB2312" w:cs="Arial"/>
          <w:sz w:val="32"/>
        </w:rPr>
        <w:t>验证结果：消费者对无杂质、有光泽的样品评价显著高于杂质明显或表面黯淡样品，验证整洁度（3分）和光泽（2分）的合理性，支持其作为外观的重要二级指标。</w:t>
      </w:r>
    </w:p>
    <w:p w14:paraId="7A6C1F0D">
      <w:pPr>
        <w:spacing w:line="560" w:lineRule="exact"/>
        <w:ind w:firstLine="640" w:firstLineChars="200"/>
        <w:rPr>
          <w:rFonts w:eastAsia="仿宋_GB2312" w:cs="Arial"/>
          <w:sz w:val="32"/>
        </w:rPr>
      </w:pPr>
      <w:r>
        <w:rPr>
          <w:rFonts w:hint="eastAsia" w:eastAsia="仿宋_GB2312" w:cs="Arial"/>
          <w:sz w:val="32"/>
        </w:rPr>
        <w:t>2.气味指标验证</w:t>
      </w:r>
    </w:p>
    <w:p w14:paraId="20F01F60">
      <w:pPr>
        <w:spacing w:line="560" w:lineRule="exact"/>
        <w:ind w:firstLine="640" w:firstLineChars="200"/>
        <w:rPr>
          <w:rFonts w:eastAsia="仿宋_GB2312" w:cs="Arial"/>
          <w:sz w:val="32"/>
        </w:rPr>
      </w:pPr>
      <w:r>
        <w:rPr>
          <w:rFonts w:hint="eastAsia" w:eastAsia="仿宋_GB2312" w:cs="Arial"/>
          <w:sz w:val="32"/>
        </w:rPr>
        <w:t>香气浓郁分值设置的验证</w:t>
      </w:r>
    </w:p>
    <w:p w14:paraId="36F05DD9">
      <w:pPr>
        <w:spacing w:line="560" w:lineRule="exact"/>
        <w:ind w:firstLine="640" w:firstLineChars="200"/>
        <w:rPr>
          <w:rFonts w:eastAsia="仿宋_GB2312" w:cs="Arial"/>
          <w:sz w:val="32"/>
        </w:rPr>
      </w:pPr>
      <w:r>
        <w:rPr>
          <w:rFonts w:hint="eastAsia" w:eastAsia="仿宋_GB2312" w:cs="Arial"/>
          <w:sz w:val="32"/>
        </w:rPr>
        <w:t>试验方法：分析测定辣木嫩梢煮制后的挥发性香气成分及浓度，并结合感官品评分析。</w:t>
      </w:r>
    </w:p>
    <w:p w14:paraId="3E4D1B9C">
      <w:pPr>
        <w:spacing w:line="560" w:lineRule="exact"/>
        <w:ind w:firstLine="640" w:firstLineChars="200"/>
        <w:rPr>
          <w:rFonts w:eastAsia="仿宋_GB2312" w:cs="Arial"/>
          <w:sz w:val="32"/>
        </w:rPr>
      </w:pPr>
      <w:r>
        <w:rPr>
          <w:rFonts w:hint="eastAsia" w:eastAsia="仿宋_GB2312" w:cs="Arial"/>
          <w:sz w:val="32"/>
        </w:rPr>
        <w:t>验证结果：香气浓郁的样品挥发性化合物的浓度显著高，对应感官评分一致较高。因此，香气浓郁的分值（15分）是科学合理的。</w:t>
      </w:r>
    </w:p>
    <w:p w14:paraId="2F28F7FB">
      <w:pPr>
        <w:spacing w:line="560" w:lineRule="exact"/>
        <w:ind w:firstLine="640" w:firstLineChars="200"/>
        <w:rPr>
          <w:rFonts w:eastAsia="仿宋_GB2312" w:cs="Arial"/>
          <w:sz w:val="32"/>
        </w:rPr>
      </w:pPr>
      <w:r>
        <w:rPr>
          <w:rFonts w:hint="eastAsia" w:eastAsia="仿宋_GB2312" w:cs="Arial"/>
          <w:sz w:val="32"/>
        </w:rPr>
        <w:t>3.滋味指标验证</w:t>
      </w:r>
    </w:p>
    <w:p w14:paraId="51BE1686">
      <w:pPr>
        <w:spacing w:line="560" w:lineRule="exact"/>
        <w:ind w:firstLine="640" w:firstLineChars="200"/>
        <w:rPr>
          <w:rFonts w:eastAsia="仿宋_GB2312" w:cs="Arial"/>
          <w:sz w:val="32"/>
        </w:rPr>
      </w:pPr>
      <w:r>
        <w:rPr>
          <w:rFonts w:hint="eastAsia" w:eastAsia="仿宋_GB2312" w:cs="Arial"/>
          <w:sz w:val="32"/>
        </w:rPr>
        <w:t>3.1鲜味分值设置的验证</w:t>
      </w:r>
    </w:p>
    <w:p w14:paraId="0472F151">
      <w:pPr>
        <w:spacing w:line="560" w:lineRule="exact"/>
        <w:ind w:firstLine="640" w:firstLineChars="200"/>
        <w:rPr>
          <w:rFonts w:eastAsia="仿宋_GB2312" w:cs="Arial"/>
          <w:sz w:val="32"/>
        </w:rPr>
      </w:pPr>
      <w:r>
        <w:rPr>
          <w:rFonts w:hint="eastAsia" w:eastAsia="仿宋_GB2312" w:cs="Arial"/>
          <w:sz w:val="32"/>
        </w:rPr>
        <w:t>试验方法：通过测定辣木嫩梢的鲜味物质（如谷氨酸和天冬氨酸）的含量，并与感官评价的鲜味评分进行相关性分析。</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tblGrid>
      <w:tr w14:paraId="35E6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48A073B6">
            <w:pPr>
              <w:spacing w:line="560" w:lineRule="exact"/>
              <w:rPr>
                <w:rFonts w:eastAsia="仿宋_GB2312" w:cs="Arial"/>
                <w:sz w:val="32"/>
              </w:rPr>
            </w:pPr>
            <w:r>
              <w:rPr>
                <w:rFonts w:hint="eastAsia" w:eastAsia="仿宋_GB2312" w:cs="Arial"/>
                <w:sz w:val="32"/>
              </w:rPr>
              <w:t>皮尔逊相关性</w:t>
            </w:r>
          </w:p>
        </w:tc>
        <w:tc>
          <w:tcPr>
            <w:tcW w:w="3020" w:type="dxa"/>
          </w:tcPr>
          <w:p w14:paraId="4E83EB4D">
            <w:pPr>
              <w:spacing w:line="560" w:lineRule="exact"/>
              <w:rPr>
                <w:rFonts w:eastAsia="仿宋_GB2312" w:cs="Arial"/>
                <w:sz w:val="32"/>
              </w:rPr>
            </w:pPr>
            <w:r>
              <w:rPr>
                <w:rFonts w:hint="eastAsia" w:eastAsia="仿宋_GB2312" w:cs="Arial"/>
                <w:sz w:val="32"/>
              </w:rPr>
              <w:t>鲜味分值</w:t>
            </w:r>
          </w:p>
        </w:tc>
      </w:tr>
      <w:tr w14:paraId="1D81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0" w:type="dxa"/>
          </w:tcPr>
          <w:p w14:paraId="72A6C1E5">
            <w:pPr>
              <w:spacing w:line="560" w:lineRule="exact"/>
              <w:rPr>
                <w:rFonts w:eastAsia="仿宋_GB2312" w:cs="Arial"/>
                <w:sz w:val="32"/>
              </w:rPr>
            </w:pPr>
            <w:r>
              <w:rPr>
                <w:rFonts w:hint="eastAsia" w:eastAsia="仿宋_GB2312" w:cs="Arial"/>
                <w:sz w:val="32"/>
              </w:rPr>
              <w:t>鲜味氨基酸含量</w:t>
            </w:r>
          </w:p>
        </w:tc>
        <w:tc>
          <w:tcPr>
            <w:tcW w:w="3020" w:type="dxa"/>
          </w:tcPr>
          <w:p w14:paraId="02695226">
            <w:pPr>
              <w:spacing w:line="560" w:lineRule="exact"/>
              <w:rPr>
                <w:rFonts w:eastAsia="仿宋_GB2312" w:cs="Arial"/>
                <w:sz w:val="32"/>
              </w:rPr>
            </w:pPr>
            <w:r>
              <w:rPr>
                <w:rFonts w:hint="eastAsia" w:eastAsia="仿宋_GB2312" w:cs="Arial"/>
                <w:sz w:val="32"/>
              </w:rPr>
              <w:t>0.545</w:t>
            </w:r>
          </w:p>
        </w:tc>
      </w:tr>
    </w:tbl>
    <w:p w14:paraId="01CB9A24">
      <w:pPr>
        <w:spacing w:line="560" w:lineRule="exact"/>
        <w:ind w:firstLine="640" w:firstLineChars="200"/>
        <w:rPr>
          <w:rFonts w:eastAsia="仿宋_GB2312" w:cs="Arial"/>
          <w:sz w:val="32"/>
        </w:rPr>
      </w:pPr>
      <w:r>
        <w:rPr>
          <w:rFonts w:hint="eastAsia" w:eastAsia="仿宋_GB2312" w:cs="Arial"/>
          <w:sz w:val="32"/>
        </w:rPr>
        <w:t>验证结果：鲜味物质含量高的样品在感官评分中表现更优（鲜味氨基酸含量与纤维分值呈正相关，相关系数达0.545），且鲜味得分（15分）对整体滋味评分贡献最大，验证分值设置的合理性。</w:t>
      </w:r>
    </w:p>
    <w:p w14:paraId="7AE519E9">
      <w:pPr>
        <w:spacing w:line="560" w:lineRule="exact"/>
        <w:ind w:firstLine="640" w:firstLineChars="200"/>
        <w:rPr>
          <w:rFonts w:eastAsia="仿宋_GB2312" w:cs="Arial"/>
          <w:sz w:val="32"/>
        </w:rPr>
      </w:pPr>
      <w:r>
        <w:rPr>
          <w:rFonts w:hint="eastAsia" w:eastAsia="仿宋_GB2312" w:cs="Arial"/>
          <w:sz w:val="32"/>
        </w:rPr>
        <w:t>3.2回味和均衡感验证</w:t>
      </w:r>
    </w:p>
    <w:p w14:paraId="422000C0">
      <w:pPr>
        <w:spacing w:line="560" w:lineRule="exact"/>
        <w:ind w:firstLine="640" w:firstLineChars="200"/>
        <w:rPr>
          <w:rFonts w:eastAsia="仿宋_GB2312" w:cs="Arial"/>
          <w:sz w:val="32"/>
        </w:rPr>
      </w:pPr>
      <w:r>
        <w:rPr>
          <w:rFonts w:hint="eastAsia" w:eastAsia="仿宋_GB2312" w:cs="Arial"/>
          <w:sz w:val="32"/>
        </w:rPr>
        <w:t>试验方法：邀请消费者模拟真实食用场景，通过品评小组记录样品的回味感受及风味均衡性。</w:t>
      </w:r>
    </w:p>
    <w:p w14:paraId="60C98EF4">
      <w:pPr>
        <w:spacing w:line="560" w:lineRule="exact"/>
        <w:ind w:firstLine="640" w:firstLineChars="200"/>
        <w:rPr>
          <w:rFonts w:eastAsia="仿宋_GB2312" w:cs="Arial"/>
          <w:sz w:val="32"/>
        </w:rPr>
      </w:pPr>
      <w:r>
        <w:rPr>
          <w:rFonts w:hint="eastAsia" w:eastAsia="仿宋_GB2312" w:cs="Arial"/>
          <w:sz w:val="32"/>
        </w:rPr>
        <w:t>验证结果：具有较长持久回味和风味均衡的样品被更多消费者接受，支持回味（10分）和均衡感（5分）的合理分值分配。</w:t>
      </w:r>
    </w:p>
    <w:p w14:paraId="2F7E123D">
      <w:pPr>
        <w:spacing w:line="560" w:lineRule="exact"/>
        <w:ind w:firstLine="640" w:firstLineChars="200"/>
        <w:rPr>
          <w:rFonts w:eastAsia="仿宋_GB2312" w:cs="Arial"/>
          <w:sz w:val="32"/>
        </w:rPr>
      </w:pPr>
      <w:r>
        <w:rPr>
          <w:rFonts w:hint="eastAsia" w:eastAsia="仿宋_GB2312" w:cs="Arial"/>
          <w:sz w:val="32"/>
        </w:rPr>
        <w:t>4.质地指标验证</w:t>
      </w:r>
    </w:p>
    <w:p w14:paraId="128E81B5">
      <w:pPr>
        <w:spacing w:line="560" w:lineRule="exact"/>
        <w:ind w:firstLine="640" w:firstLineChars="200"/>
        <w:rPr>
          <w:rFonts w:eastAsia="仿宋_GB2312" w:cs="Arial"/>
          <w:sz w:val="32"/>
        </w:rPr>
      </w:pPr>
      <w:r>
        <w:rPr>
          <w:rFonts w:hint="eastAsia" w:eastAsia="仿宋_GB2312" w:cs="Arial"/>
          <w:sz w:val="32"/>
        </w:rPr>
        <w:t>4.1嫩度分值设置的验证</w:t>
      </w:r>
    </w:p>
    <w:p w14:paraId="0012C48A">
      <w:pPr>
        <w:spacing w:line="560" w:lineRule="exact"/>
        <w:ind w:firstLine="640" w:firstLineChars="200"/>
        <w:rPr>
          <w:rFonts w:eastAsia="仿宋_GB2312" w:cs="Arial"/>
          <w:sz w:val="32"/>
        </w:rPr>
      </w:pPr>
      <w:r>
        <w:rPr>
          <w:rFonts w:hint="eastAsia" w:eastAsia="仿宋_GB2312" w:cs="Arial"/>
          <w:sz w:val="32"/>
        </w:rPr>
        <w:t>试验方法：测定辣木嫩梢样品的纤维含量，并与品评员的嫩度评分进行对比。</w:t>
      </w:r>
    </w:p>
    <w:p w14:paraId="6B0A960E">
      <w:pPr>
        <w:spacing w:line="560" w:lineRule="exact"/>
        <w:ind w:firstLine="640" w:firstLineChars="200"/>
        <w:rPr>
          <w:rFonts w:eastAsia="仿宋_GB2312" w:cs="Arial"/>
          <w:sz w:val="32"/>
        </w:rPr>
      </w:pPr>
      <w:r>
        <w:rPr>
          <w:rFonts w:hint="eastAsia" w:eastAsia="仿宋_GB2312" w:cs="Arial"/>
          <w:sz w:val="32"/>
        </w:rPr>
        <w:t>验证结果：纤维含量低的样品（代表嫩度高）在感官评分中得分显著更高，支持嫩度作为质地评价的核心指标，分值设置为15分科学合理。</w:t>
      </w:r>
    </w:p>
    <w:p w14:paraId="102B9293">
      <w:pPr>
        <w:spacing w:line="560" w:lineRule="exact"/>
        <w:ind w:firstLine="640" w:firstLineChars="200"/>
        <w:rPr>
          <w:rFonts w:eastAsia="仿宋_GB2312" w:cs="Arial"/>
          <w:sz w:val="32"/>
        </w:rPr>
      </w:pPr>
      <w:r>
        <w:rPr>
          <w:rFonts w:hint="eastAsia" w:eastAsia="仿宋_GB2312" w:cs="Arial"/>
          <w:sz w:val="32"/>
        </w:rPr>
        <w:t>4.2脆性和汁液感验证</w:t>
      </w:r>
    </w:p>
    <w:p w14:paraId="72A2B97C">
      <w:pPr>
        <w:spacing w:line="560" w:lineRule="exact"/>
        <w:ind w:firstLine="640" w:firstLineChars="200"/>
        <w:rPr>
          <w:rFonts w:eastAsia="仿宋_GB2312" w:cs="Arial"/>
          <w:sz w:val="32"/>
        </w:rPr>
      </w:pPr>
      <w:r>
        <w:rPr>
          <w:rFonts w:hint="eastAsia" w:eastAsia="仿宋_GB2312" w:cs="Arial"/>
          <w:sz w:val="32"/>
        </w:rPr>
        <w:t>试验方法：对比不同储藏条件（冷藏、常温）下辣木嫩梢的质地变化，通过品评员对口感脆性和汁液丰富度的评价分析结果。</w:t>
      </w:r>
    </w:p>
    <w:p w14:paraId="67B2D111">
      <w:pPr>
        <w:spacing w:line="560" w:lineRule="exact"/>
        <w:ind w:firstLine="640" w:firstLineChars="200"/>
        <w:rPr>
          <w:rFonts w:eastAsia="仿宋_GB2312" w:cs="Arial"/>
          <w:sz w:val="32"/>
        </w:rPr>
      </w:pPr>
      <w:r>
        <w:rPr>
          <w:rFonts w:hint="eastAsia" w:eastAsia="仿宋_GB2312" w:cs="Arial"/>
          <w:sz w:val="32"/>
        </w:rPr>
        <w:t>验证结果：储藏时间越短的样品脆性和汁液感越强，其感官评分越高，验证了脆性（10分）和汁液感（5分）的合理性。</w:t>
      </w:r>
    </w:p>
    <w:p w14:paraId="520B5F4D">
      <w:pPr>
        <w:spacing w:line="560" w:lineRule="exact"/>
        <w:ind w:firstLine="640" w:firstLineChars="200"/>
        <w:rPr>
          <w:rFonts w:eastAsia="仿宋_GB2312" w:cs="Arial"/>
          <w:sz w:val="32"/>
        </w:rPr>
      </w:pPr>
      <w:r>
        <w:rPr>
          <w:rFonts w:hint="eastAsia" w:eastAsia="仿宋_GB2312" w:cs="Arial"/>
          <w:sz w:val="32"/>
        </w:rPr>
        <w:t>5.评分方法和数据统计验证</w:t>
      </w:r>
    </w:p>
    <w:p w14:paraId="1953FCEB">
      <w:pPr>
        <w:spacing w:line="560" w:lineRule="exact"/>
        <w:ind w:firstLine="640" w:firstLineChars="200"/>
        <w:rPr>
          <w:rFonts w:eastAsia="仿宋_GB2312" w:cs="Arial"/>
          <w:sz w:val="32"/>
        </w:rPr>
      </w:pPr>
      <w:r>
        <w:rPr>
          <w:rFonts w:hint="eastAsia" w:eastAsia="仿宋_GB2312" w:cs="Arial"/>
          <w:sz w:val="32"/>
        </w:rPr>
        <w:t>5.1异常数据剔除规则验证</w:t>
      </w:r>
    </w:p>
    <w:p w14:paraId="461A8515">
      <w:pPr>
        <w:spacing w:line="560" w:lineRule="exact"/>
        <w:ind w:firstLine="640" w:firstLineChars="200"/>
        <w:rPr>
          <w:rFonts w:eastAsia="仿宋_GB2312" w:cs="Arial"/>
          <w:sz w:val="32"/>
        </w:rPr>
      </w:pPr>
      <w:r>
        <w:rPr>
          <w:rFonts w:hint="eastAsia" w:eastAsia="仿宋_GB2312" w:cs="Arial"/>
          <w:sz w:val="32"/>
        </w:rPr>
        <w:t>试验方法：模拟不同品评员评分标准，通过对超过平均值10分的极端数据剔除前后，比较总分平均值的变化及数据稳定性。</w:t>
      </w:r>
    </w:p>
    <w:p w14:paraId="02705BF0">
      <w:pPr>
        <w:spacing w:line="560" w:lineRule="exact"/>
        <w:ind w:firstLine="640" w:firstLineChars="200"/>
        <w:rPr>
          <w:rFonts w:eastAsia="仿宋_GB2312" w:cs="Arial"/>
          <w:sz w:val="32"/>
        </w:rPr>
      </w:pPr>
      <w:r>
        <w:rPr>
          <w:rFonts w:hint="eastAsia" w:eastAsia="仿宋_GB2312" w:cs="Arial"/>
          <w:sz w:val="32"/>
        </w:rPr>
        <w:t>验证结果：剔除异常值后的平均分更稳定，符合科学数据处理的规范，支持剔除规则的合理性。</w:t>
      </w:r>
    </w:p>
    <w:p w14:paraId="2B83A97B">
      <w:pPr>
        <w:spacing w:line="560" w:lineRule="exact"/>
        <w:ind w:firstLine="640" w:firstLineChars="200"/>
        <w:rPr>
          <w:rFonts w:eastAsia="仿宋_GB2312" w:cs="Arial"/>
          <w:sz w:val="32"/>
        </w:rPr>
      </w:pPr>
      <w:r>
        <w:rPr>
          <w:rFonts w:hint="eastAsia" w:eastAsia="仿宋_GB2312" w:cs="Arial"/>
          <w:sz w:val="32"/>
        </w:rPr>
        <w:t>5.2评分一致性验证</w:t>
      </w:r>
    </w:p>
    <w:p w14:paraId="75099C5D">
      <w:pPr>
        <w:spacing w:line="560" w:lineRule="exact"/>
        <w:ind w:firstLine="640" w:firstLineChars="200"/>
        <w:rPr>
          <w:rFonts w:eastAsia="仿宋_GB2312" w:cs="Arial"/>
          <w:sz w:val="32"/>
        </w:rPr>
      </w:pPr>
      <w:r>
        <w:rPr>
          <w:rFonts w:hint="eastAsia" w:eastAsia="仿宋_GB2312" w:cs="Arial"/>
          <w:sz w:val="32"/>
        </w:rPr>
        <w:t>试验方法：通过重复评价同一批次样品，分析不同品评员评分的一致性（计算变异系数）。</w:t>
      </w:r>
    </w:p>
    <w:p w14:paraId="0CC093F9">
      <w:pPr>
        <w:spacing w:line="560" w:lineRule="exact"/>
        <w:ind w:firstLine="640" w:firstLineChars="200"/>
        <w:rPr>
          <w:rFonts w:eastAsia="仿宋_GB2312" w:cs="Arial"/>
          <w:sz w:val="32"/>
          <w:highlight w:val="yellow"/>
        </w:rPr>
      </w:pPr>
      <w:r>
        <w:rPr>
          <w:rFonts w:hint="eastAsia" w:eastAsia="仿宋_GB2312" w:cs="Arial"/>
          <w:sz w:val="32"/>
        </w:rPr>
        <w:t>验证结果：在统一培训后，品评员的评分一致性显著提高，变异系数低于10%，验证品评方法的可靠性。</w:t>
      </w:r>
    </w:p>
    <w:bookmarkEnd w:id="1"/>
    <w:p w14:paraId="52F9786B">
      <w:pPr>
        <w:pStyle w:val="3"/>
        <w:spacing w:before="0" w:after="0" w:line="560" w:lineRule="exact"/>
        <w:ind w:firstLine="643" w:firstLineChars="200"/>
        <w:rPr>
          <w:rFonts w:eastAsia="楷体_GB2312"/>
        </w:rPr>
      </w:pPr>
      <w:r>
        <w:rPr>
          <w:rFonts w:hint="eastAsia" w:eastAsia="楷体_GB2312"/>
        </w:rPr>
        <w:t>（二）</w:t>
      </w:r>
      <w:r>
        <w:rPr>
          <w:rFonts w:eastAsia="楷体_GB2312"/>
        </w:rPr>
        <w:t>技术经济论证</w:t>
      </w:r>
      <w:r>
        <w:rPr>
          <w:rFonts w:hint="eastAsia" w:eastAsia="楷体_GB2312"/>
        </w:rPr>
        <w:t>、</w:t>
      </w:r>
      <w:r>
        <w:rPr>
          <w:rFonts w:eastAsia="楷体_GB2312"/>
        </w:rPr>
        <w:t>预期的经济效果</w:t>
      </w:r>
    </w:p>
    <w:p w14:paraId="478D8D38">
      <w:pPr>
        <w:spacing w:line="560" w:lineRule="exact"/>
        <w:ind w:firstLine="640" w:firstLineChars="200"/>
        <w:rPr>
          <w:rFonts w:eastAsia="仿宋_GB2312" w:cs="Arial"/>
          <w:sz w:val="32"/>
        </w:rPr>
      </w:pPr>
      <w:r>
        <w:rPr>
          <w:rFonts w:hint="eastAsia" w:eastAsia="仿宋_GB2312" w:cs="Arial"/>
          <w:sz w:val="32"/>
        </w:rPr>
        <w:t>本标准实施后，将通过提升辣木蔬菜品质、规范市场秩序和扩大产业规模，推动辣木产业链的高质量发展。其经济效益主要体现在：直接经济效益（如附加值提升、出口增加）每年出现新增；间接经济效益（如区域经济带动、就业机会增加）将进一步放大其社会价值。</w:t>
      </w:r>
    </w:p>
    <w:p w14:paraId="1C6F69D9">
      <w:pPr>
        <w:spacing w:line="560" w:lineRule="exact"/>
        <w:ind w:firstLine="640" w:firstLineChars="200"/>
        <w:rPr>
          <w:rFonts w:eastAsia="仿宋_GB2312" w:cs="Arial"/>
          <w:sz w:val="32"/>
        </w:rPr>
      </w:pPr>
      <w:r>
        <w:rPr>
          <w:rFonts w:hint="eastAsia" w:eastAsia="仿宋_GB2312" w:cs="Arial"/>
          <w:sz w:val="32"/>
        </w:rPr>
        <w:t>标准的实施不仅为辣木产业创造可观的经济回报，也为农业绿色发展和农村振兴提供了强有力的技术支撑。</w:t>
      </w:r>
    </w:p>
    <w:p w14:paraId="793C6EC3">
      <w:pPr>
        <w:pStyle w:val="2"/>
        <w:spacing w:before="0" w:after="0" w:line="560" w:lineRule="exact"/>
        <w:ind w:firstLine="640" w:firstLineChars="200"/>
        <w:rPr>
          <w:rFonts w:eastAsia="黑体"/>
          <w:b w:val="0"/>
          <w:sz w:val="32"/>
        </w:rPr>
      </w:pPr>
      <w:r>
        <w:rPr>
          <w:rFonts w:eastAsia="黑体"/>
          <w:b w:val="0"/>
          <w:sz w:val="32"/>
        </w:rPr>
        <w:t>四、采用国际标准和国外先进标准的程度</w:t>
      </w:r>
    </w:p>
    <w:p w14:paraId="1E72333E">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1.采用国际标准的程度</w:t>
      </w:r>
    </w:p>
    <w:p w14:paraId="1E248381">
      <w:pPr>
        <w:spacing w:line="560" w:lineRule="exact"/>
        <w:ind w:firstLine="640" w:firstLineChars="200"/>
        <w:rPr>
          <w:rFonts w:eastAsia="仿宋_GB2312" w:cs="Arial"/>
          <w:sz w:val="32"/>
        </w:rPr>
      </w:pPr>
      <w:r>
        <w:rPr>
          <w:rFonts w:hint="eastAsia" w:eastAsia="仿宋_GB2312" w:cs="Arial"/>
          <w:sz w:val="32"/>
        </w:rPr>
        <w:t>本标准在制定过程中参考了国际上通行的感官分析和食品品质评价的通用规范，主要体现在以下方面：</w:t>
      </w:r>
    </w:p>
    <w:p w14:paraId="79D5A541">
      <w:pPr>
        <w:spacing w:line="560" w:lineRule="exact"/>
        <w:ind w:firstLine="640" w:firstLineChars="200"/>
        <w:rPr>
          <w:rFonts w:eastAsia="仿宋_GB2312" w:cs="Arial"/>
          <w:sz w:val="32"/>
        </w:rPr>
      </w:pPr>
      <w:r>
        <w:rPr>
          <w:rFonts w:hint="eastAsia" w:eastAsia="仿宋_GB2312" w:cs="Arial"/>
          <w:sz w:val="32"/>
        </w:rPr>
        <w:t>1.1感官分析方法</w:t>
      </w:r>
    </w:p>
    <w:p w14:paraId="1431B410">
      <w:pPr>
        <w:spacing w:line="560" w:lineRule="exact"/>
        <w:ind w:firstLine="640" w:firstLineChars="200"/>
        <w:rPr>
          <w:rFonts w:eastAsia="仿宋_GB2312" w:cs="Arial"/>
          <w:sz w:val="32"/>
        </w:rPr>
      </w:pPr>
      <w:r>
        <w:rPr>
          <w:rFonts w:hint="eastAsia" w:eastAsia="仿宋_GB2312" w:cs="Arial"/>
          <w:sz w:val="32"/>
        </w:rPr>
        <w:t>参考了ISO6658:2017《感官分析通用指南》，在评价的总体框架、评价程序、评分方法等方面与国际规范保持一致。</w:t>
      </w:r>
    </w:p>
    <w:p w14:paraId="51D5909E">
      <w:pPr>
        <w:spacing w:line="560" w:lineRule="exact"/>
        <w:ind w:firstLine="640" w:firstLineChars="200"/>
        <w:rPr>
          <w:rFonts w:eastAsia="仿宋_GB2312" w:cs="Arial"/>
          <w:sz w:val="32"/>
        </w:rPr>
      </w:pPr>
      <w:r>
        <w:rPr>
          <w:rFonts w:hint="eastAsia" w:eastAsia="仿宋_GB2312" w:cs="Arial"/>
          <w:sz w:val="32"/>
        </w:rPr>
        <w:t>标准中使用的评分方法（如二级指标分值分配、数据异常值剔除）均符合国际通行的感官评价原则。</w:t>
      </w:r>
    </w:p>
    <w:p w14:paraId="0919F031">
      <w:pPr>
        <w:spacing w:line="560" w:lineRule="exact"/>
        <w:ind w:firstLine="640" w:firstLineChars="200"/>
        <w:rPr>
          <w:rFonts w:eastAsia="仿宋_GB2312" w:cs="Arial"/>
          <w:sz w:val="32"/>
        </w:rPr>
      </w:pPr>
      <w:r>
        <w:rPr>
          <w:rFonts w:hint="eastAsia" w:eastAsia="仿宋_GB2312" w:cs="Arial"/>
          <w:sz w:val="32"/>
        </w:rPr>
        <w:t>1.2实验室环境要求</w:t>
      </w:r>
    </w:p>
    <w:p w14:paraId="432045C4">
      <w:pPr>
        <w:spacing w:line="560" w:lineRule="exact"/>
        <w:ind w:firstLine="640" w:firstLineChars="200"/>
        <w:rPr>
          <w:rFonts w:eastAsia="仿宋_GB2312" w:cs="Arial"/>
          <w:sz w:val="32"/>
        </w:rPr>
      </w:pPr>
      <w:r>
        <w:rPr>
          <w:rFonts w:hint="eastAsia" w:eastAsia="仿宋_GB2312" w:cs="Arial"/>
          <w:sz w:val="32"/>
        </w:rPr>
        <w:t>根据ISO8589:2007《感官分析感官实验室设计》对实验室光照、温湿度及空气质量的要求，本标准中规定的品评室条件（温度20-25℃，湿度50-70%，光线稳定，无异味干扰）与国际标准一致。</w:t>
      </w:r>
    </w:p>
    <w:p w14:paraId="4821525C">
      <w:pPr>
        <w:spacing w:line="560" w:lineRule="exact"/>
        <w:ind w:firstLine="640" w:firstLineChars="200"/>
        <w:rPr>
          <w:rFonts w:eastAsia="仿宋_GB2312" w:cs="Arial"/>
          <w:sz w:val="32"/>
        </w:rPr>
      </w:pPr>
      <w:r>
        <w:rPr>
          <w:rFonts w:hint="eastAsia" w:eastAsia="仿宋_GB2312" w:cs="Arial"/>
          <w:sz w:val="32"/>
        </w:rPr>
        <w:t>1.3品评员要求</w:t>
      </w:r>
    </w:p>
    <w:p w14:paraId="41616B50">
      <w:pPr>
        <w:spacing w:line="560" w:lineRule="exact"/>
        <w:ind w:firstLine="640" w:firstLineChars="200"/>
        <w:rPr>
          <w:rFonts w:eastAsia="仿宋_GB2312" w:cs="Arial"/>
          <w:sz w:val="32"/>
        </w:rPr>
      </w:pPr>
      <w:r>
        <w:rPr>
          <w:rFonts w:hint="eastAsia" w:eastAsia="仿宋_GB2312" w:cs="Arial"/>
          <w:sz w:val="32"/>
        </w:rPr>
        <w:t>参考了ISO8586:2012《感官分析专业品评员选择、培训和监控指南》，在品评员的选拔、培训和能力评价方面，采用了类似的科学方法。</w:t>
      </w:r>
    </w:p>
    <w:p w14:paraId="515EB860">
      <w:pPr>
        <w:spacing w:line="560" w:lineRule="exact"/>
        <w:ind w:firstLine="640" w:firstLineChars="200"/>
        <w:rPr>
          <w:rFonts w:eastAsia="仿宋_GB2312" w:cs="Arial"/>
          <w:sz w:val="32"/>
        </w:rPr>
      </w:pPr>
      <w:r>
        <w:rPr>
          <w:rFonts w:hint="eastAsia" w:eastAsia="仿宋_GB2312" w:cs="Arial"/>
          <w:sz w:val="32"/>
        </w:rPr>
        <w:t>1.4食品颜色评价</w:t>
      </w:r>
    </w:p>
    <w:p w14:paraId="39D40C53">
      <w:pPr>
        <w:spacing w:line="560" w:lineRule="exact"/>
        <w:ind w:firstLine="640" w:firstLineChars="200"/>
        <w:rPr>
          <w:rFonts w:eastAsia="仿宋_GB2312" w:cs="Arial"/>
          <w:sz w:val="32"/>
        </w:rPr>
      </w:pPr>
      <w:r>
        <w:rPr>
          <w:rFonts w:hint="eastAsia" w:eastAsia="仿宋_GB2312" w:cs="Arial"/>
          <w:sz w:val="32"/>
        </w:rPr>
        <w:t>依据ISO11037:2011《感官分析食品和饮料颜色评价指南》，本标准在辣木蔬菜颜色评价中引入了色差仪测定与感官评分结合的模式，确保客观性。</w:t>
      </w:r>
    </w:p>
    <w:p w14:paraId="16E990A4">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2.与国际标准水平的对比</w:t>
      </w:r>
    </w:p>
    <w:p w14:paraId="195E97CE">
      <w:pPr>
        <w:spacing w:line="560" w:lineRule="exact"/>
        <w:ind w:firstLine="640" w:firstLineChars="200"/>
        <w:rPr>
          <w:rFonts w:eastAsia="仿宋_GB2312" w:cs="Arial"/>
          <w:sz w:val="32"/>
        </w:rPr>
      </w:pPr>
      <w:r>
        <w:rPr>
          <w:rFonts w:hint="eastAsia" w:eastAsia="仿宋_GB2312" w:cs="Arial"/>
          <w:sz w:val="32"/>
        </w:rPr>
        <w:t>2.1全面性</w:t>
      </w:r>
    </w:p>
    <w:p w14:paraId="5CF28477">
      <w:pPr>
        <w:spacing w:line="560" w:lineRule="exact"/>
        <w:ind w:firstLine="640" w:firstLineChars="200"/>
        <w:rPr>
          <w:rFonts w:eastAsia="仿宋_GB2312" w:cs="Arial"/>
          <w:sz w:val="32"/>
        </w:rPr>
      </w:pPr>
      <w:r>
        <w:rPr>
          <w:rFonts w:hint="eastAsia" w:eastAsia="仿宋_GB2312" w:cs="Arial"/>
          <w:sz w:val="32"/>
        </w:rPr>
        <w:t>本标准在涵盖外观、气味、滋味、质地等感官评价指标的基础上，针对辣木蔬菜的特殊性新增了如“光泽”“回味”“均衡感”等具体二级指标。与国际通用的蔬菜类感官评价标准相比，本标准更细化，评价体系更适用于辣木蔬菜的特点。</w:t>
      </w:r>
    </w:p>
    <w:p w14:paraId="5ED09FC5">
      <w:pPr>
        <w:spacing w:line="560" w:lineRule="exact"/>
        <w:ind w:firstLine="640" w:firstLineChars="200"/>
        <w:rPr>
          <w:rFonts w:eastAsia="仿宋_GB2312" w:cs="Arial"/>
          <w:sz w:val="32"/>
        </w:rPr>
      </w:pPr>
      <w:r>
        <w:rPr>
          <w:rFonts w:hint="eastAsia" w:eastAsia="仿宋_GB2312" w:cs="Arial"/>
          <w:sz w:val="32"/>
        </w:rPr>
        <w:t>2.2科学性</w:t>
      </w:r>
    </w:p>
    <w:p w14:paraId="048E40E8">
      <w:pPr>
        <w:spacing w:line="560" w:lineRule="exact"/>
        <w:ind w:firstLine="640" w:firstLineChars="200"/>
        <w:rPr>
          <w:rFonts w:eastAsia="仿宋_GB2312" w:cs="Arial"/>
          <w:sz w:val="32"/>
        </w:rPr>
      </w:pPr>
      <w:r>
        <w:rPr>
          <w:rFonts w:hint="eastAsia" w:eastAsia="仿宋_GB2312" w:cs="Arial"/>
          <w:sz w:val="32"/>
        </w:rPr>
        <w:t>标准制定过程中结合国际规范，采用了实验室仪器（如质构仪、色差仪、电子鼻）辅助感官评价的方法，这一方法与国际先进标准（如ISO13299:2016《感官分析描述性分析指南》）在技术路径上基本一致。</w:t>
      </w:r>
    </w:p>
    <w:p w14:paraId="605CACD1">
      <w:pPr>
        <w:spacing w:line="560" w:lineRule="exact"/>
        <w:ind w:firstLine="640" w:firstLineChars="200"/>
        <w:rPr>
          <w:rFonts w:eastAsia="仿宋_GB2312" w:cs="Arial"/>
          <w:sz w:val="32"/>
        </w:rPr>
      </w:pPr>
      <w:r>
        <w:rPr>
          <w:rFonts w:hint="eastAsia" w:eastAsia="仿宋_GB2312" w:cs="Arial"/>
          <w:sz w:val="32"/>
        </w:rPr>
        <w:t>2.3区域适用性</w:t>
      </w:r>
    </w:p>
    <w:p w14:paraId="5E5EB207">
      <w:pPr>
        <w:spacing w:line="560" w:lineRule="exact"/>
        <w:ind w:firstLine="640" w:firstLineChars="200"/>
        <w:rPr>
          <w:rFonts w:eastAsia="仿宋_GB2312" w:cs="Arial"/>
          <w:sz w:val="32"/>
        </w:rPr>
      </w:pPr>
      <w:r>
        <w:rPr>
          <w:rFonts w:hint="eastAsia" w:eastAsia="仿宋_GB2312" w:cs="Arial"/>
          <w:sz w:val="32"/>
        </w:rPr>
        <w:t>国际标准多为通用型，而本标准针对辣木蔬菜这一特定产品进行了定制化指标设计，如强调“鲜绿色”“嫩滑多汁”等特性，与辣木蔬菜的消费者需求和市场特性更契合。</w:t>
      </w:r>
    </w:p>
    <w:p w14:paraId="71E0AA28">
      <w:pPr>
        <w:pStyle w:val="2"/>
        <w:spacing w:before="0" w:after="0" w:line="560" w:lineRule="exact"/>
        <w:ind w:firstLine="640" w:firstLineChars="200"/>
        <w:rPr>
          <w:rFonts w:eastAsia="黑体"/>
          <w:b w:val="0"/>
          <w:sz w:val="32"/>
        </w:rPr>
      </w:pPr>
      <w:r>
        <w:rPr>
          <w:rFonts w:eastAsia="黑体"/>
          <w:b w:val="0"/>
          <w:sz w:val="32"/>
        </w:rPr>
        <w:t>五、与现行的法律法规和强制性国家标准的关系</w:t>
      </w:r>
    </w:p>
    <w:p w14:paraId="52ECA4C9">
      <w:pPr>
        <w:spacing w:line="560" w:lineRule="exact"/>
        <w:ind w:firstLine="640" w:firstLineChars="200"/>
        <w:rPr>
          <w:rFonts w:eastAsia="仿宋_GB2312" w:cs="Arial"/>
          <w:sz w:val="32"/>
        </w:rPr>
      </w:pPr>
      <w:r>
        <w:rPr>
          <w:rFonts w:hint="eastAsia" w:eastAsia="仿宋_GB2312" w:cs="Arial"/>
          <w:sz w:val="32"/>
        </w:rPr>
        <w:t>在本标准的制定过程中，充分考虑了与现行法律法规和强制性标准的衔接与协调，确保标准符合国家相关政策要求，同时在内容和执行上与现行法规和强制性标准保持一致性和互补性。</w:t>
      </w:r>
    </w:p>
    <w:p w14:paraId="5B7A8E5B">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1.与现行法律法规的衔接</w:t>
      </w:r>
    </w:p>
    <w:p w14:paraId="07B42303">
      <w:pPr>
        <w:spacing w:line="560" w:lineRule="exact"/>
        <w:ind w:firstLine="640" w:firstLineChars="200"/>
        <w:rPr>
          <w:rFonts w:eastAsia="仿宋_GB2312" w:cs="Arial"/>
          <w:sz w:val="32"/>
        </w:rPr>
      </w:pPr>
      <w:r>
        <w:rPr>
          <w:rFonts w:hint="eastAsia" w:eastAsia="仿宋_GB2312" w:cs="Arial"/>
          <w:sz w:val="32"/>
        </w:rPr>
        <w:t>本标准的制定严格遵循我国现行相关法律法规，确保其合法性和规范性。以下为与本标准密切相关的法律法规：</w:t>
      </w:r>
    </w:p>
    <w:p w14:paraId="24AFD76C">
      <w:pPr>
        <w:spacing w:line="560" w:lineRule="exact"/>
        <w:ind w:firstLine="640" w:firstLineChars="200"/>
        <w:rPr>
          <w:rFonts w:eastAsia="仿宋_GB2312" w:cs="Arial"/>
          <w:sz w:val="32"/>
        </w:rPr>
      </w:pPr>
      <w:r>
        <w:rPr>
          <w:rFonts w:hint="eastAsia" w:eastAsia="仿宋_GB2312" w:cs="Arial"/>
          <w:sz w:val="32"/>
        </w:rPr>
        <w:t>1.1《中华人民共和国食品安全法》</w:t>
      </w:r>
    </w:p>
    <w:p w14:paraId="08E81FF5">
      <w:pPr>
        <w:spacing w:line="560" w:lineRule="exact"/>
        <w:ind w:firstLine="640" w:firstLineChars="200"/>
        <w:rPr>
          <w:rFonts w:eastAsia="仿宋_GB2312" w:cs="Arial"/>
          <w:sz w:val="32"/>
        </w:rPr>
      </w:pPr>
      <w:r>
        <w:rPr>
          <w:rFonts w:hint="eastAsia" w:eastAsia="仿宋_GB2312" w:cs="Arial"/>
          <w:sz w:val="32"/>
        </w:rPr>
        <w:t>衔接内容：本标准涉及辣木蔬菜的感官品质评价，符合《食品安全法》关于保障食品质量和安全的基本原则。本标准中品评环境要求、样品制备步骤均遵循食品卫生和安全的相关规定。</w:t>
      </w:r>
    </w:p>
    <w:p w14:paraId="4C1EA5B0">
      <w:pPr>
        <w:spacing w:line="560" w:lineRule="exact"/>
        <w:ind w:firstLine="640" w:firstLineChars="200"/>
        <w:rPr>
          <w:rFonts w:eastAsia="仿宋_GB2312" w:cs="Arial"/>
          <w:sz w:val="32"/>
        </w:rPr>
      </w:pPr>
      <w:r>
        <w:rPr>
          <w:rFonts w:hint="eastAsia" w:eastAsia="仿宋_GB2312" w:cs="Arial"/>
          <w:sz w:val="32"/>
        </w:rPr>
        <w:t>协调情况：重点协调与食品安全相关的内容，如避免污染物引入的操作要求，与该法规对食品生产和流通的管理规范一致。</w:t>
      </w:r>
    </w:p>
    <w:p w14:paraId="4EC726CE">
      <w:pPr>
        <w:spacing w:line="560" w:lineRule="exact"/>
        <w:ind w:firstLine="640" w:firstLineChars="200"/>
        <w:rPr>
          <w:rFonts w:eastAsia="仿宋_GB2312" w:cs="Arial"/>
          <w:sz w:val="32"/>
        </w:rPr>
      </w:pPr>
      <w:r>
        <w:rPr>
          <w:rFonts w:hint="eastAsia" w:eastAsia="仿宋_GB2312" w:cs="Arial"/>
          <w:sz w:val="32"/>
        </w:rPr>
        <w:t>1.2《农产品质量安全法》</w:t>
      </w:r>
    </w:p>
    <w:p w14:paraId="49288CD2">
      <w:pPr>
        <w:spacing w:line="560" w:lineRule="exact"/>
        <w:ind w:firstLine="640" w:firstLineChars="200"/>
        <w:rPr>
          <w:rFonts w:eastAsia="仿宋_GB2312" w:cs="Arial"/>
          <w:sz w:val="32"/>
        </w:rPr>
      </w:pPr>
      <w:r>
        <w:rPr>
          <w:rFonts w:hint="eastAsia" w:eastAsia="仿宋_GB2312" w:cs="Arial"/>
          <w:sz w:val="32"/>
        </w:rPr>
        <w:t>衔接内容：本标准适用于辣木嫩梢这一农产品，符合该法关于保障农产品品质的要求。本标准涉及的感官指标（如外观、气味）为农产品质量检测的常用评价内容。</w:t>
      </w:r>
    </w:p>
    <w:p w14:paraId="33AF21EA">
      <w:pPr>
        <w:spacing w:line="560" w:lineRule="exact"/>
        <w:ind w:firstLine="640" w:firstLineChars="200"/>
        <w:rPr>
          <w:rFonts w:eastAsia="仿宋_GB2312" w:cs="Arial"/>
          <w:sz w:val="32"/>
        </w:rPr>
      </w:pPr>
      <w:r>
        <w:rPr>
          <w:rFonts w:hint="eastAsia" w:eastAsia="仿宋_GB2312" w:cs="Arial"/>
          <w:sz w:val="32"/>
        </w:rPr>
        <w:t>协调情况：感官评价与农产品质量检测标准衔接，形成从种植到流通的完整质量控制体系。</w:t>
      </w:r>
    </w:p>
    <w:p w14:paraId="60B4EEBD">
      <w:pPr>
        <w:spacing w:line="560" w:lineRule="exact"/>
        <w:ind w:firstLine="640" w:firstLineChars="200"/>
        <w:rPr>
          <w:rFonts w:eastAsia="仿宋_GB2312" w:cs="Arial"/>
          <w:sz w:val="32"/>
        </w:rPr>
      </w:pPr>
      <w:r>
        <w:rPr>
          <w:rFonts w:hint="eastAsia" w:eastAsia="仿宋_GB2312" w:cs="Arial"/>
          <w:sz w:val="32"/>
        </w:rPr>
        <w:t>1.3《标准化法》</w:t>
      </w:r>
    </w:p>
    <w:p w14:paraId="1837B59C">
      <w:pPr>
        <w:spacing w:line="560" w:lineRule="exact"/>
        <w:ind w:firstLine="640" w:firstLineChars="200"/>
        <w:rPr>
          <w:rFonts w:eastAsia="仿宋_GB2312" w:cs="Arial"/>
          <w:sz w:val="32"/>
        </w:rPr>
      </w:pPr>
      <w:r>
        <w:rPr>
          <w:rFonts w:hint="eastAsia" w:eastAsia="仿宋_GB2312" w:cs="Arial"/>
          <w:sz w:val="32"/>
        </w:rPr>
        <w:t>衔接内容：本标准按照《标准化法》的要求制定，为辣木蔬菜行业提供团体标准，填补了该领域的标准空白。</w:t>
      </w:r>
    </w:p>
    <w:p w14:paraId="2C3ED932">
      <w:pPr>
        <w:spacing w:line="560" w:lineRule="exact"/>
        <w:ind w:firstLine="640" w:firstLineChars="200"/>
        <w:rPr>
          <w:rFonts w:eastAsia="仿宋_GB2312" w:cs="Arial"/>
          <w:sz w:val="32"/>
        </w:rPr>
      </w:pPr>
      <w:r>
        <w:rPr>
          <w:rFonts w:hint="eastAsia" w:eastAsia="仿宋_GB2312" w:cs="Arial"/>
          <w:sz w:val="32"/>
        </w:rPr>
        <w:t>协调情况：本标准与国家和行业现有标准形成互补关系，强化团体标准在辣木蔬菜生产和质量评价中的作用。</w:t>
      </w:r>
    </w:p>
    <w:p w14:paraId="021F1D7F">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2.与相关强制性标准的衔接</w:t>
      </w:r>
    </w:p>
    <w:p w14:paraId="7EBB4BCD">
      <w:pPr>
        <w:spacing w:line="560" w:lineRule="exact"/>
        <w:ind w:firstLine="640" w:firstLineChars="200"/>
        <w:rPr>
          <w:rFonts w:eastAsia="仿宋_GB2312" w:cs="Arial"/>
          <w:sz w:val="32"/>
        </w:rPr>
      </w:pPr>
      <w:r>
        <w:rPr>
          <w:rFonts w:hint="eastAsia" w:eastAsia="仿宋_GB2312" w:cs="Arial"/>
          <w:sz w:val="32"/>
        </w:rPr>
        <w:t>2.1GB2762-2022《食品安全国家标准食品中污染物限量》</w:t>
      </w:r>
    </w:p>
    <w:p w14:paraId="7258004B">
      <w:pPr>
        <w:spacing w:line="560" w:lineRule="exact"/>
        <w:ind w:firstLine="640" w:firstLineChars="200"/>
        <w:rPr>
          <w:rFonts w:eastAsia="仿宋_GB2312" w:cs="Arial"/>
          <w:sz w:val="32"/>
        </w:rPr>
      </w:pPr>
      <w:r>
        <w:rPr>
          <w:rFonts w:hint="eastAsia" w:eastAsia="仿宋_GB2312" w:cs="Arial"/>
          <w:sz w:val="32"/>
        </w:rPr>
        <w:t>衔接内容：本标准中的样品制备及煮制过程中，严格遵守GB2762中食品中污染物限量的要求，确保辣木蔬菜的卫生和安全。</w:t>
      </w:r>
    </w:p>
    <w:p w14:paraId="351021BA">
      <w:pPr>
        <w:spacing w:line="560" w:lineRule="exact"/>
        <w:ind w:firstLine="640" w:firstLineChars="200"/>
        <w:rPr>
          <w:rFonts w:eastAsia="仿宋_GB2312" w:cs="Arial"/>
          <w:sz w:val="32"/>
        </w:rPr>
      </w:pPr>
      <w:r>
        <w:rPr>
          <w:rFonts w:hint="eastAsia" w:eastAsia="仿宋_GB2312" w:cs="Arial"/>
          <w:sz w:val="32"/>
        </w:rPr>
        <w:t>协调情况：重点协调感官评价样品的准备和卫生操作，与污染物限量控制要求一致。</w:t>
      </w:r>
    </w:p>
    <w:p w14:paraId="46EAA660">
      <w:pPr>
        <w:spacing w:line="560" w:lineRule="exact"/>
        <w:ind w:firstLine="640" w:firstLineChars="200"/>
        <w:rPr>
          <w:rFonts w:eastAsia="仿宋_GB2312" w:cs="Arial"/>
          <w:sz w:val="32"/>
        </w:rPr>
      </w:pPr>
      <w:r>
        <w:rPr>
          <w:rFonts w:hint="eastAsia" w:eastAsia="仿宋_GB2312" w:cs="Arial"/>
          <w:sz w:val="32"/>
        </w:rPr>
        <w:t>2.2GB2763-2021《食品安全国家标准食品中农药最大残留限量》</w:t>
      </w:r>
    </w:p>
    <w:p w14:paraId="32FD877E">
      <w:pPr>
        <w:spacing w:line="560" w:lineRule="exact"/>
        <w:ind w:firstLine="640" w:firstLineChars="200"/>
        <w:rPr>
          <w:rFonts w:eastAsia="仿宋_GB2312" w:cs="Arial"/>
          <w:sz w:val="32"/>
        </w:rPr>
      </w:pPr>
      <w:r>
        <w:rPr>
          <w:rFonts w:hint="eastAsia" w:eastAsia="仿宋_GB2312" w:cs="Arial"/>
          <w:sz w:val="32"/>
        </w:rPr>
        <w:t>衔接内容：本标准中的辣木嫩梢感官评价，与GB2763对农药残留限量的规定相互补充，确保样品感官评价的安全性。</w:t>
      </w:r>
    </w:p>
    <w:p w14:paraId="4343C5B7">
      <w:pPr>
        <w:spacing w:line="560" w:lineRule="exact"/>
        <w:ind w:firstLine="640" w:firstLineChars="200"/>
        <w:rPr>
          <w:rFonts w:eastAsia="仿宋_GB2312" w:cs="Arial"/>
          <w:sz w:val="32"/>
        </w:rPr>
      </w:pPr>
      <w:r>
        <w:rPr>
          <w:rFonts w:hint="eastAsia" w:eastAsia="仿宋_GB2312" w:cs="Arial"/>
          <w:sz w:val="32"/>
        </w:rPr>
        <w:t>协调情况：通过协调感官评价与农药残留检测的操作要求，建立感官品质与安全指标的双重控制。</w:t>
      </w:r>
    </w:p>
    <w:p w14:paraId="1A04C843">
      <w:pPr>
        <w:spacing w:line="560" w:lineRule="exact"/>
        <w:ind w:firstLine="640" w:firstLineChars="200"/>
        <w:rPr>
          <w:rFonts w:eastAsia="仿宋_GB2312" w:cs="Arial"/>
          <w:sz w:val="32"/>
        </w:rPr>
      </w:pPr>
      <w:r>
        <w:rPr>
          <w:rFonts w:hint="eastAsia" w:eastAsia="仿宋_GB2312" w:cs="Arial"/>
          <w:sz w:val="32"/>
        </w:rPr>
        <w:t>2.3GB14881-2013《食品安全国家标准食品生产通用卫生规范》</w:t>
      </w:r>
    </w:p>
    <w:p w14:paraId="44837075">
      <w:pPr>
        <w:spacing w:line="560" w:lineRule="exact"/>
        <w:ind w:firstLine="640" w:firstLineChars="200"/>
        <w:rPr>
          <w:rFonts w:eastAsia="仿宋_GB2312" w:cs="Arial"/>
          <w:sz w:val="32"/>
        </w:rPr>
      </w:pPr>
      <w:r>
        <w:rPr>
          <w:rFonts w:hint="eastAsia" w:eastAsia="仿宋_GB2312" w:cs="Arial"/>
          <w:sz w:val="32"/>
        </w:rPr>
        <w:t>衔接内容：本标准要求品评环境符合卫生要求，与GB14881对食品生产卫生的要求一致，确保品评的样品安全可靠。</w:t>
      </w:r>
    </w:p>
    <w:p w14:paraId="017E023D">
      <w:pPr>
        <w:spacing w:line="560" w:lineRule="exact"/>
        <w:ind w:firstLine="640" w:firstLineChars="200"/>
        <w:rPr>
          <w:rFonts w:eastAsia="仿宋_GB2312" w:cs="Arial"/>
          <w:sz w:val="32"/>
        </w:rPr>
      </w:pPr>
      <w:r>
        <w:rPr>
          <w:rFonts w:hint="eastAsia" w:eastAsia="仿宋_GB2312" w:cs="Arial"/>
          <w:sz w:val="32"/>
        </w:rPr>
        <w:t>协调情况：本标准在品评环境、操作步骤上严格遵循GB14881，保证卫生安全。</w:t>
      </w:r>
    </w:p>
    <w:p w14:paraId="5A288772">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3.与行业和地方标准的协调</w:t>
      </w:r>
    </w:p>
    <w:p w14:paraId="5FE0FD79">
      <w:pPr>
        <w:spacing w:line="560" w:lineRule="exact"/>
        <w:ind w:firstLine="640" w:firstLineChars="200"/>
        <w:rPr>
          <w:rFonts w:eastAsia="仿宋_GB2312" w:cs="Arial"/>
          <w:sz w:val="32"/>
        </w:rPr>
      </w:pPr>
      <w:r>
        <w:rPr>
          <w:rFonts w:hint="eastAsia" w:eastAsia="仿宋_GB2312" w:cs="Arial"/>
          <w:sz w:val="32"/>
        </w:rPr>
        <w:t>3.1NY/T3330-2018《辣木鲜叶储藏保鲜技术规程》</w:t>
      </w:r>
    </w:p>
    <w:p w14:paraId="55690730">
      <w:pPr>
        <w:spacing w:line="560" w:lineRule="exact"/>
        <w:ind w:firstLine="640" w:firstLineChars="200"/>
        <w:rPr>
          <w:rFonts w:eastAsia="仿宋_GB2312" w:cs="Arial"/>
          <w:sz w:val="32"/>
        </w:rPr>
      </w:pPr>
      <w:r>
        <w:rPr>
          <w:rFonts w:hint="eastAsia" w:eastAsia="仿宋_GB2312" w:cs="Arial"/>
          <w:sz w:val="32"/>
        </w:rPr>
        <w:t>衔接内容：本标准与NY/T3330共同构建辣木蔬菜从采摘、储藏到品质评价的全流程技术体系。本标准的样品采摘、制备过程与该标准一致。</w:t>
      </w:r>
    </w:p>
    <w:p w14:paraId="39459C6C">
      <w:pPr>
        <w:spacing w:line="560" w:lineRule="exact"/>
        <w:ind w:firstLine="640" w:firstLineChars="200"/>
        <w:rPr>
          <w:rFonts w:eastAsia="仿宋_GB2312" w:cs="Arial"/>
          <w:sz w:val="32"/>
        </w:rPr>
      </w:pPr>
      <w:r>
        <w:rPr>
          <w:rFonts w:hint="eastAsia" w:eastAsia="仿宋_GB2312" w:cs="Arial"/>
          <w:sz w:val="32"/>
        </w:rPr>
        <w:t>协调情况：对样品采摘时段、操作环境等技术要求进行了同步协调，确保感官评价环节与储藏保鲜技术的无缝衔接。</w:t>
      </w:r>
    </w:p>
    <w:p w14:paraId="3E8EA8DC">
      <w:pPr>
        <w:spacing w:line="560" w:lineRule="exact"/>
        <w:ind w:firstLine="640" w:firstLineChars="200"/>
        <w:rPr>
          <w:rFonts w:eastAsia="仿宋_GB2312" w:cs="Arial"/>
          <w:sz w:val="32"/>
        </w:rPr>
      </w:pPr>
      <w:r>
        <w:rPr>
          <w:rFonts w:hint="eastAsia" w:eastAsia="仿宋_GB2312" w:cs="Arial"/>
          <w:sz w:val="32"/>
        </w:rPr>
        <w:t>3.2GH/T1142-2014《辣木叶质量等级》</w:t>
      </w:r>
    </w:p>
    <w:p w14:paraId="01F0E0A9">
      <w:pPr>
        <w:spacing w:line="560" w:lineRule="exact"/>
        <w:ind w:firstLine="640" w:firstLineChars="200"/>
        <w:rPr>
          <w:rFonts w:eastAsia="仿宋_GB2312" w:cs="Arial"/>
          <w:sz w:val="32"/>
        </w:rPr>
      </w:pPr>
      <w:r>
        <w:rPr>
          <w:rFonts w:hint="eastAsia" w:eastAsia="仿宋_GB2312" w:cs="Arial"/>
          <w:sz w:val="32"/>
        </w:rPr>
        <w:t>衔接内容：本标准在感官指标设计上参考了GH/T1142对辣木叶等级的外观、颜色等要求，增强了两标准在辣木产业中的适用性。</w:t>
      </w:r>
    </w:p>
    <w:p w14:paraId="10E7539E">
      <w:pPr>
        <w:spacing w:line="560" w:lineRule="exact"/>
        <w:ind w:firstLine="640" w:firstLineChars="200"/>
        <w:rPr>
          <w:rFonts w:eastAsia="仿宋_GB2312" w:cs="Arial"/>
          <w:sz w:val="32"/>
        </w:rPr>
      </w:pPr>
      <w:r>
        <w:rPr>
          <w:rFonts w:hint="eastAsia" w:eastAsia="仿宋_GB2312" w:cs="Arial"/>
          <w:sz w:val="32"/>
        </w:rPr>
        <w:t>协调情况：协调了质量等级评价与感官评价的评价体系，统一辣木蔬菜产品的质量控制标准。</w:t>
      </w:r>
    </w:p>
    <w:p w14:paraId="157F8BED">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4.协调机制和结果</w:t>
      </w:r>
    </w:p>
    <w:p w14:paraId="5927BE11">
      <w:pPr>
        <w:spacing w:line="560" w:lineRule="exact"/>
        <w:ind w:firstLine="640" w:firstLineChars="200"/>
        <w:rPr>
          <w:rFonts w:eastAsia="仿宋_GB2312" w:cs="Arial"/>
          <w:sz w:val="32"/>
        </w:rPr>
      </w:pPr>
      <w:r>
        <w:rPr>
          <w:rFonts w:hint="eastAsia" w:eastAsia="仿宋_GB2312" w:cs="Arial"/>
          <w:sz w:val="32"/>
        </w:rPr>
        <w:t>4.1完整性</w:t>
      </w:r>
    </w:p>
    <w:p w14:paraId="64B36A24">
      <w:pPr>
        <w:spacing w:line="560" w:lineRule="exact"/>
        <w:ind w:firstLine="640" w:firstLineChars="200"/>
        <w:rPr>
          <w:rFonts w:eastAsia="仿宋_GB2312" w:cs="Arial"/>
          <w:sz w:val="32"/>
        </w:rPr>
      </w:pPr>
      <w:r>
        <w:rPr>
          <w:rFonts w:hint="eastAsia" w:eastAsia="仿宋_GB2312" w:cs="Arial"/>
          <w:sz w:val="32"/>
        </w:rPr>
        <w:t>本标准通过与法律法规和强制性标准的衔接，形成了辣木蔬菜从安全性检测到感官品质评价的完整标准体系。</w:t>
      </w:r>
    </w:p>
    <w:p w14:paraId="51FBCA5B">
      <w:pPr>
        <w:spacing w:line="560" w:lineRule="exact"/>
        <w:ind w:firstLine="640" w:firstLineChars="200"/>
        <w:rPr>
          <w:rFonts w:eastAsia="仿宋_GB2312" w:cs="Arial"/>
          <w:sz w:val="32"/>
        </w:rPr>
      </w:pPr>
      <w:r>
        <w:rPr>
          <w:rFonts w:hint="eastAsia" w:eastAsia="仿宋_GB2312" w:cs="Arial"/>
          <w:sz w:val="32"/>
        </w:rPr>
        <w:t>4.2可操作性</w:t>
      </w:r>
    </w:p>
    <w:p w14:paraId="438EF8BF">
      <w:pPr>
        <w:spacing w:line="560" w:lineRule="exact"/>
        <w:ind w:firstLine="640" w:firstLineChars="200"/>
        <w:rPr>
          <w:rFonts w:eastAsia="仿宋_GB2312" w:cs="Arial"/>
          <w:sz w:val="32"/>
        </w:rPr>
      </w:pPr>
      <w:r>
        <w:rPr>
          <w:rFonts w:hint="eastAsia" w:eastAsia="仿宋_GB2312" w:cs="Arial"/>
          <w:sz w:val="32"/>
        </w:rPr>
        <w:t>与强制性标准（如GB2762、GB2763）协调后，本标准在感官评价环节进一步强化了样品制备和安全控制的操作规范。</w:t>
      </w:r>
    </w:p>
    <w:p w14:paraId="5EE9A29C">
      <w:pPr>
        <w:spacing w:line="560" w:lineRule="exact"/>
        <w:ind w:firstLine="640" w:firstLineChars="200"/>
        <w:rPr>
          <w:rFonts w:eastAsia="仿宋_GB2312" w:cs="Arial"/>
          <w:sz w:val="32"/>
        </w:rPr>
      </w:pPr>
      <w:r>
        <w:rPr>
          <w:rFonts w:hint="eastAsia" w:eastAsia="仿宋_GB2312" w:cs="Arial"/>
          <w:sz w:val="32"/>
        </w:rPr>
        <w:t>4.3行业推广性</w:t>
      </w:r>
    </w:p>
    <w:p w14:paraId="441011BD">
      <w:pPr>
        <w:spacing w:line="560" w:lineRule="exact"/>
        <w:ind w:firstLine="640" w:firstLineChars="200"/>
        <w:rPr>
          <w:rFonts w:eastAsia="仿宋_GB2312" w:cs="Arial"/>
          <w:sz w:val="32"/>
        </w:rPr>
      </w:pPr>
      <w:r>
        <w:rPr>
          <w:rFonts w:hint="eastAsia" w:eastAsia="仿宋_GB2312" w:cs="Arial"/>
          <w:sz w:val="32"/>
        </w:rPr>
        <w:t>协调NY/T3330和GH/T1142后，本标准在辣木蔬菜产业中的适用性增强，有助于推动团体标准的行业采纳和推广。</w:t>
      </w:r>
    </w:p>
    <w:p w14:paraId="37855C0C">
      <w:pPr>
        <w:spacing w:line="560" w:lineRule="exact"/>
        <w:ind w:firstLine="640" w:firstLineChars="200"/>
        <w:rPr>
          <w:rFonts w:eastAsia="仿宋_GB2312" w:cs="Arial"/>
          <w:sz w:val="32"/>
        </w:rPr>
      </w:pPr>
      <w:r>
        <w:rPr>
          <w:rFonts w:hint="eastAsia" w:eastAsia="仿宋_GB2312" w:cs="Arial"/>
          <w:sz w:val="32"/>
        </w:rPr>
        <w:t>5.</w:t>
      </w:r>
      <w:r>
        <w:rPr>
          <w:rFonts w:hint="eastAsia"/>
        </w:rPr>
        <w:t xml:space="preserve"> </w:t>
      </w:r>
      <w:r>
        <w:rPr>
          <w:rFonts w:hint="eastAsia" w:eastAsia="仿宋_GB2312" w:cs="Arial"/>
          <w:sz w:val="32"/>
        </w:rPr>
        <w:t>相关法律法规和强制性标准列表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2"/>
        <w:gridCol w:w="2350"/>
        <w:gridCol w:w="2958"/>
      </w:tblGrid>
      <w:tr w14:paraId="6C917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22910C7">
            <w:pPr>
              <w:spacing w:line="560" w:lineRule="exact"/>
              <w:jc w:val="center"/>
              <w:rPr>
                <w:rFonts w:eastAsia="仿宋_GB2312" w:cs="Arial"/>
                <w:sz w:val="32"/>
              </w:rPr>
            </w:pPr>
            <w:r>
              <w:rPr>
                <w:rFonts w:hint="eastAsia" w:eastAsia="仿宋_GB2312" w:cs="Arial"/>
                <w:sz w:val="32"/>
              </w:rPr>
              <w:t>名称</w:t>
            </w:r>
          </w:p>
        </w:tc>
        <w:tc>
          <w:tcPr>
            <w:tcW w:w="0" w:type="auto"/>
            <w:vAlign w:val="center"/>
          </w:tcPr>
          <w:p w14:paraId="4C7562A8">
            <w:pPr>
              <w:spacing w:line="560" w:lineRule="exact"/>
              <w:jc w:val="center"/>
              <w:rPr>
                <w:rFonts w:eastAsia="仿宋_GB2312" w:cs="Arial"/>
                <w:sz w:val="32"/>
              </w:rPr>
            </w:pPr>
            <w:r>
              <w:rPr>
                <w:rFonts w:hint="eastAsia" w:eastAsia="仿宋_GB2312" w:cs="Arial"/>
                <w:sz w:val="32"/>
              </w:rPr>
              <w:t>编号</w:t>
            </w:r>
          </w:p>
        </w:tc>
        <w:tc>
          <w:tcPr>
            <w:tcW w:w="0" w:type="auto"/>
            <w:vAlign w:val="center"/>
          </w:tcPr>
          <w:p w14:paraId="4E56A1FE">
            <w:pPr>
              <w:spacing w:line="560" w:lineRule="exact"/>
              <w:jc w:val="center"/>
              <w:rPr>
                <w:rFonts w:eastAsia="仿宋_GB2312" w:cs="Arial"/>
                <w:sz w:val="32"/>
              </w:rPr>
            </w:pPr>
            <w:r>
              <w:rPr>
                <w:rFonts w:hint="eastAsia" w:eastAsia="仿宋_GB2312" w:cs="Arial"/>
                <w:sz w:val="32"/>
              </w:rPr>
              <w:t>适用范围及作用</w:t>
            </w:r>
          </w:p>
        </w:tc>
      </w:tr>
      <w:tr w14:paraId="3642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41EB353">
            <w:pPr>
              <w:spacing w:line="560" w:lineRule="exact"/>
              <w:jc w:val="center"/>
              <w:rPr>
                <w:rFonts w:eastAsia="仿宋_GB2312" w:cs="Arial"/>
                <w:sz w:val="32"/>
              </w:rPr>
            </w:pPr>
            <w:r>
              <w:rPr>
                <w:rFonts w:hint="eastAsia" w:eastAsia="仿宋_GB2312" w:cs="Arial"/>
                <w:sz w:val="32"/>
              </w:rPr>
              <w:t>《中华人民共和国食品安全法》</w:t>
            </w:r>
          </w:p>
        </w:tc>
        <w:tc>
          <w:tcPr>
            <w:tcW w:w="0" w:type="auto"/>
            <w:vAlign w:val="center"/>
          </w:tcPr>
          <w:p w14:paraId="48D24AFF">
            <w:pPr>
              <w:spacing w:line="560" w:lineRule="exact"/>
              <w:jc w:val="center"/>
              <w:rPr>
                <w:rFonts w:eastAsia="仿宋_GB2312" w:cs="Arial"/>
                <w:sz w:val="32"/>
              </w:rPr>
            </w:pPr>
          </w:p>
        </w:tc>
        <w:tc>
          <w:tcPr>
            <w:tcW w:w="0" w:type="auto"/>
            <w:vAlign w:val="center"/>
          </w:tcPr>
          <w:p w14:paraId="4693FC4B">
            <w:pPr>
              <w:spacing w:line="560" w:lineRule="exact"/>
              <w:jc w:val="center"/>
              <w:rPr>
                <w:rFonts w:eastAsia="仿宋_GB2312" w:cs="Arial"/>
                <w:sz w:val="32"/>
              </w:rPr>
            </w:pPr>
            <w:r>
              <w:rPr>
                <w:rFonts w:hint="eastAsia" w:eastAsia="仿宋_GB2312" w:cs="Arial"/>
                <w:sz w:val="32"/>
              </w:rPr>
              <w:t>食品生产、流通及消费环节的基础法律</w:t>
            </w:r>
          </w:p>
        </w:tc>
      </w:tr>
      <w:tr w14:paraId="2FA5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3103057">
            <w:pPr>
              <w:spacing w:line="560" w:lineRule="exact"/>
              <w:jc w:val="center"/>
              <w:rPr>
                <w:rFonts w:eastAsia="仿宋_GB2312" w:cs="Arial"/>
                <w:sz w:val="32"/>
              </w:rPr>
            </w:pPr>
            <w:r>
              <w:rPr>
                <w:rFonts w:hint="eastAsia" w:eastAsia="仿宋_GB2312" w:cs="Arial"/>
                <w:sz w:val="32"/>
              </w:rPr>
              <w:t>《农产品质量安全法》</w:t>
            </w:r>
          </w:p>
        </w:tc>
        <w:tc>
          <w:tcPr>
            <w:tcW w:w="0" w:type="auto"/>
            <w:vAlign w:val="center"/>
          </w:tcPr>
          <w:p w14:paraId="0F1B528C">
            <w:pPr>
              <w:spacing w:line="560" w:lineRule="exact"/>
              <w:jc w:val="center"/>
              <w:rPr>
                <w:rFonts w:eastAsia="仿宋_GB2312" w:cs="Arial"/>
                <w:sz w:val="32"/>
              </w:rPr>
            </w:pPr>
          </w:p>
        </w:tc>
        <w:tc>
          <w:tcPr>
            <w:tcW w:w="0" w:type="auto"/>
            <w:vAlign w:val="center"/>
          </w:tcPr>
          <w:p w14:paraId="263A8FA4">
            <w:pPr>
              <w:spacing w:line="560" w:lineRule="exact"/>
              <w:jc w:val="center"/>
              <w:rPr>
                <w:rFonts w:eastAsia="仿宋_GB2312" w:cs="Arial"/>
                <w:sz w:val="32"/>
              </w:rPr>
            </w:pPr>
            <w:r>
              <w:rPr>
                <w:rFonts w:hint="eastAsia" w:eastAsia="仿宋_GB2312" w:cs="Arial"/>
                <w:sz w:val="32"/>
              </w:rPr>
              <w:t>农产品生产和销售环节的质量安全保障</w:t>
            </w:r>
          </w:p>
        </w:tc>
      </w:tr>
      <w:tr w14:paraId="468E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492A64">
            <w:pPr>
              <w:spacing w:line="560" w:lineRule="exact"/>
              <w:jc w:val="center"/>
              <w:rPr>
                <w:rFonts w:eastAsia="仿宋_GB2312" w:cs="Arial"/>
                <w:sz w:val="32"/>
              </w:rPr>
            </w:pPr>
            <w:r>
              <w:rPr>
                <w:rFonts w:hint="eastAsia" w:eastAsia="仿宋_GB2312" w:cs="Arial"/>
                <w:sz w:val="32"/>
              </w:rPr>
              <w:t>GB2762-2022《食品中污染物限量》</w:t>
            </w:r>
          </w:p>
        </w:tc>
        <w:tc>
          <w:tcPr>
            <w:tcW w:w="0" w:type="auto"/>
            <w:vAlign w:val="center"/>
          </w:tcPr>
          <w:p w14:paraId="7BEC3456">
            <w:pPr>
              <w:spacing w:line="560" w:lineRule="exact"/>
              <w:jc w:val="center"/>
              <w:rPr>
                <w:rFonts w:eastAsia="仿宋_GB2312" w:cs="Arial"/>
                <w:sz w:val="32"/>
              </w:rPr>
            </w:pPr>
            <w:r>
              <w:rPr>
                <w:rFonts w:hint="eastAsia" w:eastAsia="仿宋_GB2312" w:cs="Arial"/>
                <w:sz w:val="32"/>
              </w:rPr>
              <w:t>GB2762-2022</w:t>
            </w:r>
          </w:p>
        </w:tc>
        <w:tc>
          <w:tcPr>
            <w:tcW w:w="0" w:type="auto"/>
            <w:vAlign w:val="center"/>
          </w:tcPr>
          <w:p w14:paraId="2FA0CABE">
            <w:pPr>
              <w:spacing w:line="560" w:lineRule="exact"/>
              <w:jc w:val="center"/>
              <w:rPr>
                <w:rFonts w:eastAsia="仿宋_GB2312" w:cs="Arial"/>
                <w:sz w:val="32"/>
              </w:rPr>
            </w:pPr>
            <w:r>
              <w:rPr>
                <w:rFonts w:hint="eastAsia" w:eastAsia="仿宋_GB2312" w:cs="Arial"/>
                <w:sz w:val="32"/>
              </w:rPr>
              <w:t>控制食品中污染物含量，确保卫生安全</w:t>
            </w:r>
          </w:p>
        </w:tc>
      </w:tr>
      <w:tr w14:paraId="015C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A7B6270">
            <w:pPr>
              <w:spacing w:line="560" w:lineRule="exact"/>
              <w:jc w:val="center"/>
              <w:rPr>
                <w:rFonts w:eastAsia="仿宋_GB2312" w:cs="Arial"/>
                <w:sz w:val="32"/>
              </w:rPr>
            </w:pPr>
            <w:r>
              <w:rPr>
                <w:rFonts w:hint="eastAsia" w:eastAsia="仿宋_GB2312" w:cs="Arial"/>
                <w:sz w:val="32"/>
              </w:rPr>
              <w:t>GB2763-2021《食品中农药最大残留限量》</w:t>
            </w:r>
          </w:p>
        </w:tc>
        <w:tc>
          <w:tcPr>
            <w:tcW w:w="0" w:type="auto"/>
            <w:vAlign w:val="center"/>
          </w:tcPr>
          <w:p w14:paraId="1A7C63A4">
            <w:pPr>
              <w:spacing w:line="560" w:lineRule="exact"/>
              <w:jc w:val="center"/>
              <w:rPr>
                <w:rFonts w:eastAsia="仿宋_GB2312" w:cs="Arial"/>
                <w:sz w:val="32"/>
              </w:rPr>
            </w:pPr>
            <w:r>
              <w:rPr>
                <w:rFonts w:hint="eastAsia" w:eastAsia="仿宋_GB2312" w:cs="Arial"/>
                <w:sz w:val="32"/>
              </w:rPr>
              <w:t>GB2763-2021</w:t>
            </w:r>
          </w:p>
        </w:tc>
        <w:tc>
          <w:tcPr>
            <w:tcW w:w="0" w:type="auto"/>
            <w:vAlign w:val="center"/>
          </w:tcPr>
          <w:p w14:paraId="31075535">
            <w:pPr>
              <w:spacing w:line="560" w:lineRule="exact"/>
              <w:jc w:val="center"/>
              <w:rPr>
                <w:rFonts w:eastAsia="仿宋_GB2312" w:cs="Arial"/>
                <w:sz w:val="32"/>
              </w:rPr>
            </w:pPr>
            <w:r>
              <w:rPr>
                <w:rFonts w:hint="eastAsia" w:eastAsia="仿宋_GB2312" w:cs="Arial"/>
                <w:sz w:val="32"/>
              </w:rPr>
              <w:t>限制食品中农药残留量，确保样品感官评价的安全性</w:t>
            </w:r>
          </w:p>
        </w:tc>
      </w:tr>
      <w:tr w14:paraId="334D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AC46C14">
            <w:pPr>
              <w:spacing w:line="560" w:lineRule="exact"/>
              <w:jc w:val="center"/>
              <w:rPr>
                <w:rFonts w:eastAsia="仿宋_GB2312" w:cs="Arial"/>
                <w:sz w:val="32"/>
              </w:rPr>
            </w:pPr>
            <w:r>
              <w:rPr>
                <w:rFonts w:hint="eastAsia" w:eastAsia="仿宋_GB2312" w:cs="Arial"/>
                <w:sz w:val="32"/>
              </w:rPr>
              <w:t>GB14881-2013《食品生产通用卫生规范》</w:t>
            </w:r>
          </w:p>
        </w:tc>
        <w:tc>
          <w:tcPr>
            <w:tcW w:w="0" w:type="auto"/>
            <w:vAlign w:val="center"/>
          </w:tcPr>
          <w:p w14:paraId="3C733088">
            <w:pPr>
              <w:spacing w:line="560" w:lineRule="exact"/>
              <w:jc w:val="center"/>
              <w:rPr>
                <w:rFonts w:eastAsia="仿宋_GB2312" w:cs="Arial"/>
                <w:sz w:val="32"/>
              </w:rPr>
            </w:pPr>
            <w:r>
              <w:rPr>
                <w:rFonts w:hint="eastAsia" w:eastAsia="仿宋_GB2312" w:cs="Arial"/>
                <w:sz w:val="32"/>
              </w:rPr>
              <w:t>GB14881-2013</w:t>
            </w:r>
          </w:p>
        </w:tc>
        <w:tc>
          <w:tcPr>
            <w:tcW w:w="0" w:type="auto"/>
            <w:vAlign w:val="center"/>
          </w:tcPr>
          <w:p w14:paraId="2A199A9D">
            <w:pPr>
              <w:spacing w:line="560" w:lineRule="exact"/>
              <w:jc w:val="center"/>
              <w:rPr>
                <w:rFonts w:eastAsia="仿宋_GB2312" w:cs="Arial"/>
                <w:sz w:val="32"/>
              </w:rPr>
            </w:pPr>
            <w:r>
              <w:rPr>
                <w:rFonts w:hint="eastAsia" w:eastAsia="仿宋_GB2312" w:cs="Arial"/>
                <w:sz w:val="32"/>
              </w:rPr>
              <w:t>指导食品生产的卫生管理要求</w:t>
            </w:r>
          </w:p>
        </w:tc>
      </w:tr>
      <w:tr w14:paraId="4C05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55AB09D">
            <w:pPr>
              <w:spacing w:line="560" w:lineRule="exact"/>
              <w:jc w:val="center"/>
              <w:rPr>
                <w:rFonts w:eastAsia="仿宋_GB2312" w:cs="Arial"/>
                <w:sz w:val="32"/>
              </w:rPr>
            </w:pPr>
            <w:r>
              <w:rPr>
                <w:rFonts w:hint="eastAsia" w:eastAsia="仿宋_GB2312" w:cs="Arial"/>
                <w:sz w:val="32"/>
              </w:rPr>
              <w:t>NY/T3330-2018《辣木鲜叶储藏保鲜技术规程》</w:t>
            </w:r>
          </w:p>
        </w:tc>
        <w:tc>
          <w:tcPr>
            <w:tcW w:w="0" w:type="auto"/>
            <w:vAlign w:val="center"/>
          </w:tcPr>
          <w:p w14:paraId="73363ED0">
            <w:pPr>
              <w:spacing w:line="560" w:lineRule="exact"/>
              <w:jc w:val="center"/>
              <w:rPr>
                <w:rFonts w:eastAsia="仿宋_GB2312" w:cs="Arial"/>
                <w:sz w:val="32"/>
              </w:rPr>
            </w:pPr>
            <w:r>
              <w:rPr>
                <w:rFonts w:hint="eastAsia" w:eastAsia="仿宋_GB2312" w:cs="Arial"/>
                <w:sz w:val="32"/>
              </w:rPr>
              <w:t>NY/T3330-2018</w:t>
            </w:r>
          </w:p>
        </w:tc>
        <w:tc>
          <w:tcPr>
            <w:tcW w:w="0" w:type="auto"/>
            <w:vAlign w:val="center"/>
          </w:tcPr>
          <w:p w14:paraId="0314B238">
            <w:pPr>
              <w:spacing w:line="560" w:lineRule="exact"/>
              <w:jc w:val="center"/>
              <w:rPr>
                <w:rFonts w:eastAsia="仿宋_GB2312" w:cs="Arial"/>
                <w:sz w:val="32"/>
              </w:rPr>
            </w:pPr>
            <w:r>
              <w:rPr>
                <w:rFonts w:hint="eastAsia" w:eastAsia="仿宋_GB2312" w:cs="Arial"/>
                <w:sz w:val="32"/>
              </w:rPr>
              <w:t>指导辣木蔬菜从采摘到储藏的全流程保鲜技术</w:t>
            </w:r>
          </w:p>
        </w:tc>
      </w:tr>
      <w:tr w14:paraId="78BF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3372EFC">
            <w:pPr>
              <w:spacing w:line="560" w:lineRule="exact"/>
              <w:jc w:val="center"/>
              <w:rPr>
                <w:rFonts w:eastAsia="仿宋_GB2312" w:cs="Arial"/>
                <w:sz w:val="32"/>
              </w:rPr>
            </w:pPr>
            <w:r>
              <w:rPr>
                <w:rFonts w:hint="eastAsia" w:eastAsia="仿宋_GB2312" w:cs="Arial"/>
                <w:sz w:val="32"/>
              </w:rPr>
              <w:t>GH/T1142-2014《辣木叶质量等级》</w:t>
            </w:r>
          </w:p>
        </w:tc>
        <w:tc>
          <w:tcPr>
            <w:tcW w:w="0" w:type="auto"/>
            <w:vAlign w:val="center"/>
          </w:tcPr>
          <w:p w14:paraId="4712368A">
            <w:pPr>
              <w:spacing w:line="560" w:lineRule="exact"/>
              <w:jc w:val="center"/>
              <w:rPr>
                <w:rFonts w:eastAsia="仿宋_GB2312" w:cs="Arial"/>
                <w:sz w:val="32"/>
              </w:rPr>
            </w:pPr>
            <w:r>
              <w:rPr>
                <w:rFonts w:hint="eastAsia" w:eastAsia="仿宋_GB2312" w:cs="Arial"/>
                <w:sz w:val="32"/>
              </w:rPr>
              <w:t>GH/T1142-2014</w:t>
            </w:r>
          </w:p>
        </w:tc>
        <w:tc>
          <w:tcPr>
            <w:tcW w:w="0" w:type="auto"/>
            <w:vAlign w:val="center"/>
          </w:tcPr>
          <w:p w14:paraId="20C3206E">
            <w:pPr>
              <w:spacing w:line="560" w:lineRule="exact"/>
              <w:jc w:val="center"/>
              <w:rPr>
                <w:rFonts w:eastAsia="仿宋_GB2312" w:cs="Arial"/>
                <w:sz w:val="32"/>
              </w:rPr>
            </w:pPr>
            <w:r>
              <w:rPr>
                <w:rFonts w:hint="eastAsia" w:eastAsia="仿宋_GB2312" w:cs="Arial"/>
                <w:sz w:val="32"/>
              </w:rPr>
              <w:t>对辣木叶产品进行质量等级划分，参考感官指标</w:t>
            </w:r>
          </w:p>
        </w:tc>
      </w:tr>
    </w:tbl>
    <w:p w14:paraId="73829677">
      <w:pPr>
        <w:pStyle w:val="2"/>
        <w:spacing w:before="0" w:after="0" w:line="560" w:lineRule="exact"/>
        <w:ind w:firstLine="640" w:firstLineChars="200"/>
        <w:rPr>
          <w:rFonts w:eastAsia="黑体"/>
          <w:b w:val="0"/>
          <w:sz w:val="32"/>
        </w:rPr>
      </w:pPr>
      <w:r>
        <w:rPr>
          <w:rFonts w:eastAsia="黑体"/>
          <w:b w:val="0"/>
          <w:sz w:val="32"/>
        </w:rPr>
        <w:t>六、重大分歧意见的处理经过和依据</w:t>
      </w:r>
    </w:p>
    <w:p w14:paraId="73D35288">
      <w:pPr>
        <w:spacing w:line="560" w:lineRule="exact"/>
        <w:ind w:firstLine="640" w:firstLineChars="200"/>
        <w:rPr>
          <w:rFonts w:eastAsia="仿宋_GB2312" w:cs="Arial"/>
          <w:sz w:val="32"/>
        </w:rPr>
      </w:pPr>
    </w:p>
    <w:p w14:paraId="0D121CA0">
      <w:pPr>
        <w:pStyle w:val="2"/>
        <w:spacing w:before="0" w:after="0" w:line="560" w:lineRule="exact"/>
        <w:ind w:firstLine="640" w:firstLineChars="200"/>
        <w:rPr>
          <w:rFonts w:eastAsia="黑体"/>
          <w:b w:val="0"/>
          <w:sz w:val="32"/>
        </w:rPr>
      </w:pPr>
      <w:r>
        <w:rPr>
          <w:rFonts w:eastAsia="黑体"/>
          <w:b w:val="0"/>
          <w:sz w:val="32"/>
        </w:rPr>
        <w:t>七、标准</w:t>
      </w:r>
      <w:r>
        <w:rPr>
          <w:rFonts w:hint="eastAsia" w:eastAsia="黑体"/>
          <w:b w:val="0"/>
          <w:sz w:val="32"/>
        </w:rPr>
        <w:t>作为强制性或推荐性标准</w:t>
      </w:r>
      <w:r>
        <w:rPr>
          <w:rFonts w:eastAsia="黑体"/>
          <w:b w:val="0"/>
          <w:sz w:val="32"/>
        </w:rPr>
        <w:t>的</w:t>
      </w:r>
      <w:r>
        <w:rPr>
          <w:rFonts w:hint="eastAsia" w:eastAsia="黑体"/>
          <w:b w:val="0"/>
          <w:sz w:val="32"/>
        </w:rPr>
        <w:t>建议</w:t>
      </w:r>
    </w:p>
    <w:p w14:paraId="0AE0EB4A">
      <w:pPr>
        <w:spacing w:line="560" w:lineRule="exact"/>
        <w:ind w:firstLine="640" w:firstLineChars="200"/>
        <w:rPr>
          <w:rFonts w:eastAsia="仿宋_GB2312" w:cs="Arial"/>
          <w:sz w:val="32"/>
        </w:rPr>
      </w:pPr>
      <w:r>
        <w:rPr>
          <w:rFonts w:hint="eastAsia" w:eastAsia="仿宋_GB2312" w:cs="Arial"/>
          <w:sz w:val="32"/>
        </w:rPr>
        <w:t>标准性质建议：推荐性标准，理由如下：</w:t>
      </w:r>
    </w:p>
    <w:p w14:paraId="71AF1C18">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1.符合立项要求</w:t>
      </w:r>
    </w:p>
    <w:p w14:paraId="65D5B6FB">
      <w:pPr>
        <w:spacing w:line="560" w:lineRule="exact"/>
        <w:ind w:firstLine="640" w:firstLineChars="200"/>
        <w:rPr>
          <w:rFonts w:eastAsia="仿宋_GB2312" w:cs="Arial"/>
          <w:sz w:val="32"/>
        </w:rPr>
      </w:pPr>
      <w:r>
        <w:rPr>
          <w:rFonts w:hint="eastAsia" w:eastAsia="仿宋_GB2312" w:cs="Arial"/>
          <w:sz w:val="32"/>
        </w:rPr>
        <w:t>根据本标准立项下达文件的要求，《辣木蔬菜食用品质感官评价方法》为推荐性标准。推荐性标准适用于规范特定领域的行业或企业行为，提供技术参考，而非法律强制执行，符合本标准在辣木产业中的定位。</w:t>
      </w:r>
    </w:p>
    <w:p w14:paraId="52D9BB89">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2.适用领域的特性</w:t>
      </w:r>
    </w:p>
    <w:p w14:paraId="05FC5662">
      <w:pPr>
        <w:spacing w:line="560" w:lineRule="exact"/>
        <w:ind w:firstLine="640" w:firstLineChars="200"/>
        <w:rPr>
          <w:rFonts w:eastAsia="仿宋_GB2312" w:cs="Arial"/>
          <w:sz w:val="32"/>
        </w:rPr>
      </w:pPr>
      <w:r>
        <w:rPr>
          <w:rFonts w:hint="eastAsia" w:eastAsia="仿宋_GB2312" w:cs="Arial"/>
          <w:sz w:val="32"/>
        </w:rPr>
        <w:t>本标准主要面向辣木蔬菜的食用品质感官评价，其核心在于产品质量的提升与市场竞争力的增强。感官评价作为一种主观性较强的检测方法，更多服务于生产、加工和贸易等场景，适合作为推荐性标准提供技术指导。不涉及食品安全、公共健康等法律强制要求的内容，适用范围不具备强制性要求的必要性。</w:t>
      </w:r>
    </w:p>
    <w:p w14:paraId="3C8A9863">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3.产业发展阶段</w:t>
      </w:r>
    </w:p>
    <w:p w14:paraId="2C04DCF1">
      <w:pPr>
        <w:spacing w:line="560" w:lineRule="exact"/>
        <w:ind w:firstLine="640" w:firstLineChars="200"/>
        <w:rPr>
          <w:rFonts w:eastAsia="仿宋_GB2312" w:cs="Arial"/>
          <w:sz w:val="32"/>
        </w:rPr>
      </w:pPr>
      <w:r>
        <w:rPr>
          <w:rFonts w:hint="eastAsia" w:eastAsia="仿宋_GB2312" w:cs="Arial"/>
          <w:sz w:val="32"/>
        </w:rPr>
        <w:t>辣木蔬菜产业在我国尚处于发展阶段，标准的实施主要是为行业建立统一的品质评价体系，引导企业提升产品质量。如果强制执行，可能对中小企业造成负担，不利于产业的整体发展。推荐性标准的灵活性更适合当前辣木产业多样化发展需求。</w:t>
      </w:r>
    </w:p>
    <w:p w14:paraId="519CCE42">
      <w:pPr>
        <w:spacing w:line="560" w:lineRule="exact"/>
        <w:ind w:firstLine="640" w:firstLineChars="200"/>
        <w:rPr>
          <w:rFonts w:eastAsia="仿宋_GB2312" w:cs="Arial"/>
          <w:sz w:val="32"/>
        </w:rPr>
      </w:pPr>
      <w:r>
        <w:rPr>
          <w:rFonts w:hint="eastAsia" w:eastAsia="仿宋_GB2312" w:cs="Arial"/>
          <w:sz w:val="32"/>
        </w:rPr>
        <w:t>因此，本标准作为推荐性标准发布，更符合产业发展的现实需求和技术推广的实际情况。通过推荐性标准的推广，可以引导行业在辣木蔬菜感官评价领域形成统一规范，助力产品质量提升和市场竞争力增强。</w:t>
      </w:r>
    </w:p>
    <w:p w14:paraId="07A1A979">
      <w:pPr>
        <w:pStyle w:val="2"/>
        <w:spacing w:before="0" w:after="0" w:line="560" w:lineRule="exact"/>
        <w:ind w:firstLine="640" w:firstLineChars="200"/>
        <w:rPr>
          <w:rFonts w:eastAsia="黑体"/>
          <w:b w:val="0"/>
          <w:sz w:val="32"/>
        </w:rPr>
      </w:pPr>
      <w:r>
        <w:rPr>
          <w:rFonts w:eastAsia="黑体"/>
          <w:b w:val="0"/>
          <w:sz w:val="32"/>
        </w:rPr>
        <w:t>八、贯彻标准的要求和措施</w:t>
      </w:r>
      <w:r>
        <w:rPr>
          <w:rFonts w:hint="eastAsia" w:eastAsia="黑体"/>
          <w:b w:val="0"/>
          <w:sz w:val="32"/>
        </w:rPr>
        <w:t>建议</w:t>
      </w:r>
    </w:p>
    <w:p w14:paraId="5FEF4539">
      <w:pPr>
        <w:spacing w:line="560" w:lineRule="exact"/>
        <w:ind w:firstLine="640" w:firstLineChars="200"/>
        <w:rPr>
          <w:rFonts w:eastAsia="仿宋_GB2312" w:cs="Arial"/>
          <w:sz w:val="32"/>
        </w:rPr>
      </w:pPr>
      <w:r>
        <w:rPr>
          <w:rFonts w:hint="eastAsia" w:eastAsia="仿宋_GB2312" w:cs="Arial"/>
          <w:sz w:val="32"/>
        </w:rPr>
        <w:t>为确保本标准的顺利贯彻和有效实施，提出以下组织措施、技术措施和过渡办法：</w:t>
      </w:r>
    </w:p>
    <w:p w14:paraId="793F735F">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1.组织实施措施</w:t>
      </w:r>
    </w:p>
    <w:p w14:paraId="1239F149">
      <w:pPr>
        <w:spacing w:line="560" w:lineRule="exact"/>
        <w:ind w:firstLine="640" w:firstLineChars="200"/>
        <w:rPr>
          <w:rFonts w:eastAsia="仿宋_GB2312" w:cs="Arial"/>
          <w:sz w:val="32"/>
        </w:rPr>
      </w:pPr>
      <w:r>
        <w:rPr>
          <w:rFonts w:hint="eastAsia" w:eastAsia="仿宋_GB2312" w:cs="Arial"/>
          <w:sz w:val="32"/>
        </w:rPr>
        <w:t>由中国热带作物学会牵头成立标准实施推广委员会，负责组织实施的总体协调和监督。委员会成员包括农业科研机构、辣木种植和加工企业、行业协会及地方政府代表，确保组织实施的多方协同。</w:t>
      </w:r>
    </w:p>
    <w:p w14:paraId="53EA350A">
      <w:pPr>
        <w:spacing w:line="560" w:lineRule="exact"/>
        <w:ind w:firstLine="640" w:firstLineChars="200"/>
        <w:rPr>
          <w:rFonts w:eastAsia="仿宋_GB2312" w:cs="Arial"/>
          <w:sz w:val="32"/>
        </w:rPr>
      </w:pPr>
      <w:r>
        <w:rPr>
          <w:rFonts w:hint="eastAsia" w:eastAsia="仿宋_GB2312" w:cs="Arial"/>
          <w:sz w:val="32"/>
        </w:rPr>
        <w:t>优先选择辣木种植面积较大、加工企业较多的地区（如云南、广西）进行试点实施，积累经验后逐步推广。通过行业协会向辣木相关企业推荐采用本标准，推动企业自愿采标，形成行业统一规范。</w:t>
      </w:r>
    </w:p>
    <w:p w14:paraId="5B01B153">
      <w:pPr>
        <w:spacing w:line="560" w:lineRule="exact"/>
        <w:ind w:firstLine="640" w:firstLineChars="200"/>
        <w:rPr>
          <w:rFonts w:eastAsia="仿宋_GB2312" w:cs="Arial"/>
          <w:sz w:val="32"/>
        </w:rPr>
      </w:pPr>
      <w:r>
        <w:rPr>
          <w:rFonts w:hint="eastAsia" w:eastAsia="仿宋_GB2312" w:cs="Arial"/>
          <w:sz w:val="32"/>
        </w:rPr>
        <w:t>面向种植户、加工企业和检测机构开展标准宣贯及操作培训，提高对标准内容的理解和应用能力。利用行业研讨会、农业展会及新媒体渠道，宣传本标准的意义和价值，提升企业和消费者对辣木品质评价的认知。</w:t>
      </w:r>
    </w:p>
    <w:p w14:paraId="6AFC9E2F">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2.技术措施</w:t>
      </w:r>
    </w:p>
    <w:p w14:paraId="784D5387">
      <w:pPr>
        <w:spacing w:line="560" w:lineRule="exact"/>
        <w:ind w:firstLine="640" w:firstLineChars="200"/>
        <w:rPr>
          <w:rFonts w:eastAsia="仿宋_GB2312" w:cs="Arial"/>
          <w:sz w:val="32"/>
        </w:rPr>
      </w:pPr>
      <w:r>
        <w:rPr>
          <w:rFonts w:hint="eastAsia" w:eastAsia="仿宋_GB2312" w:cs="Arial"/>
          <w:sz w:val="32"/>
        </w:rPr>
        <w:t>依据标准要求，指导辣木种植基地和加工企业建设感官评价实验室，配备必要的设备（如台秤、电磁炉、锅具等）和评分环境。鼓励区域性公共实验室建设，为小型企业提供感官评价服务，降低企业单独建设的成本。</w:t>
      </w:r>
    </w:p>
    <w:p w14:paraId="498A55F5">
      <w:pPr>
        <w:spacing w:line="560" w:lineRule="exact"/>
        <w:ind w:firstLine="640" w:firstLineChars="200"/>
        <w:rPr>
          <w:rFonts w:eastAsia="仿宋_GB2312" w:cs="Arial"/>
          <w:sz w:val="32"/>
        </w:rPr>
      </w:pPr>
      <w:r>
        <w:rPr>
          <w:rFonts w:hint="eastAsia" w:eastAsia="仿宋_GB2312" w:cs="Arial"/>
          <w:sz w:val="32"/>
        </w:rPr>
        <w:t>组织专家团队为辣木企业提供技术指导，帮助企业建立符合标准要求的评价体系。开发便捷的感官评价工具和软件，辅助企业在样品采集、煮制和评分等环节提升效率。</w:t>
      </w:r>
    </w:p>
    <w:p w14:paraId="5B1071D7">
      <w:pPr>
        <w:spacing w:line="560" w:lineRule="exact"/>
        <w:ind w:firstLine="640" w:firstLineChars="200"/>
        <w:rPr>
          <w:rFonts w:eastAsia="仿宋_GB2312" w:cs="Arial"/>
          <w:sz w:val="32"/>
        </w:rPr>
      </w:pPr>
      <w:r>
        <w:rPr>
          <w:rFonts w:hint="eastAsia" w:eastAsia="仿宋_GB2312" w:cs="Arial"/>
          <w:sz w:val="32"/>
        </w:rPr>
        <w:t>制定详细的操作手册或指南，分步骤解释标准要求，确保感官评价方法的规范化实施。针对不同企业和区域的实际情况，提供标准的灵活应用建议。</w:t>
      </w:r>
    </w:p>
    <w:p w14:paraId="20EC3D25">
      <w:pPr>
        <w:pStyle w:val="4"/>
        <w:spacing w:before="0" w:after="0" w:line="560" w:lineRule="exact"/>
        <w:ind w:firstLine="640" w:firstLineChars="200"/>
        <w:rPr>
          <w:rFonts w:eastAsia="仿宋_GB2312" w:cs="Arial"/>
          <w:b w:val="0"/>
          <w:bCs w:val="0"/>
          <w:szCs w:val="24"/>
        </w:rPr>
      </w:pPr>
      <w:r>
        <w:rPr>
          <w:rFonts w:hint="eastAsia" w:eastAsia="仿宋_GB2312" w:cs="Arial"/>
          <w:b w:val="0"/>
          <w:bCs w:val="0"/>
          <w:szCs w:val="24"/>
        </w:rPr>
        <w:t>3.过渡办法</w:t>
      </w:r>
    </w:p>
    <w:p w14:paraId="21F26778">
      <w:pPr>
        <w:spacing w:line="560" w:lineRule="exact"/>
        <w:ind w:firstLine="640" w:firstLineChars="200"/>
        <w:rPr>
          <w:rFonts w:eastAsia="仿宋_GB2312" w:cs="Arial"/>
          <w:sz w:val="32"/>
        </w:rPr>
      </w:pPr>
      <w:r>
        <w:rPr>
          <w:rFonts w:hint="eastAsia" w:eastAsia="仿宋_GB2312" w:cs="Arial"/>
          <w:sz w:val="32"/>
        </w:rPr>
        <w:t>第一阶段（1年内）：以试点为主，重点选择辣木主产区开展标准试验应用，积累实践经验。</w:t>
      </w:r>
    </w:p>
    <w:p w14:paraId="6B7834D1">
      <w:pPr>
        <w:spacing w:line="560" w:lineRule="exact"/>
        <w:ind w:firstLine="640" w:firstLineChars="200"/>
        <w:rPr>
          <w:rFonts w:eastAsia="仿宋_GB2312" w:cs="Arial"/>
          <w:sz w:val="32"/>
        </w:rPr>
      </w:pPr>
      <w:r>
        <w:rPr>
          <w:rFonts w:hint="eastAsia" w:eastAsia="仿宋_GB2312" w:cs="Arial"/>
          <w:sz w:val="32"/>
        </w:rPr>
        <w:t>第二阶段（2-3年内）：扩大推广范围，覆盖辣木种植加工重点企业，鼓励行业广泛采纳标准。</w:t>
      </w:r>
    </w:p>
    <w:p w14:paraId="7D8F280A">
      <w:pPr>
        <w:spacing w:line="560" w:lineRule="exact"/>
        <w:ind w:firstLine="640" w:firstLineChars="200"/>
        <w:rPr>
          <w:rFonts w:eastAsia="仿宋_GB2312" w:cs="Arial"/>
          <w:sz w:val="32"/>
        </w:rPr>
      </w:pPr>
      <w:r>
        <w:rPr>
          <w:rFonts w:hint="eastAsia" w:eastAsia="仿宋_GB2312" w:cs="Arial"/>
          <w:sz w:val="32"/>
        </w:rPr>
        <w:t>第三阶段（3年及以上）：实现辣木蔬菜感官评价的行业全覆盖，形成规范化、标准化的辣木品质评价体系。</w:t>
      </w:r>
    </w:p>
    <w:p w14:paraId="77FFFA0C">
      <w:pPr>
        <w:spacing w:line="560" w:lineRule="exact"/>
        <w:ind w:firstLine="640" w:firstLineChars="200"/>
        <w:rPr>
          <w:rFonts w:eastAsia="仿宋_GB2312" w:cs="Arial"/>
          <w:sz w:val="32"/>
        </w:rPr>
      </w:pPr>
      <w:r>
        <w:rPr>
          <w:rFonts w:hint="eastAsia" w:eastAsia="仿宋_GB2312" w:cs="Arial"/>
          <w:sz w:val="32"/>
        </w:rPr>
        <w:t>对采纳标准并达到质量要求的企业，通过政府补贴、行业奖励等措施给予激励。鼓励地方政府结合区域特色农业政策，将符合标准的辣木产品纳入地方品牌建设，提升市场竞争力。</w:t>
      </w:r>
    </w:p>
    <w:p w14:paraId="32288649">
      <w:pPr>
        <w:spacing w:line="560" w:lineRule="exact"/>
        <w:ind w:firstLine="640" w:firstLineChars="200"/>
        <w:rPr>
          <w:rFonts w:eastAsia="仿宋_GB2312" w:cs="Arial"/>
          <w:sz w:val="32"/>
        </w:rPr>
      </w:pPr>
      <w:r>
        <w:rPr>
          <w:rFonts w:hint="eastAsia" w:eastAsia="仿宋_GB2312" w:cs="Arial"/>
          <w:sz w:val="32"/>
        </w:rPr>
        <w:t>对初次采标的企业提供必要的技术支持和人员培训，确保其逐步达到标准要求。对未完全符合标准的企业，制定个性化的过渡方案，在一定期限内逐步调整至符合标准的操作。</w:t>
      </w:r>
    </w:p>
    <w:p w14:paraId="57B475F6">
      <w:pPr>
        <w:pStyle w:val="2"/>
        <w:spacing w:before="0" w:after="0" w:line="560" w:lineRule="exact"/>
        <w:ind w:firstLine="640" w:firstLineChars="200"/>
        <w:rPr>
          <w:rFonts w:eastAsia="黑体"/>
          <w:b w:val="0"/>
          <w:sz w:val="32"/>
        </w:rPr>
      </w:pPr>
      <w:r>
        <w:rPr>
          <w:rFonts w:eastAsia="黑体"/>
          <w:b w:val="0"/>
          <w:sz w:val="32"/>
        </w:rPr>
        <w:t>九、废止现行有关标准的建议</w:t>
      </w:r>
    </w:p>
    <w:p w14:paraId="411E373B">
      <w:pPr>
        <w:spacing w:line="560" w:lineRule="exact"/>
        <w:ind w:firstLine="640" w:firstLineChars="200"/>
        <w:rPr>
          <w:rFonts w:eastAsia="仿宋_GB2312" w:cs="Arial"/>
          <w:sz w:val="32"/>
        </w:rPr>
      </w:pPr>
      <w:r>
        <w:rPr>
          <w:rFonts w:hint="eastAsia" w:eastAsia="仿宋_GB2312" w:cs="Arial"/>
          <w:sz w:val="32"/>
        </w:rPr>
        <w:t>无</w:t>
      </w:r>
    </w:p>
    <w:p w14:paraId="3F39BC9B">
      <w:pPr>
        <w:pStyle w:val="2"/>
        <w:spacing w:before="0" w:after="0" w:line="560" w:lineRule="exact"/>
        <w:ind w:firstLine="640" w:firstLineChars="200"/>
        <w:rPr>
          <w:rFonts w:eastAsia="黑体"/>
          <w:b w:val="0"/>
          <w:sz w:val="32"/>
        </w:rPr>
      </w:pPr>
      <w:r>
        <w:rPr>
          <w:rFonts w:eastAsia="黑体"/>
          <w:b w:val="0"/>
          <w:sz w:val="32"/>
        </w:rPr>
        <w:t>十、其他应予说明的事项</w:t>
      </w:r>
    </w:p>
    <w:p w14:paraId="25056EE9">
      <w:pPr>
        <w:spacing w:line="560" w:lineRule="exact"/>
        <w:ind w:firstLine="640" w:firstLineChars="200"/>
        <w:rPr>
          <w:rFonts w:eastAsia="仿宋_GB2312" w:cs="Arial"/>
          <w:sz w:val="32"/>
        </w:rPr>
      </w:pPr>
      <w:r>
        <w:rPr>
          <w:rFonts w:hint="eastAsia" w:eastAsia="仿宋_GB2312" w:cs="Arial"/>
          <w:sz w:val="32"/>
        </w:rPr>
        <w:t>本标准项目任务已按计划完成，标准名称未发生变更，标准内容中无重大争议问题、遗留问题或尚需探讨的事项。同时，本标准不涉及配套标准的制定或修订工作，现行相关标准可满足实施需求。</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4MWE5NDQwZjQ2OWY5NzAzZTE2NWFhMTI5ZjFlZGMifQ=="/>
  </w:docVars>
  <w:rsids>
    <w:rsidRoot w:val="00DB0952"/>
    <w:rsid w:val="000048C4"/>
    <w:rsid w:val="00010F73"/>
    <w:rsid w:val="000153A7"/>
    <w:rsid w:val="00017046"/>
    <w:rsid w:val="00021B89"/>
    <w:rsid w:val="000273A7"/>
    <w:rsid w:val="000315EF"/>
    <w:rsid w:val="00031BD1"/>
    <w:rsid w:val="000332AD"/>
    <w:rsid w:val="000334B7"/>
    <w:rsid w:val="0003450B"/>
    <w:rsid w:val="00040B6E"/>
    <w:rsid w:val="000419F7"/>
    <w:rsid w:val="00043DBA"/>
    <w:rsid w:val="0004459C"/>
    <w:rsid w:val="0004650D"/>
    <w:rsid w:val="00052831"/>
    <w:rsid w:val="000560F2"/>
    <w:rsid w:val="00062A0C"/>
    <w:rsid w:val="0006627A"/>
    <w:rsid w:val="00066A38"/>
    <w:rsid w:val="00066F1C"/>
    <w:rsid w:val="000714CF"/>
    <w:rsid w:val="000720B3"/>
    <w:rsid w:val="00074310"/>
    <w:rsid w:val="00077D7B"/>
    <w:rsid w:val="00082202"/>
    <w:rsid w:val="0008483C"/>
    <w:rsid w:val="0009035E"/>
    <w:rsid w:val="00092318"/>
    <w:rsid w:val="00095357"/>
    <w:rsid w:val="000A6DB2"/>
    <w:rsid w:val="000A7AC5"/>
    <w:rsid w:val="000C020C"/>
    <w:rsid w:val="000C05A4"/>
    <w:rsid w:val="000C2640"/>
    <w:rsid w:val="000C7E50"/>
    <w:rsid w:val="000D4E4D"/>
    <w:rsid w:val="000D780A"/>
    <w:rsid w:val="000E39F5"/>
    <w:rsid w:val="000E4B40"/>
    <w:rsid w:val="000F0D86"/>
    <w:rsid w:val="000F3937"/>
    <w:rsid w:val="000F4994"/>
    <w:rsid w:val="000F5D24"/>
    <w:rsid w:val="000F60A1"/>
    <w:rsid w:val="0010397F"/>
    <w:rsid w:val="00103BCF"/>
    <w:rsid w:val="00103C83"/>
    <w:rsid w:val="00104AF3"/>
    <w:rsid w:val="001055FA"/>
    <w:rsid w:val="00106ACF"/>
    <w:rsid w:val="00111A1F"/>
    <w:rsid w:val="001133E8"/>
    <w:rsid w:val="001161E9"/>
    <w:rsid w:val="00121DDD"/>
    <w:rsid w:val="00121E97"/>
    <w:rsid w:val="001222C6"/>
    <w:rsid w:val="00125B5A"/>
    <w:rsid w:val="001376D3"/>
    <w:rsid w:val="00140218"/>
    <w:rsid w:val="00146230"/>
    <w:rsid w:val="00147C5F"/>
    <w:rsid w:val="00151AE7"/>
    <w:rsid w:val="001528D8"/>
    <w:rsid w:val="00152F03"/>
    <w:rsid w:val="00156C63"/>
    <w:rsid w:val="00167A09"/>
    <w:rsid w:val="001740EF"/>
    <w:rsid w:val="00175020"/>
    <w:rsid w:val="0018018D"/>
    <w:rsid w:val="00180698"/>
    <w:rsid w:val="001835B8"/>
    <w:rsid w:val="00184CDB"/>
    <w:rsid w:val="001853B4"/>
    <w:rsid w:val="00187B1E"/>
    <w:rsid w:val="00187F62"/>
    <w:rsid w:val="001A1F2C"/>
    <w:rsid w:val="001A4D59"/>
    <w:rsid w:val="001A50F3"/>
    <w:rsid w:val="001A7EA9"/>
    <w:rsid w:val="001B4442"/>
    <w:rsid w:val="001B4AB8"/>
    <w:rsid w:val="001B5C1E"/>
    <w:rsid w:val="001C7436"/>
    <w:rsid w:val="001E465A"/>
    <w:rsid w:val="001E6A6C"/>
    <w:rsid w:val="001F7C80"/>
    <w:rsid w:val="00205683"/>
    <w:rsid w:val="002145F5"/>
    <w:rsid w:val="002266DE"/>
    <w:rsid w:val="0023199E"/>
    <w:rsid w:val="00233022"/>
    <w:rsid w:val="002347EC"/>
    <w:rsid w:val="002401C5"/>
    <w:rsid w:val="00265F2C"/>
    <w:rsid w:val="0027269D"/>
    <w:rsid w:val="0027301F"/>
    <w:rsid w:val="0028056F"/>
    <w:rsid w:val="00280FB6"/>
    <w:rsid w:val="00290BEF"/>
    <w:rsid w:val="002929E1"/>
    <w:rsid w:val="002933C1"/>
    <w:rsid w:val="002A3C4E"/>
    <w:rsid w:val="002A4827"/>
    <w:rsid w:val="002A5A92"/>
    <w:rsid w:val="002A63D1"/>
    <w:rsid w:val="002A7714"/>
    <w:rsid w:val="002B7B4D"/>
    <w:rsid w:val="002B7E97"/>
    <w:rsid w:val="002C4372"/>
    <w:rsid w:val="002C4F7A"/>
    <w:rsid w:val="002C5D83"/>
    <w:rsid w:val="002C70EC"/>
    <w:rsid w:val="002D25C6"/>
    <w:rsid w:val="002D4BB4"/>
    <w:rsid w:val="002D4D4F"/>
    <w:rsid w:val="002D6B1E"/>
    <w:rsid w:val="002E2803"/>
    <w:rsid w:val="002F12E3"/>
    <w:rsid w:val="002F6F39"/>
    <w:rsid w:val="002F79F9"/>
    <w:rsid w:val="0030353B"/>
    <w:rsid w:val="003108F8"/>
    <w:rsid w:val="0031670B"/>
    <w:rsid w:val="00316AE6"/>
    <w:rsid w:val="003234B2"/>
    <w:rsid w:val="00330824"/>
    <w:rsid w:val="00331053"/>
    <w:rsid w:val="003330B6"/>
    <w:rsid w:val="00333F33"/>
    <w:rsid w:val="00340741"/>
    <w:rsid w:val="00347C1A"/>
    <w:rsid w:val="00352BE9"/>
    <w:rsid w:val="00354C94"/>
    <w:rsid w:val="00365416"/>
    <w:rsid w:val="00370994"/>
    <w:rsid w:val="003715FC"/>
    <w:rsid w:val="00372F63"/>
    <w:rsid w:val="0037300F"/>
    <w:rsid w:val="00374F37"/>
    <w:rsid w:val="0038221B"/>
    <w:rsid w:val="00382853"/>
    <w:rsid w:val="00384CA1"/>
    <w:rsid w:val="0038607F"/>
    <w:rsid w:val="0039014A"/>
    <w:rsid w:val="00390746"/>
    <w:rsid w:val="00392A05"/>
    <w:rsid w:val="003958B8"/>
    <w:rsid w:val="00396267"/>
    <w:rsid w:val="003A078E"/>
    <w:rsid w:val="003A1218"/>
    <w:rsid w:val="003B7C7E"/>
    <w:rsid w:val="003C0C13"/>
    <w:rsid w:val="003D583C"/>
    <w:rsid w:val="003E158D"/>
    <w:rsid w:val="003E167F"/>
    <w:rsid w:val="003E237E"/>
    <w:rsid w:val="003E5AEB"/>
    <w:rsid w:val="00401426"/>
    <w:rsid w:val="0040385E"/>
    <w:rsid w:val="00404A54"/>
    <w:rsid w:val="00406F67"/>
    <w:rsid w:val="00407035"/>
    <w:rsid w:val="004076A4"/>
    <w:rsid w:val="004149AF"/>
    <w:rsid w:val="0041536D"/>
    <w:rsid w:val="004268B8"/>
    <w:rsid w:val="0042771B"/>
    <w:rsid w:val="0043166A"/>
    <w:rsid w:val="00432C1F"/>
    <w:rsid w:val="0043447E"/>
    <w:rsid w:val="00441189"/>
    <w:rsid w:val="004543DF"/>
    <w:rsid w:val="0045636E"/>
    <w:rsid w:val="00461582"/>
    <w:rsid w:val="004636BC"/>
    <w:rsid w:val="0047026B"/>
    <w:rsid w:val="004702D2"/>
    <w:rsid w:val="00471ED4"/>
    <w:rsid w:val="0047435E"/>
    <w:rsid w:val="00475C2E"/>
    <w:rsid w:val="00477B39"/>
    <w:rsid w:val="004840E8"/>
    <w:rsid w:val="00497824"/>
    <w:rsid w:val="00497C6A"/>
    <w:rsid w:val="004B3B98"/>
    <w:rsid w:val="004B6267"/>
    <w:rsid w:val="004B6589"/>
    <w:rsid w:val="004C0C3A"/>
    <w:rsid w:val="004C139E"/>
    <w:rsid w:val="004C6F57"/>
    <w:rsid w:val="004D0216"/>
    <w:rsid w:val="004D7F70"/>
    <w:rsid w:val="004E1C34"/>
    <w:rsid w:val="004E6B96"/>
    <w:rsid w:val="004F28CC"/>
    <w:rsid w:val="004F7F53"/>
    <w:rsid w:val="005006A7"/>
    <w:rsid w:val="00504764"/>
    <w:rsid w:val="0050560C"/>
    <w:rsid w:val="00506142"/>
    <w:rsid w:val="00511DD5"/>
    <w:rsid w:val="005156C9"/>
    <w:rsid w:val="00516F3C"/>
    <w:rsid w:val="00520822"/>
    <w:rsid w:val="00523F56"/>
    <w:rsid w:val="005262A3"/>
    <w:rsid w:val="00530B7E"/>
    <w:rsid w:val="0053123C"/>
    <w:rsid w:val="00543FEB"/>
    <w:rsid w:val="005474FD"/>
    <w:rsid w:val="0055024B"/>
    <w:rsid w:val="00553409"/>
    <w:rsid w:val="0055647A"/>
    <w:rsid w:val="00566672"/>
    <w:rsid w:val="005717CB"/>
    <w:rsid w:val="00573528"/>
    <w:rsid w:val="00574368"/>
    <w:rsid w:val="00575F89"/>
    <w:rsid w:val="005775FB"/>
    <w:rsid w:val="00580C87"/>
    <w:rsid w:val="00585AD3"/>
    <w:rsid w:val="00586B2B"/>
    <w:rsid w:val="00597630"/>
    <w:rsid w:val="005A0E0E"/>
    <w:rsid w:val="005A13A0"/>
    <w:rsid w:val="005C5A1C"/>
    <w:rsid w:val="005D0017"/>
    <w:rsid w:val="005D15B2"/>
    <w:rsid w:val="005D3FA0"/>
    <w:rsid w:val="005D482D"/>
    <w:rsid w:val="005E039E"/>
    <w:rsid w:val="005E323A"/>
    <w:rsid w:val="005F3CDD"/>
    <w:rsid w:val="006007F0"/>
    <w:rsid w:val="00604AF4"/>
    <w:rsid w:val="00607F56"/>
    <w:rsid w:val="00610A8E"/>
    <w:rsid w:val="00610C3C"/>
    <w:rsid w:val="00613DD0"/>
    <w:rsid w:val="00617B7A"/>
    <w:rsid w:val="00620D54"/>
    <w:rsid w:val="006251C7"/>
    <w:rsid w:val="00634ABE"/>
    <w:rsid w:val="0064009C"/>
    <w:rsid w:val="006433D6"/>
    <w:rsid w:val="00643F57"/>
    <w:rsid w:val="0065097B"/>
    <w:rsid w:val="006530F0"/>
    <w:rsid w:val="006532E0"/>
    <w:rsid w:val="00653341"/>
    <w:rsid w:val="00656487"/>
    <w:rsid w:val="00657B22"/>
    <w:rsid w:val="00660F89"/>
    <w:rsid w:val="00662CCC"/>
    <w:rsid w:val="00666015"/>
    <w:rsid w:val="0068404D"/>
    <w:rsid w:val="00695821"/>
    <w:rsid w:val="006970A2"/>
    <w:rsid w:val="006973EA"/>
    <w:rsid w:val="00697405"/>
    <w:rsid w:val="006A2EE0"/>
    <w:rsid w:val="006B5F7F"/>
    <w:rsid w:val="006C169F"/>
    <w:rsid w:val="006C54A1"/>
    <w:rsid w:val="006D55B8"/>
    <w:rsid w:val="006E06A1"/>
    <w:rsid w:val="006E1F56"/>
    <w:rsid w:val="006E533E"/>
    <w:rsid w:val="006E5361"/>
    <w:rsid w:val="006F06A5"/>
    <w:rsid w:val="006F09D4"/>
    <w:rsid w:val="006F2BA6"/>
    <w:rsid w:val="006F6C05"/>
    <w:rsid w:val="00700F0A"/>
    <w:rsid w:val="00701057"/>
    <w:rsid w:val="0070143F"/>
    <w:rsid w:val="007056D0"/>
    <w:rsid w:val="00705AFB"/>
    <w:rsid w:val="00713200"/>
    <w:rsid w:val="00724C88"/>
    <w:rsid w:val="007253D7"/>
    <w:rsid w:val="00733015"/>
    <w:rsid w:val="00734F60"/>
    <w:rsid w:val="00735FD4"/>
    <w:rsid w:val="00742119"/>
    <w:rsid w:val="0074242B"/>
    <w:rsid w:val="0074242C"/>
    <w:rsid w:val="007427CE"/>
    <w:rsid w:val="0074410C"/>
    <w:rsid w:val="00745B45"/>
    <w:rsid w:val="00747687"/>
    <w:rsid w:val="00750983"/>
    <w:rsid w:val="007565C0"/>
    <w:rsid w:val="00756A42"/>
    <w:rsid w:val="00760D77"/>
    <w:rsid w:val="00770DD4"/>
    <w:rsid w:val="007744FD"/>
    <w:rsid w:val="007753F9"/>
    <w:rsid w:val="0077643C"/>
    <w:rsid w:val="0079052A"/>
    <w:rsid w:val="00791E60"/>
    <w:rsid w:val="00791F32"/>
    <w:rsid w:val="007927A1"/>
    <w:rsid w:val="00793AAF"/>
    <w:rsid w:val="007961E8"/>
    <w:rsid w:val="007A47D7"/>
    <w:rsid w:val="007A619C"/>
    <w:rsid w:val="007B1454"/>
    <w:rsid w:val="007B228C"/>
    <w:rsid w:val="007B4601"/>
    <w:rsid w:val="007B5C08"/>
    <w:rsid w:val="007B6998"/>
    <w:rsid w:val="007B6AB9"/>
    <w:rsid w:val="007C780F"/>
    <w:rsid w:val="007D1808"/>
    <w:rsid w:val="007D7310"/>
    <w:rsid w:val="007D73F4"/>
    <w:rsid w:val="007D7F75"/>
    <w:rsid w:val="007E00DB"/>
    <w:rsid w:val="007E0999"/>
    <w:rsid w:val="007E68C9"/>
    <w:rsid w:val="007F0180"/>
    <w:rsid w:val="007F75F9"/>
    <w:rsid w:val="00804E58"/>
    <w:rsid w:val="00805621"/>
    <w:rsid w:val="00806B17"/>
    <w:rsid w:val="00810141"/>
    <w:rsid w:val="008146AA"/>
    <w:rsid w:val="0081706D"/>
    <w:rsid w:val="00827955"/>
    <w:rsid w:val="00830CB7"/>
    <w:rsid w:val="008310BD"/>
    <w:rsid w:val="00847154"/>
    <w:rsid w:val="00847BAC"/>
    <w:rsid w:val="00851BA2"/>
    <w:rsid w:val="008529DB"/>
    <w:rsid w:val="0085578D"/>
    <w:rsid w:val="00857810"/>
    <w:rsid w:val="00863098"/>
    <w:rsid w:val="0086392B"/>
    <w:rsid w:val="00867EDE"/>
    <w:rsid w:val="00870ABF"/>
    <w:rsid w:val="00871221"/>
    <w:rsid w:val="00875576"/>
    <w:rsid w:val="008824E7"/>
    <w:rsid w:val="008834D1"/>
    <w:rsid w:val="0088757F"/>
    <w:rsid w:val="00895CD3"/>
    <w:rsid w:val="00896381"/>
    <w:rsid w:val="008A043A"/>
    <w:rsid w:val="008A50B5"/>
    <w:rsid w:val="008A5BFF"/>
    <w:rsid w:val="008B068D"/>
    <w:rsid w:val="008B0D2C"/>
    <w:rsid w:val="008B104F"/>
    <w:rsid w:val="008B182D"/>
    <w:rsid w:val="008B1B80"/>
    <w:rsid w:val="008B4F5C"/>
    <w:rsid w:val="008B701D"/>
    <w:rsid w:val="008D0D24"/>
    <w:rsid w:val="008D0DE5"/>
    <w:rsid w:val="008D156D"/>
    <w:rsid w:val="008D2F42"/>
    <w:rsid w:val="008D3B26"/>
    <w:rsid w:val="008E08D4"/>
    <w:rsid w:val="008E1C90"/>
    <w:rsid w:val="008F0918"/>
    <w:rsid w:val="008F2212"/>
    <w:rsid w:val="008F31BB"/>
    <w:rsid w:val="008F70D0"/>
    <w:rsid w:val="008F7D64"/>
    <w:rsid w:val="00902863"/>
    <w:rsid w:val="00902EF5"/>
    <w:rsid w:val="009067A8"/>
    <w:rsid w:val="00910C14"/>
    <w:rsid w:val="00913627"/>
    <w:rsid w:val="00916E02"/>
    <w:rsid w:val="009226DF"/>
    <w:rsid w:val="0092313C"/>
    <w:rsid w:val="009249C6"/>
    <w:rsid w:val="0092713F"/>
    <w:rsid w:val="0093389E"/>
    <w:rsid w:val="00933D56"/>
    <w:rsid w:val="00936BBC"/>
    <w:rsid w:val="00940113"/>
    <w:rsid w:val="009437F7"/>
    <w:rsid w:val="0094511C"/>
    <w:rsid w:val="00950EEB"/>
    <w:rsid w:val="00953E4B"/>
    <w:rsid w:val="0095562E"/>
    <w:rsid w:val="009556DB"/>
    <w:rsid w:val="009557CF"/>
    <w:rsid w:val="00960109"/>
    <w:rsid w:val="00966C97"/>
    <w:rsid w:val="009679BF"/>
    <w:rsid w:val="009743BC"/>
    <w:rsid w:val="00974798"/>
    <w:rsid w:val="0097676D"/>
    <w:rsid w:val="00976A74"/>
    <w:rsid w:val="0098200E"/>
    <w:rsid w:val="009855B0"/>
    <w:rsid w:val="00986489"/>
    <w:rsid w:val="00996A26"/>
    <w:rsid w:val="00997D5E"/>
    <w:rsid w:val="009A0101"/>
    <w:rsid w:val="009B5854"/>
    <w:rsid w:val="009C47CB"/>
    <w:rsid w:val="009D46EA"/>
    <w:rsid w:val="009E0AA5"/>
    <w:rsid w:val="009E1690"/>
    <w:rsid w:val="009E1944"/>
    <w:rsid w:val="009E310D"/>
    <w:rsid w:val="009E3C9F"/>
    <w:rsid w:val="009E3D44"/>
    <w:rsid w:val="009E717D"/>
    <w:rsid w:val="009E7378"/>
    <w:rsid w:val="009E7627"/>
    <w:rsid w:val="009F7D44"/>
    <w:rsid w:val="00A021D0"/>
    <w:rsid w:val="00A05AA2"/>
    <w:rsid w:val="00A05CB6"/>
    <w:rsid w:val="00A072B1"/>
    <w:rsid w:val="00A07AEB"/>
    <w:rsid w:val="00A13661"/>
    <w:rsid w:val="00A13862"/>
    <w:rsid w:val="00A150C0"/>
    <w:rsid w:val="00A31024"/>
    <w:rsid w:val="00A32253"/>
    <w:rsid w:val="00A32934"/>
    <w:rsid w:val="00A33130"/>
    <w:rsid w:val="00A33DB1"/>
    <w:rsid w:val="00A34C5C"/>
    <w:rsid w:val="00A4095D"/>
    <w:rsid w:val="00A70921"/>
    <w:rsid w:val="00A7246C"/>
    <w:rsid w:val="00A81CBA"/>
    <w:rsid w:val="00A8358E"/>
    <w:rsid w:val="00A84FF2"/>
    <w:rsid w:val="00A852DD"/>
    <w:rsid w:val="00A85956"/>
    <w:rsid w:val="00A964D5"/>
    <w:rsid w:val="00AA7412"/>
    <w:rsid w:val="00AA784A"/>
    <w:rsid w:val="00AB0155"/>
    <w:rsid w:val="00AB0420"/>
    <w:rsid w:val="00AB3E94"/>
    <w:rsid w:val="00AB50FA"/>
    <w:rsid w:val="00AC14AF"/>
    <w:rsid w:val="00AC181A"/>
    <w:rsid w:val="00AC2EF5"/>
    <w:rsid w:val="00AC655D"/>
    <w:rsid w:val="00AC68F5"/>
    <w:rsid w:val="00AC786A"/>
    <w:rsid w:val="00AD1C19"/>
    <w:rsid w:val="00AD2454"/>
    <w:rsid w:val="00AD4E69"/>
    <w:rsid w:val="00AD5C9C"/>
    <w:rsid w:val="00AE1DE5"/>
    <w:rsid w:val="00AE2969"/>
    <w:rsid w:val="00AE3D2A"/>
    <w:rsid w:val="00AE616E"/>
    <w:rsid w:val="00AE6421"/>
    <w:rsid w:val="00AF132A"/>
    <w:rsid w:val="00AF2BA4"/>
    <w:rsid w:val="00AF73DB"/>
    <w:rsid w:val="00AF742A"/>
    <w:rsid w:val="00AF74F2"/>
    <w:rsid w:val="00B002E5"/>
    <w:rsid w:val="00B0083A"/>
    <w:rsid w:val="00B02310"/>
    <w:rsid w:val="00B04506"/>
    <w:rsid w:val="00B0723A"/>
    <w:rsid w:val="00B077E0"/>
    <w:rsid w:val="00B07EF9"/>
    <w:rsid w:val="00B1033B"/>
    <w:rsid w:val="00B237D3"/>
    <w:rsid w:val="00B23C2C"/>
    <w:rsid w:val="00B42124"/>
    <w:rsid w:val="00B4308A"/>
    <w:rsid w:val="00B5259A"/>
    <w:rsid w:val="00B57961"/>
    <w:rsid w:val="00B61CA4"/>
    <w:rsid w:val="00B6238C"/>
    <w:rsid w:val="00B643D4"/>
    <w:rsid w:val="00B6549A"/>
    <w:rsid w:val="00B70228"/>
    <w:rsid w:val="00B72730"/>
    <w:rsid w:val="00B7570A"/>
    <w:rsid w:val="00B920DB"/>
    <w:rsid w:val="00B92C07"/>
    <w:rsid w:val="00BA2A48"/>
    <w:rsid w:val="00BB2B74"/>
    <w:rsid w:val="00BB4E98"/>
    <w:rsid w:val="00BB5CDD"/>
    <w:rsid w:val="00BC0204"/>
    <w:rsid w:val="00BC2960"/>
    <w:rsid w:val="00BC7293"/>
    <w:rsid w:val="00BD33B1"/>
    <w:rsid w:val="00BD3D4F"/>
    <w:rsid w:val="00BD65CC"/>
    <w:rsid w:val="00BE0767"/>
    <w:rsid w:val="00BE14EC"/>
    <w:rsid w:val="00BE1CC9"/>
    <w:rsid w:val="00BE70DC"/>
    <w:rsid w:val="00BF0A32"/>
    <w:rsid w:val="00BF499E"/>
    <w:rsid w:val="00BF57C0"/>
    <w:rsid w:val="00C0222E"/>
    <w:rsid w:val="00C12F27"/>
    <w:rsid w:val="00C15968"/>
    <w:rsid w:val="00C27542"/>
    <w:rsid w:val="00C310A4"/>
    <w:rsid w:val="00C33EB8"/>
    <w:rsid w:val="00C35AF6"/>
    <w:rsid w:val="00C40792"/>
    <w:rsid w:val="00C4084D"/>
    <w:rsid w:val="00C56D06"/>
    <w:rsid w:val="00C573C0"/>
    <w:rsid w:val="00C6209F"/>
    <w:rsid w:val="00C625AB"/>
    <w:rsid w:val="00C67979"/>
    <w:rsid w:val="00C75643"/>
    <w:rsid w:val="00C81673"/>
    <w:rsid w:val="00C83EA7"/>
    <w:rsid w:val="00C86A0F"/>
    <w:rsid w:val="00C87775"/>
    <w:rsid w:val="00C94346"/>
    <w:rsid w:val="00C978C1"/>
    <w:rsid w:val="00C97E6A"/>
    <w:rsid w:val="00CA0A20"/>
    <w:rsid w:val="00CA1573"/>
    <w:rsid w:val="00CA472F"/>
    <w:rsid w:val="00CA6B3D"/>
    <w:rsid w:val="00CA6B98"/>
    <w:rsid w:val="00CA6CBB"/>
    <w:rsid w:val="00CA75FB"/>
    <w:rsid w:val="00CB1D45"/>
    <w:rsid w:val="00CB2F1A"/>
    <w:rsid w:val="00CB354A"/>
    <w:rsid w:val="00CB4656"/>
    <w:rsid w:val="00CB4AFB"/>
    <w:rsid w:val="00CB62E3"/>
    <w:rsid w:val="00CC0BC5"/>
    <w:rsid w:val="00CC26EA"/>
    <w:rsid w:val="00CC5464"/>
    <w:rsid w:val="00CC7E86"/>
    <w:rsid w:val="00CD3F16"/>
    <w:rsid w:val="00CE0B37"/>
    <w:rsid w:val="00CE28B8"/>
    <w:rsid w:val="00CE31FD"/>
    <w:rsid w:val="00CE5AD0"/>
    <w:rsid w:val="00CF1264"/>
    <w:rsid w:val="00CF706D"/>
    <w:rsid w:val="00D01202"/>
    <w:rsid w:val="00D01F68"/>
    <w:rsid w:val="00D02C44"/>
    <w:rsid w:val="00D03DA3"/>
    <w:rsid w:val="00D07427"/>
    <w:rsid w:val="00D11F01"/>
    <w:rsid w:val="00D14EE3"/>
    <w:rsid w:val="00D348AA"/>
    <w:rsid w:val="00D46FC3"/>
    <w:rsid w:val="00D50DC9"/>
    <w:rsid w:val="00D56513"/>
    <w:rsid w:val="00D6498E"/>
    <w:rsid w:val="00D708AB"/>
    <w:rsid w:val="00D71CDB"/>
    <w:rsid w:val="00D7724A"/>
    <w:rsid w:val="00D77352"/>
    <w:rsid w:val="00D91450"/>
    <w:rsid w:val="00D9650B"/>
    <w:rsid w:val="00DA0DCC"/>
    <w:rsid w:val="00DA5513"/>
    <w:rsid w:val="00DB0952"/>
    <w:rsid w:val="00DC0CBE"/>
    <w:rsid w:val="00DC641B"/>
    <w:rsid w:val="00DD0F52"/>
    <w:rsid w:val="00DD6982"/>
    <w:rsid w:val="00DE0314"/>
    <w:rsid w:val="00DE6655"/>
    <w:rsid w:val="00DF50ED"/>
    <w:rsid w:val="00DF613C"/>
    <w:rsid w:val="00E00087"/>
    <w:rsid w:val="00E035C2"/>
    <w:rsid w:val="00E04F91"/>
    <w:rsid w:val="00E05E02"/>
    <w:rsid w:val="00E0719E"/>
    <w:rsid w:val="00E14C07"/>
    <w:rsid w:val="00E16E4D"/>
    <w:rsid w:val="00E17B5A"/>
    <w:rsid w:val="00E20BF0"/>
    <w:rsid w:val="00E266D4"/>
    <w:rsid w:val="00E2691C"/>
    <w:rsid w:val="00E34817"/>
    <w:rsid w:val="00E34A21"/>
    <w:rsid w:val="00E36AC3"/>
    <w:rsid w:val="00E376D1"/>
    <w:rsid w:val="00E422D2"/>
    <w:rsid w:val="00E42C62"/>
    <w:rsid w:val="00E42DB3"/>
    <w:rsid w:val="00E43E36"/>
    <w:rsid w:val="00E4572B"/>
    <w:rsid w:val="00E5497F"/>
    <w:rsid w:val="00E56930"/>
    <w:rsid w:val="00E61351"/>
    <w:rsid w:val="00E6276A"/>
    <w:rsid w:val="00E63BA2"/>
    <w:rsid w:val="00E64020"/>
    <w:rsid w:val="00E7111E"/>
    <w:rsid w:val="00E73428"/>
    <w:rsid w:val="00E73E87"/>
    <w:rsid w:val="00E75E88"/>
    <w:rsid w:val="00E775A4"/>
    <w:rsid w:val="00E77C18"/>
    <w:rsid w:val="00E804E5"/>
    <w:rsid w:val="00E80DCF"/>
    <w:rsid w:val="00E83B15"/>
    <w:rsid w:val="00E8612A"/>
    <w:rsid w:val="00E90C32"/>
    <w:rsid w:val="00E95706"/>
    <w:rsid w:val="00E96EE7"/>
    <w:rsid w:val="00E97BD3"/>
    <w:rsid w:val="00EB6975"/>
    <w:rsid w:val="00EC01BC"/>
    <w:rsid w:val="00EC16AC"/>
    <w:rsid w:val="00EC4938"/>
    <w:rsid w:val="00ED18E8"/>
    <w:rsid w:val="00ED3BE4"/>
    <w:rsid w:val="00EE2E94"/>
    <w:rsid w:val="00EF3D00"/>
    <w:rsid w:val="00F00F96"/>
    <w:rsid w:val="00F01121"/>
    <w:rsid w:val="00F01655"/>
    <w:rsid w:val="00F01E9F"/>
    <w:rsid w:val="00F05447"/>
    <w:rsid w:val="00F109B3"/>
    <w:rsid w:val="00F10DFC"/>
    <w:rsid w:val="00F14474"/>
    <w:rsid w:val="00F17952"/>
    <w:rsid w:val="00F222F5"/>
    <w:rsid w:val="00F23562"/>
    <w:rsid w:val="00F348C1"/>
    <w:rsid w:val="00F35881"/>
    <w:rsid w:val="00F36A5A"/>
    <w:rsid w:val="00F41946"/>
    <w:rsid w:val="00F44D27"/>
    <w:rsid w:val="00F45038"/>
    <w:rsid w:val="00F45833"/>
    <w:rsid w:val="00F4620B"/>
    <w:rsid w:val="00F463E7"/>
    <w:rsid w:val="00F55178"/>
    <w:rsid w:val="00F669A9"/>
    <w:rsid w:val="00F71F74"/>
    <w:rsid w:val="00F74FA6"/>
    <w:rsid w:val="00F81996"/>
    <w:rsid w:val="00F91CFC"/>
    <w:rsid w:val="00F92261"/>
    <w:rsid w:val="00F9644E"/>
    <w:rsid w:val="00F97520"/>
    <w:rsid w:val="00FA0AC2"/>
    <w:rsid w:val="00FA1122"/>
    <w:rsid w:val="00FA20E8"/>
    <w:rsid w:val="00FA27DB"/>
    <w:rsid w:val="00FA64C2"/>
    <w:rsid w:val="00FB04F4"/>
    <w:rsid w:val="00FB0B2E"/>
    <w:rsid w:val="00FB36C6"/>
    <w:rsid w:val="00FC1CE3"/>
    <w:rsid w:val="00FC29CF"/>
    <w:rsid w:val="00FC2BF6"/>
    <w:rsid w:val="00FD5215"/>
    <w:rsid w:val="00FD617F"/>
    <w:rsid w:val="00FE3545"/>
    <w:rsid w:val="00FE35EF"/>
    <w:rsid w:val="00FF47F7"/>
    <w:rsid w:val="00FF571E"/>
    <w:rsid w:val="05461B3B"/>
    <w:rsid w:val="2EB8750D"/>
    <w:rsid w:val="393D0758"/>
    <w:rsid w:val="4EDB7286"/>
    <w:rsid w:val="50D45BD2"/>
    <w:rsid w:val="648277A3"/>
    <w:rsid w:val="6590384A"/>
    <w:rsid w:val="72954837"/>
    <w:rsid w:val="739C3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qFormat/>
    <w:uiPriority w:val="0"/>
    <w:pPr>
      <w:jc w:val="left"/>
    </w:pPr>
    <w:rPr>
      <w:szCs w:val="22"/>
    </w:rPr>
  </w:style>
  <w:style w:type="paragraph" w:styleId="6">
    <w:name w:val="Balloon Text"/>
    <w:basedOn w:val="1"/>
    <w:link w:val="19"/>
    <w:qFormat/>
    <w:uiPriority w:val="0"/>
    <w:rPr>
      <w:sz w:val="18"/>
      <w:szCs w:val="18"/>
    </w:r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24"/>
    <w:qFormat/>
    <w:uiPriority w:val="0"/>
    <w:rPr>
      <w:b/>
      <w:bCs/>
      <w:szCs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Table Simple 1"/>
    <w:basedOn w:val="10"/>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character" w:styleId="14">
    <w:name w:val="annotation reference"/>
    <w:qFormat/>
    <w:uiPriority w:val="0"/>
    <w:rPr>
      <w:sz w:val="21"/>
      <w:szCs w:val="21"/>
    </w:rPr>
  </w:style>
  <w:style w:type="character" w:customStyle="1" w:styleId="15">
    <w:name w:val="标题 1 字符"/>
    <w:link w:val="2"/>
    <w:uiPriority w:val="0"/>
    <w:rPr>
      <w:b/>
      <w:bCs/>
      <w:kern w:val="44"/>
      <w:sz w:val="44"/>
      <w:szCs w:val="44"/>
    </w:rPr>
  </w:style>
  <w:style w:type="character" w:customStyle="1" w:styleId="16">
    <w:name w:val="标题 2 字符"/>
    <w:link w:val="3"/>
    <w:semiHidden/>
    <w:qFormat/>
    <w:uiPriority w:val="0"/>
    <w:rPr>
      <w:rFonts w:ascii="等线 Light" w:hAnsi="等线 Light" w:eastAsia="等线 Light"/>
      <w:b/>
      <w:bCs/>
      <w:kern w:val="2"/>
      <w:sz w:val="32"/>
      <w:szCs w:val="32"/>
    </w:rPr>
  </w:style>
  <w:style w:type="character" w:customStyle="1" w:styleId="17">
    <w:name w:val="标题 3 字符"/>
    <w:link w:val="4"/>
    <w:semiHidden/>
    <w:qFormat/>
    <w:uiPriority w:val="0"/>
    <w:rPr>
      <w:b/>
      <w:bCs/>
      <w:kern w:val="2"/>
      <w:sz w:val="32"/>
      <w:szCs w:val="32"/>
    </w:rPr>
  </w:style>
  <w:style w:type="character" w:customStyle="1" w:styleId="18">
    <w:name w:val="批注文字 字符"/>
    <w:link w:val="5"/>
    <w:uiPriority w:val="0"/>
    <w:rPr>
      <w:kern w:val="2"/>
      <w:sz w:val="21"/>
      <w:szCs w:val="22"/>
    </w:rPr>
  </w:style>
  <w:style w:type="character" w:customStyle="1" w:styleId="19">
    <w:name w:val="批注框文本 字符"/>
    <w:link w:val="6"/>
    <w:uiPriority w:val="0"/>
    <w:rPr>
      <w:kern w:val="2"/>
      <w:sz w:val="18"/>
      <w:szCs w:val="18"/>
    </w:rPr>
  </w:style>
  <w:style w:type="character" w:customStyle="1" w:styleId="20">
    <w:name w:val="页脚 字符"/>
    <w:link w:val="7"/>
    <w:qFormat/>
    <w:uiPriority w:val="0"/>
    <w:rPr>
      <w:kern w:val="2"/>
      <w:sz w:val="18"/>
      <w:szCs w:val="18"/>
    </w:rPr>
  </w:style>
  <w:style w:type="character" w:customStyle="1" w:styleId="21">
    <w:name w:val="页眉 字符"/>
    <w:link w:val="8"/>
    <w:qFormat/>
    <w:uiPriority w:val="0"/>
    <w:rPr>
      <w:kern w:val="2"/>
      <w:sz w:val="18"/>
      <w:szCs w:val="18"/>
    </w:rPr>
  </w:style>
  <w:style w:type="character" w:customStyle="1" w:styleId="22">
    <w:name w:val="批注文字 Char1"/>
    <w:qFormat/>
    <w:uiPriority w:val="0"/>
    <w:rPr>
      <w:kern w:val="2"/>
      <w:sz w:val="21"/>
      <w:szCs w:val="24"/>
    </w:rPr>
  </w:style>
  <w:style w:type="paragraph" w:customStyle="1" w:styleId="23">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4">
    <w:name w:val="批注主题 字符"/>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DEEPIN</Company>
  <Pages>24</Pages>
  <Words>4195</Words>
  <Characters>4507</Characters>
  <Lines>73</Lines>
  <Paragraphs>20</Paragraphs>
  <TotalTime>2</TotalTime>
  <ScaleCrop>false</ScaleCrop>
  <LinksUpToDate>false</LinksUpToDate>
  <CharactersWithSpaces>4526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2025-01-17T08:32:00Z</dcterms:created>
  <dc:creator>User</dc:creator>
  <cp:lastModifiedBy>旌阳</cp:lastModifiedBy>
  <dcterms:modified xsi:type="dcterms:W3CDTF">2025-02-07T00:57:04Z</dcterms:modified>
  <dc:title>附  录  A</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984411F6C99B4F9C99A815201D08BF85</vt:lpwstr>
  </property>
  <property fmtid="{D5CDD505-2E9C-101B-9397-08002B2CF9AE}" pid="4" name="KSOTemplateDocerSaveRecord">
    <vt:lpwstr>eyJoZGlkIjoiODIwN2QzZWEyYWIxODZiZjA0MjIwNjBlZjFkMjk4NWYiLCJ1c2VySWQiOiIyOTY3MzMxOSJ9</vt:lpwstr>
  </property>
</Properties>
</file>