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9" w:beforeLines="100" w:after="319" w:afterLines="100" w:line="600" w:lineRule="exact"/>
        <w:jc w:val="center"/>
        <w:textAlignment w:val="auto"/>
        <w:rPr>
          <w:rFonts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</w:rPr>
        <w:t>地方标准发布目录</w:t>
      </w:r>
    </w:p>
    <w:p>
      <w:pPr>
        <w:adjustRightInd w:val="0"/>
        <w:snapToGrid w:val="0"/>
        <w:spacing w:line="20" w:lineRule="exact"/>
        <w:ind w:firstLine="420" w:firstLineChars="200"/>
      </w:pPr>
    </w:p>
    <w:tbl>
      <w:tblPr>
        <w:tblStyle w:val="7"/>
        <w:tblW w:w="14173" w:type="dxa"/>
        <w:jc w:val="center"/>
        <w:tblInd w:w="-11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7"/>
        <w:gridCol w:w="2222"/>
        <w:gridCol w:w="5786"/>
        <w:gridCol w:w="1388"/>
        <w:gridCol w:w="1225"/>
        <w:gridCol w:w="1446"/>
        <w:gridCol w:w="14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tblHeader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  <w:t>序号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  <w:t>标准编号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  <w:t>标准名称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0"/>
                <w:sz w:val="24"/>
              </w:rPr>
              <w:t>批准日期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0"/>
                <w:sz w:val="24"/>
              </w:rPr>
              <w:t>实施日期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  <w:t>ICS编号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  <w:t>中国标准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  <w:t>文献分类号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1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3179-2025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边坡生态修复技术规程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65.020.40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B64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3180-2025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青少年自然教育绿色营地建设与管理规范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65.020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B65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3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3181-2025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电线电缆质量安全风险监测技术规范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03.120.99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4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3182-2025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风味熟制小鱼干中镉的测定 固体进样-电热蒸发原子吸收光谱法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670.120.30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X20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5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3183-2025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文旅服务信息资源元数据规范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35.240.01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L67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6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3184-2025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地理标志产品 常德茶油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01.040.20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B33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7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3185-2025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普通级实验用猫病原微生物学监测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65.020.30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B43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8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3186-2025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普通级实验用猫寄生虫学监测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65.020.30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B43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9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3187-2025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食品接触材料及制品  间苯二甲酸迁移量的测定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97.220.10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Y55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10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3188-2025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食品接触材料及制品中2-甲基-1,3-丁二烯含量和迁移量的测定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97.220.10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Y55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11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3189-2025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湖南省钢筋桁架保温楼承板应用技术标准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91.060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P32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12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3190-2025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居家整理收纳服务规范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03.080.30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A12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13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969-2025代替DB43/T 969-2014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水污染源锰、铅、镉在线监测系统技术规范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13.060.50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Z10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14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3191-2025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水利水电工程脉动灌浆技术规范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93.160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P55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15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1972-2025代替DB43/T 1972-2020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守合同重信用企业评价规范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03.100.01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A02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16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3192-2025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风味熟制鹌鹑蛋加工技术规程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67.120.20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B45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17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3193-2025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大豆玉米带状复合种植机械化收获技术规程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2025/2/27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2025/5/27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65.060.99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lang w:bidi="ar"/>
              </w:rPr>
              <w:t>B91</w:t>
            </w:r>
          </w:p>
        </w:tc>
      </w:tr>
    </w:tbl>
    <w:p>
      <w:pPr>
        <w:spacing w:line="600" w:lineRule="exact"/>
        <w:jc w:val="left"/>
        <w:rPr>
          <w:rFonts w:hint="eastAsia"/>
        </w:rPr>
      </w:pPr>
    </w:p>
    <w:p/>
    <w:p>
      <w:bookmarkStart w:id="0" w:name="_GoBack"/>
      <w:bookmarkEnd w:id="0"/>
    </w:p>
    <w:sectPr>
      <w:pgSz w:w="16838" w:h="11906" w:orient="landscape"/>
      <w:pgMar w:top="1474" w:right="1474" w:bottom="1474" w:left="1474" w:header="851" w:footer="1134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0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等线" w:hAnsi="等线" w:eastAsia="等线"/>
      <w:szCs w:val="2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 Char2"/>
    <w:basedOn w:val="1"/>
    <w:link w:val="3"/>
    <w:uiPriority w:val="0"/>
    <w:rPr>
      <w:rFonts w:ascii="等线" w:hAnsi="等线" w:eastAsia="等线"/>
      <w:szCs w:val="22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2025-03-05T08:10:27Z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