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226D530">
      <w:pPr>
        <w:pStyle w:val="5"/>
        <w:spacing w:before="3"/>
        <w:rPr>
          <w:rFonts w:ascii="Times New Roman"/>
          <w:sz w:val="12"/>
        </w:rPr>
      </w:pPr>
    </w:p>
    <w:p w14:paraId="1DD4A7D0">
      <w:pPr>
        <w:pStyle w:val="5"/>
        <w:spacing w:before="67"/>
        <w:ind w:left="212"/>
      </w:pPr>
      <w:r>
        <w:t>ICS 号 03.120.20</w:t>
      </w:r>
    </w:p>
    <w:p w14:paraId="489B346E">
      <w:pPr>
        <w:pStyle w:val="5"/>
        <w:spacing w:before="4"/>
        <w:ind w:left="212"/>
      </w:pPr>
      <w:r>
        <w:t xml:space="preserve">中国标准文献分类号 </w:t>
      </w:r>
      <w:r>
        <w:rPr>
          <w:color w:val="3D464B"/>
          <w:shd w:val="clear" w:color="auto" w:fill="F9FAFC"/>
        </w:rPr>
        <w:t>A00/09</w:t>
      </w:r>
    </w:p>
    <w:p w14:paraId="36003EAC">
      <w:pPr>
        <w:pStyle w:val="5"/>
        <w:spacing w:before="1"/>
        <w:rPr>
          <w:sz w:val="25"/>
        </w:rPr>
      </w:pPr>
    </w:p>
    <w:p w14:paraId="38B617B1">
      <w:pPr>
        <w:spacing w:before="0"/>
        <w:ind w:left="6448" w:right="0" w:firstLine="0"/>
        <w:jc w:val="left"/>
        <w:rPr>
          <w:rFonts w:ascii="Times New Roman"/>
          <w:b/>
          <w:sz w:val="80"/>
        </w:rPr>
      </w:pPr>
      <w:r>
        <w:rPr>
          <w:rFonts w:ascii="Times New Roman"/>
          <w:b/>
          <w:w w:val="120"/>
          <w:sz w:val="80"/>
        </w:rPr>
        <w:t>HNJK</w:t>
      </w:r>
    </w:p>
    <w:p w14:paraId="46393D24">
      <w:pPr>
        <w:tabs>
          <w:tab w:val="left" w:pos="2879"/>
          <w:tab w:val="left" w:pos="5543"/>
          <w:tab w:val="left" w:pos="8209"/>
        </w:tabs>
        <w:spacing w:before="16"/>
        <w:ind w:left="212" w:right="0" w:firstLine="0"/>
        <w:jc w:val="left"/>
        <w:rPr>
          <w:rFonts w:hint="eastAsia" w:ascii="黑体" w:eastAsia="黑体"/>
          <w:b/>
          <w:sz w:val="96"/>
        </w:rPr>
      </w:pPr>
      <w:r>
        <w:rPr>
          <w:rFonts w:hint="eastAsia" w:ascii="黑体" w:eastAsia="黑体"/>
          <w:b/>
          <w:w w:val="120"/>
          <w:sz w:val="96"/>
        </w:rPr>
        <w:t>团</w:t>
      </w:r>
      <w:r>
        <w:rPr>
          <w:rFonts w:hint="eastAsia" w:ascii="黑体" w:eastAsia="黑体"/>
          <w:b/>
          <w:w w:val="120"/>
          <w:sz w:val="96"/>
        </w:rPr>
        <w:tab/>
      </w:r>
      <w:r>
        <w:rPr>
          <w:rFonts w:hint="eastAsia" w:ascii="黑体" w:eastAsia="黑体"/>
          <w:b/>
          <w:w w:val="120"/>
          <w:sz w:val="96"/>
        </w:rPr>
        <w:t>体</w:t>
      </w:r>
      <w:r>
        <w:rPr>
          <w:rFonts w:hint="eastAsia" w:ascii="黑体" w:eastAsia="黑体"/>
          <w:b/>
          <w:w w:val="120"/>
          <w:sz w:val="96"/>
        </w:rPr>
        <w:tab/>
      </w:r>
      <w:r>
        <w:rPr>
          <w:rFonts w:hint="eastAsia" w:ascii="黑体" w:eastAsia="黑体"/>
          <w:b/>
          <w:w w:val="120"/>
          <w:sz w:val="96"/>
        </w:rPr>
        <w:t>标</w:t>
      </w:r>
      <w:r>
        <w:rPr>
          <w:rFonts w:hint="eastAsia" w:ascii="黑体" w:eastAsia="黑体"/>
          <w:b/>
          <w:w w:val="120"/>
          <w:sz w:val="96"/>
        </w:rPr>
        <w:tab/>
      </w:r>
      <w:r>
        <w:rPr>
          <w:rFonts w:hint="eastAsia" w:ascii="黑体" w:eastAsia="黑体"/>
          <w:b/>
          <w:w w:val="120"/>
          <w:sz w:val="96"/>
        </w:rPr>
        <w:t>准</w:t>
      </w:r>
    </w:p>
    <w:p w14:paraId="73457892">
      <w:pPr>
        <w:spacing w:before="32"/>
        <w:ind w:left="0" w:right="1131" w:firstLine="0"/>
        <w:jc w:val="right"/>
        <w:rPr>
          <w:rFonts w:ascii="黑体"/>
          <w:sz w:val="24"/>
          <w:szCs w:val="24"/>
        </w:rPr>
      </w:pPr>
      <w:r>
        <w:rPr>
          <w:rFonts w:hint="eastAsia" w:ascii="黑体" w:hAnsi="黑体" w:eastAsia="黑体" w:cs="黑体"/>
          <w:sz w:val="24"/>
          <w:szCs w:val="24"/>
          <w:lang w:val="en-US" w:eastAsia="zh-CN"/>
        </w:rPr>
        <w:t>T/HNJK 12</w:t>
      </w:r>
      <w:bookmarkStart w:id="10" w:name="_GoBack"/>
      <w:bookmarkEnd w:id="10"/>
      <w:r>
        <w:rPr>
          <w:rFonts w:hint="eastAsia" w:ascii="黑体" w:hAnsi="黑体" w:eastAsia="黑体" w:cs="黑体"/>
          <w:sz w:val="24"/>
          <w:szCs w:val="24"/>
          <w:lang w:val="en-US" w:eastAsia="zh-CN"/>
        </w:rPr>
        <w:t>-2025 代替</w:t>
      </w:r>
      <w:r>
        <w:rPr>
          <w:rFonts w:ascii="黑体"/>
          <w:sz w:val="24"/>
          <w:szCs w:val="24"/>
        </w:rPr>
        <w:t>T/HNJK 05-2022</w:t>
      </w:r>
    </w:p>
    <w:p w14:paraId="4C9D5277">
      <w:pPr>
        <w:pStyle w:val="5"/>
        <w:rPr>
          <w:rFonts w:ascii="黑体"/>
          <w:sz w:val="20"/>
        </w:rPr>
      </w:pPr>
    </w:p>
    <w:p w14:paraId="420CAAE0">
      <w:pPr>
        <w:pStyle w:val="5"/>
        <w:spacing w:before="10"/>
        <w:rPr>
          <w:rFonts w:ascii="黑体"/>
          <w:sz w:val="14"/>
        </w:rPr>
      </w:pPr>
      <w:r>
        <w:drawing>
          <wp:anchor distT="0" distB="0" distL="0" distR="0" simplePos="0" relativeHeight="251659264" behindDoc="0" locked="0" layoutInCell="1" allowOverlap="1">
            <wp:simplePos x="0" y="0"/>
            <wp:positionH relativeFrom="page">
              <wp:posOffset>780415</wp:posOffset>
            </wp:positionH>
            <wp:positionV relativeFrom="paragraph">
              <wp:posOffset>144780</wp:posOffset>
            </wp:positionV>
            <wp:extent cx="6080760" cy="86360"/>
            <wp:effectExtent l="0" t="0" r="0" b="0"/>
            <wp:wrapTopAndBottom/>
            <wp:docPr id="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png"/>
                    <pic:cNvPicPr>
                      <a:picLocks noChangeAspect="1"/>
                    </pic:cNvPicPr>
                  </pic:nvPicPr>
                  <pic:blipFill>
                    <a:blip r:embed="rId17" cstate="print"/>
                    <a:stretch>
                      <a:fillRect/>
                    </a:stretch>
                  </pic:blipFill>
                  <pic:spPr>
                    <a:xfrm>
                      <a:off x="0" y="0"/>
                      <a:ext cx="6080792" cy="86677"/>
                    </a:xfrm>
                    <a:prstGeom prst="rect">
                      <a:avLst/>
                    </a:prstGeom>
                  </pic:spPr>
                </pic:pic>
              </a:graphicData>
            </a:graphic>
          </wp:anchor>
        </w:drawing>
      </w:r>
    </w:p>
    <w:p w14:paraId="73EBBEC7">
      <w:pPr>
        <w:pStyle w:val="5"/>
        <w:rPr>
          <w:rFonts w:ascii="黑体"/>
          <w:sz w:val="20"/>
        </w:rPr>
      </w:pPr>
    </w:p>
    <w:p w14:paraId="16A43012">
      <w:pPr>
        <w:pStyle w:val="5"/>
        <w:rPr>
          <w:rFonts w:ascii="黑体"/>
          <w:sz w:val="20"/>
        </w:rPr>
      </w:pPr>
    </w:p>
    <w:p w14:paraId="5B2724EB">
      <w:pPr>
        <w:pStyle w:val="5"/>
        <w:rPr>
          <w:rFonts w:ascii="黑体"/>
          <w:sz w:val="20"/>
        </w:rPr>
      </w:pPr>
    </w:p>
    <w:p w14:paraId="0936D69A">
      <w:pPr>
        <w:pStyle w:val="5"/>
        <w:rPr>
          <w:rFonts w:ascii="黑体"/>
          <w:sz w:val="20"/>
        </w:rPr>
      </w:pPr>
    </w:p>
    <w:p w14:paraId="09C8895E">
      <w:pPr>
        <w:pStyle w:val="5"/>
        <w:rPr>
          <w:rFonts w:ascii="黑体"/>
          <w:sz w:val="20"/>
        </w:rPr>
      </w:pPr>
    </w:p>
    <w:p w14:paraId="3F378959">
      <w:pPr>
        <w:pStyle w:val="5"/>
        <w:rPr>
          <w:rFonts w:ascii="黑体"/>
          <w:sz w:val="20"/>
        </w:rPr>
      </w:pPr>
    </w:p>
    <w:p w14:paraId="20126E83">
      <w:pPr>
        <w:pStyle w:val="5"/>
        <w:rPr>
          <w:rFonts w:ascii="黑体"/>
          <w:sz w:val="21"/>
        </w:rPr>
      </w:pPr>
    </w:p>
    <w:p w14:paraId="4203BCBB">
      <w:pPr>
        <w:spacing w:before="1"/>
        <w:ind w:left="1940" w:right="0" w:firstLine="0"/>
        <w:jc w:val="left"/>
        <w:rPr>
          <w:b/>
          <w:sz w:val="44"/>
        </w:rPr>
      </w:pPr>
      <w:r>
        <w:rPr>
          <w:b/>
          <w:sz w:val="44"/>
        </w:rPr>
        <w:t>草本抑菌凝胶保健用品技术规范</w:t>
      </w:r>
    </w:p>
    <w:p w14:paraId="74224135">
      <w:pPr>
        <w:pStyle w:val="5"/>
        <w:spacing w:before="313"/>
        <w:ind w:right="1573"/>
        <w:jc w:val="right"/>
        <w:rPr>
          <w:rFonts w:ascii="黑体"/>
        </w:rPr>
      </w:pPr>
      <w:r>
        <w:rPr>
          <w:rFonts w:ascii="黑体"/>
        </w:rPr>
        <w:t>Technical Specification for herbal antibacterial GEL health care products</w:t>
      </w:r>
    </w:p>
    <w:p w14:paraId="3E1A40D6">
      <w:pPr>
        <w:pStyle w:val="5"/>
        <w:rPr>
          <w:rFonts w:ascii="黑体"/>
        </w:rPr>
      </w:pPr>
    </w:p>
    <w:p w14:paraId="4C20BE57">
      <w:pPr>
        <w:pStyle w:val="5"/>
        <w:rPr>
          <w:rFonts w:ascii="黑体"/>
        </w:rPr>
      </w:pPr>
    </w:p>
    <w:p w14:paraId="100A15DC">
      <w:pPr>
        <w:pStyle w:val="5"/>
        <w:rPr>
          <w:rFonts w:ascii="黑体"/>
        </w:rPr>
      </w:pPr>
    </w:p>
    <w:p w14:paraId="03E7B0AB">
      <w:pPr>
        <w:pStyle w:val="5"/>
        <w:rPr>
          <w:rFonts w:ascii="黑体"/>
        </w:rPr>
      </w:pPr>
    </w:p>
    <w:p w14:paraId="43B7BB0A">
      <w:pPr>
        <w:pStyle w:val="5"/>
        <w:rPr>
          <w:rFonts w:ascii="黑体"/>
        </w:rPr>
      </w:pPr>
    </w:p>
    <w:p w14:paraId="3E53E3D3">
      <w:pPr>
        <w:pStyle w:val="5"/>
        <w:rPr>
          <w:rFonts w:ascii="黑体"/>
        </w:rPr>
      </w:pPr>
    </w:p>
    <w:p w14:paraId="71C5F32D">
      <w:pPr>
        <w:pStyle w:val="5"/>
        <w:rPr>
          <w:rFonts w:ascii="黑体"/>
        </w:rPr>
      </w:pPr>
    </w:p>
    <w:p w14:paraId="0B99D7BA">
      <w:pPr>
        <w:pStyle w:val="5"/>
        <w:rPr>
          <w:rFonts w:ascii="黑体"/>
        </w:rPr>
      </w:pPr>
    </w:p>
    <w:p w14:paraId="2158ACE9">
      <w:pPr>
        <w:pStyle w:val="5"/>
        <w:rPr>
          <w:rFonts w:ascii="黑体"/>
        </w:rPr>
      </w:pPr>
    </w:p>
    <w:p w14:paraId="7F8D59E8">
      <w:pPr>
        <w:pStyle w:val="5"/>
        <w:rPr>
          <w:rFonts w:ascii="黑体"/>
        </w:rPr>
      </w:pPr>
    </w:p>
    <w:p w14:paraId="25A42304">
      <w:pPr>
        <w:pStyle w:val="5"/>
        <w:rPr>
          <w:rFonts w:ascii="黑体"/>
        </w:rPr>
      </w:pPr>
    </w:p>
    <w:p w14:paraId="1A490D23">
      <w:pPr>
        <w:pStyle w:val="5"/>
        <w:rPr>
          <w:rFonts w:ascii="黑体"/>
        </w:rPr>
      </w:pPr>
    </w:p>
    <w:p w14:paraId="4F1A2486">
      <w:pPr>
        <w:pStyle w:val="5"/>
        <w:rPr>
          <w:rFonts w:ascii="黑体"/>
        </w:rPr>
      </w:pPr>
    </w:p>
    <w:p w14:paraId="277A7364">
      <w:pPr>
        <w:pStyle w:val="5"/>
        <w:rPr>
          <w:rFonts w:ascii="黑体"/>
          <w:sz w:val="22"/>
        </w:rPr>
      </w:pPr>
    </w:p>
    <w:p w14:paraId="46AD80A9">
      <w:pPr>
        <w:pStyle w:val="3"/>
        <w:tabs>
          <w:tab w:val="left" w:pos="6369"/>
        </w:tabs>
        <w:ind w:left="0" w:right="1605"/>
        <w:jc w:val="right"/>
        <w:rPr>
          <w:rFonts w:hint="eastAsia" w:ascii="黑体" w:eastAsia="黑体"/>
        </w:rPr>
      </w:pPr>
      <w:r>
        <w:rPr>
          <w:rFonts w:hint="eastAsia" w:ascii="黑体" w:eastAsia="黑体"/>
        </w:rPr>
        <w:t>2022</w:t>
      </w:r>
      <w:r>
        <w:rPr>
          <w:rFonts w:hint="eastAsia" w:ascii="黑体" w:eastAsia="黑体"/>
          <w:spacing w:val="-72"/>
        </w:rPr>
        <w:t xml:space="preserve"> </w:t>
      </w:r>
      <w:r>
        <w:rPr>
          <w:rFonts w:hint="eastAsia" w:ascii="黑体" w:eastAsia="黑体"/>
        </w:rPr>
        <w:t>年</w:t>
      </w:r>
      <w:r>
        <w:rPr>
          <w:rFonts w:hint="eastAsia" w:ascii="黑体" w:eastAsia="黑体"/>
          <w:spacing w:val="-70"/>
        </w:rPr>
        <w:t xml:space="preserve"> </w:t>
      </w:r>
      <w:r>
        <w:rPr>
          <w:rFonts w:hint="eastAsia" w:ascii="黑体" w:eastAsia="黑体"/>
        </w:rPr>
        <w:t>7</w:t>
      </w:r>
      <w:r>
        <w:rPr>
          <w:rFonts w:hint="eastAsia" w:ascii="黑体" w:eastAsia="黑体"/>
          <w:spacing w:val="-70"/>
        </w:rPr>
        <w:t xml:space="preserve"> </w:t>
      </w:r>
      <w:r>
        <w:rPr>
          <w:rFonts w:hint="eastAsia" w:ascii="黑体" w:eastAsia="黑体"/>
        </w:rPr>
        <w:t>月</w:t>
      </w:r>
      <w:r>
        <w:rPr>
          <w:rFonts w:hint="eastAsia" w:ascii="黑体" w:eastAsia="黑体"/>
          <w:spacing w:val="-72"/>
        </w:rPr>
        <w:t xml:space="preserve"> </w:t>
      </w:r>
      <w:r>
        <w:rPr>
          <w:rFonts w:hint="eastAsia" w:ascii="黑体" w:eastAsia="黑体"/>
        </w:rPr>
        <w:t>12</w:t>
      </w:r>
      <w:r>
        <w:rPr>
          <w:rFonts w:hint="eastAsia" w:ascii="黑体" w:eastAsia="黑体"/>
          <w:spacing w:val="-72"/>
        </w:rPr>
        <w:t xml:space="preserve"> </w:t>
      </w:r>
      <w:r>
        <w:rPr>
          <w:rFonts w:hint="eastAsia" w:ascii="黑体" w:eastAsia="黑体"/>
        </w:rPr>
        <w:t>日发布</w:t>
      </w:r>
      <w:r>
        <w:rPr>
          <w:rFonts w:hint="eastAsia" w:ascii="黑体" w:eastAsia="黑体"/>
        </w:rPr>
        <w:tab/>
      </w:r>
      <w:r>
        <w:rPr>
          <w:rFonts w:hint="eastAsia" w:ascii="黑体" w:eastAsia="黑体"/>
        </w:rPr>
        <w:t>2022</w:t>
      </w:r>
      <w:r>
        <w:rPr>
          <w:rFonts w:hint="eastAsia" w:ascii="黑体" w:eastAsia="黑体"/>
          <w:spacing w:val="-71"/>
        </w:rPr>
        <w:t xml:space="preserve"> </w:t>
      </w:r>
      <w:r>
        <w:rPr>
          <w:rFonts w:hint="eastAsia" w:ascii="黑体" w:eastAsia="黑体"/>
        </w:rPr>
        <w:t>年</w:t>
      </w:r>
      <w:r>
        <w:rPr>
          <w:rFonts w:hint="eastAsia" w:ascii="黑体" w:eastAsia="黑体"/>
          <w:spacing w:val="-71"/>
        </w:rPr>
        <w:t xml:space="preserve"> </w:t>
      </w:r>
      <w:r>
        <w:rPr>
          <w:rFonts w:hint="eastAsia" w:ascii="黑体" w:eastAsia="黑体"/>
        </w:rPr>
        <w:t>8</w:t>
      </w:r>
      <w:r>
        <w:rPr>
          <w:rFonts w:hint="eastAsia" w:ascii="黑体" w:eastAsia="黑体"/>
          <w:spacing w:val="-70"/>
        </w:rPr>
        <w:t xml:space="preserve"> </w:t>
      </w:r>
      <w:r>
        <w:rPr>
          <w:rFonts w:hint="eastAsia" w:ascii="黑体" w:eastAsia="黑体"/>
        </w:rPr>
        <w:t>月</w:t>
      </w:r>
      <w:r>
        <w:rPr>
          <w:rFonts w:hint="eastAsia" w:ascii="黑体" w:eastAsia="黑体"/>
          <w:spacing w:val="-70"/>
        </w:rPr>
        <w:t xml:space="preserve"> </w:t>
      </w:r>
      <w:r>
        <w:rPr>
          <w:rFonts w:hint="eastAsia" w:ascii="黑体" w:eastAsia="黑体"/>
        </w:rPr>
        <w:t>12</w:t>
      </w:r>
      <w:r>
        <w:rPr>
          <w:rFonts w:hint="eastAsia" w:ascii="黑体" w:eastAsia="黑体"/>
          <w:spacing w:val="-72"/>
        </w:rPr>
        <w:t xml:space="preserve"> </w:t>
      </w:r>
      <w:r>
        <w:rPr>
          <w:rFonts w:hint="eastAsia" w:ascii="黑体" w:eastAsia="黑体"/>
        </w:rPr>
        <w:t>日实施</w:t>
      </w:r>
    </w:p>
    <w:p w14:paraId="458181BD">
      <w:pPr>
        <w:pStyle w:val="5"/>
        <w:spacing w:before="6"/>
        <w:rPr>
          <w:rFonts w:ascii="黑体"/>
          <w:sz w:val="18"/>
        </w:rPr>
      </w:pPr>
      <w:r>
        <w:drawing>
          <wp:anchor distT="0" distB="0" distL="0" distR="0" simplePos="0" relativeHeight="251660288" behindDoc="0" locked="0" layoutInCell="1" allowOverlap="1">
            <wp:simplePos x="0" y="0"/>
            <wp:positionH relativeFrom="page">
              <wp:posOffset>713105</wp:posOffset>
            </wp:positionH>
            <wp:positionV relativeFrom="paragraph">
              <wp:posOffset>174625</wp:posOffset>
            </wp:positionV>
            <wp:extent cx="5840095" cy="7620"/>
            <wp:effectExtent l="0" t="0" r="0" b="0"/>
            <wp:wrapTopAndBottom/>
            <wp:docPr id="3" name="imag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2.png"/>
                    <pic:cNvPicPr>
                      <a:picLocks noChangeAspect="1"/>
                    </pic:cNvPicPr>
                  </pic:nvPicPr>
                  <pic:blipFill>
                    <a:blip r:embed="rId18" cstate="print"/>
                    <a:stretch>
                      <a:fillRect/>
                    </a:stretch>
                  </pic:blipFill>
                  <pic:spPr>
                    <a:xfrm>
                      <a:off x="0" y="0"/>
                      <a:ext cx="5840043" cy="7619"/>
                    </a:xfrm>
                    <a:prstGeom prst="rect">
                      <a:avLst/>
                    </a:prstGeom>
                  </pic:spPr>
                </pic:pic>
              </a:graphicData>
            </a:graphic>
          </wp:anchor>
        </w:drawing>
      </w:r>
    </w:p>
    <w:p w14:paraId="5EB19039">
      <w:pPr>
        <w:tabs>
          <w:tab w:val="left" w:pos="7194"/>
          <w:tab w:val="left" w:pos="7851"/>
        </w:tabs>
        <w:spacing w:before="231"/>
        <w:ind w:left="1131" w:right="0" w:firstLine="0"/>
        <w:jc w:val="left"/>
        <w:rPr>
          <w:rFonts w:hint="eastAsia" w:ascii="宋体" w:eastAsia="宋体"/>
          <w:sz w:val="28"/>
        </w:rPr>
      </w:pPr>
      <w:r>
        <w:rPr>
          <w:rFonts w:hint="eastAsia" w:ascii="宋体" w:eastAsia="宋体"/>
          <w:w w:val="125"/>
          <w:sz w:val="28"/>
        </w:rPr>
        <w:t>河</w:t>
      </w:r>
      <w:r>
        <w:rPr>
          <w:rFonts w:hint="eastAsia" w:ascii="宋体" w:eastAsia="宋体"/>
          <w:spacing w:val="-89"/>
          <w:w w:val="125"/>
          <w:sz w:val="28"/>
        </w:rPr>
        <w:t xml:space="preserve"> </w:t>
      </w:r>
      <w:r>
        <w:rPr>
          <w:rFonts w:hint="eastAsia" w:ascii="宋体" w:eastAsia="宋体"/>
          <w:w w:val="125"/>
          <w:sz w:val="28"/>
        </w:rPr>
        <w:t>南</w:t>
      </w:r>
      <w:r>
        <w:rPr>
          <w:rFonts w:hint="eastAsia" w:ascii="宋体" w:eastAsia="宋体"/>
          <w:spacing w:val="-91"/>
          <w:w w:val="125"/>
          <w:sz w:val="28"/>
        </w:rPr>
        <w:t xml:space="preserve"> </w:t>
      </w:r>
      <w:r>
        <w:rPr>
          <w:rFonts w:hint="eastAsia" w:ascii="宋体" w:eastAsia="宋体"/>
          <w:w w:val="125"/>
          <w:sz w:val="28"/>
        </w:rPr>
        <w:t>省</w:t>
      </w:r>
      <w:r>
        <w:rPr>
          <w:rFonts w:hint="eastAsia" w:ascii="宋体" w:eastAsia="宋体"/>
          <w:spacing w:val="-89"/>
          <w:w w:val="125"/>
          <w:sz w:val="28"/>
        </w:rPr>
        <w:t xml:space="preserve"> </w:t>
      </w:r>
      <w:r>
        <w:rPr>
          <w:rFonts w:hint="eastAsia" w:ascii="宋体" w:eastAsia="宋体"/>
          <w:w w:val="125"/>
          <w:sz w:val="28"/>
        </w:rPr>
        <w:t>健</w:t>
      </w:r>
      <w:r>
        <w:rPr>
          <w:rFonts w:hint="eastAsia" w:ascii="宋体" w:eastAsia="宋体"/>
          <w:spacing w:val="-88"/>
          <w:w w:val="125"/>
          <w:sz w:val="28"/>
        </w:rPr>
        <w:t xml:space="preserve"> </w:t>
      </w:r>
      <w:r>
        <w:rPr>
          <w:rFonts w:hint="eastAsia" w:ascii="宋体" w:eastAsia="宋体"/>
          <w:w w:val="125"/>
          <w:sz w:val="28"/>
        </w:rPr>
        <w:t>康</w:t>
      </w:r>
      <w:r>
        <w:rPr>
          <w:rFonts w:hint="eastAsia" w:ascii="宋体" w:eastAsia="宋体"/>
          <w:spacing w:val="-92"/>
          <w:w w:val="125"/>
          <w:sz w:val="28"/>
        </w:rPr>
        <w:t xml:space="preserve"> </w:t>
      </w:r>
      <w:r>
        <w:rPr>
          <w:rFonts w:hint="eastAsia" w:ascii="宋体" w:eastAsia="宋体"/>
          <w:w w:val="125"/>
          <w:sz w:val="28"/>
        </w:rPr>
        <w:t>产</w:t>
      </w:r>
      <w:r>
        <w:rPr>
          <w:rFonts w:hint="eastAsia" w:ascii="宋体" w:eastAsia="宋体"/>
          <w:spacing w:val="-88"/>
          <w:w w:val="125"/>
          <w:sz w:val="28"/>
        </w:rPr>
        <w:t xml:space="preserve"> </w:t>
      </w:r>
      <w:r>
        <w:rPr>
          <w:rFonts w:hint="eastAsia" w:ascii="宋体" w:eastAsia="宋体"/>
          <w:w w:val="125"/>
          <w:sz w:val="28"/>
        </w:rPr>
        <w:t>业</w:t>
      </w:r>
      <w:r>
        <w:rPr>
          <w:rFonts w:hint="eastAsia" w:ascii="宋体" w:eastAsia="宋体"/>
          <w:spacing w:val="-88"/>
          <w:w w:val="125"/>
          <w:sz w:val="28"/>
        </w:rPr>
        <w:t xml:space="preserve"> </w:t>
      </w:r>
      <w:r>
        <w:rPr>
          <w:rFonts w:hint="eastAsia" w:ascii="宋体" w:eastAsia="宋体"/>
          <w:w w:val="125"/>
          <w:sz w:val="28"/>
        </w:rPr>
        <w:t>发</w:t>
      </w:r>
      <w:r>
        <w:rPr>
          <w:rFonts w:hint="eastAsia" w:ascii="宋体" w:eastAsia="宋体"/>
          <w:spacing w:val="-92"/>
          <w:w w:val="125"/>
          <w:sz w:val="28"/>
        </w:rPr>
        <w:t xml:space="preserve"> </w:t>
      </w:r>
      <w:r>
        <w:rPr>
          <w:rFonts w:hint="eastAsia" w:ascii="宋体" w:eastAsia="宋体"/>
          <w:w w:val="125"/>
          <w:sz w:val="28"/>
        </w:rPr>
        <w:t>展</w:t>
      </w:r>
      <w:r>
        <w:rPr>
          <w:rFonts w:hint="eastAsia" w:ascii="宋体" w:eastAsia="宋体"/>
          <w:spacing w:val="-88"/>
          <w:w w:val="125"/>
          <w:sz w:val="28"/>
        </w:rPr>
        <w:t xml:space="preserve"> </w:t>
      </w:r>
      <w:r>
        <w:rPr>
          <w:rFonts w:hint="eastAsia" w:ascii="宋体" w:eastAsia="宋体"/>
          <w:w w:val="125"/>
          <w:sz w:val="28"/>
        </w:rPr>
        <w:t>研</w:t>
      </w:r>
      <w:r>
        <w:rPr>
          <w:rFonts w:hint="eastAsia" w:ascii="宋体" w:eastAsia="宋体"/>
          <w:spacing w:val="-89"/>
          <w:w w:val="125"/>
          <w:sz w:val="28"/>
        </w:rPr>
        <w:t xml:space="preserve"> </w:t>
      </w:r>
      <w:r>
        <w:rPr>
          <w:rFonts w:hint="eastAsia" w:ascii="宋体" w:eastAsia="宋体"/>
          <w:w w:val="125"/>
          <w:sz w:val="28"/>
        </w:rPr>
        <w:t>究</w:t>
      </w:r>
      <w:r>
        <w:rPr>
          <w:rFonts w:hint="eastAsia" w:ascii="宋体" w:eastAsia="宋体"/>
          <w:spacing w:val="-91"/>
          <w:w w:val="125"/>
          <w:sz w:val="28"/>
        </w:rPr>
        <w:t xml:space="preserve"> </w:t>
      </w:r>
      <w:r>
        <w:rPr>
          <w:rFonts w:hint="eastAsia" w:ascii="宋体" w:eastAsia="宋体"/>
          <w:w w:val="125"/>
          <w:sz w:val="28"/>
        </w:rPr>
        <w:t>会</w:t>
      </w:r>
      <w:r>
        <w:rPr>
          <w:rFonts w:hint="eastAsia" w:ascii="宋体" w:eastAsia="宋体"/>
          <w:w w:val="125"/>
          <w:sz w:val="28"/>
        </w:rPr>
        <w:tab/>
      </w:r>
      <w:r>
        <w:rPr>
          <w:rFonts w:hint="eastAsia" w:ascii="宋体" w:eastAsia="宋体"/>
          <w:w w:val="125"/>
          <w:position w:val="2"/>
          <w:sz w:val="28"/>
        </w:rPr>
        <w:t>发</w:t>
      </w:r>
      <w:r>
        <w:rPr>
          <w:rFonts w:hint="eastAsia" w:ascii="宋体" w:eastAsia="宋体"/>
          <w:w w:val="125"/>
          <w:position w:val="2"/>
          <w:sz w:val="28"/>
        </w:rPr>
        <w:tab/>
      </w:r>
      <w:r>
        <w:rPr>
          <w:rFonts w:hint="eastAsia" w:ascii="宋体" w:eastAsia="宋体"/>
          <w:w w:val="125"/>
          <w:position w:val="2"/>
          <w:sz w:val="28"/>
        </w:rPr>
        <w:t>布</w:t>
      </w:r>
    </w:p>
    <w:p w14:paraId="4AD426DD">
      <w:pPr>
        <w:spacing w:after="0"/>
        <w:jc w:val="left"/>
        <w:rPr>
          <w:rFonts w:hint="eastAsia" w:ascii="宋体" w:eastAsia="宋体"/>
          <w:sz w:val="28"/>
        </w:rPr>
        <w:sectPr>
          <w:headerReference r:id="rId5" w:type="default"/>
          <w:type w:val="continuous"/>
          <w:pgSz w:w="11910" w:h="16840"/>
          <w:pgMar w:top="1360" w:right="0" w:bottom="280" w:left="920" w:header="888" w:footer="720" w:gutter="0"/>
          <w:cols w:space="720" w:num="1"/>
        </w:sectPr>
      </w:pPr>
    </w:p>
    <w:p w14:paraId="5451CA6D">
      <w:pPr>
        <w:spacing w:before="44"/>
        <w:ind w:left="4614" w:right="5536" w:firstLine="0"/>
        <w:jc w:val="center"/>
        <w:rPr>
          <w:rFonts w:hint="eastAsia" w:ascii="黑体" w:eastAsia="黑体"/>
          <w:sz w:val="32"/>
        </w:rPr>
      </w:pPr>
      <w:r>
        <w:pict>
          <v:shape id="_x0000_s1027" o:spid="_x0000_s1027" o:spt="136" type="#_x0000_t136" style="position:absolute;left:0pt;margin-left:-73.5pt;margin-top:371.5pt;height:70pt;width:701.15pt;mso-position-horizontal-relative:page;mso-position-vertical-relative:page;rotation:20054016f;z-index:-251652096;mso-width-relative:page;mso-height-relative:page;" fillcolor="#BFBFBF" filled="t" stroked="f" coordsize="21600,21600">
            <v:path/>
            <v:fill on="t" focussize="0,0"/>
            <v:stroke on="f"/>
            <v:imagedata o:title=""/>
            <o:lock v:ext="edit"/>
            <v:textpath on="t" fitpath="t" trim="t" xscale="f" string="全国团体标准信息平台" style="font-family:仿宋;font-size:70pt;v-text-align:center;"/>
          </v:shape>
        </w:pict>
      </w:r>
      <w:bookmarkStart w:id="0" w:name="目 次"/>
      <w:bookmarkEnd w:id="0"/>
      <w:r>
        <w:rPr>
          <w:rFonts w:hint="eastAsia" w:ascii="黑体" w:eastAsia="黑体"/>
          <w:sz w:val="32"/>
        </w:rPr>
        <w:t>目 次</w:t>
      </w:r>
    </w:p>
    <w:sdt>
      <w:sdtPr>
        <w:id w:val="147483073"/>
        <w:docPartObj>
          <w:docPartGallery w:val="Table of Contents"/>
          <w:docPartUnique/>
        </w:docPartObj>
      </w:sdtPr>
      <w:sdtContent>
        <w:p w14:paraId="7034D937">
          <w:pPr>
            <w:pStyle w:val="6"/>
            <w:tabs>
              <w:tab w:val="right" w:leader="dot" w:pos="9871"/>
            </w:tabs>
            <w:spacing w:before="571"/>
            <w:ind w:left="628" w:firstLine="0"/>
          </w:pPr>
          <w:r>
            <w:fldChar w:fldCharType="begin"/>
          </w:r>
          <w:r>
            <w:instrText xml:space="preserve"> HYPERLINK \l "_TOC_250008" </w:instrText>
          </w:r>
          <w:r>
            <w:fldChar w:fldCharType="separate"/>
          </w:r>
          <w:r>
            <w:t>前</w:t>
          </w:r>
          <w:r>
            <w:rPr>
              <w:spacing w:val="-1"/>
            </w:rPr>
            <w:t xml:space="preserve"> </w:t>
          </w:r>
          <w:r>
            <w:t>言</w:t>
          </w:r>
          <w:r>
            <w:tab/>
          </w:r>
          <w:r>
            <w:t>II</w:t>
          </w:r>
          <w:r>
            <w:fldChar w:fldCharType="end"/>
          </w:r>
        </w:p>
        <w:p w14:paraId="5A71C918">
          <w:pPr>
            <w:pStyle w:val="6"/>
            <w:numPr>
              <w:ilvl w:val="0"/>
              <w:numId w:val="1"/>
            </w:numPr>
            <w:tabs>
              <w:tab w:val="left" w:pos="909"/>
              <w:tab w:val="right" w:leader="dot" w:pos="9871"/>
            </w:tabs>
            <w:spacing w:before="123" w:after="0" w:line="240" w:lineRule="auto"/>
            <w:ind w:left="908" w:right="0" w:hanging="279"/>
            <w:jc w:val="left"/>
          </w:pPr>
          <w:r>
            <w:fldChar w:fldCharType="begin"/>
          </w:r>
          <w:r>
            <w:instrText xml:space="preserve"> HYPERLINK \l "_TOC_250007" </w:instrText>
          </w:r>
          <w:r>
            <w:fldChar w:fldCharType="separate"/>
          </w:r>
          <w:r>
            <w:t>范围</w:t>
          </w:r>
          <w:r>
            <w:tab/>
          </w:r>
          <w:r>
            <w:t>1</w:t>
          </w:r>
          <w:r>
            <w:fldChar w:fldCharType="end"/>
          </w:r>
        </w:p>
        <w:p w14:paraId="19482BED">
          <w:pPr>
            <w:pStyle w:val="6"/>
            <w:numPr>
              <w:ilvl w:val="0"/>
              <w:numId w:val="1"/>
            </w:numPr>
            <w:tabs>
              <w:tab w:val="left" w:pos="909"/>
              <w:tab w:val="right" w:leader="dot" w:pos="9871"/>
            </w:tabs>
            <w:spacing w:before="122" w:after="0" w:line="240" w:lineRule="auto"/>
            <w:ind w:left="908" w:right="0" w:hanging="279"/>
            <w:jc w:val="left"/>
          </w:pPr>
          <w:r>
            <w:fldChar w:fldCharType="begin"/>
          </w:r>
          <w:r>
            <w:instrText xml:space="preserve"> HYPERLINK \l "_TOC_250006" </w:instrText>
          </w:r>
          <w:r>
            <w:fldChar w:fldCharType="separate"/>
          </w:r>
          <w:r>
            <w:t>规</w:t>
          </w:r>
          <w:r>
            <w:rPr>
              <w:spacing w:val="-3"/>
            </w:rPr>
            <w:t>范</w:t>
          </w:r>
          <w:r>
            <w:t>性引</w:t>
          </w:r>
          <w:r>
            <w:rPr>
              <w:spacing w:val="-3"/>
            </w:rPr>
            <w:t>用</w:t>
          </w:r>
          <w:r>
            <w:t>文件</w:t>
          </w:r>
          <w:r>
            <w:tab/>
          </w:r>
          <w:r>
            <w:t>1</w:t>
          </w:r>
          <w:r>
            <w:fldChar w:fldCharType="end"/>
          </w:r>
        </w:p>
        <w:p w14:paraId="5A95DBF3">
          <w:pPr>
            <w:pStyle w:val="6"/>
            <w:numPr>
              <w:ilvl w:val="0"/>
              <w:numId w:val="1"/>
            </w:numPr>
            <w:tabs>
              <w:tab w:val="left" w:pos="909"/>
              <w:tab w:val="right" w:leader="dot" w:pos="9871"/>
            </w:tabs>
            <w:spacing w:before="123" w:after="0" w:line="240" w:lineRule="auto"/>
            <w:ind w:left="908" w:right="0" w:hanging="279"/>
            <w:jc w:val="left"/>
          </w:pPr>
          <w:r>
            <w:t>术</w:t>
          </w:r>
          <w:r>
            <w:rPr>
              <w:spacing w:val="-3"/>
            </w:rPr>
            <w:t>语</w:t>
          </w:r>
          <w:r>
            <w:t>和定义</w:t>
          </w:r>
          <w:r>
            <w:tab/>
          </w:r>
          <w:r>
            <w:t>1</w:t>
          </w:r>
        </w:p>
        <w:p w14:paraId="50D48EC3">
          <w:pPr>
            <w:pStyle w:val="6"/>
            <w:numPr>
              <w:ilvl w:val="0"/>
              <w:numId w:val="1"/>
            </w:numPr>
            <w:tabs>
              <w:tab w:val="left" w:pos="909"/>
              <w:tab w:val="right" w:leader="dot" w:pos="9871"/>
            </w:tabs>
            <w:spacing w:before="121" w:after="0" w:line="240" w:lineRule="auto"/>
            <w:ind w:left="908" w:right="0" w:hanging="279"/>
            <w:jc w:val="left"/>
          </w:pPr>
          <w:r>
            <w:fldChar w:fldCharType="begin"/>
          </w:r>
          <w:r>
            <w:instrText xml:space="preserve"> HYPERLINK \l "_TOC_250005" </w:instrText>
          </w:r>
          <w:r>
            <w:fldChar w:fldCharType="separate"/>
          </w:r>
          <w:r>
            <w:t>技</w:t>
          </w:r>
          <w:r>
            <w:rPr>
              <w:spacing w:val="-3"/>
            </w:rPr>
            <w:t>术</w:t>
          </w:r>
          <w:r>
            <w:t>要求</w:t>
          </w:r>
          <w:r>
            <w:tab/>
          </w:r>
          <w:r>
            <w:t>2</w:t>
          </w:r>
          <w:r>
            <w:fldChar w:fldCharType="end"/>
          </w:r>
        </w:p>
        <w:p w14:paraId="0B814CD8">
          <w:pPr>
            <w:pStyle w:val="6"/>
            <w:numPr>
              <w:ilvl w:val="1"/>
              <w:numId w:val="1"/>
            </w:numPr>
            <w:tabs>
              <w:tab w:val="left" w:pos="1120"/>
              <w:tab w:val="right" w:leader="dot" w:pos="9871"/>
            </w:tabs>
            <w:spacing w:before="124" w:after="0" w:line="240" w:lineRule="auto"/>
            <w:ind w:left="1120" w:right="0" w:hanging="490"/>
            <w:jc w:val="left"/>
          </w:pPr>
          <w:r>
            <w:t>原</w:t>
          </w:r>
          <w:r>
            <w:rPr>
              <w:spacing w:val="-3"/>
            </w:rPr>
            <w:t>、</w:t>
          </w:r>
          <w:r>
            <w:t>辅材</w:t>
          </w:r>
          <w:r>
            <w:rPr>
              <w:spacing w:val="-3"/>
            </w:rPr>
            <w:t>料</w:t>
          </w:r>
          <w:r>
            <w:t>及规</w:t>
          </w:r>
          <w:r>
            <w:rPr>
              <w:spacing w:val="-3"/>
            </w:rPr>
            <w:t>格</w:t>
          </w:r>
          <w:r>
            <w:t>要求</w:t>
          </w:r>
          <w:r>
            <w:tab/>
          </w:r>
          <w:r>
            <w:t>2</w:t>
          </w:r>
        </w:p>
        <w:p w14:paraId="311B027D">
          <w:pPr>
            <w:pStyle w:val="6"/>
            <w:numPr>
              <w:ilvl w:val="1"/>
              <w:numId w:val="1"/>
            </w:numPr>
            <w:tabs>
              <w:tab w:val="left" w:pos="1120"/>
              <w:tab w:val="right" w:leader="dot" w:pos="9871"/>
            </w:tabs>
            <w:spacing w:before="121" w:after="0" w:line="240" w:lineRule="auto"/>
            <w:ind w:left="1120" w:right="0" w:hanging="490"/>
            <w:jc w:val="left"/>
          </w:pPr>
          <w:r>
            <w:t>感</w:t>
          </w:r>
          <w:r>
            <w:rPr>
              <w:spacing w:val="-3"/>
            </w:rPr>
            <w:t>官</w:t>
          </w:r>
          <w:r>
            <w:t>指标</w:t>
          </w:r>
          <w:r>
            <w:tab/>
          </w:r>
          <w:r>
            <w:t>2</w:t>
          </w:r>
        </w:p>
        <w:p w14:paraId="79F16B7D">
          <w:pPr>
            <w:pStyle w:val="6"/>
            <w:numPr>
              <w:ilvl w:val="1"/>
              <w:numId w:val="1"/>
            </w:numPr>
            <w:tabs>
              <w:tab w:val="left" w:pos="1120"/>
              <w:tab w:val="right" w:leader="dot" w:pos="9871"/>
            </w:tabs>
            <w:spacing w:before="122" w:after="0" w:line="240" w:lineRule="auto"/>
            <w:ind w:left="1120" w:right="0" w:hanging="490"/>
            <w:jc w:val="left"/>
          </w:pPr>
          <w:r>
            <w:t>物</w:t>
          </w:r>
          <w:r>
            <w:rPr>
              <w:spacing w:val="-3"/>
            </w:rPr>
            <w:t>理</w:t>
          </w:r>
          <w:r>
            <w:t>性能</w:t>
          </w:r>
          <w:r>
            <w:tab/>
          </w:r>
          <w:r>
            <w:t>2</w:t>
          </w:r>
        </w:p>
        <w:p w14:paraId="0AEC09F9">
          <w:pPr>
            <w:pStyle w:val="6"/>
            <w:numPr>
              <w:ilvl w:val="1"/>
              <w:numId w:val="1"/>
            </w:numPr>
            <w:tabs>
              <w:tab w:val="left" w:pos="1120"/>
              <w:tab w:val="right" w:leader="dot" w:pos="9871"/>
            </w:tabs>
            <w:spacing w:before="121" w:after="0" w:line="240" w:lineRule="auto"/>
            <w:ind w:left="1120" w:right="0" w:hanging="490"/>
            <w:jc w:val="left"/>
          </w:pPr>
          <w:r>
            <w:t>理</w:t>
          </w:r>
          <w:r>
            <w:rPr>
              <w:spacing w:val="-3"/>
            </w:rPr>
            <w:t>化</w:t>
          </w:r>
          <w:r>
            <w:t>指标</w:t>
          </w:r>
          <w:r>
            <w:tab/>
          </w:r>
          <w:r>
            <w:t>2</w:t>
          </w:r>
        </w:p>
        <w:p w14:paraId="6C837074">
          <w:pPr>
            <w:pStyle w:val="6"/>
            <w:numPr>
              <w:ilvl w:val="1"/>
              <w:numId w:val="1"/>
            </w:numPr>
            <w:tabs>
              <w:tab w:val="left" w:pos="1120"/>
              <w:tab w:val="right" w:leader="dot" w:pos="9871"/>
            </w:tabs>
            <w:spacing w:before="121" w:after="0" w:line="240" w:lineRule="auto"/>
            <w:ind w:left="1120" w:right="0" w:hanging="490"/>
            <w:jc w:val="left"/>
          </w:pPr>
          <w:r>
            <w:t>微</w:t>
          </w:r>
          <w:r>
            <w:rPr>
              <w:spacing w:val="-3"/>
            </w:rPr>
            <w:t>生</w:t>
          </w:r>
          <w:r>
            <w:t>物指标</w:t>
          </w:r>
          <w:r>
            <w:tab/>
          </w:r>
          <w:r>
            <w:t>2</w:t>
          </w:r>
        </w:p>
        <w:p w14:paraId="7FA18C0C">
          <w:pPr>
            <w:pStyle w:val="6"/>
            <w:numPr>
              <w:ilvl w:val="1"/>
              <w:numId w:val="1"/>
            </w:numPr>
            <w:tabs>
              <w:tab w:val="left" w:pos="1120"/>
              <w:tab w:val="right" w:leader="dot" w:pos="9871"/>
            </w:tabs>
            <w:spacing w:before="121" w:after="0" w:line="240" w:lineRule="auto"/>
            <w:ind w:left="1120" w:right="0" w:hanging="490"/>
            <w:jc w:val="left"/>
          </w:pPr>
          <w:r>
            <w:t>抑</w:t>
          </w:r>
          <w:r>
            <w:rPr>
              <w:spacing w:val="-3"/>
            </w:rPr>
            <w:t>菌</w:t>
          </w:r>
          <w:r>
            <w:t>效果</w:t>
          </w:r>
          <w:r>
            <w:rPr>
              <w:spacing w:val="-3"/>
            </w:rPr>
            <w:t>要</w:t>
          </w:r>
          <w:r>
            <w:t>求</w:t>
          </w:r>
          <w:r>
            <w:tab/>
          </w:r>
          <w:r>
            <w:t>3</w:t>
          </w:r>
        </w:p>
        <w:p w14:paraId="332E0DB4">
          <w:pPr>
            <w:pStyle w:val="6"/>
            <w:numPr>
              <w:ilvl w:val="1"/>
              <w:numId w:val="1"/>
            </w:numPr>
            <w:tabs>
              <w:tab w:val="left" w:pos="1190"/>
              <w:tab w:val="right" w:leader="dot" w:pos="9871"/>
            </w:tabs>
            <w:spacing w:before="122" w:after="0" w:line="240" w:lineRule="auto"/>
            <w:ind w:left="1189" w:right="0" w:hanging="560"/>
            <w:jc w:val="left"/>
          </w:pPr>
          <w:r>
            <w:t>稳</w:t>
          </w:r>
          <w:r>
            <w:rPr>
              <w:spacing w:val="-3"/>
            </w:rPr>
            <w:t>定</w:t>
          </w:r>
          <w:r>
            <w:t>性</w:t>
          </w:r>
          <w:r>
            <w:tab/>
          </w:r>
          <w:r>
            <w:t>3</w:t>
          </w:r>
        </w:p>
        <w:p w14:paraId="3A7FA149">
          <w:pPr>
            <w:pStyle w:val="6"/>
            <w:numPr>
              <w:ilvl w:val="1"/>
              <w:numId w:val="1"/>
            </w:numPr>
            <w:tabs>
              <w:tab w:val="left" w:pos="1190"/>
              <w:tab w:val="right" w:leader="dot" w:pos="9871"/>
            </w:tabs>
            <w:spacing w:before="121" w:after="0" w:line="240" w:lineRule="auto"/>
            <w:ind w:left="1189" w:right="0" w:hanging="560"/>
            <w:jc w:val="left"/>
          </w:pPr>
          <w:r>
            <w:t>毒</w:t>
          </w:r>
          <w:r>
            <w:rPr>
              <w:spacing w:val="-3"/>
            </w:rPr>
            <w:t>理</w:t>
          </w:r>
          <w:r>
            <w:t>学指标</w:t>
          </w:r>
          <w:r>
            <w:tab/>
          </w:r>
          <w:r>
            <w:t>3</w:t>
          </w:r>
        </w:p>
        <w:p w14:paraId="65724953">
          <w:pPr>
            <w:pStyle w:val="6"/>
            <w:numPr>
              <w:ilvl w:val="0"/>
              <w:numId w:val="1"/>
            </w:numPr>
            <w:tabs>
              <w:tab w:val="left" w:pos="909"/>
              <w:tab w:val="right" w:leader="dot" w:pos="9871"/>
            </w:tabs>
            <w:spacing w:before="123" w:after="0" w:line="240" w:lineRule="auto"/>
            <w:ind w:left="908" w:right="0" w:hanging="279"/>
            <w:jc w:val="left"/>
          </w:pPr>
          <w:r>
            <w:t>安</w:t>
          </w:r>
          <w:r>
            <w:rPr>
              <w:spacing w:val="-3"/>
            </w:rPr>
            <w:t>全</w:t>
          </w:r>
          <w:r>
            <w:t>指标</w:t>
          </w:r>
          <w:r>
            <w:tab/>
          </w:r>
          <w:r>
            <w:t>3</w:t>
          </w:r>
        </w:p>
        <w:p w14:paraId="52D210B4">
          <w:pPr>
            <w:pStyle w:val="6"/>
            <w:numPr>
              <w:ilvl w:val="0"/>
              <w:numId w:val="1"/>
            </w:numPr>
            <w:tabs>
              <w:tab w:val="left" w:pos="909"/>
              <w:tab w:val="right" w:leader="dot" w:pos="9871"/>
            </w:tabs>
            <w:spacing w:before="122" w:after="0" w:line="240" w:lineRule="auto"/>
            <w:ind w:left="908" w:right="0" w:hanging="279"/>
            <w:jc w:val="left"/>
          </w:pPr>
          <w:r>
            <w:fldChar w:fldCharType="begin"/>
          </w:r>
          <w:r>
            <w:instrText xml:space="preserve"> HYPERLINK \l "_TOC_250004" </w:instrText>
          </w:r>
          <w:r>
            <w:fldChar w:fldCharType="separate"/>
          </w:r>
          <w:r>
            <w:t>生</w:t>
          </w:r>
          <w:r>
            <w:rPr>
              <w:spacing w:val="-3"/>
            </w:rPr>
            <w:t>产</w:t>
          </w:r>
          <w:r>
            <w:t>加工</w:t>
          </w:r>
          <w:r>
            <w:rPr>
              <w:spacing w:val="-3"/>
            </w:rPr>
            <w:t>过</w:t>
          </w:r>
          <w:r>
            <w:t>程的</w:t>
          </w:r>
          <w:r>
            <w:rPr>
              <w:spacing w:val="-3"/>
            </w:rPr>
            <w:t>卫</w:t>
          </w:r>
          <w:r>
            <w:t>生要求</w:t>
          </w:r>
          <w:r>
            <w:tab/>
          </w:r>
          <w:r>
            <w:t>3</w:t>
          </w:r>
          <w:r>
            <w:fldChar w:fldCharType="end"/>
          </w:r>
        </w:p>
        <w:p w14:paraId="64E5C5A6">
          <w:pPr>
            <w:pStyle w:val="6"/>
            <w:numPr>
              <w:ilvl w:val="0"/>
              <w:numId w:val="1"/>
            </w:numPr>
            <w:tabs>
              <w:tab w:val="left" w:pos="840"/>
              <w:tab w:val="right" w:leader="dot" w:pos="9871"/>
            </w:tabs>
            <w:spacing w:before="123" w:after="0" w:line="240" w:lineRule="auto"/>
            <w:ind w:left="839" w:right="0" w:hanging="210"/>
            <w:jc w:val="left"/>
          </w:pPr>
          <w:r>
            <w:fldChar w:fldCharType="begin"/>
          </w:r>
          <w:r>
            <w:instrText xml:space="preserve"> HYPERLINK \l "_TOC_250003" </w:instrText>
          </w:r>
          <w:r>
            <w:fldChar w:fldCharType="separate"/>
          </w:r>
          <w:r>
            <w:t>试</w:t>
          </w:r>
          <w:r>
            <w:rPr>
              <w:spacing w:val="-3"/>
            </w:rPr>
            <w:t>验</w:t>
          </w:r>
          <w:r>
            <w:t>方法</w:t>
          </w:r>
          <w:r>
            <w:tab/>
          </w:r>
          <w:r>
            <w:t>3</w:t>
          </w:r>
          <w:r>
            <w:fldChar w:fldCharType="end"/>
          </w:r>
        </w:p>
        <w:p w14:paraId="6D75EFE1">
          <w:pPr>
            <w:pStyle w:val="6"/>
            <w:numPr>
              <w:ilvl w:val="0"/>
              <w:numId w:val="1"/>
            </w:numPr>
            <w:tabs>
              <w:tab w:val="left" w:pos="840"/>
              <w:tab w:val="right" w:leader="dot" w:pos="9871"/>
            </w:tabs>
            <w:spacing w:before="122" w:after="0" w:line="240" w:lineRule="auto"/>
            <w:ind w:left="839" w:right="0" w:hanging="210"/>
            <w:jc w:val="left"/>
          </w:pPr>
          <w:r>
            <w:fldChar w:fldCharType="begin"/>
          </w:r>
          <w:r>
            <w:instrText xml:space="preserve"> HYPERLINK \l "_TOC_250002" </w:instrText>
          </w:r>
          <w:r>
            <w:fldChar w:fldCharType="separate"/>
          </w:r>
          <w:r>
            <w:t>原</w:t>
          </w:r>
          <w:r>
            <w:rPr>
              <w:spacing w:val="-3"/>
            </w:rPr>
            <w:t>材</w:t>
          </w:r>
          <w:r>
            <w:t>料卫</w:t>
          </w:r>
          <w:r>
            <w:rPr>
              <w:spacing w:val="-3"/>
            </w:rPr>
            <w:t>生</w:t>
          </w:r>
          <w:r>
            <w:t>要求</w:t>
          </w:r>
          <w:r>
            <w:tab/>
          </w:r>
          <w:r>
            <w:t>4</w:t>
          </w:r>
          <w:r>
            <w:fldChar w:fldCharType="end"/>
          </w:r>
        </w:p>
        <w:p w14:paraId="1B134FDA">
          <w:pPr>
            <w:pStyle w:val="6"/>
            <w:numPr>
              <w:ilvl w:val="0"/>
              <w:numId w:val="1"/>
            </w:numPr>
            <w:tabs>
              <w:tab w:val="left" w:pos="909"/>
              <w:tab w:val="right" w:leader="dot" w:pos="9871"/>
            </w:tabs>
            <w:spacing w:before="121" w:after="0" w:line="240" w:lineRule="auto"/>
            <w:ind w:left="908" w:right="0" w:hanging="279"/>
            <w:jc w:val="left"/>
          </w:pPr>
          <w:r>
            <w:fldChar w:fldCharType="begin"/>
          </w:r>
          <w:r>
            <w:instrText xml:space="preserve"> HYPERLINK \l "_TOC_250001" </w:instrText>
          </w:r>
          <w:r>
            <w:fldChar w:fldCharType="separate"/>
          </w:r>
          <w:r>
            <w:t>生</w:t>
          </w:r>
          <w:r>
            <w:rPr>
              <w:spacing w:val="-3"/>
            </w:rPr>
            <w:t>产</w:t>
          </w:r>
          <w:r>
            <w:t>环境</w:t>
          </w:r>
          <w:r>
            <w:rPr>
              <w:spacing w:val="-3"/>
            </w:rPr>
            <w:t>与</w:t>
          </w:r>
          <w:r>
            <w:t>过程</w:t>
          </w:r>
          <w:r>
            <w:rPr>
              <w:spacing w:val="-3"/>
            </w:rPr>
            <w:t>卫</w:t>
          </w:r>
          <w:r>
            <w:t>生要求</w:t>
          </w:r>
          <w:r>
            <w:tab/>
          </w:r>
          <w:r>
            <w:t>4</w:t>
          </w:r>
          <w:r>
            <w:fldChar w:fldCharType="end"/>
          </w:r>
        </w:p>
        <w:p w14:paraId="261ADEA6">
          <w:pPr>
            <w:pStyle w:val="6"/>
            <w:numPr>
              <w:ilvl w:val="0"/>
              <w:numId w:val="1"/>
            </w:numPr>
            <w:tabs>
              <w:tab w:val="left" w:pos="1051"/>
              <w:tab w:val="right" w:leader="dot" w:pos="9871"/>
            </w:tabs>
            <w:spacing w:before="124" w:after="0" w:line="240" w:lineRule="auto"/>
            <w:ind w:left="1050" w:right="0" w:hanging="421"/>
            <w:jc w:val="left"/>
          </w:pPr>
          <w:r>
            <w:fldChar w:fldCharType="begin"/>
          </w:r>
          <w:r>
            <w:instrText xml:space="preserve"> HYPERLINK \l "_TOC_250000" </w:instrText>
          </w:r>
          <w:r>
            <w:fldChar w:fldCharType="separate"/>
          </w:r>
          <w:r>
            <w:t>消</w:t>
          </w:r>
          <w:r>
            <w:rPr>
              <w:spacing w:val="-3"/>
            </w:rPr>
            <w:t>毒</w:t>
          </w:r>
          <w:r>
            <w:t>过程</w:t>
          </w:r>
          <w:r>
            <w:rPr>
              <w:spacing w:val="-3"/>
            </w:rPr>
            <w:t>要</w:t>
          </w:r>
          <w:r>
            <w:t>求</w:t>
          </w:r>
          <w:r>
            <w:tab/>
          </w:r>
          <w:r>
            <w:t>5</w:t>
          </w:r>
          <w:r>
            <w:fldChar w:fldCharType="end"/>
          </w:r>
        </w:p>
        <w:p w14:paraId="2FE6A5FD">
          <w:pPr>
            <w:pStyle w:val="6"/>
            <w:numPr>
              <w:ilvl w:val="0"/>
              <w:numId w:val="2"/>
            </w:numPr>
            <w:tabs>
              <w:tab w:val="left" w:pos="1051"/>
              <w:tab w:val="right" w:leader="dot" w:pos="9871"/>
            </w:tabs>
            <w:spacing w:before="121" w:after="0" w:line="240" w:lineRule="auto"/>
            <w:ind w:left="1050" w:right="0" w:hanging="421"/>
            <w:jc w:val="left"/>
          </w:pPr>
          <w:r>
            <w:t>检</w:t>
          </w:r>
          <w:r>
            <w:rPr>
              <w:spacing w:val="-3"/>
            </w:rPr>
            <w:t>验</w:t>
          </w:r>
          <w:r>
            <w:t>规则</w:t>
          </w:r>
          <w:r>
            <w:tab/>
          </w:r>
          <w:r>
            <w:t>5</w:t>
          </w:r>
        </w:p>
        <w:p w14:paraId="21A5C6CA">
          <w:pPr>
            <w:pStyle w:val="6"/>
            <w:numPr>
              <w:ilvl w:val="1"/>
              <w:numId w:val="2"/>
            </w:numPr>
            <w:tabs>
              <w:tab w:val="left" w:pos="1260"/>
              <w:tab w:val="right" w:leader="dot" w:pos="9871"/>
            </w:tabs>
            <w:spacing w:before="123" w:after="0" w:line="240" w:lineRule="auto"/>
            <w:ind w:left="1259" w:right="0" w:hanging="630"/>
            <w:jc w:val="left"/>
          </w:pPr>
          <w:r>
            <w:t>出</w:t>
          </w:r>
          <w:r>
            <w:rPr>
              <w:spacing w:val="-3"/>
            </w:rPr>
            <w:t>厂</w:t>
          </w:r>
          <w:r>
            <w:t>检验</w:t>
          </w:r>
          <w:r>
            <w:tab/>
          </w:r>
          <w:r>
            <w:t>5</w:t>
          </w:r>
        </w:p>
        <w:p w14:paraId="27DA8CE6">
          <w:pPr>
            <w:pStyle w:val="6"/>
            <w:numPr>
              <w:ilvl w:val="1"/>
              <w:numId w:val="2"/>
            </w:numPr>
            <w:tabs>
              <w:tab w:val="left" w:pos="1329"/>
              <w:tab w:val="right" w:leader="dot" w:pos="9871"/>
            </w:tabs>
            <w:spacing w:before="122" w:after="0" w:line="240" w:lineRule="auto"/>
            <w:ind w:left="1328" w:right="0" w:hanging="699"/>
            <w:jc w:val="left"/>
          </w:pPr>
          <w:r>
            <w:t>逐</w:t>
          </w:r>
          <w:r>
            <w:rPr>
              <w:spacing w:val="-3"/>
            </w:rPr>
            <w:t>批</w:t>
          </w:r>
          <w:r>
            <w:t>检验</w:t>
          </w:r>
          <w:r>
            <w:tab/>
          </w:r>
          <w:r>
            <w:t>5</w:t>
          </w:r>
        </w:p>
        <w:p w14:paraId="7FB02C30">
          <w:pPr>
            <w:pStyle w:val="6"/>
            <w:numPr>
              <w:ilvl w:val="1"/>
              <w:numId w:val="2"/>
            </w:numPr>
            <w:tabs>
              <w:tab w:val="left" w:pos="1260"/>
              <w:tab w:val="right" w:leader="dot" w:pos="9871"/>
            </w:tabs>
            <w:spacing w:before="119" w:after="0" w:line="240" w:lineRule="auto"/>
            <w:ind w:left="1259" w:right="0" w:hanging="630"/>
            <w:jc w:val="left"/>
          </w:pPr>
          <w:r>
            <w:t>周</w:t>
          </w:r>
          <w:r>
            <w:rPr>
              <w:spacing w:val="-3"/>
            </w:rPr>
            <w:t>期</w:t>
          </w:r>
          <w:r>
            <w:t>检验</w:t>
          </w:r>
          <w:r>
            <w:tab/>
          </w:r>
          <w:r>
            <w:t>5</w:t>
          </w:r>
        </w:p>
        <w:p w14:paraId="66347B26">
          <w:pPr>
            <w:pStyle w:val="6"/>
            <w:numPr>
              <w:ilvl w:val="0"/>
              <w:numId w:val="2"/>
            </w:numPr>
            <w:tabs>
              <w:tab w:val="left" w:pos="1051"/>
              <w:tab w:val="right" w:leader="dot" w:pos="9871"/>
            </w:tabs>
            <w:spacing w:before="126" w:after="0" w:line="240" w:lineRule="auto"/>
            <w:ind w:left="1050" w:right="0" w:hanging="421"/>
            <w:jc w:val="left"/>
          </w:pPr>
          <w:r>
            <w:t>标</w:t>
          </w:r>
          <w:r>
            <w:rPr>
              <w:spacing w:val="-3"/>
            </w:rPr>
            <w:t>志</w:t>
          </w:r>
          <w:r>
            <w:t>、标</w:t>
          </w:r>
          <w:r>
            <w:rPr>
              <w:spacing w:val="-3"/>
            </w:rPr>
            <w:t>准</w:t>
          </w:r>
          <w:r>
            <w:t>使用</w:t>
          </w:r>
          <w:r>
            <w:rPr>
              <w:spacing w:val="-3"/>
            </w:rPr>
            <w:t>证</w:t>
          </w:r>
          <w:r>
            <w:t>书、</w:t>
          </w:r>
          <w:r>
            <w:rPr>
              <w:spacing w:val="-3"/>
            </w:rPr>
            <w:t>包</w:t>
          </w:r>
          <w:r>
            <w:t>装、</w:t>
          </w:r>
          <w:r>
            <w:rPr>
              <w:spacing w:val="-3"/>
            </w:rPr>
            <w:t>标</w:t>
          </w:r>
          <w:r>
            <w:t>签、</w:t>
          </w:r>
          <w:r>
            <w:rPr>
              <w:spacing w:val="-3"/>
            </w:rPr>
            <w:t>运</w:t>
          </w:r>
          <w:r>
            <w:t>输、</w:t>
          </w:r>
          <w:r>
            <w:rPr>
              <w:spacing w:val="-3"/>
            </w:rPr>
            <w:t>贮</w:t>
          </w:r>
          <w:r>
            <w:t>存</w:t>
          </w:r>
          <w:r>
            <w:tab/>
          </w:r>
          <w:r>
            <w:t>6</w:t>
          </w:r>
        </w:p>
      </w:sdtContent>
    </w:sdt>
    <w:p w14:paraId="14D0BCAB">
      <w:pPr>
        <w:spacing w:after="0" w:line="240" w:lineRule="auto"/>
        <w:jc w:val="left"/>
        <w:sectPr>
          <w:pgSz w:w="11910" w:h="16840"/>
          <w:pgMar w:top="1360" w:right="0" w:bottom="280" w:left="920" w:header="888" w:footer="0" w:gutter="0"/>
          <w:cols w:space="720" w:num="1"/>
        </w:sectPr>
      </w:pPr>
    </w:p>
    <w:p w14:paraId="69261BCF">
      <w:pPr>
        <w:pStyle w:val="5"/>
        <w:rPr>
          <w:sz w:val="20"/>
        </w:rPr>
      </w:pPr>
      <w:r>
        <w:pict>
          <v:shape id="_x0000_s1028" o:spid="_x0000_s1028" o:spt="136" type="#_x0000_t136" style="position:absolute;left:0pt;margin-left:-73.5pt;margin-top:371.5pt;height:70pt;width:701.15pt;mso-position-horizontal-relative:page;mso-position-vertical-relative:page;rotation:20054016f;z-index:-251651072;mso-width-relative:page;mso-height-relative:page;" fillcolor="#BFBFBF" filled="t" stroked="f" coordsize="21600,21600">
            <v:path/>
            <v:fill on="t" focussize="0,0"/>
            <v:stroke on="f"/>
            <v:imagedata o:title=""/>
            <o:lock v:ext="edit"/>
            <v:textpath on="t" fitpath="t" trim="t" xscale="f" string="全国团体标准信息平台" style="font-family:仿宋;font-size:70pt;v-text-align:center;"/>
          </v:shape>
        </w:pict>
      </w:r>
    </w:p>
    <w:p w14:paraId="63464219">
      <w:pPr>
        <w:pStyle w:val="2"/>
      </w:pPr>
      <w:bookmarkStart w:id="1" w:name="_TOC_250008"/>
      <w:bookmarkEnd w:id="1"/>
      <w:r>
        <w:t>前 言</w:t>
      </w:r>
    </w:p>
    <w:p w14:paraId="580598AF">
      <w:pPr>
        <w:pStyle w:val="5"/>
        <w:spacing w:before="3"/>
        <w:rPr>
          <w:b/>
          <w:sz w:val="36"/>
        </w:rPr>
      </w:pPr>
    </w:p>
    <w:p w14:paraId="6DAF91C4">
      <w:pPr>
        <w:pStyle w:val="3"/>
        <w:spacing w:line="307" w:lineRule="auto"/>
        <w:ind w:firstLine="561"/>
        <w:jc w:val="both"/>
      </w:pPr>
      <w:r>
        <w:t>本标准是按照《中华人民共和国标准化法》；国家标准化管理委员会、民</w:t>
      </w:r>
      <w:r>
        <w:rPr>
          <w:spacing w:val="-5"/>
        </w:rPr>
        <w:t>政部《团体标准管理规定》国标委联[</w:t>
      </w:r>
      <w:r>
        <w:rPr>
          <w:spacing w:val="-1"/>
        </w:rPr>
        <w:t>2019]1</w:t>
      </w:r>
      <w:r>
        <w:rPr>
          <w:spacing w:val="-2"/>
        </w:rPr>
        <w:t>号文件和</w:t>
      </w:r>
      <w:r>
        <w:rPr>
          <w:spacing w:val="-1"/>
        </w:rPr>
        <w:t>GB/T1.1-2009《标准化工</w:t>
      </w:r>
      <w:r>
        <w:t>作导则第</w:t>
      </w:r>
      <w:r>
        <w:rPr>
          <w:spacing w:val="3"/>
        </w:rPr>
        <w:t>1</w:t>
      </w:r>
      <w:r>
        <w:t>部分:标准的结构和编写》、</w:t>
      </w:r>
      <w:r>
        <w:rPr>
          <w:color w:val="424748"/>
        </w:rPr>
        <w:t>T/HNJK</w:t>
      </w:r>
      <w:r>
        <w:rPr>
          <w:color w:val="424748"/>
          <w:spacing w:val="59"/>
        </w:rPr>
        <w:t xml:space="preserve"> </w:t>
      </w:r>
      <w:r>
        <w:rPr>
          <w:color w:val="424748"/>
        </w:rPr>
        <w:t>002—2019</w:t>
      </w:r>
      <w:r>
        <w:t>《保健用品生产质量</w:t>
      </w:r>
      <w:r>
        <w:rPr>
          <w:spacing w:val="-3"/>
        </w:rPr>
        <w:t>管理规范》给出。</w:t>
      </w:r>
    </w:p>
    <w:p w14:paraId="7DF07EA5">
      <w:pPr>
        <w:spacing w:before="4" w:line="307" w:lineRule="auto"/>
        <w:ind w:left="769" w:right="3759" w:firstLine="0"/>
        <w:jc w:val="left"/>
        <w:rPr>
          <w:sz w:val="28"/>
        </w:rPr>
      </w:pPr>
      <w:r>
        <w:rPr>
          <w:sz w:val="28"/>
        </w:rPr>
        <w:t>本标准适用于自愿采用并承担相关责任的所有单位。本标准由河南省健康产业发展研究会提出并归口。</w:t>
      </w:r>
    </w:p>
    <w:p w14:paraId="1CD3AA55">
      <w:pPr>
        <w:spacing w:before="1" w:line="307" w:lineRule="auto"/>
        <w:ind w:left="212" w:right="1130" w:firstLine="561"/>
        <w:jc w:val="both"/>
        <w:rPr>
          <w:sz w:val="28"/>
        </w:rPr>
      </w:pPr>
      <w:r>
        <w:rPr>
          <w:sz w:val="28"/>
        </w:rPr>
        <w:t>本标准主要起草单位：河南中医药大学、河南省生物工程技术研究中心、河南吉程医药有限公司、郑州海特生物科技有限公司、河南进程健康文化传播有限公司、河南金伯惠药业有限公司、河南利可医疗科技有限公司、河南睿诚医药科技有限公司、安徽蜀健药业有限公司、河南路路通医药科技有限公司、蕲春中艾养通医疗器械有限公司、河南中保健康大数据研究院有限公司。</w:t>
      </w:r>
    </w:p>
    <w:p w14:paraId="7F653776">
      <w:pPr>
        <w:spacing w:before="5" w:line="307" w:lineRule="auto"/>
        <w:ind w:left="212" w:right="1130" w:firstLine="561"/>
        <w:jc w:val="left"/>
        <w:rPr>
          <w:sz w:val="28"/>
        </w:rPr>
      </w:pPr>
      <w:r>
        <w:rPr>
          <w:sz w:val="28"/>
        </w:rPr>
        <w:t>本标准主要起草人：苗明三、</w:t>
      </w:r>
      <w:r>
        <w:rPr>
          <w:sz w:val="28"/>
          <w:u w:val="dotted"/>
        </w:rPr>
        <w:t>王云龙、</w:t>
      </w:r>
      <w:r>
        <w:rPr>
          <w:sz w:val="28"/>
        </w:rPr>
        <w:t>郭永军、邵</w:t>
      </w:r>
      <w:r>
        <w:rPr>
          <w:sz w:val="28"/>
          <w:u w:val="dotted"/>
        </w:rPr>
        <w:t>同先、郭敬东、</w:t>
      </w:r>
      <w:r>
        <w:rPr>
          <w:sz w:val="28"/>
        </w:rPr>
        <w:t>练岚、</w:t>
      </w:r>
      <w:r>
        <w:rPr>
          <w:sz w:val="28"/>
          <w:u w:val="dotted"/>
        </w:rPr>
        <w:t>李钦、杨国勇、</w:t>
      </w:r>
      <w:r>
        <w:rPr>
          <w:sz w:val="28"/>
        </w:rPr>
        <w:t>常贵生、曹艳艳。</w:t>
      </w:r>
    </w:p>
    <w:p w14:paraId="2621FF73">
      <w:pPr>
        <w:spacing w:after="0" w:line="307" w:lineRule="auto"/>
        <w:jc w:val="left"/>
        <w:rPr>
          <w:sz w:val="28"/>
        </w:rPr>
        <w:sectPr>
          <w:pgSz w:w="11910" w:h="16840"/>
          <w:pgMar w:top="1360" w:right="0" w:bottom="280" w:left="920" w:header="888" w:footer="0" w:gutter="0"/>
          <w:cols w:space="720" w:num="1"/>
        </w:sectPr>
      </w:pPr>
    </w:p>
    <w:p w14:paraId="7D4111B9">
      <w:pPr>
        <w:pStyle w:val="5"/>
        <w:rPr>
          <w:sz w:val="20"/>
        </w:rPr>
      </w:pPr>
      <w:r>
        <w:pict>
          <v:shape id="_x0000_s1029" o:spid="_x0000_s1029" o:spt="136" type="#_x0000_t136" style="position:absolute;left:0pt;margin-left:-73.5pt;margin-top:371.5pt;height:70pt;width:701.15pt;mso-position-horizontal-relative:page;mso-position-vertical-relative:page;rotation:20054016f;z-index:-251650048;mso-width-relative:page;mso-height-relative:page;" fillcolor="#BFBFBF" filled="t" stroked="f" coordsize="21600,21600">
            <v:path/>
            <v:fill on="t" focussize="0,0"/>
            <v:stroke on="f"/>
            <v:imagedata o:title=""/>
            <o:lock v:ext="edit"/>
            <v:textpath on="t" fitpath="t" trim="t" xscale="f" string="全国团体标准信息平台" style="font-family:仿宋;font-size:70pt;v-text-align:center;"/>
          </v:shape>
        </w:pict>
      </w:r>
    </w:p>
    <w:p w14:paraId="304E82CA">
      <w:pPr>
        <w:pStyle w:val="5"/>
        <w:rPr>
          <w:sz w:val="20"/>
        </w:rPr>
      </w:pPr>
    </w:p>
    <w:p w14:paraId="4A85F895">
      <w:pPr>
        <w:pStyle w:val="5"/>
        <w:rPr>
          <w:sz w:val="20"/>
        </w:rPr>
      </w:pPr>
    </w:p>
    <w:p w14:paraId="7122648F">
      <w:pPr>
        <w:pStyle w:val="5"/>
        <w:spacing w:before="9"/>
        <w:rPr>
          <w:sz w:val="20"/>
        </w:rPr>
      </w:pPr>
    </w:p>
    <w:p w14:paraId="2752380B">
      <w:pPr>
        <w:spacing w:before="54"/>
        <w:ind w:left="2783" w:right="0" w:firstLine="0"/>
        <w:jc w:val="left"/>
        <w:rPr>
          <w:b/>
          <w:sz w:val="32"/>
        </w:rPr>
      </w:pPr>
      <w:r>
        <w:rPr>
          <w:b/>
          <w:sz w:val="32"/>
        </w:rPr>
        <w:t>草本抑菌凝胶保健用品技术规范</w:t>
      </w:r>
    </w:p>
    <w:p w14:paraId="452F4C01">
      <w:pPr>
        <w:pStyle w:val="5"/>
        <w:spacing w:before="1"/>
        <w:rPr>
          <w:b/>
          <w:sz w:val="35"/>
        </w:rPr>
      </w:pPr>
    </w:p>
    <w:p w14:paraId="7DC54CEC">
      <w:pPr>
        <w:pStyle w:val="4"/>
        <w:numPr>
          <w:ilvl w:val="0"/>
          <w:numId w:val="3"/>
        </w:numPr>
        <w:tabs>
          <w:tab w:val="left" w:pos="456"/>
        </w:tabs>
        <w:spacing w:before="0" w:after="0" w:line="240" w:lineRule="auto"/>
        <w:ind w:left="455" w:right="0" w:hanging="244"/>
        <w:jc w:val="both"/>
      </w:pPr>
      <w:bookmarkStart w:id="2" w:name="_TOC_250007"/>
      <w:bookmarkEnd w:id="2"/>
      <w:r>
        <w:t>范围</w:t>
      </w:r>
    </w:p>
    <w:p w14:paraId="32230F55">
      <w:pPr>
        <w:pStyle w:val="5"/>
        <w:spacing w:before="72" w:line="297" w:lineRule="auto"/>
        <w:ind w:left="212" w:right="1132" w:firstLine="480"/>
        <w:jc w:val="both"/>
      </w:pPr>
      <w:r>
        <w:rPr>
          <w:spacing w:val="-5"/>
        </w:rPr>
        <w:t>本标准规定了草本抑菌凝胶保健用品的生产企业的原、 辅料要求及产品规格、安全性指</w:t>
      </w:r>
      <w:r>
        <w:rPr>
          <w:spacing w:val="-1"/>
        </w:rPr>
        <w:t>标、测试方法、原材料卫生要求、生产环境与过程卫生要求、消毒过程要求、检验规则、标</w:t>
      </w:r>
      <w:r>
        <w:t>准使用证书和标志、包装、运输、贮存和保质期的要求。</w:t>
      </w:r>
    </w:p>
    <w:p w14:paraId="4B6FDB99">
      <w:pPr>
        <w:pStyle w:val="5"/>
        <w:spacing w:line="297" w:lineRule="auto"/>
        <w:ind w:left="212" w:right="1132" w:firstLine="480"/>
        <w:jc w:val="both"/>
      </w:pPr>
      <w:r>
        <w:t>本标准以中草药、动植物为主要原料，经炮制磨粉后萃取的提取物，将提取物与适量高分子凝胶基质混合，加入相关辅料制作成的凝胶乳膏剂，经配制、溶解、混合、灌装、包装而成。</w:t>
      </w:r>
    </w:p>
    <w:p w14:paraId="0E2C0042">
      <w:pPr>
        <w:pStyle w:val="5"/>
        <w:spacing w:line="297" w:lineRule="auto"/>
        <w:ind w:left="212" w:right="1132" w:firstLine="480"/>
        <w:jc w:val="both"/>
      </w:pPr>
      <w:r>
        <w:rPr>
          <w:spacing w:val="-1"/>
        </w:rPr>
        <w:t>本标准适用于由提取物成分、高分子凝胶基质组成的用于身体不适部位、改善身体亚健</w:t>
      </w:r>
      <w:r>
        <w:rPr>
          <w:spacing w:val="-23"/>
        </w:rPr>
        <w:t>康，具有调节机体功能、缓解身体不适症状，促进康复和保健的草本凝胶产品，符合</w:t>
      </w:r>
      <w:r>
        <w:t>T/HNJK</w:t>
      </w:r>
      <w:r>
        <w:rPr>
          <w:spacing w:val="-59"/>
        </w:rPr>
        <w:t xml:space="preserve"> </w:t>
      </w:r>
      <w:r>
        <w:rPr>
          <w:spacing w:val="-6"/>
        </w:rPr>
        <w:t>002</w:t>
      </w:r>
    </w:p>
    <w:p w14:paraId="7651808B">
      <w:pPr>
        <w:pStyle w:val="5"/>
        <w:spacing w:line="306" w:lineRule="exact"/>
        <w:ind w:left="212"/>
      </w:pPr>
      <w:r>
        <w:t>—2019《保健用品生产质量管理规范》规定的范围。</w:t>
      </w:r>
    </w:p>
    <w:p w14:paraId="512B93D5">
      <w:pPr>
        <w:pStyle w:val="5"/>
        <w:spacing w:before="64" w:line="297" w:lineRule="auto"/>
        <w:ind w:left="212" w:right="1012" w:firstLine="480"/>
      </w:pPr>
      <w:r>
        <w:t>本标准的产品是指不以治疗疾病为目的，具有调节身体机能、缓解身体不适症状、提高</w:t>
      </w:r>
      <w:r>
        <w:rPr>
          <w:spacing w:val="-9"/>
        </w:rPr>
        <w:t>生活质量，促进健康，适用于亚健康人群调理、日常保健作用的凝胶状膏剂保健用品。法律、</w:t>
      </w:r>
      <w:r>
        <w:t>法规对药品、保健食品、医疗器械、特殊用途化妆品、消毒产品、体育器械等另有规定的除外。</w:t>
      </w:r>
    </w:p>
    <w:p w14:paraId="46643CEF">
      <w:pPr>
        <w:pStyle w:val="5"/>
        <w:spacing w:before="4"/>
        <w:rPr>
          <w:sz w:val="29"/>
        </w:rPr>
      </w:pPr>
    </w:p>
    <w:p w14:paraId="3F837B9F">
      <w:pPr>
        <w:pStyle w:val="4"/>
        <w:numPr>
          <w:ilvl w:val="0"/>
          <w:numId w:val="3"/>
        </w:numPr>
        <w:tabs>
          <w:tab w:val="left" w:pos="456"/>
        </w:tabs>
        <w:spacing w:before="0" w:after="0" w:line="240" w:lineRule="auto"/>
        <w:ind w:left="455" w:right="0" w:hanging="244"/>
        <w:jc w:val="left"/>
      </w:pPr>
      <w:bookmarkStart w:id="3" w:name="_TOC_250006"/>
      <w:bookmarkEnd w:id="3"/>
      <w:r>
        <w:t>规范性引用文件</w:t>
      </w:r>
    </w:p>
    <w:p w14:paraId="0C5207B0">
      <w:pPr>
        <w:pStyle w:val="5"/>
        <w:spacing w:before="72" w:line="297" w:lineRule="auto"/>
        <w:ind w:left="212" w:right="1132" w:firstLine="480"/>
      </w:pPr>
      <w:r>
        <w:t>本标准中引用的文件对于本标准的应用是必不可少的，凡是注日期的引用文件，仅所注日期的版本适用于本标准。</w:t>
      </w:r>
    </w:p>
    <w:p w14:paraId="1E5F106C">
      <w:pPr>
        <w:pStyle w:val="5"/>
        <w:spacing w:line="295" w:lineRule="auto"/>
        <w:ind w:left="692" w:right="2371"/>
      </w:pPr>
      <w:r>
        <w:t>凡是不注日期的引用文件，其最新版本(包括所有的修改单)适用于本标准。GB/T191包装储运图示标志</w:t>
      </w:r>
    </w:p>
    <w:p w14:paraId="73ECD7AF">
      <w:pPr>
        <w:pStyle w:val="5"/>
        <w:spacing w:before="2" w:line="295" w:lineRule="auto"/>
        <w:ind w:left="692" w:right="5491"/>
      </w:pPr>
      <w:r>
        <w:t>GB/T6543运输包装用单瓦楞纸箱和双瓦楞纸箱GB15979一次性使用卫生用品卫生标准</w:t>
      </w:r>
    </w:p>
    <w:p w14:paraId="7258E276">
      <w:pPr>
        <w:pStyle w:val="5"/>
        <w:spacing w:before="2" w:line="297" w:lineRule="auto"/>
        <w:ind w:left="692" w:right="5251"/>
      </w:pPr>
      <w:r>
        <w:t>WS/T 650-2019抗菌和抑菌效果评价方法JJF1070-2005定量包装商品净含量计量检验规则</w:t>
      </w:r>
    </w:p>
    <w:p w14:paraId="4BB452BD">
      <w:pPr>
        <w:pStyle w:val="5"/>
        <w:spacing w:line="306" w:lineRule="exact"/>
        <w:ind w:left="692"/>
      </w:pPr>
      <w:r>
        <w:t>国家质量监督检验检疫总局令第75号(2005)《定量包装商品计量监督管理办法》</w:t>
      </w:r>
    </w:p>
    <w:p w14:paraId="78AB2C09">
      <w:pPr>
        <w:pStyle w:val="5"/>
        <w:spacing w:before="72"/>
        <w:ind w:left="692"/>
      </w:pPr>
      <w:r>
        <w:t>《消毒技术规范》2002版</w:t>
      </w:r>
    </w:p>
    <w:p w14:paraId="1E2F7737">
      <w:pPr>
        <w:pStyle w:val="5"/>
        <w:spacing w:before="74"/>
        <w:ind w:left="692"/>
      </w:pPr>
      <w:r>
        <w:t>《中华人民共和国药典》2015年版</w:t>
      </w:r>
    </w:p>
    <w:p w14:paraId="58B16204">
      <w:pPr>
        <w:pStyle w:val="5"/>
        <w:spacing w:before="72"/>
        <w:ind w:left="692"/>
      </w:pPr>
      <w:r>
        <w:t>《消毒产品标签说明书管理规范》2005年版</w:t>
      </w:r>
    </w:p>
    <w:p w14:paraId="379D4EDE">
      <w:pPr>
        <w:pStyle w:val="5"/>
        <w:spacing w:before="71"/>
        <w:ind w:left="692"/>
      </w:pPr>
      <w:r>
        <w:t>《化妆品安全技术规范》(2015年版)</w:t>
      </w:r>
    </w:p>
    <w:p w14:paraId="73B86481">
      <w:pPr>
        <w:pStyle w:val="5"/>
        <w:spacing w:before="75"/>
        <w:ind w:left="692"/>
      </w:pPr>
      <w:r>
        <w:t>T/HNJK 002—2019《保健用品生产质量管理规范》</w:t>
      </w:r>
    </w:p>
    <w:p w14:paraId="0FEA023B">
      <w:pPr>
        <w:pStyle w:val="4"/>
        <w:numPr>
          <w:ilvl w:val="0"/>
          <w:numId w:val="3"/>
        </w:numPr>
        <w:tabs>
          <w:tab w:val="left" w:pos="470"/>
        </w:tabs>
        <w:spacing w:before="71" w:after="0" w:line="240" w:lineRule="auto"/>
        <w:ind w:left="469" w:right="0" w:hanging="258"/>
        <w:jc w:val="left"/>
      </w:pPr>
      <w:r>
        <w:rPr>
          <w:spacing w:val="-4"/>
        </w:rPr>
        <w:t>术语与定义</w:t>
      </w:r>
    </w:p>
    <w:p w14:paraId="105293DD">
      <w:pPr>
        <w:pStyle w:val="5"/>
        <w:spacing w:before="72"/>
        <w:ind w:left="685"/>
      </w:pPr>
      <w:r>
        <w:t>下列术语和定义适用于本文件。</w:t>
      </w:r>
    </w:p>
    <w:p w14:paraId="31B4C99C">
      <w:pPr>
        <w:spacing w:after="0"/>
        <w:sectPr>
          <w:headerReference r:id="rId6" w:type="default"/>
          <w:footerReference r:id="rId7" w:type="default"/>
          <w:pgSz w:w="11910" w:h="16840"/>
          <w:pgMar w:top="1360" w:right="0" w:bottom="1160" w:left="920" w:header="888" w:footer="975" w:gutter="0"/>
          <w:cols w:space="720" w:num="1"/>
        </w:sectPr>
      </w:pPr>
    </w:p>
    <w:p w14:paraId="4B283B9D">
      <w:pPr>
        <w:pStyle w:val="3"/>
        <w:numPr>
          <w:ilvl w:val="1"/>
          <w:numId w:val="3"/>
        </w:numPr>
        <w:tabs>
          <w:tab w:val="left" w:pos="684"/>
        </w:tabs>
        <w:spacing w:before="101" w:after="0" w:line="240" w:lineRule="auto"/>
        <w:ind w:left="683" w:right="0" w:hanging="472"/>
        <w:jc w:val="left"/>
      </w:pPr>
      <w:r>
        <w:pict>
          <v:shape id="_x0000_s1030" o:spid="_x0000_s1030" o:spt="136" type="#_x0000_t136" style="position:absolute;left:0pt;margin-left:-73.5pt;margin-top:371.5pt;height:70pt;width:701.15pt;mso-position-horizontal-relative:page;mso-position-vertical-relative:page;rotation:20054016f;z-index:-251649024;mso-width-relative:page;mso-height-relative:page;" fillcolor="#BFBFBF" filled="t" stroked="f" coordsize="21600,21600">
            <v:path/>
            <v:fill on="t" focussize="0,0"/>
            <v:stroke on="f"/>
            <v:imagedata o:title=""/>
            <o:lock v:ext="edit"/>
            <v:textpath on="t" fitpath="t" trim="t" xscale="f" string="全国团体标准信息平台" style="font-family:仿宋;font-size:70pt;v-text-align:center;"/>
          </v:shape>
        </w:pict>
      </w:r>
      <w:r>
        <w:rPr>
          <w:spacing w:val="-3"/>
        </w:rPr>
        <w:t>草本抑菌凝胶</w:t>
      </w:r>
    </w:p>
    <w:p w14:paraId="234BD2BE">
      <w:pPr>
        <w:pStyle w:val="5"/>
        <w:spacing w:before="60"/>
        <w:ind w:left="692"/>
      </w:pPr>
      <w:r>
        <w:t>是指由生产、销售，适用于亚健康人群调理、日常保健作用的凝胶状膏剂保健用品。</w:t>
      </w:r>
    </w:p>
    <w:p w14:paraId="36E6C911">
      <w:pPr>
        <w:pStyle w:val="5"/>
        <w:spacing w:before="5"/>
        <w:rPr>
          <w:sz w:val="35"/>
        </w:rPr>
      </w:pPr>
    </w:p>
    <w:p w14:paraId="42011DFD">
      <w:pPr>
        <w:pStyle w:val="4"/>
        <w:numPr>
          <w:ilvl w:val="0"/>
          <w:numId w:val="3"/>
        </w:numPr>
        <w:tabs>
          <w:tab w:val="left" w:pos="456"/>
        </w:tabs>
        <w:spacing w:before="0" w:after="0" w:line="240" w:lineRule="auto"/>
        <w:ind w:left="455" w:right="0" w:hanging="244"/>
        <w:jc w:val="left"/>
      </w:pPr>
      <w:bookmarkStart w:id="4" w:name="_TOC_250005"/>
      <w:bookmarkEnd w:id="4"/>
      <w:r>
        <w:t>技术要求</w:t>
      </w:r>
    </w:p>
    <w:p w14:paraId="43C9BA51">
      <w:pPr>
        <w:pStyle w:val="10"/>
        <w:numPr>
          <w:ilvl w:val="1"/>
          <w:numId w:val="3"/>
        </w:numPr>
        <w:tabs>
          <w:tab w:val="left" w:pos="693"/>
        </w:tabs>
        <w:spacing w:before="72" w:after="0" w:line="240" w:lineRule="auto"/>
        <w:ind w:left="692" w:right="0" w:hanging="481"/>
        <w:jc w:val="left"/>
        <w:rPr>
          <w:sz w:val="24"/>
        </w:rPr>
      </w:pPr>
      <w:r>
        <w:rPr>
          <w:sz w:val="24"/>
        </w:rPr>
        <w:t>原、 辅料要求及产品规格</w:t>
      </w:r>
    </w:p>
    <w:p w14:paraId="42D55F33">
      <w:pPr>
        <w:pStyle w:val="10"/>
        <w:numPr>
          <w:ilvl w:val="2"/>
          <w:numId w:val="3"/>
        </w:numPr>
        <w:tabs>
          <w:tab w:val="left" w:pos="933"/>
        </w:tabs>
        <w:spacing w:before="71" w:after="0" w:line="240" w:lineRule="auto"/>
        <w:ind w:left="932" w:right="0" w:hanging="721"/>
        <w:jc w:val="left"/>
        <w:rPr>
          <w:sz w:val="24"/>
        </w:rPr>
      </w:pPr>
      <w:r>
        <w:rPr>
          <w:sz w:val="24"/>
        </w:rPr>
        <w:t>原材料要求</w:t>
      </w:r>
    </w:p>
    <w:p w14:paraId="1B919CFA">
      <w:pPr>
        <w:pStyle w:val="5"/>
        <w:spacing w:before="74" w:line="295" w:lineRule="auto"/>
        <w:ind w:left="212" w:right="1132" w:firstLine="480"/>
        <w:jc w:val="both"/>
      </w:pPr>
      <w:r>
        <w:rPr>
          <w:color w:val="333333"/>
        </w:rPr>
        <w:t>中草药磨粉后经萃取得中草药提取物，将中草药提取物与</w:t>
      </w:r>
      <w:r>
        <w:t>适量</w:t>
      </w:r>
      <w:r>
        <w:rPr>
          <w:color w:val="333333"/>
        </w:rPr>
        <w:t>高分子凝胶基质</w:t>
      </w:r>
      <w:r>
        <w:t>混合，加入相关辅料制作成的凝胶乳膏剂，应符合《中华人民共和国药典》2015年版的有关规定。纯化水应符合《中华人民共和国药典》2015年版的有关规定。</w:t>
      </w:r>
    </w:p>
    <w:p w14:paraId="28786C53">
      <w:pPr>
        <w:pStyle w:val="10"/>
        <w:numPr>
          <w:ilvl w:val="2"/>
          <w:numId w:val="3"/>
        </w:numPr>
        <w:tabs>
          <w:tab w:val="left" w:pos="933"/>
        </w:tabs>
        <w:spacing w:before="6" w:after="0" w:line="240" w:lineRule="auto"/>
        <w:ind w:left="932" w:right="0" w:hanging="721"/>
        <w:jc w:val="both"/>
        <w:rPr>
          <w:sz w:val="24"/>
        </w:rPr>
      </w:pPr>
      <w:r>
        <w:rPr>
          <w:sz w:val="24"/>
        </w:rPr>
        <w:t>产品规格</w:t>
      </w:r>
    </w:p>
    <w:p w14:paraId="01889FE0">
      <w:pPr>
        <w:pStyle w:val="5"/>
        <w:spacing w:before="71"/>
        <w:ind w:left="692"/>
      </w:pPr>
      <w:r>
        <w:t>草本抑菌凝胶的规格为：2g、2.5g、3克、3.5g、4g、5g/支、袋、盒或瓶等多种规格。</w:t>
      </w:r>
    </w:p>
    <w:p w14:paraId="0DA035B3">
      <w:pPr>
        <w:pStyle w:val="10"/>
        <w:numPr>
          <w:ilvl w:val="1"/>
          <w:numId w:val="3"/>
        </w:numPr>
        <w:tabs>
          <w:tab w:val="left" w:pos="693"/>
        </w:tabs>
        <w:spacing w:before="72" w:after="0" w:line="240" w:lineRule="auto"/>
        <w:ind w:left="692" w:right="0" w:hanging="481"/>
        <w:jc w:val="left"/>
        <w:rPr>
          <w:sz w:val="24"/>
        </w:rPr>
      </w:pPr>
      <w:r>
        <w:rPr>
          <w:sz w:val="24"/>
        </w:rPr>
        <w:t>感官指标</w:t>
      </w:r>
    </w:p>
    <w:p w14:paraId="67182B91">
      <w:pPr>
        <w:pStyle w:val="10"/>
        <w:numPr>
          <w:ilvl w:val="2"/>
          <w:numId w:val="3"/>
        </w:numPr>
        <w:tabs>
          <w:tab w:val="left" w:pos="936"/>
        </w:tabs>
        <w:spacing w:before="74" w:after="0" w:line="295" w:lineRule="auto"/>
        <w:ind w:left="212" w:right="1132" w:firstLine="0"/>
        <w:jc w:val="left"/>
        <w:rPr>
          <w:sz w:val="24"/>
        </w:rPr>
      </w:pPr>
      <w:r>
        <w:rPr>
          <w:spacing w:val="-1"/>
          <w:sz w:val="24"/>
        </w:rPr>
        <w:t>本品为凝胶状液体或膏体，应洁净、无瑕疵、无杂质、均匀、无沉淀具有本品所固有</w:t>
      </w:r>
      <w:r>
        <w:rPr>
          <w:sz w:val="24"/>
        </w:rPr>
        <w:t>的气味。</w:t>
      </w:r>
    </w:p>
    <w:p w14:paraId="2117DFB1">
      <w:pPr>
        <w:pStyle w:val="10"/>
        <w:numPr>
          <w:ilvl w:val="2"/>
          <w:numId w:val="3"/>
        </w:numPr>
        <w:tabs>
          <w:tab w:val="left" w:pos="933"/>
        </w:tabs>
        <w:spacing w:before="2" w:after="0" w:line="297" w:lineRule="auto"/>
        <w:ind w:left="4852" w:right="1012" w:hanging="4640"/>
        <w:jc w:val="left"/>
        <w:rPr>
          <w:b/>
          <w:sz w:val="24"/>
        </w:rPr>
      </w:pPr>
      <w:r>
        <w:pict>
          <v:shape id="_x0000_s1031" o:spid="_x0000_s1031" o:spt="202" type="#_x0000_t202" style="position:absolute;left:0pt;margin-left:51.05pt;margin-top:34.85pt;height:81pt;width:488.1pt;mso-position-horizontal-relative:page;z-index:251674624;mso-width-relative:page;mso-height-relative:page;" filled="f" stroked="f" coordsize="21600,21600">
            <v:path/>
            <v:fill on="f" focussize="0,0"/>
            <v:stroke on="f" joinstyle="miter"/>
            <v:imagedata o:title=""/>
            <o:lock v:ext="edit"/>
            <v:textbox inset="0mm,0mm,0mm,0mm">
              <w:txbxContent>
                <w:tbl>
                  <w:tblPr>
                    <w:tblStyle w:val="7"/>
                    <w:tblW w:w="0" w:type="auto"/>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4261"/>
                    <w:gridCol w:w="5486"/>
                  </w:tblGrid>
                  <w:tr w14:paraId="11A2807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1" w:hRule="atLeast"/>
                    </w:trPr>
                    <w:tc>
                      <w:tcPr>
                        <w:tcW w:w="4261" w:type="dxa"/>
                      </w:tcPr>
                      <w:p w14:paraId="488AE45C">
                        <w:pPr>
                          <w:pStyle w:val="11"/>
                          <w:spacing w:line="290" w:lineRule="exact"/>
                          <w:ind w:left="586"/>
                          <w:rPr>
                            <w:sz w:val="24"/>
                          </w:rPr>
                        </w:pPr>
                        <w:r>
                          <w:rPr>
                            <w:sz w:val="24"/>
                          </w:rPr>
                          <w:t>项目</w:t>
                        </w:r>
                      </w:p>
                    </w:tc>
                    <w:tc>
                      <w:tcPr>
                        <w:tcW w:w="5486" w:type="dxa"/>
                      </w:tcPr>
                      <w:p w14:paraId="1D626C41">
                        <w:pPr>
                          <w:pStyle w:val="11"/>
                          <w:spacing w:line="290" w:lineRule="exact"/>
                          <w:rPr>
                            <w:sz w:val="24"/>
                          </w:rPr>
                        </w:pPr>
                        <w:r>
                          <w:rPr>
                            <w:sz w:val="24"/>
                          </w:rPr>
                          <w:t>指标</w:t>
                        </w:r>
                      </w:p>
                    </w:tc>
                  </w:tr>
                  <w:tr w14:paraId="025DE20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2" w:hRule="atLeast"/>
                    </w:trPr>
                    <w:tc>
                      <w:tcPr>
                        <w:tcW w:w="4261" w:type="dxa"/>
                      </w:tcPr>
                      <w:p w14:paraId="386AA21B">
                        <w:pPr>
                          <w:pStyle w:val="11"/>
                          <w:spacing w:line="290" w:lineRule="exact"/>
                          <w:ind w:left="586"/>
                          <w:rPr>
                            <w:sz w:val="24"/>
                          </w:rPr>
                        </w:pPr>
                        <w:r>
                          <w:rPr>
                            <w:sz w:val="24"/>
                          </w:rPr>
                          <w:t>形态</w:t>
                        </w:r>
                      </w:p>
                    </w:tc>
                    <w:tc>
                      <w:tcPr>
                        <w:tcW w:w="5486" w:type="dxa"/>
                      </w:tcPr>
                      <w:p w14:paraId="3655C99A">
                        <w:pPr>
                          <w:pStyle w:val="11"/>
                          <w:spacing w:line="290" w:lineRule="exact"/>
                          <w:rPr>
                            <w:sz w:val="24"/>
                          </w:rPr>
                        </w:pPr>
                        <w:r>
                          <w:rPr>
                            <w:sz w:val="24"/>
                          </w:rPr>
                          <w:t>透明或半透明凝胶、膏体</w:t>
                        </w:r>
                      </w:p>
                    </w:tc>
                  </w:tr>
                  <w:tr w14:paraId="5520381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2" w:hRule="atLeast"/>
                    </w:trPr>
                    <w:tc>
                      <w:tcPr>
                        <w:tcW w:w="4261" w:type="dxa"/>
                      </w:tcPr>
                      <w:p w14:paraId="7EEE183C">
                        <w:pPr>
                          <w:pStyle w:val="11"/>
                          <w:spacing w:before="4"/>
                          <w:ind w:left="586"/>
                          <w:rPr>
                            <w:sz w:val="24"/>
                          </w:rPr>
                        </w:pPr>
                        <w:r>
                          <w:rPr>
                            <w:sz w:val="24"/>
                          </w:rPr>
                          <w:t>色泽</w:t>
                        </w:r>
                      </w:p>
                    </w:tc>
                    <w:tc>
                      <w:tcPr>
                        <w:tcW w:w="5486" w:type="dxa"/>
                      </w:tcPr>
                      <w:p w14:paraId="0788C279">
                        <w:pPr>
                          <w:pStyle w:val="11"/>
                          <w:spacing w:before="4"/>
                          <w:rPr>
                            <w:sz w:val="24"/>
                          </w:rPr>
                        </w:pPr>
                        <w:r>
                          <w:rPr>
                            <w:sz w:val="24"/>
                          </w:rPr>
                          <w:t>符合规定色泽</w:t>
                        </w:r>
                      </w:p>
                    </w:tc>
                  </w:tr>
                  <w:tr w14:paraId="6D6C405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1" w:hRule="atLeast"/>
                    </w:trPr>
                    <w:tc>
                      <w:tcPr>
                        <w:tcW w:w="4261" w:type="dxa"/>
                      </w:tcPr>
                      <w:p w14:paraId="1510D2D8">
                        <w:pPr>
                          <w:pStyle w:val="11"/>
                          <w:spacing w:before="3"/>
                          <w:ind w:left="586"/>
                          <w:rPr>
                            <w:sz w:val="24"/>
                          </w:rPr>
                        </w:pPr>
                        <w:r>
                          <w:rPr>
                            <w:sz w:val="24"/>
                          </w:rPr>
                          <w:t>气味</w:t>
                        </w:r>
                      </w:p>
                    </w:tc>
                    <w:tc>
                      <w:tcPr>
                        <w:tcW w:w="5486" w:type="dxa"/>
                      </w:tcPr>
                      <w:p w14:paraId="35E0E10C">
                        <w:pPr>
                          <w:pStyle w:val="11"/>
                          <w:spacing w:before="3"/>
                          <w:rPr>
                            <w:sz w:val="24"/>
                          </w:rPr>
                        </w:pPr>
                        <w:r>
                          <w:rPr>
                            <w:sz w:val="24"/>
                          </w:rPr>
                          <w:t>中草药气味</w:t>
                        </w:r>
                      </w:p>
                    </w:tc>
                  </w:tr>
                  <w:tr w14:paraId="66D5855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2" w:hRule="atLeast"/>
                    </w:trPr>
                    <w:tc>
                      <w:tcPr>
                        <w:tcW w:w="4261" w:type="dxa"/>
                      </w:tcPr>
                      <w:p w14:paraId="3A5432A0">
                        <w:pPr>
                          <w:pStyle w:val="11"/>
                          <w:spacing w:before="3" w:line="289" w:lineRule="exact"/>
                          <w:ind w:left="586"/>
                          <w:rPr>
                            <w:sz w:val="24"/>
                          </w:rPr>
                        </w:pPr>
                        <w:r>
                          <w:rPr>
                            <w:sz w:val="24"/>
                          </w:rPr>
                          <w:t>杂质</w:t>
                        </w:r>
                      </w:p>
                    </w:tc>
                    <w:tc>
                      <w:tcPr>
                        <w:tcW w:w="5486" w:type="dxa"/>
                      </w:tcPr>
                      <w:p w14:paraId="1D726B6E">
                        <w:pPr>
                          <w:pStyle w:val="11"/>
                          <w:spacing w:before="3" w:line="289" w:lineRule="exact"/>
                          <w:rPr>
                            <w:sz w:val="24"/>
                          </w:rPr>
                        </w:pPr>
                        <w:r>
                          <w:rPr>
                            <w:sz w:val="24"/>
                          </w:rPr>
                          <w:t>无明显外来杂质</w:t>
                        </w:r>
                      </w:p>
                    </w:tc>
                  </w:tr>
                </w:tbl>
                <w:p w14:paraId="7012541E">
                  <w:pPr>
                    <w:pStyle w:val="5"/>
                  </w:pPr>
                </w:p>
              </w:txbxContent>
            </v:textbox>
          </v:shape>
        </w:pict>
      </w:r>
      <w:r>
        <w:rPr>
          <w:spacing w:val="-12"/>
          <w:sz w:val="24"/>
        </w:rPr>
        <w:t>凝胶推进器表面光滑、均匀细腻，色泽均匀、无毛刺、裂纹、污渍等缺陷。应符合表</w:t>
      </w:r>
      <w:r>
        <w:rPr>
          <w:sz w:val="24"/>
        </w:rPr>
        <w:t>1</w:t>
      </w:r>
      <w:r>
        <w:rPr>
          <w:spacing w:val="-14"/>
          <w:sz w:val="24"/>
        </w:rPr>
        <w:t>。</w:t>
      </w:r>
      <w:r>
        <w:rPr>
          <w:b/>
          <w:sz w:val="24"/>
        </w:rPr>
        <w:t>表1</w:t>
      </w:r>
    </w:p>
    <w:p w14:paraId="50A47AB6">
      <w:pPr>
        <w:pStyle w:val="5"/>
        <w:rPr>
          <w:b/>
        </w:rPr>
      </w:pPr>
    </w:p>
    <w:p w14:paraId="2E211AD1">
      <w:pPr>
        <w:pStyle w:val="5"/>
        <w:rPr>
          <w:b/>
        </w:rPr>
      </w:pPr>
    </w:p>
    <w:p w14:paraId="57DA6E85">
      <w:pPr>
        <w:pStyle w:val="5"/>
        <w:rPr>
          <w:b/>
        </w:rPr>
      </w:pPr>
    </w:p>
    <w:p w14:paraId="5398B510">
      <w:pPr>
        <w:pStyle w:val="5"/>
        <w:rPr>
          <w:b/>
        </w:rPr>
      </w:pPr>
    </w:p>
    <w:p w14:paraId="6D486EC9">
      <w:pPr>
        <w:pStyle w:val="5"/>
        <w:rPr>
          <w:b/>
        </w:rPr>
      </w:pPr>
    </w:p>
    <w:p w14:paraId="568A2FDF">
      <w:pPr>
        <w:pStyle w:val="5"/>
        <w:spacing w:before="8"/>
        <w:rPr>
          <w:b/>
          <w:sz w:val="30"/>
        </w:rPr>
      </w:pPr>
    </w:p>
    <w:p w14:paraId="3307F2FB">
      <w:pPr>
        <w:pStyle w:val="10"/>
        <w:numPr>
          <w:ilvl w:val="1"/>
          <w:numId w:val="3"/>
        </w:numPr>
        <w:tabs>
          <w:tab w:val="left" w:pos="693"/>
        </w:tabs>
        <w:spacing w:before="1" w:after="0" w:line="240" w:lineRule="auto"/>
        <w:ind w:left="692" w:right="0" w:hanging="481"/>
        <w:jc w:val="left"/>
        <w:rPr>
          <w:sz w:val="24"/>
        </w:rPr>
      </w:pPr>
      <w:r>
        <w:rPr>
          <w:sz w:val="24"/>
        </w:rPr>
        <w:t>物理性能</w:t>
      </w:r>
    </w:p>
    <w:p w14:paraId="36A7ADFC">
      <w:pPr>
        <w:pStyle w:val="10"/>
        <w:numPr>
          <w:ilvl w:val="2"/>
          <w:numId w:val="3"/>
        </w:numPr>
        <w:tabs>
          <w:tab w:val="left" w:pos="933"/>
        </w:tabs>
        <w:spacing w:before="9" w:after="0" w:line="240" w:lineRule="auto"/>
        <w:ind w:left="932" w:right="0" w:hanging="721"/>
        <w:jc w:val="left"/>
        <w:rPr>
          <w:sz w:val="24"/>
        </w:rPr>
      </w:pPr>
      <w:r>
        <w:rPr>
          <w:sz w:val="24"/>
        </w:rPr>
        <w:t>密封性：产品应密封，不得有泄漏。</w:t>
      </w:r>
    </w:p>
    <w:p w14:paraId="5043D021">
      <w:pPr>
        <w:pStyle w:val="10"/>
        <w:numPr>
          <w:ilvl w:val="2"/>
          <w:numId w:val="3"/>
        </w:numPr>
        <w:tabs>
          <w:tab w:val="left" w:pos="933"/>
        </w:tabs>
        <w:spacing w:before="4" w:after="0" w:line="240" w:lineRule="auto"/>
        <w:ind w:left="932" w:right="0" w:hanging="721"/>
        <w:jc w:val="left"/>
        <w:rPr>
          <w:sz w:val="24"/>
        </w:rPr>
      </w:pPr>
      <w:r>
        <w:rPr>
          <w:spacing w:val="-4"/>
          <w:sz w:val="24"/>
        </w:rPr>
        <w:t xml:space="preserve">滑动性:草本凝胶给进器倒置时间 </w:t>
      </w:r>
      <w:r>
        <w:rPr>
          <w:sz w:val="24"/>
        </w:rPr>
        <w:t>5min</w:t>
      </w:r>
      <w:r>
        <w:rPr>
          <w:spacing w:val="-10"/>
          <w:sz w:val="24"/>
        </w:rPr>
        <w:t xml:space="preserve"> 不会脱落。</w:t>
      </w:r>
    </w:p>
    <w:p w14:paraId="123717C7">
      <w:pPr>
        <w:pStyle w:val="10"/>
        <w:numPr>
          <w:ilvl w:val="1"/>
          <w:numId w:val="3"/>
        </w:numPr>
        <w:tabs>
          <w:tab w:val="left" w:pos="693"/>
        </w:tabs>
        <w:spacing w:before="67" w:after="0" w:line="240" w:lineRule="auto"/>
        <w:ind w:left="692" w:right="0" w:hanging="481"/>
        <w:jc w:val="left"/>
        <w:rPr>
          <w:sz w:val="24"/>
        </w:rPr>
      </w:pPr>
      <w:r>
        <w:rPr>
          <w:sz w:val="24"/>
        </w:rPr>
        <w:t>理化指标</w:t>
      </w:r>
    </w:p>
    <w:p w14:paraId="3E254308">
      <w:pPr>
        <w:pStyle w:val="5"/>
        <w:spacing w:before="74"/>
        <w:ind w:left="212"/>
      </w:pPr>
      <w:r>
        <w:t>本品应符合表2要求表</w:t>
      </w:r>
    </w:p>
    <w:p w14:paraId="6453507A">
      <w:pPr>
        <w:pStyle w:val="4"/>
        <w:spacing w:before="72" w:after="8"/>
        <w:ind w:left="4614" w:right="5535" w:firstLine="0"/>
        <w:jc w:val="center"/>
      </w:pPr>
      <w:r>
        <w:t>表2</w:t>
      </w:r>
    </w:p>
    <w:tbl>
      <w:tblPr>
        <w:tblStyle w:val="7"/>
        <w:tblW w:w="0" w:type="auto"/>
        <w:tblInd w:w="111"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4261"/>
        <w:gridCol w:w="5486"/>
      </w:tblGrid>
      <w:tr w14:paraId="4C9CF77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2" w:hRule="atLeast"/>
        </w:trPr>
        <w:tc>
          <w:tcPr>
            <w:tcW w:w="4261" w:type="dxa"/>
          </w:tcPr>
          <w:p w14:paraId="2EC69E93">
            <w:pPr>
              <w:pStyle w:val="11"/>
              <w:spacing w:before="4"/>
              <w:ind w:left="586"/>
              <w:rPr>
                <w:sz w:val="24"/>
              </w:rPr>
            </w:pPr>
            <w:r>
              <w:rPr>
                <w:sz w:val="24"/>
              </w:rPr>
              <w:t>指 标 名 称</w:t>
            </w:r>
          </w:p>
        </w:tc>
        <w:tc>
          <w:tcPr>
            <w:tcW w:w="5486" w:type="dxa"/>
          </w:tcPr>
          <w:p w14:paraId="08B7F0D8">
            <w:pPr>
              <w:pStyle w:val="11"/>
              <w:spacing w:before="4"/>
              <w:rPr>
                <w:sz w:val="24"/>
              </w:rPr>
            </w:pPr>
            <w:r>
              <w:rPr>
                <w:sz w:val="24"/>
              </w:rPr>
              <w:t>指 标 要 求</w:t>
            </w:r>
          </w:p>
        </w:tc>
      </w:tr>
      <w:tr w14:paraId="4AD28A5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2" w:hRule="atLeast"/>
        </w:trPr>
        <w:tc>
          <w:tcPr>
            <w:tcW w:w="4261" w:type="dxa"/>
          </w:tcPr>
          <w:p w14:paraId="2A471A04">
            <w:pPr>
              <w:pStyle w:val="11"/>
              <w:spacing w:before="3"/>
              <w:ind w:left="586"/>
              <w:rPr>
                <w:sz w:val="24"/>
              </w:rPr>
            </w:pPr>
            <w:r>
              <w:rPr>
                <w:sz w:val="24"/>
              </w:rPr>
              <w:t>耐热 40℃±1℃， 24h</w:t>
            </w:r>
          </w:p>
        </w:tc>
        <w:tc>
          <w:tcPr>
            <w:tcW w:w="5486" w:type="dxa"/>
          </w:tcPr>
          <w:p w14:paraId="71B37AD0">
            <w:pPr>
              <w:pStyle w:val="11"/>
              <w:spacing w:before="3"/>
              <w:rPr>
                <w:sz w:val="24"/>
              </w:rPr>
            </w:pPr>
            <w:r>
              <w:rPr>
                <w:sz w:val="24"/>
              </w:rPr>
              <w:t>凝胶无水分离现象</w:t>
            </w:r>
          </w:p>
        </w:tc>
      </w:tr>
      <w:tr w14:paraId="7E59FE5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2" w:hRule="atLeast"/>
        </w:trPr>
        <w:tc>
          <w:tcPr>
            <w:tcW w:w="4261" w:type="dxa"/>
          </w:tcPr>
          <w:p w14:paraId="316DB8EC">
            <w:pPr>
              <w:pStyle w:val="11"/>
              <w:spacing w:before="3" w:line="289" w:lineRule="exact"/>
              <w:ind w:left="586"/>
              <w:rPr>
                <w:sz w:val="24"/>
              </w:rPr>
            </w:pPr>
            <w:r>
              <w:rPr>
                <w:sz w:val="24"/>
              </w:rPr>
              <w:t>耐低温-5℃∽-10℃， 24h</w:t>
            </w:r>
          </w:p>
        </w:tc>
        <w:tc>
          <w:tcPr>
            <w:tcW w:w="5486" w:type="dxa"/>
          </w:tcPr>
          <w:p w14:paraId="1B68E356">
            <w:pPr>
              <w:pStyle w:val="11"/>
              <w:spacing w:before="3" w:line="289" w:lineRule="exact"/>
              <w:rPr>
                <w:sz w:val="24"/>
              </w:rPr>
            </w:pPr>
            <w:r>
              <w:rPr>
                <w:sz w:val="24"/>
              </w:rPr>
              <w:t>恢复室温后与实验前无明显性状差异</w:t>
            </w:r>
          </w:p>
        </w:tc>
      </w:tr>
      <w:tr w14:paraId="5A8604D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2" w:hRule="atLeast"/>
        </w:trPr>
        <w:tc>
          <w:tcPr>
            <w:tcW w:w="4261" w:type="dxa"/>
          </w:tcPr>
          <w:p w14:paraId="5ACD74BD">
            <w:pPr>
              <w:pStyle w:val="11"/>
              <w:spacing w:before="3" w:line="289" w:lineRule="exact"/>
              <w:ind w:left="586"/>
              <w:rPr>
                <w:sz w:val="24"/>
              </w:rPr>
            </w:pPr>
            <w:r>
              <w:rPr>
                <w:sz w:val="24"/>
              </w:rPr>
              <w:t>PH 值</w:t>
            </w:r>
          </w:p>
        </w:tc>
        <w:tc>
          <w:tcPr>
            <w:tcW w:w="5486" w:type="dxa"/>
          </w:tcPr>
          <w:p w14:paraId="3F780361">
            <w:pPr>
              <w:pStyle w:val="11"/>
              <w:spacing w:before="3" w:line="289" w:lineRule="exact"/>
              <w:rPr>
                <w:sz w:val="24"/>
              </w:rPr>
            </w:pPr>
            <w:r>
              <w:rPr>
                <w:sz w:val="24"/>
              </w:rPr>
              <w:t>3.0-8.0</w:t>
            </w:r>
          </w:p>
        </w:tc>
      </w:tr>
      <w:tr w14:paraId="09D15A0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1" w:hRule="atLeast"/>
        </w:trPr>
        <w:tc>
          <w:tcPr>
            <w:tcW w:w="4261" w:type="dxa"/>
          </w:tcPr>
          <w:p w14:paraId="4E32DA14">
            <w:pPr>
              <w:pStyle w:val="11"/>
              <w:spacing w:line="290" w:lineRule="exact"/>
              <w:ind w:left="586"/>
              <w:rPr>
                <w:sz w:val="24"/>
              </w:rPr>
            </w:pPr>
            <w:r>
              <w:rPr>
                <w:sz w:val="24"/>
              </w:rPr>
              <w:t>汞（以 Hg 计） mg/kg</w:t>
            </w:r>
          </w:p>
        </w:tc>
        <w:tc>
          <w:tcPr>
            <w:tcW w:w="5486" w:type="dxa"/>
          </w:tcPr>
          <w:p w14:paraId="63A95432">
            <w:pPr>
              <w:pStyle w:val="11"/>
              <w:spacing w:line="290" w:lineRule="exact"/>
              <w:rPr>
                <w:sz w:val="24"/>
              </w:rPr>
            </w:pPr>
            <w:r>
              <w:rPr>
                <w:sz w:val="24"/>
              </w:rPr>
              <w:t>≤1</w:t>
            </w:r>
          </w:p>
        </w:tc>
      </w:tr>
      <w:tr w14:paraId="5B94903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2" w:hRule="atLeast"/>
        </w:trPr>
        <w:tc>
          <w:tcPr>
            <w:tcW w:w="4261" w:type="dxa"/>
          </w:tcPr>
          <w:p w14:paraId="17239B30">
            <w:pPr>
              <w:pStyle w:val="11"/>
              <w:spacing w:line="290" w:lineRule="exact"/>
              <w:ind w:left="586"/>
              <w:rPr>
                <w:sz w:val="24"/>
              </w:rPr>
            </w:pPr>
            <w:r>
              <w:rPr>
                <w:sz w:val="24"/>
              </w:rPr>
              <w:t>砷（以 As 计） mg/kg</w:t>
            </w:r>
          </w:p>
        </w:tc>
        <w:tc>
          <w:tcPr>
            <w:tcW w:w="5486" w:type="dxa"/>
          </w:tcPr>
          <w:p w14:paraId="3BF80FD4">
            <w:pPr>
              <w:pStyle w:val="11"/>
              <w:spacing w:line="290" w:lineRule="exact"/>
              <w:rPr>
                <w:sz w:val="24"/>
              </w:rPr>
            </w:pPr>
            <w:r>
              <w:rPr>
                <w:sz w:val="24"/>
              </w:rPr>
              <w:t>≤2</w:t>
            </w:r>
          </w:p>
        </w:tc>
      </w:tr>
      <w:tr w14:paraId="4249508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2" w:hRule="atLeast"/>
        </w:trPr>
        <w:tc>
          <w:tcPr>
            <w:tcW w:w="4261" w:type="dxa"/>
          </w:tcPr>
          <w:p w14:paraId="38ADF8C9">
            <w:pPr>
              <w:pStyle w:val="11"/>
              <w:spacing w:before="4"/>
              <w:ind w:left="586"/>
              <w:rPr>
                <w:sz w:val="24"/>
              </w:rPr>
            </w:pPr>
            <w:r>
              <w:rPr>
                <w:sz w:val="24"/>
              </w:rPr>
              <w:t>镉（以 Pb 计） mg/kg</w:t>
            </w:r>
          </w:p>
        </w:tc>
        <w:tc>
          <w:tcPr>
            <w:tcW w:w="5486" w:type="dxa"/>
          </w:tcPr>
          <w:p w14:paraId="7E8DF6D3">
            <w:pPr>
              <w:pStyle w:val="11"/>
              <w:spacing w:before="4"/>
              <w:rPr>
                <w:sz w:val="24"/>
              </w:rPr>
            </w:pPr>
            <w:r>
              <w:rPr>
                <w:sz w:val="24"/>
              </w:rPr>
              <w:t>≤5</w:t>
            </w:r>
          </w:p>
        </w:tc>
      </w:tr>
      <w:tr w14:paraId="70E53CB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2" w:hRule="atLeast"/>
        </w:trPr>
        <w:tc>
          <w:tcPr>
            <w:tcW w:w="4261" w:type="dxa"/>
          </w:tcPr>
          <w:p w14:paraId="591B2D23">
            <w:pPr>
              <w:pStyle w:val="11"/>
              <w:spacing w:before="3"/>
              <w:ind w:left="586"/>
              <w:rPr>
                <w:sz w:val="24"/>
              </w:rPr>
            </w:pPr>
            <w:r>
              <w:rPr>
                <w:sz w:val="24"/>
              </w:rPr>
              <w:t>铅（以 Pb 计） mg/kg</w:t>
            </w:r>
          </w:p>
        </w:tc>
        <w:tc>
          <w:tcPr>
            <w:tcW w:w="5486" w:type="dxa"/>
          </w:tcPr>
          <w:p w14:paraId="3FEB9EC5">
            <w:pPr>
              <w:pStyle w:val="11"/>
              <w:spacing w:before="3"/>
              <w:rPr>
                <w:sz w:val="24"/>
              </w:rPr>
            </w:pPr>
            <w:r>
              <w:rPr>
                <w:sz w:val="24"/>
              </w:rPr>
              <w:t>≤10</w:t>
            </w:r>
          </w:p>
        </w:tc>
      </w:tr>
    </w:tbl>
    <w:p w14:paraId="341AF04D">
      <w:pPr>
        <w:pStyle w:val="10"/>
        <w:numPr>
          <w:ilvl w:val="1"/>
          <w:numId w:val="3"/>
        </w:numPr>
        <w:tabs>
          <w:tab w:val="left" w:pos="693"/>
        </w:tabs>
        <w:spacing w:before="65" w:after="0" w:line="240" w:lineRule="auto"/>
        <w:ind w:left="692" w:right="0" w:hanging="481"/>
        <w:jc w:val="left"/>
        <w:rPr>
          <w:sz w:val="24"/>
        </w:rPr>
      </w:pPr>
      <w:r>
        <w:rPr>
          <w:sz w:val="24"/>
        </w:rPr>
        <w:t>微生物指标</w:t>
      </w:r>
    </w:p>
    <w:p w14:paraId="42EDCCD9">
      <w:pPr>
        <w:pStyle w:val="5"/>
        <w:spacing w:before="72" w:line="295" w:lineRule="auto"/>
        <w:ind w:left="212" w:right="1055"/>
      </w:pPr>
      <w:r>
        <w:t>微生物指标按GB15979-2002《一次性使用卫生用品卫生标准》附录B方法测定，应符合本标准表3中的规定。</w:t>
      </w:r>
    </w:p>
    <w:p w14:paraId="0AF4A07A">
      <w:pPr>
        <w:spacing w:after="0" w:line="295" w:lineRule="auto"/>
        <w:sectPr>
          <w:headerReference r:id="rId8" w:type="default"/>
          <w:footerReference r:id="rId9" w:type="default"/>
          <w:pgSz w:w="11910" w:h="16840"/>
          <w:pgMar w:top="1360" w:right="0" w:bottom="1160" w:left="920" w:header="888" w:footer="975" w:gutter="0"/>
          <w:cols w:space="720" w:num="1"/>
        </w:sectPr>
      </w:pPr>
    </w:p>
    <w:p w14:paraId="10B46E42">
      <w:pPr>
        <w:pStyle w:val="4"/>
        <w:spacing w:before="141" w:after="7"/>
        <w:ind w:left="4614" w:right="5535" w:firstLine="0"/>
        <w:jc w:val="center"/>
      </w:pPr>
      <w:r>
        <w:pict>
          <v:shape id="_x0000_s1032" o:spid="_x0000_s1032" o:spt="136" type="#_x0000_t136" style="position:absolute;left:0pt;margin-left:-73.5pt;margin-top:371.5pt;height:70pt;width:701.15pt;mso-position-horizontal-relative:page;mso-position-vertical-relative:page;rotation:20054016f;z-index:-251646976;mso-width-relative:page;mso-height-relative:page;" fillcolor="#BFBFBF" filled="t" stroked="f" coordsize="21600,21600">
            <v:path/>
            <v:fill on="t" focussize="0,0"/>
            <v:stroke on="f"/>
            <v:imagedata o:title=""/>
            <o:lock v:ext="edit"/>
            <v:textpath on="t" fitpath="t" trim="t" xscale="f" string="全国团体标准信息平台" style="font-family:仿宋;font-size:70pt;v-text-align:center;"/>
          </v:shape>
        </w:pict>
      </w:r>
      <w:r>
        <w:t>表3</w:t>
      </w:r>
    </w:p>
    <w:tbl>
      <w:tblPr>
        <w:tblStyle w:val="7"/>
        <w:tblW w:w="0" w:type="auto"/>
        <w:tblInd w:w="111"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6405"/>
        <w:gridCol w:w="3342"/>
      </w:tblGrid>
      <w:tr w14:paraId="6C3A37C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2" w:hRule="atLeast"/>
        </w:trPr>
        <w:tc>
          <w:tcPr>
            <w:tcW w:w="6405" w:type="dxa"/>
          </w:tcPr>
          <w:p w14:paraId="77BFDEE6">
            <w:pPr>
              <w:pStyle w:val="11"/>
              <w:spacing w:line="290" w:lineRule="exact"/>
              <w:ind w:left="586"/>
              <w:rPr>
                <w:sz w:val="24"/>
              </w:rPr>
            </w:pPr>
            <w:r>
              <w:rPr>
                <w:sz w:val="24"/>
              </w:rPr>
              <w:t>项目</w:t>
            </w:r>
          </w:p>
        </w:tc>
        <w:tc>
          <w:tcPr>
            <w:tcW w:w="3342" w:type="dxa"/>
          </w:tcPr>
          <w:p w14:paraId="32A419CA">
            <w:pPr>
              <w:pStyle w:val="11"/>
              <w:spacing w:line="290" w:lineRule="exact"/>
              <w:rPr>
                <w:sz w:val="24"/>
              </w:rPr>
            </w:pPr>
            <w:r>
              <w:rPr>
                <w:sz w:val="24"/>
              </w:rPr>
              <w:t>指 标</w:t>
            </w:r>
          </w:p>
        </w:tc>
      </w:tr>
      <w:tr w14:paraId="2992C11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1" w:hRule="atLeast"/>
        </w:trPr>
        <w:tc>
          <w:tcPr>
            <w:tcW w:w="6405" w:type="dxa"/>
          </w:tcPr>
          <w:p w14:paraId="41DBB830">
            <w:pPr>
              <w:pStyle w:val="11"/>
              <w:tabs>
                <w:tab w:val="left" w:pos="5866"/>
              </w:tabs>
              <w:spacing w:line="290" w:lineRule="exact"/>
              <w:ind w:left="586"/>
              <w:rPr>
                <w:sz w:val="24"/>
              </w:rPr>
            </w:pPr>
            <w:r>
              <w:rPr>
                <w:sz w:val="24"/>
              </w:rPr>
              <w:t>细菌菌落总数，cfm/g</w:t>
            </w:r>
            <w:r>
              <w:rPr>
                <w:sz w:val="24"/>
              </w:rPr>
              <w:tab/>
            </w:r>
            <w:r>
              <w:rPr>
                <w:sz w:val="24"/>
              </w:rPr>
              <w:t>≤</w:t>
            </w:r>
          </w:p>
        </w:tc>
        <w:tc>
          <w:tcPr>
            <w:tcW w:w="3342" w:type="dxa"/>
          </w:tcPr>
          <w:p w14:paraId="1875CE0A">
            <w:pPr>
              <w:pStyle w:val="11"/>
              <w:spacing w:line="290" w:lineRule="exact"/>
              <w:rPr>
                <w:sz w:val="24"/>
              </w:rPr>
            </w:pPr>
            <w:r>
              <w:rPr>
                <w:sz w:val="24"/>
              </w:rPr>
              <w:t>150</w:t>
            </w:r>
          </w:p>
        </w:tc>
      </w:tr>
      <w:tr w14:paraId="7A89979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2" w:hRule="atLeast"/>
        </w:trPr>
        <w:tc>
          <w:tcPr>
            <w:tcW w:w="6405" w:type="dxa"/>
          </w:tcPr>
          <w:p w14:paraId="2195164F">
            <w:pPr>
              <w:pStyle w:val="11"/>
              <w:spacing w:before="4"/>
              <w:ind w:left="586"/>
              <w:rPr>
                <w:sz w:val="24"/>
              </w:rPr>
            </w:pPr>
            <w:r>
              <w:rPr>
                <w:sz w:val="24"/>
              </w:rPr>
              <w:t>大肠菌群,cfm/g</w:t>
            </w:r>
          </w:p>
        </w:tc>
        <w:tc>
          <w:tcPr>
            <w:tcW w:w="3342" w:type="dxa"/>
          </w:tcPr>
          <w:p w14:paraId="758BD49B">
            <w:pPr>
              <w:pStyle w:val="11"/>
              <w:spacing w:before="4"/>
              <w:rPr>
                <w:sz w:val="24"/>
              </w:rPr>
            </w:pPr>
            <w:r>
              <w:rPr>
                <w:sz w:val="24"/>
              </w:rPr>
              <w:t>不得检出</w:t>
            </w:r>
          </w:p>
        </w:tc>
      </w:tr>
      <w:tr w14:paraId="40E8259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2" w:hRule="atLeast"/>
        </w:trPr>
        <w:tc>
          <w:tcPr>
            <w:tcW w:w="6405" w:type="dxa"/>
          </w:tcPr>
          <w:p w14:paraId="43371E68">
            <w:pPr>
              <w:pStyle w:val="11"/>
              <w:spacing w:before="3"/>
              <w:ind w:left="586"/>
              <w:rPr>
                <w:sz w:val="24"/>
              </w:rPr>
            </w:pPr>
            <w:r>
              <w:rPr>
                <w:sz w:val="24"/>
              </w:rPr>
              <w:t>金黄色葡萄球菌,cfm/g</w:t>
            </w:r>
          </w:p>
        </w:tc>
        <w:tc>
          <w:tcPr>
            <w:tcW w:w="3342" w:type="dxa"/>
          </w:tcPr>
          <w:p w14:paraId="2DE9B358">
            <w:pPr>
              <w:pStyle w:val="11"/>
              <w:spacing w:before="3"/>
              <w:rPr>
                <w:sz w:val="24"/>
              </w:rPr>
            </w:pPr>
            <w:r>
              <w:rPr>
                <w:sz w:val="24"/>
              </w:rPr>
              <w:t>不得检出</w:t>
            </w:r>
          </w:p>
        </w:tc>
      </w:tr>
      <w:tr w14:paraId="16C38FC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2" w:hRule="atLeast"/>
        </w:trPr>
        <w:tc>
          <w:tcPr>
            <w:tcW w:w="6405" w:type="dxa"/>
          </w:tcPr>
          <w:p w14:paraId="646BB2F1">
            <w:pPr>
              <w:pStyle w:val="11"/>
              <w:spacing w:before="3" w:line="289" w:lineRule="exact"/>
              <w:ind w:left="586"/>
              <w:rPr>
                <w:sz w:val="24"/>
              </w:rPr>
            </w:pPr>
            <w:r>
              <w:rPr>
                <w:sz w:val="24"/>
              </w:rPr>
              <w:t>绿脓杆菌,cfm/g</w:t>
            </w:r>
          </w:p>
        </w:tc>
        <w:tc>
          <w:tcPr>
            <w:tcW w:w="3342" w:type="dxa"/>
          </w:tcPr>
          <w:p w14:paraId="5E92DA59">
            <w:pPr>
              <w:pStyle w:val="11"/>
              <w:spacing w:before="3" w:line="289" w:lineRule="exact"/>
              <w:rPr>
                <w:sz w:val="24"/>
              </w:rPr>
            </w:pPr>
            <w:r>
              <w:rPr>
                <w:sz w:val="24"/>
              </w:rPr>
              <w:t>不得检出</w:t>
            </w:r>
          </w:p>
        </w:tc>
      </w:tr>
      <w:tr w14:paraId="63BAD74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2" w:hRule="atLeast"/>
        </w:trPr>
        <w:tc>
          <w:tcPr>
            <w:tcW w:w="6405" w:type="dxa"/>
          </w:tcPr>
          <w:p w14:paraId="7652DB8C">
            <w:pPr>
              <w:pStyle w:val="11"/>
              <w:spacing w:line="289" w:lineRule="exact"/>
              <w:ind w:left="586"/>
              <w:rPr>
                <w:sz w:val="24"/>
              </w:rPr>
            </w:pPr>
            <w:r>
              <w:rPr>
                <w:sz w:val="24"/>
              </w:rPr>
              <w:t>溶血性链球菌cfm/g</w:t>
            </w:r>
          </w:p>
        </w:tc>
        <w:tc>
          <w:tcPr>
            <w:tcW w:w="3342" w:type="dxa"/>
          </w:tcPr>
          <w:p w14:paraId="5E30BB05">
            <w:pPr>
              <w:pStyle w:val="11"/>
              <w:spacing w:line="289" w:lineRule="exact"/>
              <w:rPr>
                <w:sz w:val="24"/>
              </w:rPr>
            </w:pPr>
            <w:r>
              <w:rPr>
                <w:sz w:val="24"/>
              </w:rPr>
              <w:t>不得检出</w:t>
            </w:r>
          </w:p>
        </w:tc>
      </w:tr>
      <w:tr w14:paraId="46B53E0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1" w:hRule="atLeast"/>
        </w:trPr>
        <w:tc>
          <w:tcPr>
            <w:tcW w:w="6405" w:type="dxa"/>
          </w:tcPr>
          <w:p w14:paraId="6CE9600C">
            <w:pPr>
              <w:pStyle w:val="11"/>
              <w:tabs>
                <w:tab w:val="left" w:pos="5866"/>
              </w:tabs>
              <w:spacing w:line="290" w:lineRule="exact"/>
              <w:ind w:left="586"/>
              <w:rPr>
                <w:sz w:val="24"/>
              </w:rPr>
            </w:pPr>
            <w:r>
              <w:rPr>
                <w:sz w:val="24"/>
              </w:rPr>
              <w:t>真菌菌落总数，cfm/g</w:t>
            </w:r>
            <w:r>
              <w:rPr>
                <w:sz w:val="24"/>
              </w:rPr>
              <w:tab/>
            </w:r>
            <w:r>
              <w:rPr>
                <w:sz w:val="24"/>
              </w:rPr>
              <w:t>≤</w:t>
            </w:r>
          </w:p>
        </w:tc>
        <w:tc>
          <w:tcPr>
            <w:tcW w:w="3342" w:type="dxa"/>
          </w:tcPr>
          <w:p w14:paraId="17E300F8">
            <w:pPr>
              <w:pStyle w:val="11"/>
              <w:spacing w:line="290" w:lineRule="exact"/>
              <w:rPr>
                <w:sz w:val="24"/>
              </w:rPr>
            </w:pPr>
            <w:r>
              <w:rPr>
                <w:sz w:val="24"/>
              </w:rPr>
              <w:t>80</w:t>
            </w:r>
          </w:p>
        </w:tc>
      </w:tr>
    </w:tbl>
    <w:p w14:paraId="67194AFA">
      <w:pPr>
        <w:pStyle w:val="10"/>
        <w:numPr>
          <w:ilvl w:val="1"/>
          <w:numId w:val="3"/>
        </w:numPr>
        <w:tabs>
          <w:tab w:val="left" w:pos="693"/>
        </w:tabs>
        <w:spacing w:before="64" w:after="0" w:line="240" w:lineRule="auto"/>
        <w:ind w:left="692" w:right="0" w:hanging="481"/>
        <w:jc w:val="left"/>
        <w:rPr>
          <w:sz w:val="24"/>
        </w:rPr>
      </w:pPr>
      <w:r>
        <w:rPr>
          <w:sz w:val="24"/>
        </w:rPr>
        <w:t>抑菌效果要求</w:t>
      </w:r>
    </w:p>
    <w:p w14:paraId="1474A221">
      <w:pPr>
        <w:pStyle w:val="5"/>
        <w:spacing w:before="74"/>
        <w:ind w:left="212"/>
      </w:pPr>
      <w:r>
        <w:t>抑菌效果要求应符合表4的规定。</w:t>
      </w:r>
    </w:p>
    <w:p w14:paraId="34EDA055">
      <w:pPr>
        <w:pStyle w:val="4"/>
        <w:spacing w:before="72" w:after="8"/>
        <w:ind w:left="4852" w:firstLine="0"/>
      </w:pPr>
      <w:r>
        <w:t>表4</w:t>
      </w:r>
    </w:p>
    <w:tbl>
      <w:tblPr>
        <w:tblStyle w:val="7"/>
        <w:tblW w:w="0" w:type="auto"/>
        <w:tblInd w:w="111"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941"/>
        <w:gridCol w:w="2820"/>
        <w:gridCol w:w="3986"/>
      </w:tblGrid>
      <w:tr w14:paraId="1F5007D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2" w:hRule="atLeast"/>
        </w:trPr>
        <w:tc>
          <w:tcPr>
            <w:tcW w:w="2941" w:type="dxa"/>
          </w:tcPr>
          <w:p w14:paraId="23A137C5">
            <w:pPr>
              <w:pStyle w:val="11"/>
              <w:spacing w:before="4"/>
              <w:ind w:left="586"/>
              <w:rPr>
                <w:sz w:val="24"/>
              </w:rPr>
            </w:pPr>
            <w:r>
              <w:rPr>
                <w:sz w:val="24"/>
              </w:rPr>
              <w:t>项目</w:t>
            </w:r>
          </w:p>
        </w:tc>
        <w:tc>
          <w:tcPr>
            <w:tcW w:w="2820" w:type="dxa"/>
          </w:tcPr>
          <w:p w14:paraId="227B8F6E">
            <w:pPr>
              <w:pStyle w:val="11"/>
              <w:spacing w:before="4"/>
              <w:rPr>
                <w:sz w:val="24"/>
              </w:rPr>
            </w:pPr>
            <w:r>
              <w:rPr>
                <w:sz w:val="24"/>
              </w:rPr>
              <w:t>浓度</w:t>
            </w:r>
          </w:p>
        </w:tc>
        <w:tc>
          <w:tcPr>
            <w:tcW w:w="3986" w:type="dxa"/>
          </w:tcPr>
          <w:p w14:paraId="70C17E4F">
            <w:pPr>
              <w:pStyle w:val="11"/>
              <w:spacing w:before="4"/>
              <w:rPr>
                <w:sz w:val="24"/>
              </w:rPr>
            </w:pPr>
            <w:r>
              <w:rPr>
                <w:sz w:val="24"/>
              </w:rPr>
              <w:t>指 标</w:t>
            </w:r>
          </w:p>
        </w:tc>
      </w:tr>
      <w:tr w14:paraId="1BBAB95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2941" w:type="dxa"/>
          </w:tcPr>
          <w:p w14:paraId="540F5EC3">
            <w:pPr>
              <w:pStyle w:val="11"/>
              <w:spacing w:before="3" w:line="240" w:lineRule="auto"/>
              <w:ind w:left="629"/>
              <w:rPr>
                <w:sz w:val="24"/>
              </w:rPr>
            </w:pPr>
            <w:r>
              <w:rPr>
                <w:sz w:val="24"/>
              </w:rPr>
              <w:t>金黄色葡萄球菌</w:t>
            </w:r>
          </w:p>
          <w:p w14:paraId="2EA71C9D">
            <w:pPr>
              <w:pStyle w:val="11"/>
              <w:spacing w:before="5"/>
              <w:ind w:left="749"/>
              <w:rPr>
                <w:sz w:val="24"/>
              </w:rPr>
            </w:pPr>
            <w:r>
              <w:rPr>
                <w:sz w:val="24"/>
              </w:rPr>
              <w:t>（ATCC6538）</w:t>
            </w:r>
          </w:p>
        </w:tc>
        <w:tc>
          <w:tcPr>
            <w:tcW w:w="2820" w:type="dxa"/>
          </w:tcPr>
          <w:p w14:paraId="0F4A9801">
            <w:pPr>
              <w:pStyle w:val="11"/>
              <w:spacing w:before="3" w:line="240" w:lineRule="auto"/>
              <w:rPr>
                <w:sz w:val="24"/>
              </w:rPr>
            </w:pPr>
            <w:r>
              <w:rPr>
                <w:sz w:val="24"/>
              </w:rPr>
              <w:t>原样</w:t>
            </w:r>
          </w:p>
        </w:tc>
        <w:tc>
          <w:tcPr>
            <w:tcW w:w="3986" w:type="dxa"/>
          </w:tcPr>
          <w:p w14:paraId="6F463F41">
            <w:pPr>
              <w:pStyle w:val="11"/>
              <w:spacing w:before="3" w:line="240" w:lineRule="auto"/>
              <w:rPr>
                <w:sz w:val="24"/>
              </w:rPr>
            </w:pPr>
            <w:r>
              <w:rPr>
                <w:sz w:val="24"/>
              </w:rPr>
              <w:t>＞5.0</w:t>
            </w:r>
          </w:p>
        </w:tc>
      </w:tr>
      <w:tr w14:paraId="0375326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2" w:hRule="atLeast"/>
        </w:trPr>
        <w:tc>
          <w:tcPr>
            <w:tcW w:w="2941" w:type="dxa"/>
          </w:tcPr>
          <w:p w14:paraId="75190A0D">
            <w:pPr>
              <w:pStyle w:val="11"/>
              <w:spacing w:before="3" w:line="289" w:lineRule="exact"/>
              <w:ind w:left="586"/>
              <w:rPr>
                <w:sz w:val="24"/>
              </w:rPr>
            </w:pPr>
            <w:r>
              <w:rPr>
                <w:sz w:val="24"/>
              </w:rPr>
              <w:t>大肠杆菌（8099）</w:t>
            </w:r>
          </w:p>
        </w:tc>
        <w:tc>
          <w:tcPr>
            <w:tcW w:w="2820" w:type="dxa"/>
          </w:tcPr>
          <w:p w14:paraId="623F68DF">
            <w:pPr>
              <w:pStyle w:val="11"/>
              <w:spacing w:before="3" w:line="289" w:lineRule="exact"/>
              <w:rPr>
                <w:sz w:val="24"/>
              </w:rPr>
            </w:pPr>
            <w:r>
              <w:rPr>
                <w:sz w:val="24"/>
              </w:rPr>
              <w:t>原样</w:t>
            </w:r>
          </w:p>
        </w:tc>
        <w:tc>
          <w:tcPr>
            <w:tcW w:w="3986" w:type="dxa"/>
          </w:tcPr>
          <w:p w14:paraId="6FED0631">
            <w:pPr>
              <w:pStyle w:val="11"/>
              <w:spacing w:before="3" w:line="289" w:lineRule="exact"/>
              <w:rPr>
                <w:sz w:val="24"/>
              </w:rPr>
            </w:pPr>
            <w:r>
              <w:rPr>
                <w:sz w:val="24"/>
              </w:rPr>
              <w:t>＞5.0</w:t>
            </w:r>
          </w:p>
        </w:tc>
      </w:tr>
      <w:tr w14:paraId="33EE794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1" w:hRule="atLeast"/>
        </w:trPr>
        <w:tc>
          <w:tcPr>
            <w:tcW w:w="2941" w:type="dxa"/>
          </w:tcPr>
          <w:p w14:paraId="0B57A435">
            <w:pPr>
              <w:pStyle w:val="11"/>
              <w:spacing w:line="289" w:lineRule="exact"/>
              <w:ind w:left="106"/>
              <w:rPr>
                <w:sz w:val="24"/>
              </w:rPr>
            </w:pPr>
            <w:r>
              <w:rPr>
                <w:sz w:val="24"/>
              </w:rPr>
              <w:t>白色念珠菌（ATCC10231）</w:t>
            </w:r>
          </w:p>
        </w:tc>
        <w:tc>
          <w:tcPr>
            <w:tcW w:w="2820" w:type="dxa"/>
          </w:tcPr>
          <w:p w14:paraId="249BDA6D">
            <w:pPr>
              <w:pStyle w:val="11"/>
              <w:spacing w:line="289" w:lineRule="exact"/>
              <w:rPr>
                <w:sz w:val="24"/>
              </w:rPr>
            </w:pPr>
            <w:r>
              <w:rPr>
                <w:sz w:val="24"/>
              </w:rPr>
              <w:t>原样</w:t>
            </w:r>
          </w:p>
        </w:tc>
        <w:tc>
          <w:tcPr>
            <w:tcW w:w="3986" w:type="dxa"/>
          </w:tcPr>
          <w:p w14:paraId="2030A397">
            <w:pPr>
              <w:pStyle w:val="11"/>
              <w:spacing w:line="289" w:lineRule="exact"/>
              <w:rPr>
                <w:sz w:val="24"/>
              </w:rPr>
            </w:pPr>
            <w:r>
              <w:rPr>
                <w:sz w:val="24"/>
              </w:rPr>
              <w:t>＞5.0</w:t>
            </w:r>
          </w:p>
        </w:tc>
      </w:tr>
    </w:tbl>
    <w:p w14:paraId="62BA9C05">
      <w:pPr>
        <w:pStyle w:val="10"/>
        <w:numPr>
          <w:ilvl w:val="1"/>
          <w:numId w:val="3"/>
        </w:numPr>
        <w:tabs>
          <w:tab w:val="left" w:pos="693"/>
        </w:tabs>
        <w:spacing w:before="65" w:after="0" w:line="240" w:lineRule="auto"/>
        <w:ind w:left="692" w:right="0" w:hanging="481"/>
        <w:jc w:val="left"/>
        <w:rPr>
          <w:sz w:val="24"/>
        </w:rPr>
      </w:pPr>
      <w:r>
        <w:rPr>
          <w:sz w:val="24"/>
        </w:rPr>
        <w:t>稳定性</w:t>
      </w:r>
    </w:p>
    <w:p w14:paraId="7ABA86E5">
      <w:pPr>
        <w:pStyle w:val="5"/>
        <w:spacing w:before="71"/>
        <w:ind w:left="212"/>
      </w:pPr>
      <w:r>
        <w:t>产品经37℃存放3个月,产品抑菌率仍不低于50%，外包装及性状无明显改变。</w:t>
      </w:r>
    </w:p>
    <w:p w14:paraId="584473C8">
      <w:pPr>
        <w:pStyle w:val="10"/>
        <w:numPr>
          <w:ilvl w:val="1"/>
          <w:numId w:val="3"/>
        </w:numPr>
        <w:tabs>
          <w:tab w:val="left" w:pos="693"/>
        </w:tabs>
        <w:spacing w:before="74" w:after="0" w:line="240" w:lineRule="auto"/>
        <w:ind w:left="692" w:right="0" w:hanging="481"/>
        <w:jc w:val="left"/>
        <w:rPr>
          <w:sz w:val="24"/>
        </w:rPr>
      </w:pPr>
      <w:r>
        <w:rPr>
          <w:sz w:val="24"/>
        </w:rPr>
        <w:t>毒理学指标</w:t>
      </w:r>
    </w:p>
    <w:p w14:paraId="75704B81">
      <w:pPr>
        <w:pStyle w:val="5"/>
        <w:spacing w:before="72"/>
        <w:ind w:left="212"/>
      </w:pPr>
      <w:r>
        <w:t>毒理学指标要求应符合表5的规定。</w:t>
      </w:r>
    </w:p>
    <w:p w14:paraId="43971EC4">
      <w:pPr>
        <w:pStyle w:val="4"/>
        <w:spacing w:before="72" w:after="9"/>
        <w:ind w:left="4614" w:right="5535" w:firstLine="0"/>
        <w:jc w:val="center"/>
      </w:pPr>
      <w:r>
        <w:t>表5</w:t>
      </w:r>
    </w:p>
    <w:tbl>
      <w:tblPr>
        <w:tblStyle w:val="7"/>
        <w:tblW w:w="0" w:type="auto"/>
        <w:tblInd w:w="111"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4372"/>
        <w:gridCol w:w="5375"/>
      </w:tblGrid>
      <w:tr w14:paraId="38507DF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2" w:hRule="atLeast"/>
        </w:trPr>
        <w:tc>
          <w:tcPr>
            <w:tcW w:w="4372" w:type="dxa"/>
          </w:tcPr>
          <w:p w14:paraId="0E4313CE">
            <w:pPr>
              <w:pStyle w:val="11"/>
              <w:spacing w:line="289" w:lineRule="exact"/>
              <w:ind w:left="586"/>
              <w:rPr>
                <w:sz w:val="24"/>
              </w:rPr>
            </w:pPr>
            <w:r>
              <w:rPr>
                <w:sz w:val="24"/>
              </w:rPr>
              <w:t>项目</w:t>
            </w:r>
          </w:p>
        </w:tc>
        <w:tc>
          <w:tcPr>
            <w:tcW w:w="5375" w:type="dxa"/>
          </w:tcPr>
          <w:p w14:paraId="2B8350C2">
            <w:pPr>
              <w:pStyle w:val="11"/>
              <w:spacing w:line="289" w:lineRule="exact"/>
              <w:rPr>
                <w:sz w:val="24"/>
              </w:rPr>
            </w:pPr>
            <w:r>
              <w:rPr>
                <w:sz w:val="24"/>
              </w:rPr>
              <w:t>指 标</w:t>
            </w:r>
          </w:p>
        </w:tc>
      </w:tr>
      <w:tr w14:paraId="1495BBA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1" w:hRule="atLeast"/>
        </w:trPr>
        <w:tc>
          <w:tcPr>
            <w:tcW w:w="4372" w:type="dxa"/>
          </w:tcPr>
          <w:p w14:paraId="6BF9957C">
            <w:pPr>
              <w:pStyle w:val="11"/>
              <w:spacing w:line="290" w:lineRule="exact"/>
              <w:ind w:left="586"/>
              <w:rPr>
                <w:sz w:val="24"/>
              </w:rPr>
            </w:pPr>
            <w:r>
              <w:rPr>
                <w:sz w:val="24"/>
              </w:rPr>
              <w:t>阴道粘膜刺激试验</w:t>
            </w:r>
          </w:p>
        </w:tc>
        <w:tc>
          <w:tcPr>
            <w:tcW w:w="5375" w:type="dxa"/>
          </w:tcPr>
          <w:p w14:paraId="2CD587C0">
            <w:pPr>
              <w:pStyle w:val="11"/>
              <w:spacing w:line="290" w:lineRule="exact"/>
              <w:rPr>
                <w:sz w:val="24"/>
              </w:rPr>
            </w:pPr>
            <w:r>
              <w:rPr>
                <w:sz w:val="24"/>
              </w:rPr>
              <w:t>无刺激性或轻度刺激性</w:t>
            </w:r>
          </w:p>
        </w:tc>
      </w:tr>
      <w:tr w14:paraId="4CB7F0A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2" w:hRule="atLeast"/>
        </w:trPr>
        <w:tc>
          <w:tcPr>
            <w:tcW w:w="4372" w:type="dxa"/>
          </w:tcPr>
          <w:p w14:paraId="622AF455">
            <w:pPr>
              <w:pStyle w:val="11"/>
              <w:spacing w:line="290" w:lineRule="exact"/>
              <w:ind w:left="586"/>
              <w:rPr>
                <w:sz w:val="24"/>
              </w:rPr>
            </w:pPr>
            <w:r>
              <w:rPr>
                <w:sz w:val="24"/>
              </w:rPr>
              <w:t>多阴道粘膜刺激试验</w:t>
            </w:r>
          </w:p>
        </w:tc>
        <w:tc>
          <w:tcPr>
            <w:tcW w:w="5375" w:type="dxa"/>
          </w:tcPr>
          <w:p w14:paraId="3F7CCEE9">
            <w:pPr>
              <w:pStyle w:val="11"/>
              <w:spacing w:line="290" w:lineRule="exact"/>
              <w:rPr>
                <w:sz w:val="24"/>
              </w:rPr>
            </w:pPr>
            <w:r>
              <w:rPr>
                <w:sz w:val="24"/>
              </w:rPr>
              <w:t>大白鼠无刺激或轻刺激</w:t>
            </w:r>
          </w:p>
        </w:tc>
      </w:tr>
    </w:tbl>
    <w:p w14:paraId="6061C5F5">
      <w:pPr>
        <w:pStyle w:val="10"/>
        <w:numPr>
          <w:ilvl w:val="2"/>
          <w:numId w:val="3"/>
        </w:numPr>
        <w:tabs>
          <w:tab w:val="left" w:pos="933"/>
        </w:tabs>
        <w:spacing w:before="64" w:after="0" w:line="240" w:lineRule="auto"/>
        <w:ind w:left="932" w:right="0" w:hanging="721"/>
        <w:jc w:val="left"/>
        <w:rPr>
          <w:sz w:val="24"/>
        </w:rPr>
      </w:pPr>
      <w:r>
        <w:rPr>
          <w:sz w:val="24"/>
        </w:rPr>
        <w:t>皮肤刺激试验(多次)：应无刺激。</w:t>
      </w:r>
    </w:p>
    <w:p w14:paraId="3E77F29B">
      <w:pPr>
        <w:pStyle w:val="10"/>
        <w:numPr>
          <w:ilvl w:val="2"/>
          <w:numId w:val="3"/>
        </w:numPr>
        <w:tabs>
          <w:tab w:val="left" w:pos="933"/>
        </w:tabs>
        <w:spacing w:before="74" w:after="0" w:line="240" w:lineRule="auto"/>
        <w:ind w:left="932" w:right="0" w:hanging="721"/>
        <w:jc w:val="left"/>
        <w:rPr>
          <w:sz w:val="24"/>
        </w:rPr>
      </w:pPr>
      <w:r>
        <w:rPr>
          <w:sz w:val="24"/>
        </w:rPr>
        <w:t>阴道粘膜刺激试验：无刺激性或轻刺激性。</w:t>
      </w:r>
    </w:p>
    <w:p w14:paraId="3AFAA571">
      <w:pPr>
        <w:pStyle w:val="5"/>
        <w:rPr>
          <w:sz w:val="20"/>
        </w:rPr>
      </w:pPr>
    </w:p>
    <w:p w14:paraId="4C85DE7F">
      <w:pPr>
        <w:pStyle w:val="4"/>
        <w:numPr>
          <w:ilvl w:val="0"/>
          <w:numId w:val="3"/>
        </w:numPr>
        <w:tabs>
          <w:tab w:val="left" w:pos="456"/>
        </w:tabs>
        <w:spacing w:before="195" w:after="0" w:line="240" w:lineRule="auto"/>
        <w:ind w:left="455" w:right="0" w:hanging="244"/>
        <w:jc w:val="left"/>
      </w:pPr>
      <w:r>
        <w:t>安全性指标</w:t>
      </w:r>
    </w:p>
    <w:p w14:paraId="13F1CC0C">
      <w:pPr>
        <w:pStyle w:val="5"/>
        <w:spacing w:before="74"/>
        <w:ind w:left="212"/>
      </w:pPr>
      <w:r>
        <w:t>安全性指标应符合表6的规定。</w:t>
      </w:r>
    </w:p>
    <w:p w14:paraId="67B8B4FA">
      <w:pPr>
        <w:pStyle w:val="4"/>
        <w:spacing w:before="71"/>
        <w:ind w:left="4852" w:firstLine="0"/>
      </w:pPr>
      <w:r>
        <w:t>表6</w:t>
      </w:r>
    </w:p>
    <w:p w14:paraId="697A85F2">
      <w:pPr>
        <w:pStyle w:val="5"/>
        <w:rPr>
          <w:b/>
          <w:sz w:val="25"/>
        </w:rPr>
      </w:pPr>
    </w:p>
    <w:tbl>
      <w:tblPr>
        <w:tblStyle w:val="7"/>
        <w:tblW w:w="0" w:type="auto"/>
        <w:tblInd w:w="111"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941"/>
        <w:gridCol w:w="2820"/>
        <w:gridCol w:w="3986"/>
      </w:tblGrid>
      <w:tr w14:paraId="4D4CFAE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2" w:hRule="atLeast"/>
        </w:trPr>
        <w:tc>
          <w:tcPr>
            <w:tcW w:w="2941" w:type="dxa"/>
          </w:tcPr>
          <w:p w14:paraId="767FB408">
            <w:pPr>
              <w:pStyle w:val="11"/>
              <w:spacing w:before="3"/>
              <w:ind w:left="586"/>
              <w:rPr>
                <w:sz w:val="24"/>
              </w:rPr>
            </w:pPr>
            <w:r>
              <w:rPr>
                <w:sz w:val="24"/>
              </w:rPr>
              <w:t>项目</w:t>
            </w:r>
          </w:p>
        </w:tc>
        <w:tc>
          <w:tcPr>
            <w:tcW w:w="2820" w:type="dxa"/>
          </w:tcPr>
          <w:p w14:paraId="20A2E40D">
            <w:pPr>
              <w:pStyle w:val="11"/>
              <w:spacing w:before="3"/>
              <w:rPr>
                <w:sz w:val="24"/>
              </w:rPr>
            </w:pPr>
            <w:r>
              <w:rPr>
                <w:sz w:val="24"/>
              </w:rPr>
              <w:t>动物试验</w:t>
            </w:r>
          </w:p>
        </w:tc>
        <w:tc>
          <w:tcPr>
            <w:tcW w:w="3986" w:type="dxa"/>
          </w:tcPr>
          <w:p w14:paraId="62B5D93B">
            <w:pPr>
              <w:pStyle w:val="11"/>
              <w:spacing w:before="3"/>
              <w:rPr>
                <w:sz w:val="24"/>
              </w:rPr>
            </w:pPr>
            <w:r>
              <w:rPr>
                <w:sz w:val="24"/>
              </w:rPr>
              <w:t>指 标</w:t>
            </w:r>
          </w:p>
        </w:tc>
      </w:tr>
      <w:tr w14:paraId="209E21B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1" w:hRule="atLeast"/>
        </w:trPr>
        <w:tc>
          <w:tcPr>
            <w:tcW w:w="2941" w:type="dxa"/>
          </w:tcPr>
          <w:p w14:paraId="5B455866">
            <w:pPr>
              <w:pStyle w:val="11"/>
              <w:spacing w:before="3" w:line="289" w:lineRule="exact"/>
              <w:ind w:left="586"/>
              <w:rPr>
                <w:sz w:val="24"/>
              </w:rPr>
            </w:pPr>
            <w:r>
              <w:rPr>
                <w:sz w:val="24"/>
              </w:rPr>
              <w:t>皮肤刺激试验</w:t>
            </w:r>
          </w:p>
        </w:tc>
        <w:tc>
          <w:tcPr>
            <w:tcW w:w="2820" w:type="dxa"/>
            <w:vMerge w:val="restart"/>
          </w:tcPr>
          <w:p w14:paraId="434E8500">
            <w:pPr>
              <w:pStyle w:val="11"/>
              <w:spacing w:before="7" w:line="240" w:lineRule="auto"/>
              <w:ind w:left="0"/>
              <w:rPr>
                <w:b/>
                <w:sz w:val="24"/>
              </w:rPr>
            </w:pPr>
          </w:p>
          <w:p w14:paraId="614FF658">
            <w:pPr>
              <w:pStyle w:val="11"/>
              <w:spacing w:before="0" w:line="240" w:lineRule="auto"/>
              <w:rPr>
                <w:sz w:val="24"/>
              </w:rPr>
            </w:pPr>
            <w:r>
              <w:rPr>
                <w:sz w:val="24"/>
              </w:rPr>
              <w:t>家兔</w:t>
            </w:r>
          </w:p>
        </w:tc>
        <w:tc>
          <w:tcPr>
            <w:tcW w:w="3986" w:type="dxa"/>
          </w:tcPr>
          <w:p w14:paraId="0930CDDF">
            <w:pPr>
              <w:pStyle w:val="11"/>
              <w:spacing w:before="3" w:line="289" w:lineRule="exact"/>
              <w:rPr>
                <w:sz w:val="24"/>
              </w:rPr>
            </w:pPr>
            <w:r>
              <w:rPr>
                <w:sz w:val="24"/>
              </w:rPr>
              <w:t>无刺激性</w:t>
            </w:r>
          </w:p>
        </w:tc>
      </w:tr>
      <w:tr w14:paraId="471E619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2" w:hRule="atLeast"/>
        </w:trPr>
        <w:tc>
          <w:tcPr>
            <w:tcW w:w="2941" w:type="dxa"/>
          </w:tcPr>
          <w:p w14:paraId="02F13BC1">
            <w:pPr>
              <w:pStyle w:val="11"/>
              <w:spacing w:line="289" w:lineRule="exact"/>
              <w:ind w:left="586"/>
              <w:rPr>
                <w:sz w:val="24"/>
              </w:rPr>
            </w:pPr>
            <w:r>
              <w:rPr>
                <w:sz w:val="24"/>
              </w:rPr>
              <w:t>急性眼刺激试验</w:t>
            </w:r>
          </w:p>
        </w:tc>
        <w:tc>
          <w:tcPr>
            <w:tcW w:w="2820" w:type="dxa"/>
            <w:vMerge w:val="continue"/>
            <w:tcBorders>
              <w:top w:val="nil"/>
            </w:tcBorders>
          </w:tcPr>
          <w:p w14:paraId="03059895">
            <w:pPr>
              <w:rPr>
                <w:sz w:val="2"/>
                <w:szCs w:val="2"/>
              </w:rPr>
            </w:pPr>
          </w:p>
        </w:tc>
        <w:tc>
          <w:tcPr>
            <w:tcW w:w="3986" w:type="dxa"/>
          </w:tcPr>
          <w:p w14:paraId="4B76A19E">
            <w:pPr>
              <w:pStyle w:val="11"/>
              <w:spacing w:line="289" w:lineRule="exact"/>
              <w:rPr>
                <w:sz w:val="24"/>
              </w:rPr>
            </w:pPr>
            <w:r>
              <w:rPr>
                <w:sz w:val="24"/>
              </w:rPr>
              <w:t>无刺激性</w:t>
            </w:r>
          </w:p>
        </w:tc>
      </w:tr>
      <w:tr w14:paraId="067B925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2" w:hRule="atLeast"/>
        </w:trPr>
        <w:tc>
          <w:tcPr>
            <w:tcW w:w="2941" w:type="dxa"/>
          </w:tcPr>
          <w:p w14:paraId="4AB52AD3">
            <w:pPr>
              <w:pStyle w:val="11"/>
              <w:spacing w:line="290" w:lineRule="exact"/>
              <w:ind w:left="586"/>
              <w:rPr>
                <w:sz w:val="24"/>
              </w:rPr>
            </w:pPr>
            <w:r>
              <w:rPr>
                <w:sz w:val="24"/>
              </w:rPr>
              <w:t>阴道粘膜刺激试验</w:t>
            </w:r>
          </w:p>
        </w:tc>
        <w:tc>
          <w:tcPr>
            <w:tcW w:w="2820" w:type="dxa"/>
            <w:vMerge w:val="continue"/>
            <w:tcBorders>
              <w:top w:val="nil"/>
            </w:tcBorders>
          </w:tcPr>
          <w:p w14:paraId="769AE686">
            <w:pPr>
              <w:rPr>
                <w:sz w:val="2"/>
                <w:szCs w:val="2"/>
              </w:rPr>
            </w:pPr>
          </w:p>
        </w:tc>
        <w:tc>
          <w:tcPr>
            <w:tcW w:w="3986" w:type="dxa"/>
          </w:tcPr>
          <w:p w14:paraId="775F8227">
            <w:pPr>
              <w:pStyle w:val="11"/>
              <w:spacing w:line="290" w:lineRule="exact"/>
              <w:rPr>
                <w:sz w:val="24"/>
              </w:rPr>
            </w:pPr>
            <w:r>
              <w:rPr>
                <w:sz w:val="24"/>
              </w:rPr>
              <w:t>无刺激性</w:t>
            </w:r>
          </w:p>
        </w:tc>
      </w:tr>
    </w:tbl>
    <w:p w14:paraId="771E9BD1">
      <w:pPr>
        <w:pStyle w:val="5"/>
        <w:spacing w:before="8"/>
        <w:rPr>
          <w:b/>
          <w:sz w:val="29"/>
        </w:rPr>
      </w:pPr>
    </w:p>
    <w:p w14:paraId="78D83223">
      <w:pPr>
        <w:pStyle w:val="10"/>
        <w:numPr>
          <w:ilvl w:val="0"/>
          <w:numId w:val="3"/>
        </w:numPr>
        <w:tabs>
          <w:tab w:val="left" w:pos="456"/>
        </w:tabs>
        <w:spacing w:before="66" w:after="0" w:line="240" w:lineRule="auto"/>
        <w:ind w:left="455" w:right="0" w:hanging="244"/>
        <w:jc w:val="left"/>
        <w:rPr>
          <w:b/>
          <w:sz w:val="24"/>
        </w:rPr>
      </w:pPr>
      <w:bookmarkStart w:id="5" w:name="_TOC_250004"/>
      <w:bookmarkEnd w:id="5"/>
      <w:r>
        <w:rPr>
          <w:b/>
          <w:sz w:val="24"/>
        </w:rPr>
        <w:t>生产加工过程的卫生要求</w:t>
      </w:r>
    </w:p>
    <w:p w14:paraId="11BD238D">
      <w:pPr>
        <w:pStyle w:val="5"/>
        <w:spacing w:before="72"/>
        <w:ind w:left="212"/>
      </w:pPr>
      <w:r>
        <w:t>应符合《消毒产品生产企业卫生规范》的规定。</w:t>
      </w:r>
    </w:p>
    <w:p w14:paraId="48BAD85B">
      <w:pPr>
        <w:pStyle w:val="5"/>
        <w:spacing w:before="5"/>
        <w:rPr>
          <w:sz w:val="35"/>
        </w:rPr>
      </w:pPr>
    </w:p>
    <w:p w14:paraId="48B8BAE8">
      <w:pPr>
        <w:pStyle w:val="4"/>
        <w:numPr>
          <w:ilvl w:val="0"/>
          <w:numId w:val="3"/>
        </w:numPr>
        <w:tabs>
          <w:tab w:val="left" w:pos="456"/>
        </w:tabs>
        <w:spacing w:before="0" w:after="0" w:line="240" w:lineRule="auto"/>
        <w:ind w:left="455" w:right="0" w:hanging="244"/>
        <w:jc w:val="left"/>
      </w:pPr>
      <w:bookmarkStart w:id="6" w:name="_TOC_250003"/>
      <w:bookmarkEnd w:id="6"/>
      <w:r>
        <w:t>试验方法</w:t>
      </w:r>
    </w:p>
    <w:p w14:paraId="4270F02E">
      <w:pPr>
        <w:spacing w:after="0" w:line="240" w:lineRule="auto"/>
        <w:jc w:val="left"/>
        <w:sectPr>
          <w:headerReference r:id="rId10" w:type="default"/>
          <w:footerReference r:id="rId11" w:type="default"/>
          <w:pgSz w:w="11910" w:h="16840"/>
          <w:pgMar w:top="1360" w:right="0" w:bottom="1160" w:left="920" w:header="888" w:footer="975" w:gutter="0"/>
          <w:cols w:space="720" w:num="1"/>
        </w:sectPr>
      </w:pPr>
    </w:p>
    <w:p w14:paraId="5F074A44">
      <w:pPr>
        <w:pStyle w:val="10"/>
        <w:numPr>
          <w:ilvl w:val="1"/>
          <w:numId w:val="3"/>
        </w:numPr>
        <w:tabs>
          <w:tab w:val="left" w:pos="693"/>
        </w:tabs>
        <w:spacing w:before="141" w:after="0" w:line="240" w:lineRule="auto"/>
        <w:ind w:left="692" w:right="0" w:hanging="481"/>
        <w:jc w:val="left"/>
        <w:rPr>
          <w:sz w:val="24"/>
        </w:rPr>
      </w:pPr>
      <w:r>
        <w:pict>
          <v:shape id="_x0000_s1033" o:spid="_x0000_s1033" o:spt="136" type="#_x0000_t136" style="position:absolute;left:0pt;margin-left:-73.5pt;margin-top:371.5pt;height:70pt;width:701.15pt;mso-position-horizontal-relative:page;mso-position-vertical-relative:page;rotation:20054016f;z-index:-251645952;mso-width-relative:page;mso-height-relative:page;" fillcolor="#BFBFBF" filled="t" stroked="f" coordsize="21600,21600">
            <v:path/>
            <v:fill on="t" focussize="0,0"/>
            <v:stroke on="f"/>
            <v:imagedata o:title=""/>
            <o:lock v:ext="edit"/>
            <v:textpath on="t" fitpath="t" trim="t" xscale="f" string="全国团体标准信息平台" style="font-family:仿宋;font-size:70pt;v-text-align:center;"/>
          </v:shape>
        </w:pict>
      </w:r>
      <w:r>
        <w:rPr>
          <w:sz w:val="24"/>
        </w:rPr>
        <w:t>感官要求</w:t>
      </w:r>
    </w:p>
    <w:p w14:paraId="7BBB2E16">
      <w:pPr>
        <w:pStyle w:val="5"/>
        <w:spacing w:before="71"/>
        <w:ind w:left="692"/>
      </w:pPr>
      <w:r>
        <w:t>打开产品封口，将产品推入洁净干燥的玻璃器皿中，目测其性状、色泽、观察有无杂质。</w:t>
      </w:r>
    </w:p>
    <w:p w14:paraId="137CB677">
      <w:pPr>
        <w:pStyle w:val="10"/>
        <w:numPr>
          <w:ilvl w:val="1"/>
          <w:numId w:val="3"/>
        </w:numPr>
        <w:tabs>
          <w:tab w:val="left" w:pos="693"/>
        </w:tabs>
        <w:spacing w:before="72" w:after="0" w:line="240" w:lineRule="auto"/>
        <w:ind w:left="692" w:right="0" w:hanging="481"/>
        <w:jc w:val="left"/>
        <w:rPr>
          <w:sz w:val="24"/>
        </w:rPr>
      </w:pPr>
      <w:r>
        <w:rPr>
          <w:sz w:val="24"/>
        </w:rPr>
        <w:t>醋酸氯己定含量主要原料含量</w:t>
      </w:r>
    </w:p>
    <w:p w14:paraId="6BE5F692">
      <w:pPr>
        <w:pStyle w:val="5"/>
        <w:spacing w:before="74" w:line="295" w:lineRule="auto"/>
        <w:ind w:left="212" w:right="3811" w:firstLine="480"/>
      </w:pPr>
      <w:r>
        <w:t>按《消毒技术规范》（2002年版）2.2.1.2.12规定进行检验。按《中华人民共和国药典》2015年版规定进行检验。</w:t>
      </w:r>
    </w:p>
    <w:p w14:paraId="0AE299DF">
      <w:pPr>
        <w:pStyle w:val="10"/>
        <w:numPr>
          <w:ilvl w:val="1"/>
          <w:numId w:val="3"/>
        </w:numPr>
        <w:tabs>
          <w:tab w:val="left" w:pos="693"/>
        </w:tabs>
        <w:spacing w:before="2" w:after="0" w:line="240" w:lineRule="auto"/>
        <w:ind w:left="692" w:right="0" w:hanging="481"/>
        <w:jc w:val="left"/>
        <w:rPr>
          <w:sz w:val="24"/>
        </w:rPr>
      </w:pPr>
      <w:r>
        <w:rPr>
          <w:sz w:val="24"/>
        </w:rPr>
        <w:t>pH值</w:t>
      </w:r>
    </w:p>
    <w:p w14:paraId="5C81386D">
      <w:pPr>
        <w:pStyle w:val="5"/>
        <w:spacing w:before="74"/>
        <w:ind w:left="692"/>
      </w:pPr>
      <w:r>
        <w:t>按《消毒技术规范》（2002年版）2.2.1.4规定进行检验。</w:t>
      </w:r>
    </w:p>
    <w:p w14:paraId="7B9C7A94">
      <w:pPr>
        <w:pStyle w:val="10"/>
        <w:numPr>
          <w:ilvl w:val="1"/>
          <w:numId w:val="3"/>
        </w:numPr>
        <w:tabs>
          <w:tab w:val="left" w:pos="693"/>
        </w:tabs>
        <w:spacing w:before="72" w:after="0" w:line="240" w:lineRule="auto"/>
        <w:ind w:left="692" w:right="0" w:hanging="481"/>
        <w:jc w:val="left"/>
        <w:rPr>
          <w:sz w:val="24"/>
        </w:rPr>
      </w:pPr>
      <w:r>
        <w:rPr>
          <w:sz w:val="24"/>
        </w:rPr>
        <w:t>砷、铅、汞</w:t>
      </w:r>
    </w:p>
    <w:p w14:paraId="09A25D98">
      <w:pPr>
        <w:pStyle w:val="5"/>
        <w:spacing w:before="72" w:line="297" w:lineRule="auto"/>
        <w:ind w:left="212" w:right="1132" w:firstLine="480"/>
      </w:pPr>
      <w:r>
        <w:t>按《化妆品安全技术规范》2015年版，第四章理化检验方法，1.4砷第一法；1.2汞第一法；1.3铅第二法规定进行检验。</w:t>
      </w:r>
    </w:p>
    <w:p w14:paraId="4D5B83D0">
      <w:pPr>
        <w:pStyle w:val="10"/>
        <w:numPr>
          <w:ilvl w:val="1"/>
          <w:numId w:val="3"/>
        </w:numPr>
        <w:tabs>
          <w:tab w:val="left" w:pos="693"/>
        </w:tabs>
        <w:spacing w:before="0" w:after="0" w:line="306" w:lineRule="exact"/>
        <w:ind w:left="692" w:right="0" w:hanging="481"/>
        <w:jc w:val="left"/>
        <w:rPr>
          <w:sz w:val="24"/>
        </w:rPr>
      </w:pPr>
      <w:r>
        <w:rPr>
          <w:sz w:val="24"/>
        </w:rPr>
        <w:t>抑菌指标</w:t>
      </w:r>
    </w:p>
    <w:p w14:paraId="43AD8D61">
      <w:pPr>
        <w:pStyle w:val="5"/>
        <w:spacing w:before="71"/>
        <w:ind w:left="692"/>
      </w:pPr>
      <w:r>
        <w:t>按《消毒技术规范》（2002年版）2.1.8.2规定进行检验。</w:t>
      </w:r>
    </w:p>
    <w:p w14:paraId="71C678E1">
      <w:pPr>
        <w:pStyle w:val="10"/>
        <w:numPr>
          <w:ilvl w:val="1"/>
          <w:numId w:val="3"/>
        </w:numPr>
        <w:tabs>
          <w:tab w:val="left" w:pos="693"/>
        </w:tabs>
        <w:spacing w:before="74" w:after="0" w:line="240" w:lineRule="auto"/>
        <w:ind w:left="692" w:right="0" w:hanging="481"/>
        <w:jc w:val="left"/>
        <w:rPr>
          <w:sz w:val="24"/>
        </w:rPr>
      </w:pPr>
      <w:r>
        <w:rPr>
          <w:sz w:val="24"/>
        </w:rPr>
        <w:t>微生物污染指标</w:t>
      </w:r>
    </w:p>
    <w:p w14:paraId="560F25B2">
      <w:pPr>
        <w:pStyle w:val="5"/>
        <w:spacing w:before="72"/>
        <w:ind w:left="212"/>
      </w:pPr>
      <w:r>
        <w:t>按 GB15979-2002附录B的规定进行检验。</w:t>
      </w:r>
    </w:p>
    <w:p w14:paraId="27F4978D">
      <w:pPr>
        <w:pStyle w:val="10"/>
        <w:numPr>
          <w:ilvl w:val="1"/>
          <w:numId w:val="3"/>
        </w:numPr>
        <w:tabs>
          <w:tab w:val="left" w:pos="693"/>
        </w:tabs>
        <w:spacing w:before="72" w:after="0" w:line="240" w:lineRule="auto"/>
        <w:ind w:left="692" w:right="0" w:hanging="481"/>
        <w:jc w:val="left"/>
        <w:rPr>
          <w:sz w:val="24"/>
        </w:rPr>
      </w:pPr>
      <w:r>
        <w:rPr>
          <w:sz w:val="24"/>
        </w:rPr>
        <w:t>安全性指标</w:t>
      </w:r>
    </w:p>
    <w:p w14:paraId="0C198684">
      <w:pPr>
        <w:pStyle w:val="5"/>
        <w:spacing w:before="74"/>
        <w:ind w:left="692"/>
      </w:pPr>
      <w:r>
        <w:t>按《消毒技术规范》（2002年版）2.3.5的规定进行检验。</w:t>
      </w:r>
    </w:p>
    <w:p w14:paraId="12105B38">
      <w:pPr>
        <w:pStyle w:val="10"/>
        <w:numPr>
          <w:ilvl w:val="1"/>
          <w:numId w:val="3"/>
        </w:numPr>
        <w:tabs>
          <w:tab w:val="left" w:pos="693"/>
        </w:tabs>
        <w:spacing w:before="72" w:after="0" w:line="240" w:lineRule="auto"/>
        <w:ind w:left="692" w:right="0" w:hanging="481"/>
        <w:jc w:val="left"/>
        <w:rPr>
          <w:sz w:val="24"/>
        </w:rPr>
      </w:pPr>
      <w:r>
        <w:rPr>
          <w:sz w:val="24"/>
        </w:rPr>
        <w:t>稳定性指标</w:t>
      </w:r>
    </w:p>
    <w:p w14:paraId="448D4A82">
      <w:pPr>
        <w:pStyle w:val="5"/>
        <w:spacing w:before="71"/>
        <w:ind w:left="692"/>
      </w:pPr>
      <w:r>
        <w:t>按《消毒技术规范》（2002年版）2.2.1.2.12、2.2.3规定进行检验。</w:t>
      </w:r>
    </w:p>
    <w:p w14:paraId="16A3EDC0">
      <w:pPr>
        <w:pStyle w:val="10"/>
        <w:numPr>
          <w:ilvl w:val="1"/>
          <w:numId w:val="3"/>
        </w:numPr>
        <w:tabs>
          <w:tab w:val="left" w:pos="693"/>
        </w:tabs>
        <w:spacing w:before="74" w:after="0" w:line="240" w:lineRule="auto"/>
        <w:ind w:left="692" w:right="0" w:hanging="481"/>
        <w:jc w:val="left"/>
        <w:rPr>
          <w:sz w:val="24"/>
        </w:rPr>
      </w:pPr>
      <w:r>
        <w:rPr>
          <w:sz w:val="24"/>
        </w:rPr>
        <w:t>净含量</w:t>
      </w:r>
    </w:p>
    <w:p w14:paraId="65690C95">
      <w:pPr>
        <w:pStyle w:val="5"/>
        <w:spacing w:before="72"/>
        <w:ind w:left="692"/>
      </w:pPr>
      <w:r>
        <w:t>按JJF1070-2005的规定进行检验。</w:t>
      </w:r>
    </w:p>
    <w:p w14:paraId="5D20F98C">
      <w:pPr>
        <w:pStyle w:val="5"/>
        <w:spacing w:before="5"/>
        <w:rPr>
          <w:sz w:val="35"/>
        </w:rPr>
      </w:pPr>
    </w:p>
    <w:p w14:paraId="4AD1C7FA">
      <w:pPr>
        <w:pStyle w:val="4"/>
        <w:numPr>
          <w:ilvl w:val="0"/>
          <w:numId w:val="3"/>
        </w:numPr>
        <w:tabs>
          <w:tab w:val="left" w:pos="456"/>
        </w:tabs>
        <w:spacing w:before="0" w:after="0" w:line="240" w:lineRule="auto"/>
        <w:ind w:left="455" w:right="0" w:hanging="244"/>
        <w:jc w:val="left"/>
      </w:pPr>
      <w:bookmarkStart w:id="7" w:name="_TOC_250002"/>
      <w:bookmarkEnd w:id="7"/>
      <w:r>
        <w:t>原材料卫生要求</w:t>
      </w:r>
    </w:p>
    <w:p w14:paraId="459A5083">
      <w:pPr>
        <w:pStyle w:val="10"/>
        <w:numPr>
          <w:ilvl w:val="1"/>
          <w:numId w:val="3"/>
        </w:numPr>
        <w:tabs>
          <w:tab w:val="left" w:pos="693"/>
        </w:tabs>
        <w:spacing w:before="72" w:after="0" w:line="297" w:lineRule="auto"/>
        <w:ind w:left="212" w:right="1012" w:firstLine="0"/>
        <w:jc w:val="left"/>
        <w:rPr>
          <w:sz w:val="24"/>
        </w:rPr>
      </w:pPr>
      <w:r>
        <w:rPr>
          <w:spacing w:val="-9"/>
          <w:sz w:val="24"/>
        </w:rPr>
        <w:t>原材料应无毒、无害、无污染；原材料包装应清洁，清楚标明内含物的名称、生产单位、</w:t>
      </w:r>
      <w:r>
        <w:rPr>
          <w:sz w:val="24"/>
        </w:rPr>
        <w:t>生产日期或生产批号；影响卫生质量的原材料应不裸露；有特殊要求的原材料应标明保存条件和保质期。</w:t>
      </w:r>
    </w:p>
    <w:p w14:paraId="1FE916EC">
      <w:pPr>
        <w:pStyle w:val="10"/>
        <w:numPr>
          <w:ilvl w:val="1"/>
          <w:numId w:val="3"/>
        </w:numPr>
        <w:tabs>
          <w:tab w:val="left" w:pos="696"/>
        </w:tabs>
        <w:spacing w:before="0" w:after="0" w:line="295" w:lineRule="auto"/>
        <w:ind w:left="212" w:right="1132" w:firstLine="0"/>
        <w:jc w:val="left"/>
        <w:rPr>
          <w:sz w:val="24"/>
        </w:rPr>
      </w:pPr>
      <w:r>
        <w:rPr>
          <w:spacing w:val="-1"/>
          <w:sz w:val="24"/>
        </w:rPr>
        <w:t>对影响产品卫生质量的原材料应有相应检验报告或证明材料，必要时需进行微生物监控</w:t>
      </w:r>
      <w:r>
        <w:rPr>
          <w:sz w:val="24"/>
        </w:rPr>
        <w:t>和采取相应措施。</w:t>
      </w:r>
    </w:p>
    <w:p w14:paraId="61A3E08F">
      <w:pPr>
        <w:pStyle w:val="10"/>
        <w:numPr>
          <w:ilvl w:val="1"/>
          <w:numId w:val="3"/>
        </w:numPr>
        <w:tabs>
          <w:tab w:val="left" w:pos="693"/>
        </w:tabs>
        <w:spacing w:before="0" w:after="0" w:line="240" w:lineRule="auto"/>
        <w:ind w:left="692" w:right="0" w:hanging="481"/>
        <w:jc w:val="left"/>
        <w:rPr>
          <w:sz w:val="24"/>
        </w:rPr>
      </w:pPr>
      <w:r>
        <w:rPr>
          <w:sz w:val="24"/>
        </w:rPr>
        <w:t>禁止使用废弃的卫生用品作原材料或半成品。</w:t>
      </w:r>
    </w:p>
    <w:p w14:paraId="224BD905">
      <w:pPr>
        <w:pStyle w:val="5"/>
        <w:spacing w:before="2"/>
        <w:rPr>
          <w:sz w:val="35"/>
        </w:rPr>
      </w:pPr>
    </w:p>
    <w:p w14:paraId="6AE8B55E">
      <w:pPr>
        <w:pStyle w:val="4"/>
        <w:numPr>
          <w:ilvl w:val="0"/>
          <w:numId w:val="3"/>
        </w:numPr>
        <w:tabs>
          <w:tab w:val="left" w:pos="456"/>
        </w:tabs>
        <w:spacing w:before="1" w:after="0" w:line="240" w:lineRule="auto"/>
        <w:ind w:left="455" w:right="0" w:hanging="244"/>
        <w:jc w:val="both"/>
      </w:pPr>
      <w:bookmarkStart w:id="8" w:name="_TOC_250001"/>
      <w:bookmarkEnd w:id="8"/>
      <w:r>
        <w:t>生产环境与过程卫生要求</w:t>
      </w:r>
    </w:p>
    <w:p w14:paraId="1E65C614">
      <w:pPr>
        <w:pStyle w:val="10"/>
        <w:numPr>
          <w:ilvl w:val="1"/>
          <w:numId w:val="3"/>
        </w:numPr>
        <w:tabs>
          <w:tab w:val="left" w:pos="693"/>
        </w:tabs>
        <w:spacing w:before="74" w:after="0" w:line="240" w:lineRule="auto"/>
        <w:ind w:left="692" w:right="0" w:hanging="481"/>
        <w:jc w:val="both"/>
        <w:rPr>
          <w:sz w:val="24"/>
        </w:rPr>
      </w:pPr>
      <w:r>
        <w:rPr>
          <w:sz w:val="24"/>
        </w:rPr>
        <w:t>生产区周围环境应整洁，无垃圾，无蚊、蝇等害虫滋生地。</w:t>
      </w:r>
    </w:p>
    <w:p w14:paraId="631D496C">
      <w:pPr>
        <w:pStyle w:val="10"/>
        <w:numPr>
          <w:ilvl w:val="1"/>
          <w:numId w:val="3"/>
        </w:numPr>
        <w:tabs>
          <w:tab w:val="left" w:pos="696"/>
        </w:tabs>
        <w:spacing w:before="71" w:after="0" w:line="297" w:lineRule="auto"/>
        <w:ind w:left="212" w:right="1132" w:firstLine="0"/>
        <w:jc w:val="both"/>
        <w:rPr>
          <w:sz w:val="24"/>
        </w:rPr>
      </w:pPr>
      <w:r>
        <w:rPr>
          <w:spacing w:val="-1"/>
          <w:sz w:val="24"/>
        </w:rPr>
        <w:t>生产区应有足够空间满足生产需要，布局必须符合生产工艺要求，分隔合理，人、物分流，产品流程中无逆向与交叉。原料进入与成品出去应有防污染措施和严格的操作规程，减</w:t>
      </w:r>
      <w:r>
        <w:rPr>
          <w:sz w:val="24"/>
        </w:rPr>
        <w:t>少生产环境微生物污染</w:t>
      </w:r>
    </w:p>
    <w:p w14:paraId="214BF9EA">
      <w:pPr>
        <w:pStyle w:val="10"/>
        <w:numPr>
          <w:ilvl w:val="1"/>
          <w:numId w:val="3"/>
        </w:numPr>
        <w:tabs>
          <w:tab w:val="left" w:pos="696"/>
        </w:tabs>
        <w:spacing w:before="0" w:after="0" w:line="297" w:lineRule="auto"/>
        <w:ind w:left="212" w:right="1132" w:firstLine="0"/>
        <w:jc w:val="both"/>
        <w:rPr>
          <w:sz w:val="24"/>
        </w:rPr>
      </w:pPr>
      <w:r>
        <w:rPr>
          <w:spacing w:val="-1"/>
          <w:sz w:val="24"/>
        </w:rPr>
        <w:t>生产区内应配置有效的防尘、防虫、防鼠设施，地面、墙面、工作台面应平整、光滑、不起尘、便于除尘与清洗消毒，有充足的照明与空气消毒或净化措施，以保证生产环境满足</w:t>
      </w:r>
      <w:r>
        <w:rPr>
          <w:sz w:val="24"/>
        </w:rPr>
        <w:t>本标准的规定。</w:t>
      </w:r>
    </w:p>
    <w:p w14:paraId="07DBAC54">
      <w:pPr>
        <w:spacing w:after="0" w:line="297" w:lineRule="auto"/>
        <w:jc w:val="both"/>
        <w:rPr>
          <w:sz w:val="24"/>
        </w:rPr>
        <w:sectPr>
          <w:headerReference r:id="rId12" w:type="default"/>
          <w:footerReference r:id="rId13" w:type="default"/>
          <w:pgSz w:w="11910" w:h="16840"/>
          <w:pgMar w:top="1360" w:right="0" w:bottom="1160" w:left="920" w:header="888" w:footer="975" w:gutter="0"/>
          <w:pgNumType w:start="14"/>
          <w:cols w:space="720" w:num="1"/>
        </w:sectPr>
      </w:pPr>
    </w:p>
    <w:p w14:paraId="60306288">
      <w:pPr>
        <w:pStyle w:val="10"/>
        <w:numPr>
          <w:ilvl w:val="1"/>
          <w:numId w:val="3"/>
        </w:numPr>
        <w:tabs>
          <w:tab w:val="left" w:pos="693"/>
        </w:tabs>
        <w:spacing w:before="141" w:after="0" w:line="240" w:lineRule="auto"/>
        <w:ind w:left="692" w:right="0" w:hanging="481"/>
        <w:jc w:val="both"/>
        <w:rPr>
          <w:sz w:val="24"/>
        </w:rPr>
      </w:pPr>
      <w:r>
        <w:pict>
          <v:shape id="_x0000_s1034" o:spid="_x0000_s1034" o:spt="136" type="#_x0000_t136" style="position:absolute;left:0pt;margin-left:-73.5pt;margin-top:371.5pt;height:70pt;width:701.15pt;mso-position-horizontal-relative:page;mso-position-vertical-relative:page;rotation:20054016f;z-index:-251644928;mso-width-relative:page;mso-height-relative:page;" fillcolor="#BFBFBF" filled="t" stroked="f" coordsize="21600,21600">
            <v:path/>
            <v:fill on="t" focussize="0,0"/>
            <v:stroke on="f"/>
            <v:imagedata o:title=""/>
            <o:lock v:ext="edit"/>
            <v:textpath on="t" fitpath="t" trim="t" xscale="f" string="全国团体标准信息平台" style="font-family:仿宋;font-size:70pt;v-text-align:center;"/>
          </v:shape>
        </w:pict>
      </w:r>
      <w:r>
        <w:rPr>
          <w:sz w:val="24"/>
        </w:rPr>
        <w:t>配置必需的生产和质检设备，有完整的生产和质检记录，切实保证产品卫生质量。</w:t>
      </w:r>
    </w:p>
    <w:p w14:paraId="12600B43">
      <w:pPr>
        <w:pStyle w:val="10"/>
        <w:numPr>
          <w:ilvl w:val="1"/>
          <w:numId w:val="3"/>
        </w:numPr>
        <w:tabs>
          <w:tab w:val="left" w:pos="696"/>
        </w:tabs>
        <w:spacing w:before="71" w:after="0" w:line="295" w:lineRule="auto"/>
        <w:ind w:left="212" w:right="1132" w:firstLine="0"/>
        <w:jc w:val="both"/>
        <w:rPr>
          <w:sz w:val="24"/>
        </w:rPr>
      </w:pPr>
      <w:r>
        <w:rPr>
          <w:spacing w:val="-1"/>
          <w:sz w:val="24"/>
        </w:rPr>
        <w:t>生产过程中使用易燃、易爆物品或产生有害物质的，必须具备相应安全防护措施，符合</w:t>
      </w:r>
      <w:r>
        <w:rPr>
          <w:sz w:val="24"/>
        </w:rPr>
        <w:t>国家有关标准或规定。</w:t>
      </w:r>
    </w:p>
    <w:p w14:paraId="7E689B23">
      <w:pPr>
        <w:pStyle w:val="10"/>
        <w:numPr>
          <w:ilvl w:val="1"/>
          <w:numId w:val="3"/>
        </w:numPr>
        <w:tabs>
          <w:tab w:val="left" w:pos="696"/>
        </w:tabs>
        <w:spacing w:before="5" w:after="0" w:line="295" w:lineRule="auto"/>
        <w:ind w:left="212" w:right="1132" w:firstLine="0"/>
        <w:jc w:val="both"/>
        <w:rPr>
          <w:sz w:val="24"/>
        </w:rPr>
      </w:pPr>
      <w:r>
        <w:rPr>
          <w:spacing w:val="-1"/>
          <w:sz w:val="24"/>
        </w:rPr>
        <w:t>原材料和成品应分开堆放，待检、合格、不合格原材料和成品应严格分开堆放并设明显</w:t>
      </w:r>
      <w:r>
        <w:rPr>
          <w:sz w:val="24"/>
        </w:rPr>
        <w:t>标志。仓库内应干燥、清洁、通风，设防虫、防鼠设施与垫仓板，符合产品保存条件。</w:t>
      </w:r>
    </w:p>
    <w:p w14:paraId="213DD813">
      <w:pPr>
        <w:pStyle w:val="10"/>
        <w:numPr>
          <w:ilvl w:val="1"/>
          <w:numId w:val="3"/>
        </w:numPr>
        <w:tabs>
          <w:tab w:val="left" w:pos="696"/>
        </w:tabs>
        <w:spacing w:before="2" w:after="0" w:line="297" w:lineRule="auto"/>
        <w:ind w:left="212" w:right="1132" w:firstLine="0"/>
        <w:jc w:val="both"/>
        <w:rPr>
          <w:sz w:val="24"/>
        </w:rPr>
      </w:pPr>
      <w:r>
        <w:rPr>
          <w:spacing w:val="-1"/>
          <w:sz w:val="24"/>
        </w:rPr>
        <w:t>进入生产区要换工作衣和工作鞋，戴工作帽，直接接触裸装产品的人员需戴口罩，清洗</w:t>
      </w:r>
      <w:r>
        <w:rPr>
          <w:sz w:val="24"/>
        </w:rPr>
        <w:t>和消毒双手或戴手套；生产区前应相应设有更衣室、洗手池、消毒池与缓冲区。</w:t>
      </w:r>
    </w:p>
    <w:p w14:paraId="2AE2D1BA">
      <w:pPr>
        <w:pStyle w:val="10"/>
        <w:numPr>
          <w:ilvl w:val="1"/>
          <w:numId w:val="3"/>
        </w:numPr>
        <w:tabs>
          <w:tab w:val="left" w:pos="696"/>
        </w:tabs>
        <w:spacing w:before="0" w:after="0" w:line="297" w:lineRule="auto"/>
        <w:ind w:left="212" w:right="1130" w:firstLine="0"/>
        <w:jc w:val="both"/>
        <w:rPr>
          <w:sz w:val="24"/>
        </w:rPr>
      </w:pPr>
      <w:r>
        <w:rPr>
          <w:spacing w:val="-1"/>
          <w:sz w:val="24"/>
        </w:rPr>
        <w:t>从事保健用品生产的人员应保持个人卫生，不得留指甲，工作时不得戴手饰，长发应卷</w:t>
      </w:r>
      <w:r>
        <w:rPr>
          <w:sz w:val="24"/>
        </w:rPr>
        <w:t>在工作帽内。痢疾、伤寒、病毒性肝炎、活动性肺结核、尖锐湿疣、淋病及化脓性或渗出性皮肤病患者或病原携带者不得参与直接与产品接触的生产活动。</w:t>
      </w:r>
    </w:p>
    <w:p w14:paraId="7CB8B6E4">
      <w:pPr>
        <w:pStyle w:val="10"/>
        <w:numPr>
          <w:ilvl w:val="1"/>
          <w:numId w:val="3"/>
        </w:numPr>
        <w:tabs>
          <w:tab w:val="left" w:pos="698"/>
        </w:tabs>
        <w:spacing w:before="0" w:after="0" w:line="295" w:lineRule="auto"/>
        <w:ind w:left="212" w:right="1132" w:firstLine="0"/>
        <w:jc w:val="both"/>
        <w:rPr>
          <w:sz w:val="24"/>
        </w:rPr>
      </w:pPr>
      <w:r>
        <w:rPr>
          <w:sz w:val="24"/>
        </w:rPr>
        <w:t>从事保健用品生产的人员应在上岗前及定期(每年一次)进行健康检查与卫生知识(包括生产卫生、个人卫生、有关标准与规范)培训，合格者方可上岗。</w:t>
      </w:r>
    </w:p>
    <w:p w14:paraId="33E3918B">
      <w:pPr>
        <w:pStyle w:val="5"/>
        <w:spacing w:before="6"/>
        <w:rPr>
          <w:sz w:val="29"/>
        </w:rPr>
      </w:pPr>
    </w:p>
    <w:p w14:paraId="1CCED36D">
      <w:pPr>
        <w:pStyle w:val="4"/>
        <w:numPr>
          <w:ilvl w:val="0"/>
          <w:numId w:val="3"/>
        </w:numPr>
        <w:tabs>
          <w:tab w:val="left" w:pos="576"/>
        </w:tabs>
        <w:spacing w:before="0" w:after="0" w:line="240" w:lineRule="auto"/>
        <w:ind w:left="575" w:right="0" w:hanging="364"/>
        <w:jc w:val="left"/>
      </w:pPr>
      <w:bookmarkStart w:id="9" w:name="_TOC_250000"/>
      <w:bookmarkEnd w:id="9"/>
      <w:r>
        <w:t>消毒过程要求</w:t>
      </w:r>
    </w:p>
    <w:p w14:paraId="5B0429E4">
      <w:pPr>
        <w:pStyle w:val="10"/>
        <w:numPr>
          <w:ilvl w:val="1"/>
          <w:numId w:val="3"/>
        </w:numPr>
        <w:tabs>
          <w:tab w:val="left" w:pos="813"/>
        </w:tabs>
        <w:spacing w:before="72" w:after="0" w:line="297" w:lineRule="auto"/>
        <w:ind w:left="212" w:right="1132" w:firstLine="0"/>
        <w:jc w:val="left"/>
        <w:rPr>
          <w:sz w:val="24"/>
        </w:rPr>
      </w:pPr>
      <w:r>
        <w:rPr>
          <w:spacing w:val="-6"/>
          <w:sz w:val="24"/>
        </w:rPr>
        <w:t>消毒级产品最终消毒必须采用环氧乙烷、电离辐射或压力蒸汽等有效消毒方法。所用消</w:t>
      </w:r>
      <w:r>
        <w:rPr>
          <w:sz w:val="24"/>
        </w:rPr>
        <w:t>毒设备必须符合有关卫生标准。</w:t>
      </w:r>
    </w:p>
    <w:p w14:paraId="5AB4E0F2">
      <w:pPr>
        <w:pStyle w:val="10"/>
        <w:numPr>
          <w:ilvl w:val="1"/>
          <w:numId w:val="3"/>
        </w:numPr>
        <w:tabs>
          <w:tab w:val="left" w:pos="813"/>
        </w:tabs>
        <w:spacing w:before="0" w:after="0" w:line="297" w:lineRule="auto"/>
        <w:ind w:left="212" w:right="1012" w:firstLine="0"/>
        <w:jc w:val="left"/>
        <w:rPr>
          <w:sz w:val="24"/>
        </w:rPr>
      </w:pPr>
      <w:r>
        <w:rPr>
          <w:spacing w:val="-14"/>
          <w:sz w:val="24"/>
        </w:rPr>
        <w:t>根据产品卫生标准、初始污染菌与消毒效果生物监测评价标准制定消毒程序、技术参数、</w:t>
      </w:r>
      <w:r>
        <w:rPr>
          <w:sz w:val="24"/>
        </w:rPr>
        <w:t>工作制度，经验证后严格按照既定的消毒工艺操作。该消毒程序、技术参数或影响消毒效果的原材料或生产工艺发生变化后应重新验证确定消毒工艺。</w:t>
      </w:r>
    </w:p>
    <w:p w14:paraId="39B51A06">
      <w:pPr>
        <w:pStyle w:val="10"/>
        <w:numPr>
          <w:ilvl w:val="1"/>
          <w:numId w:val="3"/>
        </w:numPr>
        <w:tabs>
          <w:tab w:val="left" w:pos="813"/>
        </w:tabs>
        <w:spacing w:before="0" w:after="0" w:line="295" w:lineRule="auto"/>
        <w:ind w:left="212" w:right="1132" w:firstLine="0"/>
        <w:jc w:val="left"/>
        <w:rPr>
          <w:sz w:val="24"/>
        </w:rPr>
      </w:pPr>
      <w:r>
        <w:rPr>
          <w:spacing w:val="-4"/>
          <w:sz w:val="24"/>
        </w:rPr>
        <w:t>每次消毒过程必须进行相应的工艺(物理)和化学指示剂监测，每月用相应的生物指示剂</w:t>
      </w:r>
      <w:r>
        <w:rPr>
          <w:sz w:val="24"/>
        </w:rPr>
        <w:t>监测。</w:t>
      </w:r>
    </w:p>
    <w:p w14:paraId="25ED04E5">
      <w:pPr>
        <w:pStyle w:val="10"/>
        <w:numPr>
          <w:ilvl w:val="1"/>
          <w:numId w:val="3"/>
        </w:numPr>
        <w:tabs>
          <w:tab w:val="left" w:pos="813"/>
        </w:tabs>
        <w:spacing w:before="0" w:after="0" w:line="295" w:lineRule="auto"/>
        <w:ind w:left="212" w:right="1132" w:firstLine="0"/>
        <w:jc w:val="left"/>
        <w:rPr>
          <w:sz w:val="24"/>
        </w:rPr>
      </w:pPr>
      <w:r>
        <w:rPr>
          <w:spacing w:val="-6"/>
          <w:sz w:val="24"/>
        </w:rPr>
        <w:t>产品经消毒处理后生物监测达到规定要求时，被消毒物品才能出厂，外观与性能应与消</w:t>
      </w:r>
      <w:r>
        <w:rPr>
          <w:sz w:val="24"/>
        </w:rPr>
        <w:t>毒处理前无明显可见的差异。</w:t>
      </w:r>
    </w:p>
    <w:p w14:paraId="257C1D21">
      <w:pPr>
        <w:pStyle w:val="5"/>
        <w:spacing w:before="10"/>
        <w:rPr>
          <w:sz w:val="29"/>
        </w:rPr>
      </w:pPr>
    </w:p>
    <w:p w14:paraId="5DE6F5B1">
      <w:pPr>
        <w:pStyle w:val="4"/>
        <w:numPr>
          <w:ilvl w:val="0"/>
          <w:numId w:val="3"/>
        </w:numPr>
        <w:tabs>
          <w:tab w:val="left" w:pos="576"/>
        </w:tabs>
        <w:spacing w:before="0" w:after="0" w:line="240" w:lineRule="auto"/>
        <w:ind w:left="575" w:right="0" w:hanging="364"/>
        <w:jc w:val="left"/>
      </w:pPr>
      <w:r>
        <w:t>检验规则</w:t>
      </w:r>
    </w:p>
    <w:p w14:paraId="0145BBA0">
      <w:pPr>
        <w:pStyle w:val="10"/>
        <w:numPr>
          <w:ilvl w:val="1"/>
          <w:numId w:val="3"/>
        </w:numPr>
        <w:tabs>
          <w:tab w:val="left" w:pos="813"/>
        </w:tabs>
        <w:spacing w:before="72" w:after="0" w:line="240" w:lineRule="auto"/>
        <w:ind w:left="812" w:right="0" w:hanging="601"/>
        <w:jc w:val="left"/>
        <w:rPr>
          <w:sz w:val="24"/>
        </w:rPr>
      </w:pPr>
      <w:r>
        <w:rPr>
          <w:sz w:val="24"/>
        </w:rPr>
        <w:t>出厂检验</w:t>
      </w:r>
    </w:p>
    <w:p w14:paraId="01D4F20D">
      <w:pPr>
        <w:pStyle w:val="10"/>
        <w:numPr>
          <w:ilvl w:val="2"/>
          <w:numId w:val="3"/>
        </w:numPr>
        <w:tabs>
          <w:tab w:val="left" w:pos="1053"/>
        </w:tabs>
        <w:spacing w:before="72" w:after="0" w:line="240" w:lineRule="auto"/>
        <w:ind w:left="1052" w:right="0" w:hanging="841"/>
        <w:jc w:val="left"/>
        <w:rPr>
          <w:sz w:val="24"/>
        </w:rPr>
      </w:pPr>
      <w:r>
        <w:rPr>
          <w:sz w:val="24"/>
        </w:rPr>
        <w:t>产品应由本厂检验部门进行检验，合格后附合格证方可出厂。</w:t>
      </w:r>
    </w:p>
    <w:p w14:paraId="2EEBFB73">
      <w:pPr>
        <w:pStyle w:val="10"/>
        <w:numPr>
          <w:ilvl w:val="2"/>
          <w:numId w:val="3"/>
        </w:numPr>
        <w:tabs>
          <w:tab w:val="left" w:pos="1053"/>
        </w:tabs>
        <w:spacing w:before="74" w:after="0" w:line="240" w:lineRule="auto"/>
        <w:ind w:left="1052" w:right="0" w:hanging="841"/>
        <w:jc w:val="left"/>
        <w:rPr>
          <w:sz w:val="24"/>
        </w:rPr>
      </w:pPr>
      <w:r>
        <w:rPr>
          <w:sz w:val="24"/>
        </w:rPr>
        <w:t>出厂检验项目：感官、pH值、细菌菌落总数、净含量。</w:t>
      </w:r>
    </w:p>
    <w:p w14:paraId="2DB94477">
      <w:pPr>
        <w:pStyle w:val="10"/>
        <w:numPr>
          <w:ilvl w:val="1"/>
          <w:numId w:val="3"/>
        </w:numPr>
        <w:tabs>
          <w:tab w:val="left" w:pos="813"/>
        </w:tabs>
        <w:spacing w:before="71" w:after="0" w:line="240" w:lineRule="auto"/>
        <w:ind w:left="812" w:right="0" w:hanging="601"/>
        <w:jc w:val="left"/>
        <w:rPr>
          <w:sz w:val="24"/>
        </w:rPr>
      </w:pPr>
      <w:r>
        <w:rPr>
          <w:sz w:val="24"/>
        </w:rPr>
        <w:t>逐批检验</w:t>
      </w:r>
    </w:p>
    <w:p w14:paraId="618BF142">
      <w:pPr>
        <w:pStyle w:val="5"/>
        <w:spacing w:before="72"/>
        <w:ind w:left="692"/>
      </w:pPr>
      <w:r>
        <w:t>产品的逐批检验按GB/T 2828.1-2012的要求进行。</w:t>
      </w:r>
    </w:p>
    <w:p w14:paraId="5E68085D">
      <w:pPr>
        <w:pStyle w:val="10"/>
        <w:numPr>
          <w:ilvl w:val="1"/>
          <w:numId w:val="3"/>
        </w:numPr>
        <w:tabs>
          <w:tab w:val="left" w:pos="813"/>
        </w:tabs>
        <w:spacing w:before="74" w:after="0" w:line="240" w:lineRule="auto"/>
        <w:ind w:left="812" w:right="0" w:hanging="601"/>
        <w:jc w:val="left"/>
        <w:rPr>
          <w:sz w:val="24"/>
        </w:rPr>
      </w:pPr>
      <w:r>
        <w:rPr>
          <w:sz w:val="24"/>
        </w:rPr>
        <w:t>周期检验</w:t>
      </w:r>
    </w:p>
    <w:p w14:paraId="6616CEDF">
      <w:pPr>
        <w:pStyle w:val="10"/>
        <w:numPr>
          <w:ilvl w:val="2"/>
          <w:numId w:val="3"/>
        </w:numPr>
        <w:tabs>
          <w:tab w:val="left" w:pos="1053"/>
        </w:tabs>
        <w:spacing w:before="72" w:after="0" w:line="295" w:lineRule="auto"/>
        <w:ind w:left="692" w:right="5371" w:hanging="480"/>
        <w:jc w:val="left"/>
        <w:rPr>
          <w:sz w:val="24"/>
        </w:rPr>
      </w:pPr>
      <w:r>
        <w:rPr>
          <w:spacing w:val="-1"/>
          <w:sz w:val="24"/>
        </w:rPr>
        <w:t xml:space="preserve">在下列情况之一时，一般应进行周期检验： </w:t>
      </w:r>
      <w:r>
        <w:rPr>
          <w:sz w:val="24"/>
        </w:rPr>
        <w:t>a)新产品投产前或产品备案时；</w:t>
      </w:r>
    </w:p>
    <w:p w14:paraId="1DDF4744">
      <w:pPr>
        <w:pStyle w:val="5"/>
        <w:spacing w:before="4" w:line="295" w:lineRule="auto"/>
        <w:ind w:left="692" w:right="6918"/>
      </w:pPr>
      <w:r>
        <w:t>b)连续生产中每年不少于一次； c)停产半年以上恢复生产时；</w:t>
      </w:r>
    </w:p>
    <w:p w14:paraId="09964D6E">
      <w:pPr>
        <w:pStyle w:val="10"/>
        <w:numPr>
          <w:ilvl w:val="0"/>
          <w:numId w:val="4"/>
        </w:numPr>
        <w:tabs>
          <w:tab w:val="left" w:pos="934"/>
        </w:tabs>
        <w:spacing w:before="2" w:after="0" w:line="240" w:lineRule="auto"/>
        <w:ind w:left="933" w:right="0" w:hanging="242"/>
        <w:jc w:val="left"/>
        <w:rPr>
          <w:sz w:val="24"/>
        </w:rPr>
      </w:pPr>
      <w:r>
        <w:rPr>
          <w:sz w:val="24"/>
        </w:rPr>
        <w:t>在设计、工艺或材料有重大改变时；</w:t>
      </w:r>
    </w:p>
    <w:p w14:paraId="05B40A7E">
      <w:pPr>
        <w:pStyle w:val="10"/>
        <w:numPr>
          <w:ilvl w:val="0"/>
          <w:numId w:val="4"/>
        </w:numPr>
        <w:tabs>
          <w:tab w:val="left" w:pos="934"/>
        </w:tabs>
        <w:spacing w:before="74" w:after="0" w:line="240" w:lineRule="auto"/>
        <w:ind w:left="933" w:right="0" w:hanging="242"/>
        <w:jc w:val="left"/>
        <w:rPr>
          <w:sz w:val="24"/>
        </w:rPr>
      </w:pPr>
      <w:r>
        <w:rPr>
          <w:sz w:val="24"/>
        </w:rPr>
        <w:t>国家监督机构对产品质量进行监督检验时。</w:t>
      </w:r>
    </w:p>
    <w:p w14:paraId="2545A088">
      <w:pPr>
        <w:spacing w:after="0" w:line="240" w:lineRule="auto"/>
        <w:jc w:val="left"/>
        <w:rPr>
          <w:sz w:val="24"/>
        </w:rPr>
        <w:sectPr>
          <w:pgSz w:w="11910" w:h="16840"/>
          <w:pgMar w:top="1360" w:right="0" w:bottom="1160" w:left="920" w:header="888" w:footer="975" w:gutter="0"/>
          <w:cols w:space="720" w:num="1"/>
        </w:sectPr>
      </w:pPr>
    </w:p>
    <w:p w14:paraId="05DA2C4C">
      <w:pPr>
        <w:pStyle w:val="5"/>
        <w:spacing w:before="141" w:line="295" w:lineRule="auto"/>
        <w:ind w:left="212" w:right="1132" w:firstLine="480"/>
        <w:jc w:val="both"/>
      </w:pPr>
      <w:r>
        <w:pict>
          <v:shape id="_x0000_s1035" o:spid="_x0000_s1035" o:spt="136" type="#_x0000_t136" style="position:absolute;left:0pt;margin-left:-73.5pt;margin-top:371.5pt;height:70pt;width:701.15pt;mso-position-horizontal-relative:page;mso-position-vertical-relative:page;rotation:20054016f;z-index:-251643904;mso-width-relative:page;mso-height-relative:page;" fillcolor="#BFBFBF" filled="t" stroked="f" coordsize="21600,21600">
            <v:path/>
            <v:fill on="t" focussize="0,0"/>
            <v:stroke on="f"/>
            <v:imagedata o:title=""/>
            <o:lock v:ext="edit"/>
            <v:textpath on="t" fitpath="t" trim="t" xscale="f" string="全国团体标准信息平台" style="font-family:仿宋;font-size:70pt;v-text-align:center;"/>
          </v:shape>
        </w:pict>
      </w:r>
      <w:r>
        <w:t>周期检验按GB/T 2829-2002规定进行，从逐批检验合格批中按规定抽取一定数量进行全性能检测。</w:t>
      </w:r>
    </w:p>
    <w:p w14:paraId="4785F03E">
      <w:pPr>
        <w:pStyle w:val="10"/>
        <w:numPr>
          <w:ilvl w:val="1"/>
          <w:numId w:val="3"/>
        </w:numPr>
        <w:tabs>
          <w:tab w:val="left" w:pos="813"/>
        </w:tabs>
        <w:spacing w:before="2" w:after="0" w:line="297" w:lineRule="auto"/>
        <w:ind w:left="212" w:right="1132" w:firstLine="0"/>
        <w:jc w:val="both"/>
        <w:rPr>
          <w:sz w:val="24"/>
        </w:rPr>
      </w:pPr>
      <w:r>
        <w:rPr>
          <w:spacing w:val="-5"/>
          <w:sz w:val="24"/>
        </w:rPr>
        <w:t>检验批次的规定计划在特定的限制内有一致的特性和质量，并在同一制造周期内根据一</w:t>
      </w:r>
      <w:r>
        <w:rPr>
          <w:sz w:val="24"/>
        </w:rPr>
        <w:t>个制造指令生产的产品。</w:t>
      </w:r>
    </w:p>
    <w:p w14:paraId="0E91737C">
      <w:pPr>
        <w:pStyle w:val="10"/>
        <w:numPr>
          <w:ilvl w:val="1"/>
          <w:numId w:val="3"/>
        </w:numPr>
        <w:tabs>
          <w:tab w:val="left" w:pos="816"/>
        </w:tabs>
        <w:spacing w:before="0" w:after="0" w:line="297" w:lineRule="auto"/>
        <w:ind w:left="212" w:right="1132" w:firstLine="0"/>
        <w:jc w:val="both"/>
        <w:rPr>
          <w:sz w:val="24"/>
        </w:rPr>
      </w:pPr>
      <w:r>
        <w:rPr>
          <w:sz w:val="24"/>
        </w:rPr>
        <w:t>抽样方法和抽样数量从同一批号的产品中随机抽，每批抽取数量不少于12pcs</w:t>
      </w:r>
      <w:r>
        <w:rPr>
          <w:spacing w:val="-3"/>
          <w:sz w:val="24"/>
        </w:rPr>
        <w:t>，样品分</w:t>
      </w:r>
      <w:r>
        <w:rPr>
          <w:spacing w:val="-1"/>
          <w:sz w:val="24"/>
        </w:rPr>
        <w:t>两份，一份作该批的样本进行检验，一份留样备查，抽样的最小包装不得有破裂，检验前不</w:t>
      </w:r>
      <w:r>
        <w:rPr>
          <w:sz w:val="24"/>
        </w:rPr>
        <w:t>得开启。若实际检测需要增加可另行增加抽样数量。</w:t>
      </w:r>
    </w:p>
    <w:p w14:paraId="1ADB7BAB">
      <w:pPr>
        <w:pStyle w:val="10"/>
        <w:numPr>
          <w:ilvl w:val="1"/>
          <w:numId w:val="3"/>
        </w:numPr>
        <w:tabs>
          <w:tab w:val="left" w:pos="813"/>
        </w:tabs>
        <w:spacing w:before="0" w:after="0" w:line="297" w:lineRule="auto"/>
        <w:ind w:left="212" w:right="1132" w:firstLine="0"/>
        <w:jc w:val="both"/>
        <w:rPr>
          <w:sz w:val="24"/>
        </w:rPr>
      </w:pPr>
      <w:r>
        <w:rPr>
          <w:spacing w:val="-5"/>
          <w:sz w:val="24"/>
        </w:rPr>
        <w:t>判定规则对出厂检验和型式检验项目中，全部项目检验合格的，判定该批产品合格。如</w:t>
      </w:r>
      <w:r>
        <w:rPr>
          <w:spacing w:val="-1"/>
          <w:sz w:val="24"/>
        </w:rPr>
        <w:t>有不合格项目的，从该批货中加倍抽样复检，复检结果仍有一项不合格，判定该批产品为不</w:t>
      </w:r>
      <w:r>
        <w:rPr>
          <w:sz w:val="24"/>
        </w:rPr>
        <w:t>合格品。</w:t>
      </w:r>
    </w:p>
    <w:p w14:paraId="6033C69E">
      <w:pPr>
        <w:pStyle w:val="5"/>
        <w:spacing w:before="10"/>
        <w:rPr>
          <w:sz w:val="28"/>
        </w:rPr>
      </w:pPr>
    </w:p>
    <w:p w14:paraId="6DA8A6DD">
      <w:pPr>
        <w:pStyle w:val="4"/>
        <w:numPr>
          <w:ilvl w:val="0"/>
          <w:numId w:val="3"/>
        </w:numPr>
        <w:tabs>
          <w:tab w:val="left" w:pos="576"/>
        </w:tabs>
        <w:spacing w:before="0" w:after="0" w:line="240" w:lineRule="auto"/>
        <w:ind w:left="575" w:right="0" w:hanging="364"/>
        <w:jc w:val="left"/>
      </w:pPr>
      <w:r>
        <w:t>标志、标准使用证书、包装、运输、贮存</w:t>
      </w:r>
    </w:p>
    <w:p w14:paraId="00684DFC">
      <w:pPr>
        <w:pStyle w:val="10"/>
        <w:numPr>
          <w:ilvl w:val="1"/>
          <w:numId w:val="3"/>
        </w:numPr>
        <w:tabs>
          <w:tab w:val="left" w:pos="813"/>
        </w:tabs>
        <w:spacing w:before="75" w:after="0" w:line="240" w:lineRule="auto"/>
        <w:ind w:left="812" w:right="0" w:hanging="601"/>
        <w:jc w:val="left"/>
        <w:rPr>
          <w:sz w:val="24"/>
        </w:rPr>
      </w:pPr>
      <w:r>
        <w:rPr>
          <w:sz w:val="24"/>
        </w:rPr>
        <w:t>标志</w:t>
      </w:r>
    </w:p>
    <w:p w14:paraId="68727F6B">
      <w:pPr>
        <w:pStyle w:val="10"/>
        <w:numPr>
          <w:ilvl w:val="2"/>
          <w:numId w:val="3"/>
        </w:numPr>
        <w:tabs>
          <w:tab w:val="left" w:pos="1053"/>
        </w:tabs>
        <w:spacing w:before="71" w:after="0" w:line="295" w:lineRule="auto"/>
        <w:ind w:left="692" w:right="7291" w:hanging="480"/>
        <w:jc w:val="left"/>
        <w:rPr>
          <w:sz w:val="24"/>
        </w:rPr>
      </w:pPr>
      <w:r>
        <w:rPr>
          <w:spacing w:val="-2"/>
          <w:sz w:val="24"/>
        </w:rPr>
        <w:t xml:space="preserve">小包装上应有下列标志： </w:t>
      </w:r>
      <w:r>
        <w:rPr>
          <w:sz w:val="24"/>
        </w:rPr>
        <w:t>a)产品名称；</w:t>
      </w:r>
    </w:p>
    <w:p w14:paraId="4A174DAE">
      <w:pPr>
        <w:pStyle w:val="10"/>
        <w:numPr>
          <w:ilvl w:val="0"/>
          <w:numId w:val="5"/>
        </w:numPr>
        <w:tabs>
          <w:tab w:val="left" w:pos="934"/>
        </w:tabs>
        <w:spacing w:before="5" w:after="0" w:line="240" w:lineRule="auto"/>
        <w:ind w:left="933" w:right="0" w:hanging="242"/>
        <w:jc w:val="left"/>
        <w:rPr>
          <w:sz w:val="24"/>
        </w:rPr>
      </w:pPr>
      <w:r>
        <w:rPr>
          <w:sz w:val="24"/>
        </w:rPr>
        <w:t>主要原料名称、有效成分及含量；</w:t>
      </w:r>
    </w:p>
    <w:p w14:paraId="5DA10624">
      <w:pPr>
        <w:pStyle w:val="10"/>
        <w:numPr>
          <w:ilvl w:val="0"/>
          <w:numId w:val="5"/>
        </w:numPr>
        <w:tabs>
          <w:tab w:val="left" w:pos="934"/>
        </w:tabs>
        <w:spacing w:before="71" w:after="0" w:line="295" w:lineRule="auto"/>
        <w:ind w:left="692" w:right="5251" w:firstLine="0"/>
        <w:jc w:val="left"/>
        <w:rPr>
          <w:sz w:val="24"/>
        </w:rPr>
      </w:pPr>
      <w:r>
        <w:rPr>
          <w:spacing w:val="-1"/>
          <w:sz w:val="24"/>
        </w:rPr>
        <w:t xml:space="preserve">生产企业名称、地址、联系电话、邮政编码； </w:t>
      </w:r>
      <w:r>
        <w:rPr>
          <w:sz w:val="24"/>
        </w:rPr>
        <w:t>d)生产企业生产许可证号；</w:t>
      </w:r>
    </w:p>
    <w:p w14:paraId="3332D349">
      <w:pPr>
        <w:pStyle w:val="5"/>
        <w:spacing w:before="5"/>
        <w:ind w:left="692"/>
      </w:pPr>
      <w:r>
        <w:t>e)生产日期、生产批号、执行标准号和有效期。</w:t>
      </w:r>
    </w:p>
    <w:p w14:paraId="73EA65E8">
      <w:pPr>
        <w:pStyle w:val="10"/>
        <w:numPr>
          <w:ilvl w:val="2"/>
          <w:numId w:val="3"/>
        </w:numPr>
        <w:tabs>
          <w:tab w:val="left" w:pos="1053"/>
        </w:tabs>
        <w:spacing w:before="71" w:after="0" w:line="295" w:lineRule="auto"/>
        <w:ind w:left="692" w:right="6811" w:hanging="480"/>
        <w:jc w:val="left"/>
        <w:rPr>
          <w:sz w:val="24"/>
        </w:rPr>
      </w:pPr>
      <w:r>
        <w:rPr>
          <w:spacing w:val="-2"/>
          <w:sz w:val="24"/>
        </w:rPr>
        <w:t xml:space="preserve">检查合格证上应有下列标志： </w:t>
      </w:r>
      <w:r>
        <w:rPr>
          <w:sz w:val="24"/>
        </w:rPr>
        <w:t>a)制造厂名称；</w:t>
      </w:r>
    </w:p>
    <w:p w14:paraId="7FBC9A4B">
      <w:pPr>
        <w:pStyle w:val="5"/>
        <w:spacing w:before="5" w:line="295" w:lineRule="auto"/>
        <w:ind w:left="692" w:right="7411"/>
      </w:pPr>
      <w:r>
        <w:t>b)</w:t>
      </w:r>
      <w:r>
        <w:rPr>
          <w:spacing w:val="-2"/>
        </w:rPr>
        <w:t xml:space="preserve">产品名称、规格、数量； </w:t>
      </w:r>
      <w:r>
        <w:t>c)生产批号或生产日期； d)检验员签名或代号。</w:t>
      </w:r>
    </w:p>
    <w:p w14:paraId="41CEA842">
      <w:pPr>
        <w:pStyle w:val="10"/>
        <w:numPr>
          <w:ilvl w:val="2"/>
          <w:numId w:val="3"/>
        </w:numPr>
        <w:tabs>
          <w:tab w:val="left" w:pos="1053"/>
        </w:tabs>
        <w:spacing w:before="5" w:after="0" w:line="240" w:lineRule="auto"/>
        <w:ind w:left="1052" w:right="0" w:hanging="841"/>
        <w:jc w:val="left"/>
        <w:rPr>
          <w:sz w:val="24"/>
        </w:rPr>
      </w:pPr>
      <w:r>
        <w:rPr>
          <w:sz w:val="24"/>
        </w:rPr>
        <w:t>大包装上应有下列标志：</w:t>
      </w:r>
    </w:p>
    <w:p w14:paraId="2DAB8421">
      <w:pPr>
        <w:pStyle w:val="10"/>
        <w:numPr>
          <w:ilvl w:val="3"/>
          <w:numId w:val="3"/>
        </w:numPr>
        <w:tabs>
          <w:tab w:val="left" w:pos="934"/>
        </w:tabs>
        <w:spacing w:before="72" w:after="0" w:line="295" w:lineRule="auto"/>
        <w:ind w:left="692" w:right="4771" w:firstLine="0"/>
        <w:jc w:val="left"/>
        <w:rPr>
          <w:sz w:val="24"/>
        </w:rPr>
      </w:pPr>
      <w:r>
        <w:rPr>
          <w:spacing w:val="-1"/>
          <w:sz w:val="24"/>
        </w:rPr>
        <w:t xml:space="preserve">生产企业名称、备案地址、生产地址、联系方式； </w:t>
      </w:r>
      <w:r>
        <w:rPr>
          <w:sz w:val="24"/>
        </w:rPr>
        <w:t>b)产品名称；</w:t>
      </w:r>
    </w:p>
    <w:p w14:paraId="522469ED">
      <w:pPr>
        <w:pStyle w:val="10"/>
        <w:numPr>
          <w:ilvl w:val="0"/>
          <w:numId w:val="6"/>
        </w:numPr>
        <w:tabs>
          <w:tab w:val="left" w:pos="934"/>
        </w:tabs>
        <w:spacing w:before="4" w:after="0" w:line="240" w:lineRule="auto"/>
        <w:ind w:left="933" w:right="0" w:hanging="242"/>
        <w:jc w:val="left"/>
        <w:rPr>
          <w:sz w:val="24"/>
        </w:rPr>
      </w:pPr>
      <w:r>
        <w:rPr>
          <w:sz w:val="24"/>
        </w:rPr>
        <w:t>规格、数量；</w:t>
      </w:r>
    </w:p>
    <w:p w14:paraId="000D7206">
      <w:pPr>
        <w:pStyle w:val="10"/>
        <w:numPr>
          <w:ilvl w:val="0"/>
          <w:numId w:val="6"/>
        </w:numPr>
        <w:tabs>
          <w:tab w:val="left" w:pos="934"/>
        </w:tabs>
        <w:spacing w:before="72" w:after="0" w:line="295" w:lineRule="auto"/>
        <w:ind w:left="692" w:right="7891" w:firstLine="0"/>
        <w:jc w:val="left"/>
        <w:rPr>
          <w:sz w:val="24"/>
        </w:rPr>
      </w:pPr>
      <w:r>
        <w:rPr>
          <w:sz w:val="24"/>
        </w:rPr>
        <w:t>体积（长*宽*高</w:t>
      </w:r>
      <w:r>
        <w:rPr>
          <w:spacing w:val="-9"/>
          <w:sz w:val="24"/>
        </w:rPr>
        <w:t xml:space="preserve">）； </w:t>
      </w:r>
      <w:r>
        <w:rPr>
          <w:sz w:val="24"/>
        </w:rPr>
        <w:t>e)执行标准号；</w:t>
      </w:r>
    </w:p>
    <w:p w14:paraId="6967930C">
      <w:pPr>
        <w:pStyle w:val="10"/>
        <w:numPr>
          <w:ilvl w:val="0"/>
          <w:numId w:val="7"/>
        </w:numPr>
        <w:tabs>
          <w:tab w:val="left" w:pos="934"/>
        </w:tabs>
        <w:spacing w:before="4" w:after="0" w:line="240" w:lineRule="auto"/>
        <w:ind w:left="933" w:right="0" w:hanging="242"/>
        <w:jc w:val="left"/>
        <w:rPr>
          <w:sz w:val="24"/>
        </w:rPr>
      </w:pPr>
      <w:r>
        <w:rPr>
          <w:sz w:val="24"/>
        </w:rPr>
        <w:t>产品标准号；</w:t>
      </w:r>
    </w:p>
    <w:p w14:paraId="2F33C823">
      <w:pPr>
        <w:pStyle w:val="10"/>
        <w:numPr>
          <w:ilvl w:val="0"/>
          <w:numId w:val="7"/>
        </w:numPr>
        <w:tabs>
          <w:tab w:val="left" w:pos="934"/>
        </w:tabs>
        <w:spacing w:before="72" w:after="0" w:line="240" w:lineRule="auto"/>
        <w:ind w:left="933" w:right="0" w:hanging="242"/>
        <w:jc w:val="left"/>
        <w:rPr>
          <w:sz w:val="24"/>
        </w:rPr>
      </w:pPr>
      <w:r>
        <w:rPr>
          <w:sz w:val="24"/>
        </w:rPr>
        <w:t>生产批号、生产日期和有效期</w:t>
      </w:r>
    </w:p>
    <w:p w14:paraId="19883893">
      <w:pPr>
        <w:pStyle w:val="10"/>
        <w:numPr>
          <w:ilvl w:val="0"/>
          <w:numId w:val="7"/>
        </w:numPr>
        <w:tabs>
          <w:tab w:val="left" w:pos="934"/>
        </w:tabs>
        <w:spacing w:before="71" w:after="0" w:line="240" w:lineRule="auto"/>
        <w:ind w:left="933" w:right="0" w:hanging="242"/>
        <w:jc w:val="left"/>
        <w:rPr>
          <w:sz w:val="24"/>
        </w:rPr>
      </w:pPr>
      <w:r>
        <w:rPr>
          <w:sz w:val="24"/>
        </w:rPr>
        <w:t>储运标志应符合GB/T 191的规定。</w:t>
      </w:r>
    </w:p>
    <w:p w14:paraId="492BAC4B">
      <w:pPr>
        <w:pStyle w:val="10"/>
        <w:numPr>
          <w:ilvl w:val="2"/>
          <w:numId w:val="3"/>
        </w:numPr>
        <w:tabs>
          <w:tab w:val="left" w:pos="1053"/>
        </w:tabs>
        <w:spacing w:before="75" w:after="0" w:line="240" w:lineRule="auto"/>
        <w:ind w:left="1052" w:right="0" w:hanging="841"/>
        <w:jc w:val="left"/>
        <w:rPr>
          <w:sz w:val="24"/>
        </w:rPr>
      </w:pPr>
      <w:r>
        <w:rPr>
          <w:sz w:val="24"/>
        </w:rPr>
        <w:t>标准使用证书</w:t>
      </w:r>
    </w:p>
    <w:p w14:paraId="4F3A9ED6">
      <w:pPr>
        <w:pStyle w:val="5"/>
        <w:spacing w:before="71" w:line="295" w:lineRule="auto"/>
        <w:ind w:left="212" w:right="1132" w:firstLine="480"/>
      </w:pPr>
      <w:r>
        <w:t>采用本标准，经第三方检测机构检测或检验</w:t>
      </w:r>
      <w:r>
        <w:rPr>
          <w:u w:val="dotted"/>
        </w:rPr>
        <w:t>，符合</w:t>
      </w:r>
      <w:r>
        <w:t>T/HNJK 002—2019《保健用品生产质量管理规范》团体标准规定范围，经使用单位申请，由归口管理单位向</w:t>
      </w:r>
      <w:r>
        <w:rPr>
          <w:shd w:val="clear" w:color="auto" w:fill="FDFDFD"/>
        </w:rPr>
        <w:t>采用本标准的组织</w:t>
      </w:r>
      <w:r>
        <w:t>颁</w:t>
      </w:r>
    </w:p>
    <w:p w14:paraId="59CF8769">
      <w:pPr>
        <w:spacing w:after="0" w:line="295" w:lineRule="auto"/>
        <w:sectPr>
          <w:pgSz w:w="11910" w:h="16840"/>
          <w:pgMar w:top="1360" w:right="0" w:bottom="1160" w:left="920" w:header="888" w:footer="975" w:gutter="0"/>
          <w:cols w:space="720" w:num="1"/>
        </w:sectPr>
      </w:pPr>
    </w:p>
    <w:p w14:paraId="0E375D9B">
      <w:pPr>
        <w:pStyle w:val="5"/>
        <w:spacing w:before="141"/>
        <w:ind w:left="212"/>
      </w:pPr>
      <w:r>
        <w:pict>
          <v:shape id="_x0000_s1036" o:spid="_x0000_s1036" o:spt="136" type="#_x0000_t136" style="position:absolute;left:0pt;margin-left:-73.5pt;margin-top:371.5pt;height:70pt;width:701.15pt;mso-position-horizontal-relative:page;mso-position-vertical-relative:page;rotation:20054016f;z-index:-251642880;mso-width-relative:page;mso-height-relative:page;" fillcolor="#BFBFBF" filled="t" stroked="f" coordsize="21600,21600">
            <v:path/>
            <v:fill on="t" focussize="0,0"/>
            <v:stroke on="f"/>
            <v:imagedata o:title=""/>
            <o:lock v:ext="edit"/>
            <v:textpath on="t" fitpath="t" trim="t" xscale="f" string="全国团体标准信息平台" style="font-family:仿宋;font-size:70pt;v-text-align:center;"/>
          </v:shape>
        </w:pict>
      </w:r>
      <w:r>
        <w:t>发团体标准“保健用品生产使用证书”，</w:t>
      </w:r>
      <w:r>
        <w:rPr>
          <w:shd w:val="clear" w:color="auto" w:fill="FDFDFD"/>
        </w:rPr>
        <w:t>有效期三年，批准文号为：豫健用准字[年份]</w:t>
      </w:r>
      <w:r>
        <w:t>××</w:t>
      </w:r>
    </w:p>
    <w:p w14:paraId="50A26A0B">
      <w:pPr>
        <w:pStyle w:val="5"/>
        <w:spacing w:before="71"/>
        <w:ind w:left="212"/>
      </w:pPr>
      <w:r>
        <w:t>×××。</w:t>
      </w:r>
      <w:r>
        <w:rPr>
          <w:shd w:val="clear" w:color="auto" w:fill="FDFDFD"/>
        </w:rPr>
        <w:t>同时，亦可书面授权本标准</w:t>
      </w:r>
      <w:r>
        <w:t>采用</w:t>
      </w:r>
      <w:r>
        <w:rPr>
          <w:shd w:val="clear" w:color="auto" w:fill="FDFDFD"/>
        </w:rPr>
        <w:t>组织在包装上使用“保健用品”标志。</w:t>
      </w:r>
    </w:p>
    <w:p w14:paraId="5286EE11">
      <w:pPr>
        <w:pStyle w:val="5"/>
        <w:rPr>
          <w:sz w:val="20"/>
        </w:rPr>
      </w:pPr>
    </w:p>
    <w:p w14:paraId="34877D65">
      <w:pPr>
        <w:pStyle w:val="5"/>
        <w:rPr>
          <w:sz w:val="20"/>
        </w:rPr>
      </w:pPr>
    </w:p>
    <w:p w14:paraId="44C16299">
      <w:pPr>
        <w:pStyle w:val="5"/>
        <w:rPr>
          <w:sz w:val="20"/>
        </w:rPr>
      </w:pPr>
    </w:p>
    <w:p w14:paraId="631BC0D9">
      <w:pPr>
        <w:pStyle w:val="5"/>
        <w:spacing w:before="1"/>
        <w:rPr>
          <w:sz w:val="20"/>
        </w:rPr>
      </w:pPr>
      <w:r>
        <w:drawing>
          <wp:anchor distT="0" distB="0" distL="0" distR="0" simplePos="0" relativeHeight="251660288" behindDoc="0" locked="0" layoutInCell="1" allowOverlap="1">
            <wp:simplePos x="0" y="0"/>
            <wp:positionH relativeFrom="page">
              <wp:posOffset>2319020</wp:posOffset>
            </wp:positionH>
            <wp:positionV relativeFrom="paragraph">
              <wp:posOffset>187960</wp:posOffset>
            </wp:positionV>
            <wp:extent cx="2961640" cy="1920240"/>
            <wp:effectExtent l="0" t="0" r="0" b="0"/>
            <wp:wrapTopAndBottom/>
            <wp:docPr id="5" name="image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3.jpeg"/>
                    <pic:cNvPicPr>
                      <a:picLocks noChangeAspect="1"/>
                    </pic:cNvPicPr>
                  </pic:nvPicPr>
                  <pic:blipFill>
                    <a:blip r:embed="rId19" cstate="print"/>
                    <a:stretch>
                      <a:fillRect/>
                    </a:stretch>
                  </pic:blipFill>
                  <pic:spPr>
                    <a:xfrm>
                      <a:off x="0" y="0"/>
                      <a:ext cx="2961760" cy="1920239"/>
                    </a:xfrm>
                    <a:prstGeom prst="rect">
                      <a:avLst/>
                    </a:prstGeom>
                  </pic:spPr>
                </pic:pic>
              </a:graphicData>
            </a:graphic>
          </wp:anchor>
        </w:drawing>
      </w:r>
    </w:p>
    <w:p w14:paraId="7754286E">
      <w:pPr>
        <w:pStyle w:val="10"/>
        <w:numPr>
          <w:ilvl w:val="1"/>
          <w:numId w:val="3"/>
        </w:numPr>
        <w:tabs>
          <w:tab w:val="left" w:pos="813"/>
        </w:tabs>
        <w:spacing w:before="113" w:after="0" w:line="240" w:lineRule="auto"/>
        <w:ind w:left="812" w:right="0" w:hanging="601"/>
        <w:jc w:val="left"/>
        <w:rPr>
          <w:sz w:val="24"/>
        </w:rPr>
      </w:pPr>
      <w:r>
        <w:rPr>
          <w:sz w:val="24"/>
        </w:rPr>
        <w:t>包装</w:t>
      </w:r>
    </w:p>
    <w:p w14:paraId="111AD4E2">
      <w:pPr>
        <w:pStyle w:val="10"/>
        <w:numPr>
          <w:ilvl w:val="2"/>
          <w:numId w:val="3"/>
        </w:numPr>
        <w:tabs>
          <w:tab w:val="left" w:pos="1053"/>
        </w:tabs>
        <w:spacing w:before="72" w:after="0" w:line="240" w:lineRule="auto"/>
        <w:ind w:left="1052" w:right="0" w:hanging="841"/>
        <w:jc w:val="left"/>
        <w:rPr>
          <w:sz w:val="24"/>
        </w:rPr>
      </w:pPr>
      <w:r>
        <w:rPr>
          <w:sz w:val="24"/>
        </w:rPr>
        <w:t>小包装为铝箔或塑料袋等；大包装为纸箱等；箱内应有检验合格证。</w:t>
      </w:r>
    </w:p>
    <w:p w14:paraId="6D78B25E">
      <w:pPr>
        <w:pStyle w:val="10"/>
        <w:numPr>
          <w:ilvl w:val="2"/>
          <w:numId w:val="3"/>
        </w:numPr>
        <w:tabs>
          <w:tab w:val="left" w:pos="1053"/>
        </w:tabs>
        <w:spacing w:before="71" w:after="0" w:line="240" w:lineRule="auto"/>
        <w:ind w:left="1052" w:right="0" w:hanging="841"/>
        <w:jc w:val="left"/>
        <w:rPr>
          <w:sz w:val="24"/>
        </w:rPr>
      </w:pPr>
      <w:r>
        <w:rPr>
          <w:sz w:val="24"/>
        </w:rPr>
        <w:t>使用说明书的编写应符合GB/T 9969-2008的使用说明书的规定。</w:t>
      </w:r>
    </w:p>
    <w:p w14:paraId="35D68E0B">
      <w:pPr>
        <w:pStyle w:val="10"/>
        <w:numPr>
          <w:ilvl w:val="1"/>
          <w:numId w:val="3"/>
        </w:numPr>
        <w:tabs>
          <w:tab w:val="left" w:pos="813"/>
        </w:tabs>
        <w:spacing w:before="74" w:after="0" w:line="240" w:lineRule="auto"/>
        <w:ind w:left="812" w:right="0" w:hanging="601"/>
        <w:jc w:val="left"/>
        <w:rPr>
          <w:sz w:val="24"/>
        </w:rPr>
      </w:pPr>
      <w:r>
        <w:rPr>
          <w:sz w:val="24"/>
        </w:rPr>
        <w:t>运输</w:t>
      </w:r>
    </w:p>
    <w:p w14:paraId="19A44E77">
      <w:pPr>
        <w:pStyle w:val="5"/>
        <w:spacing w:before="72" w:line="295" w:lineRule="auto"/>
        <w:ind w:left="212" w:right="1132" w:firstLine="480"/>
      </w:pPr>
      <w:r>
        <w:t>运输工具必须清洁、卫生、干燥、不得于有毒、有异味、有腐蚀性等货物混运，运输途中应防止挤压、碰撞、烈日曝晒、雨淋、装卸时应轻搬轻放，严禁抛掷。</w:t>
      </w:r>
    </w:p>
    <w:p w14:paraId="6B0DD7CD">
      <w:pPr>
        <w:pStyle w:val="10"/>
        <w:numPr>
          <w:ilvl w:val="1"/>
          <w:numId w:val="3"/>
        </w:numPr>
        <w:tabs>
          <w:tab w:val="left" w:pos="813"/>
        </w:tabs>
        <w:spacing w:before="5" w:after="0" w:line="240" w:lineRule="auto"/>
        <w:ind w:left="812" w:right="0" w:hanging="601"/>
        <w:jc w:val="left"/>
        <w:rPr>
          <w:sz w:val="24"/>
        </w:rPr>
      </w:pPr>
      <w:r>
        <w:rPr>
          <w:sz w:val="24"/>
        </w:rPr>
        <w:t>贮存</w:t>
      </w:r>
    </w:p>
    <w:p w14:paraId="52BA356E">
      <w:pPr>
        <w:pStyle w:val="5"/>
        <w:spacing w:before="71" w:line="297" w:lineRule="auto"/>
        <w:ind w:left="212" w:right="1132" w:firstLine="480"/>
        <w:jc w:val="both"/>
      </w:pPr>
      <w:r>
        <w:rPr>
          <w:spacing w:val="-5"/>
        </w:rPr>
        <w:t>储存产品应储存在干燥、通风、避光的库房内。不得靠近热源，相对湿度不大于</w:t>
      </w:r>
      <w:r>
        <w:t>80%</w:t>
      </w:r>
      <w:r>
        <w:rPr>
          <w:spacing w:val="-16"/>
        </w:rPr>
        <w:t>。堆</w:t>
      </w:r>
      <w:r>
        <w:rPr>
          <w:spacing w:val="-4"/>
        </w:rPr>
        <w:t>放时，垛高不应超过</w:t>
      </w:r>
      <w:r>
        <w:t>8</w:t>
      </w:r>
      <w:r>
        <w:rPr>
          <w:spacing w:val="-6"/>
        </w:rPr>
        <w:t>层，防止包装箱损坏，堆垛要离墙</w:t>
      </w:r>
      <w:r>
        <w:t>20cm</w:t>
      </w:r>
      <w:r>
        <w:rPr>
          <w:spacing w:val="-4"/>
        </w:rPr>
        <w:t>以上、垫离地面</w:t>
      </w:r>
      <w:r>
        <w:t>10cm</w:t>
      </w:r>
      <w:r>
        <w:rPr>
          <w:spacing w:val="-7"/>
        </w:rPr>
        <w:t>以上，不得</w:t>
      </w:r>
      <w:r>
        <w:t>与有毒、有异味、有腐蚀性货物混贮。</w:t>
      </w:r>
    </w:p>
    <w:p w14:paraId="71E3E586">
      <w:pPr>
        <w:pStyle w:val="10"/>
        <w:numPr>
          <w:ilvl w:val="1"/>
          <w:numId w:val="3"/>
        </w:numPr>
        <w:tabs>
          <w:tab w:val="left" w:pos="813"/>
        </w:tabs>
        <w:spacing w:before="0" w:after="0" w:line="304" w:lineRule="exact"/>
        <w:ind w:left="812" w:right="0" w:hanging="601"/>
        <w:jc w:val="both"/>
        <w:rPr>
          <w:sz w:val="24"/>
        </w:rPr>
      </w:pPr>
      <w:r>
        <w:rPr>
          <w:sz w:val="24"/>
        </w:rPr>
        <w:t>保质期</w:t>
      </w:r>
    </w:p>
    <w:p w14:paraId="309B1485">
      <w:pPr>
        <w:pStyle w:val="5"/>
        <w:spacing w:before="72"/>
        <w:ind w:left="572"/>
      </w:pPr>
      <w:r>
        <w:t>在上述规定的条件下，应标识产品的有效保质期。</w:t>
      </w:r>
    </w:p>
    <w:sectPr>
      <w:headerReference r:id="rId14" w:type="default"/>
      <w:footerReference r:id="rId15" w:type="default"/>
      <w:pgSz w:w="11910" w:h="16840"/>
      <w:pgMar w:top="1360" w:right="0" w:bottom="1160" w:left="920" w:header="888" w:footer="975"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86"/>
    <w:family w:val="swiss"/>
    <w:pitch w:val="default"/>
    <w:sig w:usb0="E4002EFF" w:usb1="C000247B" w:usb2="00000009" w:usb3="00000000" w:csb0="200001FF" w:csb1="00000000"/>
  </w:font>
  <w:font w:name="Calibri">
    <w:panose1 w:val="020F0502020204030204"/>
    <w:charset w:val="00"/>
    <w:family w:val="auto"/>
    <w:pitch w:val="default"/>
    <w:sig w:usb0="E4002EFF" w:usb1="C000247B" w:usb2="00000009" w:usb3="00000000" w:csb0="200001FF" w:csb1="00000000"/>
  </w:font>
  <w:font w:name="新宋体">
    <w:panose1 w:val="02010609030101010101"/>
    <w:charset w:val="86"/>
    <w:family w:val="modern"/>
    <w:pitch w:val="default"/>
    <w:sig w:usb0="00000203" w:usb1="288F0000" w:usb2="0000000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5BCB67">
    <w:pPr>
      <w:pStyle w:val="5"/>
      <w:spacing w:line="14" w:lineRule="auto"/>
      <w:rPr>
        <w:sz w:val="20"/>
      </w:rPr>
    </w:pPr>
    <w:r>
      <w:pict>
        <v:shape id="_x0000_s2051" o:spid="_x0000_s2051" o:spt="202" type="#_x0000_t202" style="position:absolute;left:0pt;margin-left:294.3pt;margin-top:782.1pt;height:11pt;width:6.6pt;mso-position-horizontal-relative:page;mso-position-vertical-relative:page;z-index:-251653120;mso-width-relative:page;mso-height-relative:page;" filled="f" stroked="f" coordsize="21600,21600">
          <v:path/>
          <v:fill on="f" focussize="0,0"/>
          <v:stroke on="f" joinstyle="miter"/>
          <v:imagedata o:title=""/>
          <o:lock v:ext="edit"/>
          <v:textbox inset="0mm,0mm,0mm,0mm">
            <w:txbxContent>
              <w:p w14:paraId="5E439266">
                <w:pPr>
                  <w:spacing w:before="0" w:line="203" w:lineRule="exact"/>
                  <w:ind w:left="20" w:right="0" w:firstLine="0"/>
                  <w:jc w:val="left"/>
                  <w:rPr>
                    <w:rFonts w:ascii="Calibri"/>
                    <w:sz w:val="18"/>
                  </w:rPr>
                </w:pPr>
                <w:r>
                  <w:rPr>
                    <w:rFonts w:ascii="Calibri"/>
                    <w:sz w:val="18"/>
                  </w:rPr>
                  <w:t>1</w:t>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17C6DE">
    <w:pPr>
      <w:pStyle w:val="5"/>
      <w:spacing w:line="14" w:lineRule="auto"/>
      <w:rPr>
        <w:sz w:val="20"/>
      </w:rPr>
    </w:pPr>
    <w:r>
      <w:pict>
        <v:shape id="_x0000_s2053" o:spid="_x0000_s2053" o:spt="202" type="#_x0000_t202" style="position:absolute;left:0pt;margin-left:294.3pt;margin-top:782.1pt;height:11pt;width:6.6pt;mso-position-horizontal-relative:page;mso-position-vertical-relative:page;z-index:-251651072;mso-width-relative:page;mso-height-relative:page;" filled="f" stroked="f" coordsize="21600,21600">
          <v:path/>
          <v:fill on="f" focussize="0,0"/>
          <v:stroke on="f" joinstyle="miter"/>
          <v:imagedata o:title=""/>
          <o:lock v:ext="edit"/>
          <v:textbox inset="0mm,0mm,0mm,0mm">
            <w:txbxContent>
              <w:p w14:paraId="7273421A">
                <w:pPr>
                  <w:spacing w:before="0" w:line="203" w:lineRule="exact"/>
                  <w:ind w:left="20" w:right="0" w:firstLine="0"/>
                  <w:jc w:val="left"/>
                  <w:rPr>
                    <w:rFonts w:ascii="Calibri"/>
                    <w:sz w:val="18"/>
                  </w:rPr>
                </w:pPr>
                <w:r>
                  <w:rPr>
                    <w:rFonts w:ascii="Calibri"/>
                    <w:spacing w:val="-92"/>
                    <w:sz w:val="18"/>
                  </w:rPr>
                  <w:t>1</w:t>
                </w:r>
                <w:r>
                  <w:rPr>
                    <w:rFonts w:ascii="Calibri"/>
                    <w:sz w:val="18"/>
                  </w:rPr>
                  <w:t>2</w:t>
                </w:r>
              </w:p>
            </w:txbxContent>
          </v:textbox>
        </v:shape>
      </w:pic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3E2922">
    <w:pPr>
      <w:pStyle w:val="5"/>
      <w:spacing w:line="14" w:lineRule="auto"/>
      <w:rPr>
        <w:sz w:val="20"/>
      </w:rPr>
    </w:pPr>
    <w:r>
      <w:pict>
        <v:shape id="_x0000_s2055" o:spid="_x0000_s2055" o:spt="202" type="#_x0000_t202" style="position:absolute;left:0pt;margin-left:294.3pt;margin-top:782.1pt;height:11pt;width:6.6pt;mso-position-horizontal-relative:page;mso-position-vertical-relative:page;z-index:-251649024;mso-width-relative:page;mso-height-relative:page;" filled="f" stroked="f" coordsize="21600,21600">
          <v:path/>
          <v:fill on="f" focussize="0,0"/>
          <v:stroke on="f" joinstyle="miter"/>
          <v:imagedata o:title=""/>
          <o:lock v:ext="edit"/>
          <v:textbox inset="0mm,0mm,0mm,0mm">
            <w:txbxContent>
              <w:p w14:paraId="49F04631">
                <w:pPr>
                  <w:spacing w:before="0" w:line="203" w:lineRule="exact"/>
                  <w:ind w:left="20" w:right="0" w:firstLine="0"/>
                  <w:jc w:val="left"/>
                  <w:rPr>
                    <w:rFonts w:ascii="Calibri"/>
                    <w:sz w:val="18"/>
                  </w:rPr>
                </w:pPr>
                <w:r>
                  <w:rPr>
                    <w:rFonts w:ascii="Calibri"/>
                    <w:spacing w:val="-92"/>
                    <w:sz w:val="18"/>
                  </w:rPr>
                  <w:t>3</w:t>
                </w:r>
                <w:r>
                  <w:rPr>
                    <w:rFonts w:ascii="Calibri"/>
                    <w:sz w:val="18"/>
                  </w:rPr>
                  <w:t>1</w:t>
                </w:r>
              </w:p>
            </w:txbxContent>
          </v:textbox>
        </v:shape>
      </w:pic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F6B09E">
    <w:pPr>
      <w:pStyle w:val="5"/>
      <w:spacing w:line="14" w:lineRule="auto"/>
      <w:rPr>
        <w:sz w:val="20"/>
      </w:rPr>
    </w:pPr>
    <w:r>
      <w:pict>
        <v:shape id="_x0000_s2057" o:spid="_x0000_s2057" o:spt="202" type="#_x0000_t202" style="position:absolute;left:0pt;margin-left:292.3pt;margin-top:782.1pt;height:11pt;width:10.6pt;mso-position-horizontal-relative:page;mso-position-vertical-relative:page;z-index:-251646976;mso-width-relative:page;mso-height-relative:page;" filled="f" stroked="f" coordsize="21600,21600">
          <v:path/>
          <v:fill on="f" focussize="0,0"/>
          <v:stroke on="f" joinstyle="miter"/>
          <v:imagedata o:title=""/>
          <o:lock v:ext="edit"/>
          <v:textbox inset="0mm,0mm,0mm,0mm">
            <w:txbxContent>
              <w:p w14:paraId="40FDC15A">
                <w:pPr>
                  <w:spacing w:before="0" w:line="203" w:lineRule="exact"/>
                  <w:ind w:left="60" w:right="0" w:firstLine="0"/>
                  <w:jc w:val="left"/>
                  <w:rPr>
                    <w:rFonts w:ascii="Calibri"/>
                    <w:sz w:val="18"/>
                  </w:rPr>
                </w:pPr>
                <w:r>
                  <w:fldChar w:fldCharType="begin"/>
                </w:r>
                <w:r>
                  <w:rPr>
                    <w:rFonts w:ascii="Calibri"/>
                    <w:sz w:val="18"/>
                  </w:rPr>
                  <w:instrText xml:space="preserve"> PAGE </w:instrText>
                </w:r>
                <w:r>
                  <w:fldChar w:fldCharType="separate"/>
                </w:r>
                <w:r>
                  <w:t>14</w:t>
                </w:r>
                <w:r>
                  <w:fldChar w:fldCharType="end"/>
                </w:r>
              </w:p>
            </w:txbxContent>
          </v:textbox>
        </v:shape>
      </w:pic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C48F51">
    <w:pPr>
      <w:pStyle w:val="5"/>
      <w:spacing w:line="14" w:lineRule="auto"/>
      <w:rPr>
        <w:sz w:val="20"/>
      </w:rPr>
    </w:pPr>
    <w:r>
      <w:pict>
        <v:shape id="_x0000_s2059" o:spid="_x0000_s2059" o:spt="202" type="#_x0000_t202" style="position:absolute;left:0pt;margin-left:294.3pt;margin-top:782.1pt;height:11pt;width:6.6pt;mso-position-horizontal-relative:page;mso-position-vertical-relative:page;z-index:-251644928;mso-width-relative:page;mso-height-relative:page;" filled="f" stroked="f" coordsize="21600,21600">
          <v:path/>
          <v:fill on="f" focussize="0,0"/>
          <v:stroke on="f" joinstyle="miter"/>
          <v:imagedata o:title=""/>
          <o:lock v:ext="edit"/>
          <v:textbox inset="0mm,0mm,0mm,0mm">
            <w:txbxContent>
              <w:p w14:paraId="704F97F8">
                <w:pPr>
                  <w:spacing w:before="0" w:line="203" w:lineRule="exact"/>
                  <w:ind w:left="20" w:right="0" w:firstLine="0"/>
                  <w:jc w:val="left"/>
                  <w:rPr>
                    <w:rFonts w:ascii="Calibri"/>
                    <w:sz w:val="18"/>
                  </w:rPr>
                </w:pPr>
                <w:r>
                  <w:rPr>
                    <w:rFonts w:ascii="Calibri"/>
                    <w:spacing w:val="-92"/>
                    <w:sz w:val="18"/>
                  </w:rPr>
                  <w:t>7</w:t>
                </w:r>
                <w:r>
                  <w:rPr>
                    <w:rFonts w:ascii="Calibri"/>
                    <w:sz w:val="18"/>
                  </w:rPr>
                  <w:t>1</w:t>
                </w:r>
              </w:p>
            </w:txbxContent>
          </v:textbox>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AD7D60">
    <w:pPr>
      <w:pStyle w:val="5"/>
      <w:spacing w:line="14" w:lineRule="auto"/>
      <w:rPr>
        <w:sz w:val="20"/>
      </w:rPr>
    </w:pPr>
    <w:r>
      <w:pict>
        <v:shape id="_x0000_s2049" o:spid="_x0000_s2049" o:spt="202" type="#_x0000_t202" style="position:absolute;left:0pt;margin-left:479.1pt;margin-top:44.35pt;height:11pt;width:60.45pt;mso-position-horizontal-relative:page;mso-position-vertical-relative:page;z-index:-251655168;mso-width-relative:page;mso-height-relative:page;" filled="f" stroked="f" coordsize="21600,21600">
          <v:path/>
          <v:fill on="f" focussize="0,0"/>
          <v:stroke on="f" joinstyle="miter"/>
          <v:imagedata o:title=""/>
          <o:lock v:ext="edit"/>
          <v:textbox inset="0mm,0mm,0mm,0mm">
            <w:txbxContent>
              <w:p w14:paraId="55E0808F">
                <w:pPr>
                  <w:spacing w:before="0" w:line="203" w:lineRule="exact"/>
                  <w:ind w:left="20" w:right="0" w:firstLine="0"/>
                  <w:jc w:val="left"/>
                  <w:rPr>
                    <w:rFonts w:ascii="Calibri"/>
                    <w:sz w:val="18"/>
                  </w:rPr>
                </w:pPr>
                <w:r>
                  <w:rPr>
                    <w:rFonts w:ascii="Calibri"/>
                    <w:sz w:val="18"/>
                  </w:rPr>
                  <w:t>T/HNJK 05-2022</w:t>
                </w:r>
              </w:p>
            </w:txbxContent>
          </v:textbox>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48F263">
    <w:pPr>
      <w:pStyle w:val="5"/>
      <w:spacing w:line="14" w:lineRule="auto"/>
      <w:rPr>
        <w:sz w:val="20"/>
      </w:rPr>
    </w:pPr>
    <w:r>
      <w:pict>
        <v:shape id="_x0000_s2050" o:spid="_x0000_s2050" o:spt="202" type="#_x0000_t202" style="position:absolute;left:0pt;margin-left:479.1pt;margin-top:44.35pt;height:11pt;width:60.45pt;mso-position-horizontal-relative:page;mso-position-vertical-relative:page;z-index:-251654144;mso-width-relative:page;mso-height-relative:page;" filled="f" stroked="f" coordsize="21600,21600">
          <v:path/>
          <v:fill on="f" focussize="0,0"/>
          <v:stroke on="f" joinstyle="miter"/>
          <v:imagedata o:title=""/>
          <o:lock v:ext="edit"/>
          <v:textbox inset="0mm,0mm,0mm,0mm">
            <w:txbxContent>
              <w:p w14:paraId="21DFB53C">
                <w:pPr>
                  <w:spacing w:before="0" w:line="203" w:lineRule="exact"/>
                  <w:ind w:left="20" w:right="0" w:firstLine="0"/>
                  <w:jc w:val="left"/>
                  <w:rPr>
                    <w:rFonts w:ascii="Calibri"/>
                    <w:sz w:val="18"/>
                  </w:rPr>
                </w:pPr>
                <w:r>
                  <w:rPr>
                    <w:rFonts w:ascii="Calibri"/>
                    <w:sz w:val="18"/>
                  </w:rPr>
                  <w:t>T/HNJK 05-2022</w:t>
                </w:r>
              </w:p>
            </w:txbxContent>
          </v:textbox>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01159F">
    <w:pPr>
      <w:pStyle w:val="5"/>
      <w:spacing w:line="14" w:lineRule="auto"/>
      <w:rPr>
        <w:sz w:val="20"/>
      </w:rPr>
    </w:pPr>
    <w:r>
      <w:pict>
        <v:shape id="_x0000_s2052" o:spid="_x0000_s2052" o:spt="202" type="#_x0000_t202" style="position:absolute;left:0pt;margin-left:479.1pt;margin-top:44.35pt;height:11pt;width:60.45pt;mso-position-horizontal-relative:page;mso-position-vertical-relative:page;z-index:-251652096;mso-width-relative:page;mso-height-relative:page;" filled="f" stroked="f" coordsize="21600,21600">
          <v:path/>
          <v:fill on="f" focussize="0,0"/>
          <v:stroke on="f" joinstyle="miter"/>
          <v:imagedata o:title=""/>
          <o:lock v:ext="edit"/>
          <v:textbox inset="0mm,0mm,0mm,0mm">
            <w:txbxContent>
              <w:p w14:paraId="302B14B1">
                <w:pPr>
                  <w:spacing w:before="0" w:line="203" w:lineRule="exact"/>
                  <w:ind w:left="20" w:right="0" w:firstLine="0"/>
                  <w:jc w:val="left"/>
                  <w:rPr>
                    <w:rFonts w:ascii="Calibri"/>
                    <w:sz w:val="18"/>
                  </w:rPr>
                </w:pPr>
                <w:r>
                  <w:rPr>
                    <w:rFonts w:ascii="Calibri"/>
                    <w:sz w:val="18"/>
                  </w:rPr>
                  <w:t>T/HNJK 05-2022</w:t>
                </w:r>
              </w:p>
            </w:txbxContent>
          </v:textbox>
        </v:shape>
      </w:pic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29C8CE">
    <w:pPr>
      <w:pStyle w:val="5"/>
      <w:spacing w:line="14" w:lineRule="auto"/>
      <w:rPr>
        <w:sz w:val="20"/>
      </w:rPr>
    </w:pPr>
    <w:r>
      <w:pict>
        <v:shape id="_x0000_s2054" o:spid="_x0000_s2054" o:spt="202" type="#_x0000_t202" style="position:absolute;left:0pt;margin-left:479.1pt;margin-top:44.35pt;height:11pt;width:60.45pt;mso-position-horizontal-relative:page;mso-position-vertical-relative:page;z-index:-251650048;mso-width-relative:page;mso-height-relative:page;" filled="f" stroked="f" coordsize="21600,21600">
          <v:path/>
          <v:fill on="f" focussize="0,0"/>
          <v:stroke on="f" joinstyle="miter"/>
          <v:imagedata o:title=""/>
          <o:lock v:ext="edit"/>
          <v:textbox inset="0mm,0mm,0mm,0mm">
            <w:txbxContent>
              <w:p w14:paraId="492CB594">
                <w:pPr>
                  <w:spacing w:before="0" w:line="203" w:lineRule="exact"/>
                  <w:ind w:left="20" w:right="0" w:firstLine="0"/>
                  <w:jc w:val="left"/>
                  <w:rPr>
                    <w:rFonts w:ascii="Calibri"/>
                    <w:sz w:val="18"/>
                  </w:rPr>
                </w:pPr>
                <w:r>
                  <w:rPr>
                    <w:rFonts w:ascii="Calibri"/>
                    <w:sz w:val="18"/>
                  </w:rPr>
                  <w:t>T/HNJK 05-2022</w:t>
                </w:r>
              </w:p>
            </w:txbxContent>
          </v:textbox>
        </v:shape>
      </w:pic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390955">
    <w:pPr>
      <w:pStyle w:val="5"/>
      <w:spacing w:line="14" w:lineRule="auto"/>
      <w:rPr>
        <w:sz w:val="20"/>
      </w:rPr>
    </w:pPr>
    <w:r>
      <w:pict>
        <v:shape id="_x0000_s2056" o:spid="_x0000_s2056" o:spt="202" type="#_x0000_t202" style="position:absolute;left:0pt;margin-left:479.1pt;margin-top:44.35pt;height:11pt;width:60.45pt;mso-position-horizontal-relative:page;mso-position-vertical-relative:page;z-index:-251648000;mso-width-relative:page;mso-height-relative:page;" filled="f" stroked="f" coordsize="21600,21600">
          <v:path/>
          <v:fill on="f" focussize="0,0"/>
          <v:stroke on="f" joinstyle="miter"/>
          <v:imagedata o:title=""/>
          <o:lock v:ext="edit"/>
          <v:textbox inset="0mm,0mm,0mm,0mm">
            <w:txbxContent>
              <w:p w14:paraId="2A65DA94">
                <w:pPr>
                  <w:spacing w:before="0" w:line="203" w:lineRule="exact"/>
                  <w:ind w:left="20" w:right="0" w:firstLine="0"/>
                  <w:jc w:val="left"/>
                  <w:rPr>
                    <w:rFonts w:ascii="Calibri"/>
                    <w:sz w:val="18"/>
                  </w:rPr>
                </w:pPr>
                <w:r>
                  <w:rPr>
                    <w:rFonts w:ascii="Calibri"/>
                    <w:sz w:val="18"/>
                  </w:rPr>
                  <w:t>T/HNJK 05-2022</w:t>
                </w:r>
              </w:p>
            </w:txbxContent>
          </v:textbox>
        </v:shape>
      </w:pic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058152">
    <w:pPr>
      <w:pStyle w:val="5"/>
      <w:spacing w:line="14" w:lineRule="auto"/>
      <w:rPr>
        <w:sz w:val="20"/>
      </w:rPr>
    </w:pPr>
    <w:r>
      <w:pict>
        <v:shape id="_x0000_s2058" o:spid="_x0000_s2058" o:spt="202" type="#_x0000_t202" style="position:absolute;left:0pt;margin-left:479.1pt;margin-top:44.35pt;height:11pt;width:60.45pt;mso-position-horizontal-relative:page;mso-position-vertical-relative:page;z-index:-251645952;mso-width-relative:page;mso-height-relative:page;" filled="f" stroked="f" coordsize="21600,21600">
          <v:path/>
          <v:fill on="f" focussize="0,0"/>
          <v:stroke on="f" joinstyle="miter"/>
          <v:imagedata o:title=""/>
          <o:lock v:ext="edit"/>
          <v:textbox inset="0mm,0mm,0mm,0mm">
            <w:txbxContent>
              <w:p w14:paraId="67B44582">
                <w:pPr>
                  <w:spacing w:before="0" w:line="203" w:lineRule="exact"/>
                  <w:ind w:left="20" w:right="0" w:firstLine="0"/>
                  <w:jc w:val="left"/>
                  <w:rPr>
                    <w:rFonts w:ascii="Calibri"/>
                    <w:sz w:val="18"/>
                  </w:rPr>
                </w:pPr>
                <w:r>
                  <w:rPr>
                    <w:rFonts w:ascii="Calibri"/>
                    <w:sz w:val="18"/>
                  </w:rPr>
                  <w:t>T/HNJK 05-2022</w:t>
                </w:r>
              </w:p>
            </w:txbxContent>
          </v:textbox>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5B50564"/>
    <w:multiLevelType w:val="multilevel"/>
    <w:tmpl w:val="85B50564"/>
    <w:lvl w:ilvl="0" w:tentative="0">
      <w:start w:val="3"/>
      <w:numFmt w:val="lowerLetter"/>
      <w:lvlText w:val="%1)"/>
      <w:lvlJc w:val="left"/>
      <w:pPr>
        <w:ind w:left="933" w:hanging="241"/>
        <w:jc w:val="left"/>
      </w:pPr>
      <w:rPr>
        <w:rFonts w:hint="default" w:ascii="新宋体" w:hAnsi="新宋体" w:eastAsia="新宋体" w:cs="新宋体"/>
        <w:w w:val="100"/>
        <w:sz w:val="22"/>
        <w:szCs w:val="22"/>
      </w:rPr>
    </w:lvl>
    <w:lvl w:ilvl="1" w:tentative="0">
      <w:start w:val="0"/>
      <w:numFmt w:val="bullet"/>
      <w:lvlText w:val="•"/>
      <w:lvlJc w:val="left"/>
      <w:pPr>
        <w:ind w:left="1944" w:hanging="241"/>
      </w:pPr>
      <w:rPr>
        <w:rFonts w:hint="default"/>
      </w:rPr>
    </w:lvl>
    <w:lvl w:ilvl="2" w:tentative="0">
      <w:start w:val="0"/>
      <w:numFmt w:val="bullet"/>
      <w:lvlText w:val="•"/>
      <w:lvlJc w:val="left"/>
      <w:pPr>
        <w:ind w:left="2949" w:hanging="241"/>
      </w:pPr>
      <w:rPr>
        <w:rFonts w:hint="default"/>
      </w:rPr>
    </w:lvl>
    <w:lvl w:ilvl="3" w:tentative="0">
      <w:start w:val="0"/>
      <w:numFmt w:val="bullet"/>
      <w:lvlText w:val="•"/>
      <w:lvlJc w:val="left"/>
      <w:pPr>
        <w:ind w:left="3953" w:hanging="241"/>
      </w:pPr>
      <w:rPr>
        <w:rFonts w:hint="default"/>
      </w:rPr>
    </w:lvl>
    <w:lvl w:ilvl="4" w:tentative="0">
      <w:start w:val="0"/>
      <w:numFmt w:val="bullet"/>
      <w:lvlText w:val="•"/>
      <w:lvlJc w:val="left"/>
      <w:pPr>
        <w:ind w:left="4958" w:hanging="241"/>
      </w:pPr>
      <w:rPr>
        <w:rFonts w:hint="default"/>
      </w:rPr>
    </w:lvl>
    <w:lvl w:ilvl="5" w:tentative="0">
      <w:start w:val="0"/>
      <w:numFmt w:val="bullet"/>
      <w:lvlText w:val="•"/>
      <w:lvlJc w:val="left"/>
      <w:pPr>
        <w:ind w:left="5963" w:hanging="241"/>
      </w:pPr>
      <w:rPr>
        <w:rFonts w:hint="default"/>
      </w:rPr>
    </w:lvl>
    <w:lvl w:ilvl="6" w:tentative="0">
      <w:start w:val="0"/>
      <w:numFmt w:val="bullet"/>
      <w:lvlText w:val="•"/>
      <w:lvlJc w:val="left"/>
      <w:pPr>
        <w:ind w:left="6967" w:hanging="241"/>
      </w:pPr>
      <w:rPr>
        <w:rFonts w:hint="default"/>
      </w:rPr>
    </w:lvl>
    <w:lvl w:ilvl="7" w:tentative="0">
      <w:start w:val="0"/>
      <w:numFmt w:val="bullet"/>
      <w:lvlText w:val="•"/>
      <w:lvlJc w:val="left"/>
      <w:pPr>
        <w:ind w:left="7972" w:hanging="241"/>
      </w:pPr>
      <w:rPr>
        <w:rFonts w:hint="default"/>
      </w:rPr>
    </w:lvl>
    <w:lvl w:ilvl="8" w:tentative="0">
      <w:start w:val="0"/>
      <w:numFmt w:val="bullet"/>
      <w:lvlText w:val="•"/>
      <w:lvlJc w:val="left"/>
      <w:pPr>
        <w:ind w:left="8976" w:hanging="241"/>
      </w:pPr>
      <w:rPr>
        <w:rFonts w:hint="default"/>
      </w:rPr>
    </w:lvl>
  </w:abstractNum>
  <w:abstractNum w:abstractNumId="1">
    <w:nsid w:val="CF092B84"/>
    <w:multiLevelType w:val="multilevel"/>
    <w:tmpl w:val="CF092B84"/>
    <w:lvl w:ilvl="0" w:tentative="0">
      <w:start w:val="10"/>
      <w:numFmt w:val="decimal"/>
      <w:lvlText w:val="%1"/>
      <w:lvlJc w:val="left"/>
      <w:pPr>
        <w:ind w:left="1050" w:hanging="420"/>
        <w:jc w:val="left"/>
      </w:pPr>
      <w:rPr>
        <w:rFonts w:hint="default" w:ascii="新宋体" w:hAnsi="新宋体" w:eastAsia="新宋体" w:cs="新宋体"/>
        <w:spacing w:val="0"/>
        <w:w w:val="100"/>
        <w:sz w:val="28"/>
        <w:szCs w:val="28"/>
      </w:rPr>
    </w:lvl>
    <w:lvl w:ilvl="1" w:tentative="0">
      <w:start w:val="1"/>
      <w:numFmt w:val="decimal"/>
      <w:lvlText w:val="%1.%2"/>
      <w:lvlJc w:val="left"/>
      <w:pPr>
        <w:ind w:left="1259" w:hanging="629"/>
        <w:jc w:val="left"/>
      </w:pPr>
      <w:rPr>
        <w:rFonts w:hint="default" w:ascii="新宋体" w:hAnsi="新宋体" w:eastAsia="新宋体" w:cs="新宋体"/>
        <w:spacing w:val="-4"/>
        <w:w w:val="100"/>
        <w:sz w:val="28"/>
        <w:szCs w:val="28"/>
      </w:rPr>
    </w:lvl>
    <w:lvl w:ilvl="2" w:tentative="0">
      <w:start w:val="0"/>
      <w:numFmt w:val="bullet"/>
      <w:lvlText w:val="•"/>
      <w:lvlJc w:val="left"/>
      <w:pPr>
        <w:ind w:left="2340" w:hanging="629"/>
      </w:pPr>
      <w:rPr>
        <w:rFonts w:hint="default"/>
      </w:rPr>
    </w:lvl>
    <w:lvl w:ilvl="3" w:tentative="0">
      <w:start w:val="0"/>
      <w:numFmt w:val="bullet"/>
      <w:lvlText w:val="•"/>
      <w:lvlJc w:val="left"/>
      <w:pPr>
        <w:ind w:left="3421" w:hanging="629"/>
      </w:pPr>
      <w:rPr>
        <w:rFonts w:hint="default"/>
      </w:rPr>
    </w:lvl>
    <w:lvl w:ilvl="4" w:tentative="0">
      <w:start w:val="0"/>
      <w:numFmt w:val="bullet"/>
      <w:lvlText w:val="•"/>
      <w:lvlJc w:val="left"/>
      <w:pPr>
        <w:ind w:left="4502" w:hanging="629"/>
      </w:pPr>
      <w:rPr>
        <w:rFonts w:hint="default"/>
      </w:rPr>
    </w:lvl>
    <w:lvl w:ilvl="5" w:tentative="0">
      <w:start w:val="0"/>
      <w:numFmt w:val="bullet"/>
      <w:lvlText w:val="•"/>
      <w:lvlJc w:val="left"/>
      <w:pPr>
        <w:ind w:left="5582" w:hanging="629"/>
      </w:pPr>
      <w:rPr>
        <w:rFonts w:hint="default"/>
      </w:rPr>
    </w:lvl>
    <w:lvl w:ilvl="6" w:tentative="0">
      <w:start w:val="0"/>
      <w:numFmt w:val="bullet"/>
      <w:lvlText w:val="•"/>
      <w:lvlJc w:val="left"/>
      <w:pPr>
        <w:ind w:left="6663" w:hanging="629"/>
      </w:pPr>
      <w:rPr>
        <w:rFonts w:hint="default"/>
      </w:rPr>
    </w:lvl>
    <w:lvl w:ilvl="7" w:tentative="0">
      <w:start w:val="0"/>
      <w:numFmt w:val="bullet"/>
      <w:lvlText w:val="•"/>
      <w:lvlJc w:val="left"/>
      <w:pPr>
        <w:ind w:left="7744" w:hanging="629"/>
      </w:pPr>
      <w:rPr>
        <w:rFonts w:hint="default"/>
      </w:rPr>
    </w:lvl>
    <w:lvl w:ilvl="8" w:tentative="0">
      <w:start w:val="0"/>
      <w:numFmt w:val="bullet"/>
      <w:lvlText w:val="•"/>
      <w:lvlJc w:val="left"/>
      <w:pPr>
        <w:ind w:left="8824" w:hanging="629"/>
      </w:pPr>
      <w:rPr>
        <w:rFonts w:hint="default"/>
      </w:rPr>
    </w:lvl>
  </w:abstractNum>
  <w:abstractNum w:abstractNumId="2">
    <w:nsid w:val="0053208E"/>
    <w:multiLevelType w:val="multilevel"/>
    <w:tmpl w:val="0053208E"/>
    <w:lvl w:ilvl="0" w:tentative="0">
      <w:start w:val="1"/>
      <w:numFmt w:val="decimal"/>
      <w:lvlText w:val="%1"/>
      <w:lvlJc w:val="left"/>
      <w:pPr>
        <w:ind w:left="908" w:hanging="279"/>
        <w:jc w:val="left"/>
      </w:pPr>
      <w:rPr>
        <w:rFonts w:hint="default" w:ascii="新宋体" w:hAnsi="新宋体" w:eastAsia="新宋体" w:cs="新宋体"/>
        <w:w w:val="100"/>
        <w:sz w:val="28"/>
        <w:szCs w:val="28"/>
      </w:rPr>
    </w:lvl>
    <w:lvl w:ilvl="1" w:tentative="0">
      <w:start w:val="1"/>
      <w:numFmt w:val="decimal"/>
      <w:lvlText w:val="%1.%2"/>
      <w:lvlJc w:val="left"/>
      <w:pPr>
        <w:ind w:left="1120" w:hanging="490"/>
        <w:jc w:val="left"/>
      </w:pPr>
      <w:rPr>
        <w:rFonts w:hint="default" w:ascii="新宋体" w:hAnsi="新宋体" w:eastAsia="新宋体" w:cs="新宋体"/>
        <w:spacing w:val="-2"/>
        <w:w w:val="100"/>
        <w:sz w:val="28"/>
        <w:szCs w:val="28"/>
      </w:rPr>
    </w:lvl>
    <w:lvl w:ilvl="2" w:tentative="0">
      <w:start w:val="0"/>
      <w:numFmt w:val="bullet"/>
      <w:lvlText w:val="•"/>
      <w:lvlJc w:val="left"/>
      <w:pPr>
        <w:ind w:left="2216" w:hanging="490"/>
      </w:pPr>
      <w:rPr>
        <w:rFonts w:hint="default"/>
      </w:rPr>
    </w:lvl>
    <w:lvl w:ilvl="3" w:tentative="0">
      <w:start w:val="0"/>
      <w:numFmt w:val="bullet"/>
      <w:lvlText w:val="•"/>
      <w:lvlJc w:val="left"/>
      <w:pPr>
        <w:ind w:left="3312" w:hanging="490"/>
      </w:pPr>
      <w:rPr>
        <w:rFonts w:hint="default"/>
      </w:rPr>
    </w:lvl>
    <w:lvl w:ilvl="4" w:tentative="0">
      <w:start w:val="0"/>
      <w:numFmt w:val="bullet"/>
      <w:lvlText w:val="•"/>
      <w:lvlJc w:val="left"/>
      <w:pPr>
        <w:ind w:left="4408" w:hanging="490"/>
      </w:pPr>
      <w:rPr>
        <w:rFonts w:hint="default"/>
      </w:rPr>
    </w:lvl>
    <w:lvl w:ilvl="5" w:tentative="0">
      <w:start w:val="0"/>
      <w:numFmt w:val="bullet"/>
      <w:lvlText w:val="•"/>
      <w:lvlJc w:val="left"/>
      <w:pPr>
        <w:ind w:left="5504" w:hanging="490"/>
      </w:pPr>
      <w:rPr>
        <w:rFonts w:hint="default"/>
      </w:rPr>
    </w:lvl>
    <w:lvl w:ilvl="6" w:tentative="0">
      <w:start w:val="0"/>
      <w:numFmt w:val="bullet"/>
      <w:lvlText w:val="•"/>
      <w:lvlJc w:val="left"/>
      <w:pPr>
        <w:ind w:left="6601" w:hanging="490"/>
      </w:pPr>
      <w:rPr>
        <w:rFonts w:hint="default"/>
      </w:rPr>
    </w:lvl>
    <w:lvl w:ilvl="7" w:tentative="0">
      <w:start w:val="0"/>
      <w:numFmt w:val="bullet"/>
      <w:lvlText w:val="•"/>
      <w:lvlJc w:val="left"/>
      <w:pPr>
        <w:ind w:left="7697" w:hanging="490"/>
      </w:pPr>
      <w:rPr>
        <w:rFonts w:hint="default"/>
      </w:rPr>
    </w:lvl>
    <w:lvl w:ilvl="8" w:tentative="0">
      <w:start w:val="0"/>
      <w:numFmt w:val="bullet"/>
      <w:lvlText w:val="•"/>
      <w:lvlJc w:val="left"/>
      <w:pPr>
        <w:ind w:left="8793" w:hanging="490"/>
      </w:pPr>
      <w:rPr>
        <w:rFonts w:hint="default"/>
      </w:rPr>
    </w:lvl>
  </w:abstractNum>
  <w:abstractNum w:abstractNumId="3">
    <w:nsid w:val="01DD759D"/>
    <w:multiLevelType w:val="multilevel"/>
    <w:tmpl w:val="01DD759D"/>
    <w:lvl w:ilvl="0" w:tentative="0">
      <w:start w:val="6"/>
      <w:numFmt w:val="lowerLetter"/>
      <w:lvlText w:val="%1)"/>
      <w:lvlJc w:val="left"/>
      <w:pPr>
        <w:ind w:left="933" w:hanging="241"/>
        <w:jc w:val="left"/>
      </w:pPr>
      <w:rPr>
        <w:rFonts w:hint="default" w:ascii="新宋体" w:hAnsi="新宋体" w:eastAsia="新宋体" w:cs="新宋体"/>
        <w:w w:val="100"/>
        <w:sz w:val="22"/>
        <w:szCs w:val="22"/>
      </w:rPr>
    </w:lvl>
    <w:lvl w:ilvl="1" w:tentative="0">
      <w:start w:val="0"/>
      <w:numFmt w:val="bullet"/>
      <w:lvlText w:val="•"/>
      <w:lvlJc w:val="left"/>
      <w:pPr>
        <w:ind w:left="1944" w:hanging="241"/>
      </w:pPr>
      <w:rPr>
        <w:rFonts w:hint="default"/>
      </w:rPr>
    </w:lvl>
    <w:lvl w:ilvl="2" w:tentative="0">
      <w:start w:val="0"/>
      <w:numFmt w:val="bullet"/>
      <w:lvlText w:val="•"/>
      <w:lvlJc w:val="left"/>
      <w:pPr>
        <w:ind w:left="2949" w:hanging="241"/>
      </w:pPr>
      <w:rPr>
        <w:rFonts w:hint="default"/>
      </w:rPr>
    </w:lvl>
    <w:lvl w:ilvl="3" w:tentative="0">
      <w:start w:val="0"/>
      <w:numFmt w:val="bullet"/>
      <w:lvlText w:val="•"/>
      <w:lvlJc w:val="left"/>
      <w:pPr>
        <w:ind w:left="3953" w:hanging="241"/>
      </w:pPr>
      <w:rPr>
        <w:rFonts w:hint="default"/>
      </w:rPr>
    </w:lvl>
    <w:lvl w:ilvl="4" w:tentative="0">
      <w:start w:val="0"/>
      <w:numFmt w:val="bullet"/>
      <w:lvlText w:val="•"/>
      <w:lvlJc w:val="left"/>
      <w:pPr>
        <w:ind w:left="4958" w:hanging="241"/>
      </w:pPr>
      <w:rPr>
        <w:rFonts w:hint="default"/>
      </w:rPr>
    </w:lvl>
    <w:lvl w:ilvl="5" w:tentative="0">
      <w:start w:val="0"/>
      <w:numFmt w:val="bullet"/>
      <w:lvlText w:val="•"/>
      <w:lvlJc w:val="left"/>
      <w:pPr>
        <w:ind w:left="5963" w:hanging="241"/>
      </w:pPr>
      <w:rPr>
        <w:rFonts w:hint="default"/>
      </w:rPr>
    </w:lvl>
    <w:lvl w:ilvl="6" w:tentative="0">
      <w:start w:val="0"/>
      <w:numFmt w:val="bullet"/>
      <w:lvlText w:val="•"/>
      <w:lvlJc w:val="left"/>
      <w:pPr>
        <w:ind w:left="6967" w:hanging="241"/>
      </w:pPr>
      <w:rPr>
        <w:rFonts w:hint="default"/>
      </w:rPr>
    </w:lvl>
    <w:lvl w:ilvl="7" w:tentative="0">
      <w:start w:val="0"/>
      <w:numFmt w:val="bullet"/>
      <w:lvlText w:val="•"/>
      <w:lvlJc w:val="left"/>
      <w:pPr>
        <w:ind w:left="7972" w:hanging="241"/>
      </w:pPr>
      <w:rPr>
        <w:rFonts w:hint="default"/>
      </w:rPr>
    </w:lvl>
    <w:lvl w:ilvl="8" w:tentative="0">
      <w:start w:val="0"/>
      <w:numFmt w:val="bullet"/>
      <w:lvlText w:val="•"/>
      <w:lvlJc w:val="left"/>
      <w:pPr>
        <w:ind w:left="8976" w:hanging="241"/>
      </w:pPr>
      <w:rPr>
        <w:rFonts w:hint="default"/>
      </w:rPr>
    </w:lvl>
  </w:abstractNum>
  <w:abstractNum w:abstractNumId="4">
    <w:nsid w:val="18EDB284"/>
    <w:multiLevelType w:val="multilevel"/>
    <w:tmpl w:val="18EDB284"/>
    <w:lvl w:ilvl="0" w:tentative="0">
      <w:start w:val="4"/>
      <w:numFmt w:val="lowerLetter"/>
      <w:lvlText w:val="%1)"/>
      <w:lvlJc w:val="left"/>
      <w:pPr>
        <w:ind w:left="933" w:hanging="241"/>
        <w:jc w:val="left"/>
      </w:pPr>
      <w:rPr>
        <w:rFonts w:hint="default" w:ascii="新宋体" w:hAnsi="新宋体" w:eastAsia="新宋体" w:cs="新宋体"/>
        <w:w w:val="100"/>
        <w:sz w:val="22"/>
        <w:szCs w:val="22"/>
      </w:rPr>
    </w:lvl>
    <w:lvl w:ilvl="1" w:tentative="0">
      <w:start w:val="0"/>
      <w:numFmt w:val="bullet"/>
      <w:lvlText w:val="•"/>
      <w:lvlJc w:val="left"/>
      <w:pPr>
        <w:ind w:left="1944" w:hanging="241"/>
      </w:pPr>
      <w:rPr>
        <w:rFonts w:hint="default"/>
      </w:rPr>
    </w:lvl>
    <w:lvl w:ilvl="2" w:tentative="0">
      <w:start w:val="0"/>
      <w:numFmt w:val="bullet"/>
      <w:lvlText w:val="•"/>
      <w:lvlJc w:val="left"/>
      <w:pPr>
        <w:ind w:left="2949" w:hanging="241"/>
      </w:pPr>
      <w:rPr>
        <w:rFonts w:hint="default"/>
      </w:rPr>
    </w:lvl>
    <w:lvl w:ilvl="3" w:tentative="0">
      <w:start w:val="0"/>
      <w:numFmt w:val="bullet"/>
      <w:lvlText w:val="•"/>
      <w:lvlJc w:val="left"/>
      <w:pPr>
        <w:ind w:left="3953" w:hanging="241"/>
      </w:pPr>
      <w:rPr>
        <w:rFonts w:hint="default"/>
      </w:rPr>
    </w:lvl>
    <w:lvl w:ilvl="4" w:tentative="0">
      <w:start w:val="0"/>
      <w:numFmt w:val="bullet"/>
      <w:lvlText w:val="•"/>
      <w:lvlJc w:val="left"/>
      <w:pPr>
        <w:ind w:left="4958" w:hanging="241"/>
      </w:pPr>
      <w:rPr>
        <w:rFonts w:hint="default"/>
      </w:rPr>
    </w:lvl>
    <w:lvl w:ilvl="5" w:tentative="0">
      <w:start w:val="0"/>
      <w:numFmt w:val="bullet"/>
      <w:lvlText w:val="•"/>
      <w:lvlJc w:val="left"/>
      <w:pPr>
        <w:ind w:left="5963" w:hanging="241"/>
      </w:pPr>
      <w:rPr>
        <w:rFonts w:hint="default"/>
      </w:rPr>
    </w:lvl>
    <w:lvl w:ilvl="6" w:tentative="0">
      <w:start w:val="0"/>
      <w:numFmt w:val="bullet"/>
      <w:lvlText w:val="•"/>
      <w:lvlJc w:val="left"/>
      <w:pPr>
        <w:ind w:left="6967" w:hanging="241"/>
      </w:pPr>
      <w:rPr>
        <w:rFonts w:hint="default"/>
      </w:rPr>
    </w:lvl>
    <w:lvl w:ilvl="7" w:tentative="0">
      <w:start w:val="0"/>
      <w:numFmt w:val="bullet"/>
      <w:lvlText w:val="•"/>
      <w:lvlJc w:val="left"/>
      <w:pPr>
        <w:ind w:left="7972" w:hanging="241"/>
      </w:pPr>
      <w:rPr>
        <w:rFonts w:hint="default"/>
      </w:rPr>
    </w:lvl>
    <w:lvl w:ilvl="8" w:tentative="0">
      <w:start w:val="0"/>
      <w:numFmt w:val="bullet"/>
      <w:lvlText w:val="•"/>
      <w:lvlJc w:val="left"/>
      <w:pPr>
        <w:ind w:left="8976" w:hanging="241"/>
      </w:pPr>
      <w:rPr>
        <w:rFonts w:hint="default"/>
      </w:rPr>
    </w:lvl>
  </w:abstractNum>
  <w:abstractNum w:abstractNumId="5">
    <w:nsid w:val="3B2BB25D"/>
    <w:multiLevelType w:val="multilevel"/>
    <w:tmpl w:val="3B2BB25D"/>
    <w:lvl w:ilvl="0" w:tentative="0">
      <w:start w:val="1"/>
      <w:numFmt w:val="decimal"/>
      <w:lvlText w:val="%1"/>
      <w:lvlJc w:val="left"/>
      <w:pPr>
        <w:ind w:left="455" w:hanging="243"/>
        <w:jc w:val="left"/>
      </w:pPr>
      <w:rPr>
        <w:rFonts w:hint="default" w:ascii="新宋体" w:hAnsi="新宋体" w:eastAsia="新宋体" w:cs="新宋体"/>
        <w:b/>
        <w:bCs/>
        <w:w w:val="99"/>
        <w:sz w:val="24"/>
        <w:szCs w:val="24"/>
      </w:rPr>
    </w:lvl>
    <w:lvl w:ilvl="1" w:tentative="0">
      <w:start w:val="1"/>
      <w:numFmt w:val="decimal"/>
      <w:lvlText w:val="%1.%2"/>
      <w:lvlJc w:val="left"/>
      <w:pPr>
        <w:ind w:left="683" w:hanging="471"/>
        <w:jc w:val="left"/>
      </w:pPr>
      <w:rPr>
        <w:rFonts w:hint="default" w:ascii="新宋体" w:hAnsi="新宋体" w:eastAsia="新宋体" w:cs="新宋体"/>
        <w:spacing w:val="-3"/>
        <w:w w:val="100"/>
        <w:sz w:val="24"/>
        <w:szCs w:val="24"/>
      </w:rPr>
    </w:lvl>
    <w:lvl w:ilvl="2" w:tentative="0">
      <w:start w:val="1"/>
      <w:numFmt w:val="decimal"/>
      <w:lvlText w:val="%1.%2.%3"/>
      <w:lvlJc w:val="left"/>
      <w:pPr>
        <w:ind w:left="932" w:hanging="720"/>
        <w:jc w:val="left"/>
      </w:pPr>
      <w:rPr>
        <w:rFonts w:hint="default" w:ascii="新宋体" w:hAnsi="新宋体" w:eastAsia="新宋体" w:cs="新宋体"/>
        <w:w w:val="100"/>
        <w:sz w:val="24"/>
        <w:szCs w:val="24"/>
      </w:rPr>
    </w:lvl>
    <w:lvl w:ilvl="3" w:tentative="0">
      <w:start w:val="1"/>
      <w:numFmt w:val="lowerLetter"/>
      <w:lvlText w:val="%4)"/>
      <w:lvlJc w:val="left"/>
      <w:pPr>
        <w:ind w:left="692" w:hanging="241"/>
        <w:jc w:val="left"/>
      </w:pPr>
      <w:rPr>
        <w:rFonts w:hint="default" w:ascii="新宋体" w:hAnsi="新宋体" w:eastAsia="新宋体" w:cs="新宋体"/>
        <w:spacing w:val="-17"/>
        <w:w w:val="100"/>
        <w:sz w:val="22"/>
        <w:szCs w:val="22"/>
      </w:rPr>
    </w:lvl>
    <w:lvl w:ilvl="4" w:tentative="0">
      <w:start w:val="0"/>
      <w:numFmt w:val="bullet"/>
      <w:lvlText w:val="•"/>
      <w:lvlJc w:val="left"/>
      <w:pPr>
        <w:ind w:left="820" w:hanging="241"/>
      </w:pPr>
      <w:rPr>
        <w:rFonts w:hint="default"/>
      </w:rPr>
    </w:lvl>
    <w:lvl w:ilvl="5" w:tentative="0">
      <w:start w:val="0"/>
      <w:numFmt w:val="bullet"/>
      <w:lvlText w:val="•"/>
      <w:lvlJc w:val="left"/>
      <w:pPr>
        <w:ind w:left="940" w:hanging="241"/>
      </w:pPr>
      <w:rPr>
        <w:rFonts w:hint="default"/>
      </w:rPr>
    </w:lvl>
    <w:lvl w:ilvl="6" w:tentative="0">
      <w:start w:val="0"/>
      <w:numFmt w:val="bullet"/>
      <w:lvlText w:val="•"/>
      <w:lvlJc w:val="left"/>
      <w:pPr>
        <w:ind w:left="1060" w:hanging="241"/>
      </w:pPr>
      <w:rPr>
        <w:rFonts w:hint="default"/>
      </w:rPr>
    </w:lvl>
    <w:lvl w:ilvl="7" w:tentative="0">
      <w:start w:val="0"/>
      <w:numFmt w:val="bullet"/>
      <w:lvlText w:val="•"/>
      <w:lvlJc w:val="left"/>
      <w:pPr>
        <w:ind w:left="3541" w:hanging="241"/>
      </w:pPr>
      <w:rPr>
        <w:rFonts w:hint="default"/>
      </w:rPr>
    </w:lvl>
    <w:lvl w:ilvl="8" w:tentative="0">
      <w:start w:val="0"/>
      <w:numFmt w:val="bullet"/>
      <w:lvlText w:val="•"/>
      <w:lvlJc w:val="left"/>
      <w:pPr>
        <w:ind w:left="6023" w:hanging="241"/>
      </w:pPr>
      <w:rPr>
        <w:rFonts w:hint="default"/>
      </w:rPr>
    </w:lvl>
  </w:abstractNum>
  <w:abstractNum w:abstractNumId="6">
    <w:nsid w:val="7A9D7ACA"/>
    <w:multiLevelType w:val="multilevel"/>
    <w:tmpl w:val="7A9D7ACA"/>
    <w:lvl w:ilvl="0" w:tentative="0">
      <w:start w:val="2"/>
      <w:numFmt w:val="lowerLetter"/>
      <w:lvlText w:val="%1)"/>
      <w:lvlJc w:val="left"/>
      <w:pPr>
        <w:ind w:left="933" w:hanging="241"/>
        <w:jc w:val="left"/>
      </w:pPr>
      <w:rPr>
        <w:rFonts w:hint="default" w:ascii="新宋体" w:hAnsi="新宋体" w:eastAsia="新宋体" w:cs="新宋体"/>
        <w:w w:val="100"/>
        <w:sz w:val="22"/>
        <w:szCs w:val="22"/>
      </w:rPr>
    </w:lvl>
    <w:lvl w:ilvl="1" w:tentative="0">
      <w:start w:val="0"/>
      <w:numFmt w:val="bullet"/>
      <w:lvlText w:val="•"/>
      <w:lvlJc w:val="left"/>
      <w:pPr>
        <w:ind w:left="1944" w:hanging="241"/>
      </w:pPr>
      <w:rPr>
        <w:rFonts w:hint="default"/>
      </w:rPr>
    </w:lvl>
    <w:lvl w:ilvl="2" w:tentative="0">
      <w:start w:val="0"/>
      <w:numFmt w:val="bullet"/>
      <w:lvlText w:val="•"/>
      <w:lvlJc w:val="left"/>
      <w:pPr>
        <w:ind w:left="2949" w:hanging="241"/>
      </w:pPr>
      <w:rPr>
        <w:rFonts w:hint="default"/>
      </w:rPr>
    </w:lvl>
    <w:lvl w:ilvl="3" w:tentative="0">
      <w:start w:val="0"/>
      <w:numFmt w:val="bullet"/>
      <w:lvlText w:val="•"/>
      <w:lvlJc w:val="left"/>
      <w:pPr>
        <w:ind w:left="3953" w:hanging="241"/>
      </w:pPr>
      <w:rPr>
        <w:rFonts w:hint="default"/>
      </w:rPr>
    </w:lvl>
    <w:lvl w:ilvl="4" w:tentative="0">
      <w:start w:val="0"/>
      <w:numFmt w:val="bullet"/>
      <w:lvlText w:val="•"/>
      <w:lvlJc w:val="left"/>
      <w:pPr>
        <w:ind w:left="4958" w:hanging="241"/>
      </w:pPr>
      <w:rPr>
        <w:rFonts w:hint="default"/>
      </w:rPr>
    </w:lvl>
    <w:lvl w:ilvl="5" w:tentative="0">
      <w:start w:val="0"/>
      <w:numFmt w:val="bullet"/>
      <w:lvlText w:val="•"/>
      <w:lvlJc w:val="left"/>
      <w:pPr>
        <w:ind w:left="5963" w:hanging="241"/>
      </w:pPr>
      <w:rPr>
        <w:rFonts w:hint="default"/>
      </w:rPr>
    </w:lvl>
    <w:lvl w:ilvl="6" w:tentative="0">
      <w:start w:val="0"/>
      <w:numFmt w:val="bullet"/>
      <w:lvlText w:val="•"/>
      <w:lvlJc w:val="left"/>
      <w:pPr>
        <w:ind w:left="6967" w:hanging="241"/>
      </w:pPr>
      <w:rPr>
        <w:rFonts w:hint="default"/>
      </w:rPr>
    </w:lvl>
    <w:lvl w:ilvl="7" w:tentative="0">
      <w:start w:val="0"/>
      <w:numFmt w:val="bullet"/>
      <w:lvlText w:val="•"/>
      <w:lvlJc w:val="left"/>
      <w:pPr>
        <w:ind w:left="7972" w:hanging="241"/>
      </w:pPr>
      <w:rPr>
        <w:rFonts w:hint="default"/>
      </w:rPr>
    </w:lvl>
    <w:lvl w:ilvl="8" w:tentative="0">
      <w:start w:val="0"/>
      <w:numFmt w:val="bullet"/>
      <w:lvlText w:val="•"/>
      <w:lvlJc w:val="left"/>
      <w:pPr>
        <w:ind w:left="8976" w:hanging="241"/>
      </w:pPr>
      <w:rPr>
        <w:rFonts w:hint="default"/>
      </w:rPr>
    </w:lvl>
  </w:abstractNum>
  <w:num w:numId="1">
    <w:abstractNumId w:val="2"/>
  </w:num>
  <w:num w:numId="2">
    <w:abstractNumId w:val="1"/>
  </w:num>
  <w:num w:numId="3">
    <w:abstractNumId w:val="5"/>
  </w:num>
  <w:num w:numId="4">
    <w:abstractNumId w:val="4"/>
  </w:num>
  <w:num w:numId="5">
    <w:abstractNumId w:val="6"/>
  </w:num>
  <w:num w:numId="6">
    <w:abstractNumId w:val="0"/>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3"/>
  <w:documentProtection w:enforcement="0"/>
  <w:defaultTabStop w:val="720"/>
  <w:drawingGridHorizontalSpacing w:val="110"/>
  <w:displayHorizontalDrawingGridEvery w:val="2"/>
  <w:characterSpacingControl w:val="doNotCompress"/>
  <w:hdrShapeDefaults>
    <o:shapelayout v:ext="edit">
      <o:idmap v:ext="edit" data="2"/>
    </o:shapelayout>
  </w:hdrShapeDefaults>
  <w:footnotePr>
    <w:footnote w:id="0"/>
    <w:footnote w:id="1"/>
  </w:footnotePr>
  <w:endnotePr>
    <w:endnote w:id="0"/>
    <w:endnote w:id="1"/>
  </w:endnotePr>
  <w:compat>
    <w:ulTrailSpace/>
    <w:shapeLayoutLikeWW8/>
    <w:useFELayout/>
    <w:compatSetting w:name="compatibilityMode" w:uri="http://schemas.microsoft.com/office/word" w:val="12"/>
  </w:compat>
  <w:rsids>
    <w:rsidRoot w:val="00000000"/>
    <w:rsid w:val="6678023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nhideWhenUsed="0" w:uiPriority="1" w:semiHidden="0" w:name="heading 2"/>
    <w:lsdException w:qFormat="1" w:unhideWhenUsed="0" w:uiPriority="1"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1"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spacing w:before="0" w:after="0" w:line="240" w:lineRule="auto"/>
      <w:ind w:left="0" w:right="0"/>
      <w:jc w:val="left"/>
    </w:pPr>
    <w:rPr>
      <w:rFonts w:ascii="新宋体" w:hAnsi="新宋体" w:eastAsia="新宋体" w:cs="新宋体"/>
      <w:sz w:val="22"/>
      <w:szCs w:val="22"/>
      <w:lang w:val="en-US" w:eastAsia="en-US" w:bidi="ar-SA"/>
    </w:rPr>
  </w:style>
  <w:style w:type="paragraph" w:styleId="2">
    <w:name w:val="heading 1"/>
    <w:basedOn w:val="1"/>
    <w:qFormat/>
    <w:uiPriority w:val="1"/>
    <w:pPr>
      <w:spacing w:before="224"/>
      <w:ind w:left="4614" w:right="5533"/>
      <w:jc w:val="center"/>
      <w:outlineLvl w:val="1"/>
    </w:pPr>
    <w:rPr>
      <w:rFonts w:ascii="新宋体" w:hAnsi="新宋体" w:eastAsia="新宋体" w:cs="新宋体"/>
      <w:b/>
      <w:bCs/>
      <w:sz w:val="28"/>
      <w:szCs w:val="28"/>
    </w:rPr>
  </w:style>
  <w:style w:type="paragraph" w:styleId="3">
    <w:name w:val="heading 2"/>
    <w:basedOn w:val="1"/>
    <w:qFormat/>
    <w:uiPriority w:val="1"/>
    <w:pPr>
      <w:ind w:left="212" w:right="1130"/>
      <w:outlineLvl w:val="2"/>
    </w:pPr>
    <w:rPr>
      <w:rFonts w:ascii="新宋体" w:hAnsi="新宋体" w:eastAsia="新宋体" w:cs="新宋体"/>
      <w:sz w:val="28"/>
      <w:szCs w:val="28"/>
    </w:rPr>
  </w:style>
  <w:style w:type="paragraph" w:styleId="4">
    <w:name w:val="heading 3"/>
    <w:basedOn w:val="1"/>
    <w:qFormat/>
    <w:uiPriority w:val="1"/>
    <w:pPr>
      <w:ind w:left="455" w:hanging="244"/>
      <w:outlineLvl w:val="3"/>
    </w:pPr>
    <w:rPr>
      <w:rFonts w:ascii="新宋体" w:hAnsi="新宋体" w:eastAsia="新宋体" w:cs="新宋体"/>
      <w:b/>
      <w:bCs/>
      <w:sz w:val="24"/>
      <w:szCs w:val="24"/>
    </w:rPr>
  </w:style>
  <w:style w:type="character" w:default="1" w:styleId="8">
    <w:name w:val="Default Paragraph Font"/>
    <w:semiHidden/>
    <w:unhideWhenUsed/>
    <w:uiPriority w:val="1"/>
  </w:style>
  <w:style w:type="table" w:default="1" w:styleId="7">
    <w:name w:val="Normal Table"/>
    <w:semiHidden/>
    <w:uiPriority w:val="0"/>
    <w:tblPr>
      <w:tblCellMar>
        <w:top w:w="0" w:type="dxa"/>
        <w:left w:w="108" w:type="dxa"/>
        <w:bottom w:w="0" w:type="dxa"/>
        <w:right w:w="108" w:type="dxa"/>
      </w:tblCellMar>
    </w:tblPr>
  </w:style>
  <w:style w:type="paragraph" w:styleId="5">
    <w:name w:val="Body Text"/>
    <w:basedOn w:val="1"/>
    <w:qFormat/>
    <w:uiPriority w:val="1"/>
    <w:rPr>
      <w:rFonts w:ascii="新宋体" w:hAnsi="新宋体" w:eastAsia="新宋体" w:cs="新宋体"/>
      <w:sz w:val="24"/>
      <w:szCs w:val="24"/>
    </w:rPr>
  </w:style>
  <w:style w:type="paragraph" w:styleId="6">
    <w:name w:val="toc 1"/>
    <w:basedOn w:val="1"/>
    <w:qFormat/>
    <w:uiPriority w:val="1"/>
    <w:pPr>
      <w:spacing w:before="121"/>
      <w:ind w:left="908" w:hanging="279"/>
    </w:pPr>
    <w:rPr>
      <w:rFonts w:ascii="新宋体" w:hAnsi="新宋体" w:eastAsia="新宋体" w:cs="新宋体"/>
      <w:sz w:val="28"/>
      <w:szCs w:val="28"/>
    </w:rPr>
  </w:style>
  <w:style w:type="table" w:customStyle="1" w:styleId="9">
    <w:name w:val="Table Normal"/>
    <w:semiHidden/>
    <w:unhideWhenUsed/>
    <w:qFormat/>
    <w:uiPriority w:val="2"/>
    <w:tblPr>
      <w:tblCellMar>
        <w:top w:w="0" w:type="dxa"/>
        <w:left w:w="0" w:type="dxa"/>
        <w:bottom w:w="0" w:type="dxa"/>
        <w:right w:w="0" w:type="dxa"/>
      </w:tblCellMar>
    </w:tblPr>
  </w:style>
  <w:style w:type="paragraph" w:styleId="10">
    <w:name w:val="List Paragraph"/>
    <w:basedOn w:val="1"/>
    <w:qFormat/>
    <w:uiPriority w:val="1"/>
    <w:pPr>
      <w:ind w:left="692" w:hanging="481"/>
    </w:pPr>
    <w:rPr>
      <w:rFonts w:ascii="新宋体" w:hAnsi="新宋体" w:eastAsia="新宋体" w:cs="新宋体"/>
    </w:rPr>
  </w:style>
  <w:style w:type="paragraph" w:customStyle="1" w:styleId="11">
    <w:name w:val="Table Paragraph"/>
    <w:basedOn w:val="1"/>
    <w:qFormat/>
    <w:uiPriority w:val="1"/>
    <w:pPr>
      <w:spacing w:before="2" w:line="288" w:lineRule="exact"/>
      <w:ind w:left="587"/>
    </w:pPr>
    <w:rPr>
      <w:rFonts w:ascii="新宋体" w:hAnsi="新宋体" w:eastAsia="新宋体" w:cs="新宋体"/>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header" Target="header3.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2" Type="http://schemas.openxmlformats.org/officeDocument/2006/relationships/fontTable" Target="fontTable.xml"/><Relationship Id="rId21" Type="http://schemas.openxmlformats.org/officeDocument/2006/relationships/numbering" Target="numbering.xml"/><Relationship Id="rId20" Type="http://schemas.openxmlformats.org/officeDocument/2006/relationships/customXml" Target="../customXml/item1.xml"/><Relationship Id="rId2" Type="http://schemas.openxmlformats.org/officeDocument/2006/relationships/settings" Target="settings.xml"/><Relationship Id="rId19" Type="http://schemas.openxmlformats.org/officeDocument/2006/relationships/image" Target="media/image3.jpeg"/><Relationship Id="rId18" Type="http://schemas.openxmlformats.org/officeDocument/2006/relationships/image" Target="media/image2.png"/><Relationship Id="rId17" Type="http://schemas.openxmlformats.org/officeDocument/2006/relationships/image" Target="media/image1.png"/><Relationship Id="rId16" Type="http://schemas.openxmlformats.org/officeDocument/2006/relationships/theme" Target="theme/theme1.xml"/><Relationship Id="rId15" Type="http://schemas.openxmlformats.org/officeDocument/2006/relationships/footer" Target="footer5.xml"/><Relationship Id="rId14" Type="http://schemas.openxmlformats.org/officeDocument/2006/relationships/header" Target="header6.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footer" Target="footer3.xml"/><Relationship Id="rId10" Type="http://schemas.openxmlformats.org/officeDocument/2006/relationships/header" Target="header4.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ops>
  <customShpExts>
    <customShpInfo spid="_x0000_s2049"/>
    <customShpInfo spid="_x0000_s2050"/>
    <customShpInfo spid="_x0000_s2051"/>
    <customShpInfo spid="_x0000_s2052"/>
    <customShpInfo spid="_x0000_s2053"/>
    <customShpInfo spid="_x0000_s2054"/>
    <customShpInfo spid="_x0000_s2055"/>
    <customShpInfo spid="_x0000_s2056"/>
    <customShpInfo spid="_x0000_s2057"/>
    <customShpInfo spid="_x0000_s2058"/>
    <customShpInfo spid="_x0000_s2059"/>
    <customShpInfo spid="_x0000_s1027"/>
    <customShpInfo spid="_x0000_s1028"/>
    <customShpInfo spid="_x0000_s1029"/>
    <customShpInfo spid="_x0000_s1030"/>
    <customShpInfo spid="_x0000_s1031"/>
    <customShpInfo spid="_x0000_s1032"/>
    <customShpInfo spid="_x0000_s1033"/>
    <customShpInfo spid="_x0000_s1034"/>
    <customShpInfo spid="_x0000_s1035"/>
    <customShpInfo spid="_x0000_s103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10</Pages>
  <Words>4588</Words>
  <Characters>5074</Characters>
  <TotalTime>0</TotalTime>
  <ScaleCrop>false</ScaleCrop>
  <LinksUpToDate>false</LinksUpToDate>
  <CharactersWithSpaces>5239</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2025-03-11T08:19:00Z</dcterms:created>
  <dc:creator>Administrator</dc:creator>
  <cp:lastModifiedBy>绝地反击</cp:lastModifiedBy>
  <dcterms:modified xsi:type="dcterms:W3CDTF">2025-03-11T09:10:56Z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2022-07-12T00:00:00Z</vt:filetime>
  </property>
  <property fmtid="{D5CDD505-2E9C-101B-9397-08002B2CF9AE}" pid="3" name="Creator">
    <vt:lpwstr>WPS 文字</vt:lpwstr>
  </property>
  <property fmtid="{D5CDD505-2E9C-101B-9397-08002B2CF9AE}" pid="4" name="LastSaved">
    <vt:filetime>2025-03-11T00:00:00Z</vt:filetime>
  </property>
  <property fmtid="{D5CDD505-2E9C-101B-9397-08002B2CF9AE}" pid="5" name="KSOTemplateDocerSaveRecord">
    <vt:lpwstr>eyJoZGlkIjoiNGE0OWY5ZjM1MmJmNmYyN2JmYzA2ZDVmM2NmYWE2NTgiLCJ1c2VySWQiOiIyMjc5MTcwNDUifQ==</vt:lpwstr>
  </property>
  <property fmtid="{D5CDD505-2E9C-101B-9397-08002B2CF9AE}" pid="6" name="KSOProductBuildVer">
    <vt:lpwstr>2052-12.1.0.20305</vt:lpwstr>
  </property>
  <property fmtid="{D5CDD505-2E9C-101B-9397-08002B2CF9AE}" pid="7" name="ICV">
    <vt:lpwstr>4F567963C1E44552BE068EAE577D975A_12</vt:lpwstr>
  </property>
</Properties>
</file>