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B65" w:rsidRDefault="00357864">
      <w:pPr>
        <w:outlineLvl w:val="0"/>
        <w:rPr>
          <w:rFonts w:ascii="宋体" w:hAnsi="宋体"/>
        </w:rPr>
      </w:pPr>
      <w:r>
        <w:rPr>
          <w:rFonts w:ascii="宋体" w:hAnsi="宋体" w:hint="eastAsia"/>
        </w:rPr>
        <w:t>03.080</w:t>
      </w:r>
    </w:p>
    <w:p w:rsidR="00BF7B65" w:rsidRDefault="00357864">
      <w:pPr>
        <w:rPr>
          <w:rFonts w:ascii="宋体" w:hAnsi="宋体"/>
        </w:rPr>
      </w:pPr>
      <w:r>
        <w:rPr>
          <w:rFonts w:ascii="宋体" w:hAnsi="宋体" w:hint="eastAsia"/>
        </w:rPr>
        <w:t>A 10</w:t>
      </w:r>
    </w:p>
    <w:p w:rsidR="00BF7B65" w:rsidRDefault="00BF7B65">
      <w:pPr>
        <w:rPr>
          <w:rFonts w:ascii="宋体" w:hAnsi="宋体"/>
          <w:szCs w:val="22"/>
        </w:rPr>
      </w:pPr>
    </w:p>
    <w:p w:rsidR="00BF7B65" w:rsidRDefault="00BD7387">
      <w:pPr>
        <w:jc w:val="center"/>
        <w:rPr>
          <w:rFonts w:ascii="黑体" w:eastAsia="黑体" w:hAnsi="黑体"/>
          <w:sz w:val="84"/>
          <w:szCs w:val="84"/>
        </w:rPr>
      </w:pPr>
      <w:r>
        <w:rPr>
          <w:rFonts w:ascii="黑体" w:eastAsia="黑体" w:hAnsi="黑体" w:hint="eastAsia"/>
          <w:sz w:val="84"/>
          <w:szCs w:val="84"/>
        </w:rPr>
        <w:t>团   体   标   准</w:t>
      </w:r>
    </w:p>
    <w:p w:rsidR="00BF7B65" w:rsidRDefault="00BD7387">
      <w:pPr>
        <w:wordWrap w:val="0"/>
        <w:jc w:val="right"/>
        <w:rPr>
          <w:rFonts w:ascii="方正仿宋简体" w:hAnsi="黑体"/>
          <w:szCs w:val="21"/>
        </w:rPr>
      </w:pPr>
      <w:r>
        <w:rPr>
          <w:rFonts w:ascii="方正仿宋简体" w:hAnsi="黑体" w:hint="eastAsia"/>
          <w:szCs w:val="21"/>
        </w:rPr>
        <w:t>T/CGCC XX-20XX</w:t>
      </w:r>
    </w:p>
    <w:p w:rsidR="00BF7B65" w:rsidRDefault="00BF7B65">
      <w:pPr>
        <w:jc w:val="right"/>
        <w:rPr>
          <w:rFonts w:ascii="黑体" w:eastAsia="黑体" w:hAnsi="黑体"/>
          <w:sz w:val="24"/>
        </w:rPr>
      </w:pPr>
    </w:p>
    <w:p w:rsidR="00BF7B65" w:rsidRDefault="00304F27">
      <w:pPr>
        <w:rPr>
          <w:rFonts w:ascii="Calibri" w:hAnsi="Calibri"/>
          <w:b/>
          <w:sz w:val="48"/>
          <w:szCs w:val="48"/>
        </w:rPr>
      </w:pPr>
      <w:r w:rsidRPr="00304F27">
        <w:pict>
          <v:shapetype id="_x0000_t32" coordsize="21600,21600" o:spt="32" o:oned="t" path="m,l21600,21600e" filled="f">
            <v:path arrowok="t" fillok="f" o:connecttype="none"/>
            <o:lock v:ext="edit" shapetype="t"/>
          </v:shapetype>
          <v:shape id="AutoShape 4" o:spid="_x0000_s1026" type="#_x0000_t32" style="position:absolute;left:0;text-align:left;margin-left:2.35pt;margin-top:5.55pt;width:441.7pt;height:1.65pt;z-index:251661312" o:gfxdata="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aKG8DRAAAABwEAAA8AAAAAAAAAAQAg&#10;AAAAIgAAAGRycy9kb3ducmV2LnhtbFBLAQIUABQAAAAIAIdO4kCTFVm33AEAAMUDAAAOAAAAAAAA&#10;AAEAIAAAACABAABkcnMvZTJvRG9jLnhtbFBLBQYAAAAABgAGAFkBAABuBQAAAAA=&#10;" strokeweight="1.5pt"/>
        </w:pict>
      </w:r>
    </w:p>
    <w:p w:rsidR="00BF7B65" w:rsidRDefault="00BF7B65">
      <w:pPr>
        <w:rPr>
          <w:rFonts w:ascii="Calibri" w:hAnsi="Calibri"/>
          <w:b/>
          <w:sz w:val="48"/>
          <w:szCs w:val="48"/>
        </w:rPr>
      </w:pPr>
    </w:p>
    <w:p w:rsidR="00BF7B65" w:rsidRDefault="00BF7B65">
      <w:pPr>
        <w:rPr>
          <w:rFonts w:ascii="Calibri" w:hAnsi="Calibri"/>
          <w:b/>
          <w:sz w:val="48"/>
          <w:szCs w:val="48"/>
        </w:rPr>
      </w:pPr>
    </w:p>
    <w:p w:rsidR="00BF7B65" w:rsidRDefault="00BD7387">
      <w:pPr>
        <w:spacing w:line="600" w:lineRule="auto"/>
        <w:jc w:val="center"/>
        <w:rPr>
          <w:rFonts w:ascii="黑体" w:eastAsia="黑体" w:hAnsi="黑体"/>
          <w:sz w:val="48"/>
          <w:szCs w:val="48"/>
        </w:rPr>
      </w:pPr>
      <w:r>
        <w:rPr>
          <w:rFonts w:ascii="黑体" w:eastAsia="黑体" w:hAnsi="黑体" w:hint="eastAsia"/>
          <w:sz w:val="48"/>
          <w:szCs w:val="48"/>
        </w:rPr>
        <w:t>新消费品牌企业信用评价指南</w:t>
      </w:r>
    </w:p>
    <w:p w:rsidR="00BF7B65" w:rsidRDefault="00BD7387">
      <w:pPr>
        <w:spacing w:line="600" w:lineRule="auto"/>
        <w:jc w:val="center"/>
        <w:rPr>
          <w:rFonts w:ascii="黑体" w:eastAsia="黑体" w:hAnsi="黑体"/>
          <w:sz w:val="32"/>
          <w:szCs w:val="36"/>
        </w:rPr>
      </w:pPr>
      <w:bookmarkStart w:id="0" w:name="OLE_LINK1"/>
      <w:r>
        <w:rPr>
          <w:rFonts w:ascii="黑体" w:eastAsia="黑体" w:hAnsi="黑体" w:hint="eastAsia"/>
          <w:sz w:val="32"/>
          <w:szCs w:val="36"/>
        </w:rPr>
        <w:t>G</w:t>
      </w:r>
      <w:r>
        <w:rPr>
          <w:rFonts w:ascii="黑体" w:eastAsia="黑体" w:hAnsi="黑体"/>
          <w:sz w:val="32"/>
          <w:szCs w:val="36"/>
        </w:rPr>
        <w:t xml:space="preserve">uidelines for </w:t>
      </w:r>
      <w:r>
        <w:rPr>
          <w:rFonts w:ascii="黑体" w:eastAsia="黑体" w:hAnsi="黑体" w:hint="eastAsia"/>
          <w:sz w:val="32"/>
          <w:szCs w:val="36"/>
        </w:rPr>
        <w:t>credit</w:t>
      </w:r>
      <w:r>
        <w:rPr>
          <w:rFonts w:ascii="黑体" w:eastAsia="黑体" w:hAnsi="黑体"/>
          <w:sz w:val="32"/>
          <w:szCs w:val="36"/>
        </w:rPr>
        <w:t xml:space="preserve"> evaluation of</w:t>
      </w:r>
      <w:r>
        <w:rPr>
          <w:rFonts w:ascii="黑体" w:eastAsia="黑体" w:hAnsi="黑体" w:hint="eastAsia"/>
          <w:sz w:val="32"/>
          <w:szCs w:val="36"/>
        </w:rPr>
        <w:t xml:space="preserve"> n</w:t>
      </w:r>
      <w:r>
        <w:rPr>
          <w:rFonts w:ascii="黑体" w:eastAsia="黑体" w:hAnsi="黑体"/>
          <w:sz w:val="32"/>
          <w:szCs w:val="36"/>
        </w:rPr>
        <w:t>ew consumer brand enterprise</w:t>
      </w:r>
    </w:p>
    <w:p w:rsidR="005B6E42" w:rsidRPr="005B6E42" w:rsidRDefault="005B6E42">
      <w:pPr>
        <w:spacing w:line="600" w:lineRule="auto"/>
        <w:jc w:val="center"/>
        <w:rPr>
          <w:rFonts w:ascii="黑体" w:eastAsia="黑体" w:hAnsi="黑体"/>
          <w:sz w:val="28"/>
          <w:szCs w:val="36"/>
        </w:rPr>
      </w:pPr>
      <w:r w:rsidRPr="005B6E42">
        <w:rPr>
          <w:rFonts w:ascii="黑体" w:eastAsia="黑体" w:hAnsi="黑体" w:hint="eastAsia"/>
          <w:sz w:val="28"/>
          <w:szCs w:val="36"/>
        </w:rPr>
        <w:t>（征求意见稿）</w:t>
      </w:r>
    </w:p>
    <w:bookmarkEnd w:id="0"/>
    <w:p w:rsidR="00BF7B65" w:rsidRDefault="00BF7B65">
      <w:pPr>
        <w:spacing w:line="480" w:lineRule="auto"/>
        <w:rPr>
          <w:rFonts w:ascii="Calibri" w:hAnsi="Calibri"/>
          <w:sz w:val="30"/>
          <w:szCs w:val="30"/>
        </w:rPr>
      </w:pPr>
    </w:p>
    <w:p w:rsidR="00BF7B65" w:rsidRDefault="00BF7B65">
      <w:pPr>
        <w:spacing w:line="480" w:lineRule="auto"/>
        <w:rPr>
          <w:rFonts w:ascii="Calibri" w:hAnsi="Calibri"/>
          <w:sz w:val="30"/>
          <w:szCs w:val="30"/>
        </w:rPr>
      </w:pPr>
    </w:p>
    <w:p w:rsidR="00BF7B65" w:rsidRDefault="00BF7B65">
      <w:pPr>
        <w:spacing w:line="480" w:lineRule="auto"/>
        <w:rPr>
          <w:rFonts w:ascii="Calibri" w:hAnsi="Calibri"/>
          <w:sz w:val="30"/>
          <w:szCs w:val="30"/>
        </w:rPr>
      </w:pPr>
    </w:p>
    <w:p w:rsidR="00BF7B65" w:rsidRDefault="00BF7B65">
      <w:pPr>
        <w:spacing w:line="600" w:lineRule="auto"/>
        <w:rPr>
          <w:rFonts w:ascii="Calibri" w:hAnsi="Calibri"/>
          <w:sz w:val="30"/>
          <w:szCs w:val="30"/>
        </w:rPr>
      </w:pPr>
    </w:p>
    <w:p w:rsidR="00BF7B65" w:rsidRDefault="00BD7387">
      <w:pPr>
        <w:spacing w:line="600" w:lineRule="auto"/>
        <w:rPr>
          <w:rFonts w:ascii="方正粗圆简体" w:eastAsia="方正粗圆简体" w:hAnsi="方正粗宋简体"/>
          <w:sz w:val="30"/>
          <w:szCs w:val="30"/>
          <w:u w:val="single"/>
        </w:rPr>
      </w:pPr>
      <w:r>
        <w:rPr>
          <w:sz w:val="30"/>
          <w:szCs w:val="30"/>
          <w:u w:val="single"/>
        </w:rPr>
        <w:t>xxxx-xx-xx</w:t>
      </w:r>
      <w:r>
        <w:rPr>
          <w:rFonts w:ascii="黑体" w:eastAsia="黑体" w:hAnsi="黑体" w:hint="eastAsia"/>
          <w:sz w:val="30"/>
          <w:szCs w:val="30"/>
          <w:u w:val="single"/>
        </w:rPr>
        <w:t>发布</w:t>
      </w:r>
      <w:r>
        <w:rPr>
          <w:sz w:val="30"/>
          <w:szCs w:val="30"/>
          <w:u w:val="single"/>
        </w:rPr>
        <w:t xml:space="preserve">                              xxxx-xx-xx</w:t>
      </w:r>
      <w:r>
        <w:rPr>
          <w:rFonts w:ascii="黑体" w:eastAsia="黑体" w:hAnsi="黑体" w:hint="eastAsia"/>
          <w:sz w:val="30"/>
          <w:szCs w:val="30"/>
          <w:u w:val="single"/>
        </w:rPr>
        <w:t>实施</w:t>
      </w:r>
    </w:p>
    <w:p w:rsidR="00BF7B65" w:rsidRDefault="00BD7387">
      <w:pPr>
        <w:jc w:val="center"/>
        <w:rPr>
          <w:rFonts w:ascii="黑体" w:eastAsia="黑体" w:hAnsi="黑体"/>
          <w:sz w:val="30"/>
          <w:szCs w:val="30"/>
        </w:rPr>
      </w:pPr>
      <w:r>
        <w:rPr>
          <w:rFonts w:ascii="黑体" w:eastAsia="黑体" w:hAnsi="黑体" w:cs="黑体" w:hint="eastAsia"/>
          <w:sz w:val="30"/>
          <w:szCs w:val="30"/>
        </w:rPr>
        <w:t>中国商业联合会</w:t>
      </w:r>
      <w:r w:rsidR="0043065F">
        <w:rPr>
          <w:rFonts w:ascii="黑体" w:eastAsia="黑体" w:hAnsi="黑体" w:cs="黑体" w:hint="eastAsia"/>
          <w:sz w:val="30"/>
          <w:szCs w:val="30"/>
        </w:rPr>
        <w:t xml:space="preserve">  </w:t>
      </w:r>
      <w:r>
        <w:rPr>
          <w:rFonts w:ascii="黑体" w:eastAsia="黑体" w:hAnsi="黑体" w:hint="eastAsia"/>
          <w:sz w:val="30"/>
          <w:szCs w:val="30"/>
        </w:rPr>
        <w:t>发布</w:t>
      </w:r>
    </w:p>
    <w:p w:rsidR="00BF7B65" w:rsidRDefault="00BF7B65">
      <w:pPr>
        <w:jc w:val="center"/>
        <w:rPr>
          <w:rFonts w:ascii="黑体" w:eastAsia="黑体" w:hAnsi="黑体"/>
          <w:sz w:val="30"/>
          <w:szCs w:val="30"/>
        </w:rPr>
        <w:sectPr w:rsidR="00BF7B65">
          <w:headerReference w:type="default" r:id="rId9"/>
          <w:footerReference w:type="even" r:id="rId10"/>
          <w:headerReference w:type="first" r:id="rId11"/>
          <w:pgSz w:w="11906" w:h="16838"/>
          <w:pgMar w:top="2041" w:right="1474" w:bottom="1361" w:left="1474" w:header="851" w:footer="1418" w:gutter="0"/>
          <w:cols w:space="425"/>
          <w:titlePg/>
          <w:docGrid w:linePitch="286" w:charSpace="-1638"/>
        </w:sectPr>
      </w:pPr>
    </w:p>
    <w:p w:rsidR="00BF7B65" w:rsidRDefault="00BD7387">
      <w:pPr>
        <w:pStyle w:val="ad"/>
        <w:spacing w:before="120" w:after="120" w:line="240" w:lineRule="auto"/>
      </w:pPr>
      <w:bookmarkStart w:id="1" w:name="_Toc307995790"/>
      <w:bookmarkStart w:id="2" w:name="_Toc307995780"/>
      <w:bookmarkStart w:id="3" w:name="_Toc213478202"/>
      <w:r>
        <w:rPr>
          <w:rFonts w:hint="eastAsia"/>
        </w:rPr>
        <w:lastRenderedPageBreak/>
        <w:t>前</w:t>
      </w:r>
      <w:bookmarkStart w:id="4" w:name="BKQY"/>
      <w:r>
        <w:t>  </w:t>
      </w:r>
      <w:r>
        <w:rPr>
          <w:rFonts w:hint="eastAsia"/>
        </w:rPr>
        <w:t>言</w:t>
      </w:r>
      <w:bookmarkEnd w:id="1"/>
      <w:bookmarkEnd w:id="2"/>
      <w:bookmarkEnd w:id="4"/>
    </w:p>
    <w:p w:rsidR="00BF7B65" w:rsidRDefault="00BF7B65">
      <w:pPr>
        <w:ind w:firstLineChars="200" w:firstLine="420"/>
      </w:pPr>
    </w:p>
    <w:p w:rsidR="00BF7B65" w:rsidRDefault="00BD7387">
      <w:pPr>
        <w:ind w:leftChars="100" w:left="210" w:firstLineChars="200" w:firstLine="420"/>
        <w:rPr>
          <w:rFonts w:ascii="宋体" w:hAnsi="宋体" w:cs="AdobeHeitiStd-Regular"/>
          <w:kern w:val="0"/>
          <w:szCs w:val="21"/>
        </w:rPr>
      </w:pPr>
      <w:r>
        <w:rPr>
          <w:rFonts w:ascii="宋体" w:hAnsi="宋体" w:cs="AdobeHeitiStd-Regular" w:hint="eastAsia"/>
          <w:kern w:val="0"/>
          <w:szCs w:val="21"/>
        </w:rPr>
        <w:t>本文件按照GB/T 1.1—2020《标准化工作导则  第1部分：标准化文件的结构和起草规则》的规定起草。</w:t>
      </w:r>
    </w:p>
    <w:p w:rsidR="00BF7B65" w:rsidRPr="002F12AF" w:rsidRDefault="00BD7387" w:rsidP="002F12AF">
      <w:pPr>
        <w:ind w:leftChars="100" w:left="210" w:firstLineChars="200" w:firstLine="420"/>
        <w:rPr>
          <w:rFonts w:ascii="宋体" w:hAnsi="宋体" w:cs="AdobeHeitiStd-Regular"/>
          <w:kern w:val="0"/>
          <w:szCs w:val="21"/>
        </w:rPr>
      </w:pPr>
      <w:r>
        <w:rPr>
          <w:rFonts w:ascii="宋体" w:hAnsi="宋体" w:cs="AdobeHeitiStd-Regular" w:hint="eastAsia"/>
          <w:kern w:val="0"/>
          <w:szCs w:val="21"/>
        </w:rPr>
        <w:t>本文件由中国商业联合会</w:t>
      </w:r>
      <w:hyperlink r:id="rId12" w:tgtFrame="https://www.cgcc.org.cn/gywm/_blank" w:history="1">
        <w:r w:rsidR="00BF7B65" w:rsidRPr="002F12AF">
          <w:rPr>
            <w:rFonts w:ascii="宋体" w:hAnsi="宋体" w:cs="AdobeHeitiStd-Regular" w:hint="eastAsia"/>
            <w:kern w:val="0"/>
            <w:szCs w:val="21"/>
          </w:rPr>
          <w:t>商业创新工作委员会</w:t>
        </w:r>
      </w:hyperlink>
      <w:r w:rsidRPr="002F12AF">
        <w:rPr>
          <w:rFonts w:ascii="宋体" w:hAnsi="宋体" w:cs="AdobeHeitiStd-Regular" w:hint="eastAsia"/>
          <w:kern w:val="0"/>
          <w:szCs w:val="21"/>
        </w:rPr>
        <w:t>提出。</w:t>
      </w:r>
    </w:p>
    <w:p w:rsidR="00BF7B65" w:rsidRPr="002F12AF" w:rsidRDefault="00BD7387" w:rsidP="002F12AF">
      <w:pPr>
        <w:ind w:leftChars="100" w:left="210" w:firstLineChars="200" w:firstLine="420"/>
        <w:rPr>
          <w:rFonts w:ascii="宋体" w:hAnsi="宋体" w:cs="AdobeHeitiStd-Regular"/>
          <w:kern w:val="0"/>
          <w:szCs w:val="21"/>
        </w:rPr>
      </w:pPr>
      <w:r>
        <w:rPr>
          <w:rFonts w:ascii="宋体" w:hAnsi="宋体" w:cs="AdobeHeitiStd-Regular" w:hint="eastAsia"/>
          <w:kern w:val="0"/>
          <w:szCs w:val="21"/>
        </w:rPr>
        <w:t>本文件由中国商业联合会归口。</w:t>
      </w:r>
    </w:p>
    <w:p w:rsidR="00BF7B65" w:rsidRPr="002F12AF" w:rsidRDefault="00BD7387">
      <w:pPr>
        <w:ind w:leftChars="100" w:left="210" w:firstLineChars="200" w:firstLine="420"/>
        <w:rPr>
          <w:rFonts w:ascii="宋体" w:hAnsi="宋体" w:cs="AdobeHeitiStd-Regular"/>
          <w:kern w:val="0"/>
          <w:szCs w:val="21"/>
        </w:rPr>
      </w:pPr>
      <w:r>
        <w:rPr>
          <w:rFonts w:ascii="宋体" w:hAnsi="宋体" w:cs="AdobeHeitiStd-Regular" w:hint="eastAsia"/>
          <w:kern w:val="0"/>
          <w:szCs w:val="21"/>
        </w:rPr>
        <w:t>本文件起草单位</w:t>
      </w:r>
      <w:r w:rsidRPr="002F12AF">
        <w:rPr>
          <w:rFonts w:ascii="宋体" w:hAnsi="宋体" w:cs="AdobeHeitiStd-Regular"/>
          <w:kern w:val="0"/>
          <w:szCs w:val="21"/>
        </w:rPr>
        <w:t xml:space="preserve">: </w:t>
      </w:r>
    </w:p>
    <w:p w:rsidR="00BF7B65" w:rsidRPr="002F12AF" w:rsidRDefault="00BD7387" w:rsidP="002F12AF">
      <w:pPr>
        <w:ind w:leftChars="100" w:left="210" w:firstLineChars="200" w:firstLine="420"/>
        <w:rPr>
          <w:rFonts w:ascii="宋体" w:hAnsi="宋体" w:cs="AdobeHeitiStd-Regular"/>
          <w:kern w:val="0"/>
          <w:szCs w:val="21"/>
        </w:rPr>
      </w:pPr>
      <w:r>
        <w:rPr>
          <w:rFonts w:ascii="宋体" w:hAnsi="宋体" w:cs="AdobeHeitiStd-Regular" w:hint="eastAsia"/>
          <w:kern w:val="0"/>
          <w:szCs w:val="21"/>
        </w:rPr>
        <w:t>本文件主要起草人:</w:t>
      </w:r>
    </w:p>
    <w:p w:rsidR="00BF7B65" w:rsidRDefault="00BF7B65">
      <w:pPr>
        <w:ind w:firstLineChars="200" w:firstLine="420"/>
      </w:pPr>
    </w:p>
    <w:p w:rsidR="00BF7B65" w:rsidRDefault="00BF7B65">
      <w:pPr>
        <w:spacing w:before="156" w:after="156"/>
        <w:ind w:leftChars="200" w:left="420"/>
        <w:rPr>
          <w:rFonts w:hAnsi="宋体"/>
          <w:color w:val="000000"/>
        </w:rPr>
      </w:pPr>
    </w:p>
    <w:p w:rsidR="00BF7B65" w:rsidRDefault="00BF7B65">
      <w:pPr>
        <w:spacing w:before="156" w:after="156"/>
        <w:ind w:leftChars="200" w:left="420"/>
        <w:rPr>
          <w:rFonts w:hAnsi="宋体"/>
          <w:color w:val="000000"/>
        </w:rPr>
      </w:pPr>
    </w:p>
    <w:p w:rsidR="00BF7B65" w:rsidRDefault="00BF7B65">
      <w:pPr>
        <w:spacing w:before="156" w:after="156"/>
        <w:ind w:leftChars="200" w:left="420"/>
        <w:rPr>
          <w:rFonts w:hAnsi="宋体"/>
          <w:color w:val="000000"/>
        </w:rPr>
      </w:pPr>
    </w:p>
    <w:p w:rsidR="00BF7B65" w:rsidRDefault="00BF7B65">
      <w:pPr>
        <w:spacing w:before="156" w:after="156"/>
        <w:ind w:leftChars="200" w:left="420"/>
        <w:rPr>
          <w:rFonts w:hAnsi="宋体"/>
          <w:color w:val="000000"/>
        </w:rPr>
      </w:pPr>
    </w:p>
    <w:p w:rsidR="00BF7B65" w:rsidRDefault="00BF7B65">
      <w:pPr>
        <w:spacing w:before="156" w:after="156"/>
        <w:ind w:leftChars="200" w:left="420"/>
        <w:rPr>
          <w:rFonts w:hAnsi="宋体"/>
          <w:color w:val="000000"/>
        </w:rPr>
      </w:pPr>
    </w:p>
    <w:p w:rsidR="00BF7B65" w:rsidRDefault="00BF7B65">
      <w:pPr>
        <w:spacing w:before="156" w:after="156"/>
        <w:ind w:leftChars="200" w:left="420"/>
        <w:rPr>
          <w:rFonts w:hAnsi="宋体"/>
          <w:color w:val="000000"/>
        </w:rPr>
      </w:pPr>
    </w:p>
    <w:p w:rsidR="00BF7B65" w:rsidRDefault="00BF7B65">
      <w:pPr>
        <w:spacing w:before="156" w:after="156"/>
        <w:rPr>
          <w:rFonts w:hAnsi="宋体"/>
          <w:color w:val="000000"/>
        </w:rPr>
      </w:pPr>
    </w:p>
    <w:bookmarkEnd w:id="3"/>
    <w:p w:rsidR="00BF7B65" w:rsidRDefault="00BF7B65">
      <w:pPr>
        <w:spacing w:before="156" w:after="156"/>
        <w:ind w:firstLineChars="150" w:firstLine="480"/>
        <w:rPr>
          <w:color w:val="FF0000"/>
          <w:sz w:val="32"/>
          <w:szCs w:val="32"/>
        </w:rPr>
      </w:pPr>
    </w:p>
    <w:p w:rsidR="00BF7B65" w:rsidRDefault="00BF7B65">
      <w:pPr>
        <w:spacing w:before="156" w:after="156"/>
        <w:ind w:firstLineChars="150" w:firstLine="480"/>
        <w:rPr>
          <w:color w:val="FF0000"/>
          <w:sz w:val="32"/>
          <w:szCs w:val="32"/>
        </w:rPr>
      </w:pPr>
    </w:p>
    <w:p w:rsidR="00BF7B65" w:rsidRDefault="00BF7B65">
      <w:pPr>
        <w:spacing w:before="156" w:after="156"/>
        <w:ind w:firstLineChars="150" w:firstLine="480"/>
        <w:rPr>
          <w:color w:val="FF0000"/>
          <w:sz w:val="32"/>
          <w:szCs w:val="32"/>
        </w:rPr>
      </w:pPr>
    </w:p>
    <w:p w:rsidR="00BF7B65" w:rsidRDefault="00BF7B65">
      <w:pPr>
        <w:spacing w:before="156" w:after="156"/>
        <w:ind w:firstLineChars="150" w:firstLine="480"/>
        <w:rPr>
          <w:color w:val="FF0000"/>
          <w:sz w:val="32"/>
          <w:szCs w:val="32"/>
        </w:rPr>
      </w:pPr>
    </w:p>
    <w:p w:rsidR="00BF7B65" w:rsidRDefault="00BF7B65">
      <w:pPr>
        <w:spacing w:before="156" w:after="156"/>
        <w:rPr>
          <w:rFonts w:hAnsi="宋体"/>
          <w:color w:val="000000"/>
          <w:szCs w:val="21"/>
        </w:rPr>
      </w:pPr>
    </w:p>
    <w:p w:rsidR="00BF7B65" w:rsidRDefault="00BD7387">
      <w:pPr>
        <w:spacing w:before="156" w:after="156"/>
        <w:jc w:val="center"/>
        <w:rPr>
          <w:rFonts w:ascii="黑体" w:eastAsia="黑体" w:hAnsi="宋体"/>
          <w:sz w:val="32"/>
          <w:szCs w:val="32"/>
        </w:rPr>
      </w:pPr>
      <w:bookmarkStart w:id="5" w:name="SectionMark4"/>
      <w:r>
        <w:rPr>
          <w:rFonts w:ascii="黑体" w:eastAsia="黑体" w:hAnsi="宋体"/>
          <w:sz w:val="32"/>
          <w:szCs w:val="32"/>
        </w:rPr>
        <w:br w:type="page"/>
      </w:r>
    </w:p>
    <w:p w:rsidR="00BF7B65" w:rsidRDefault="00BD7387">
      <w:pPr>
        <w:spacing w:before="156" w:after="156"/>
        <w:jc w:val="center"/>
        <w:rPr>
          <w:rFonts w:ascii="黑体" w:eastAsia="黑体"/>
          <w:sz w:val="52"/>
          <w:szCs w:val="52"/>
        </w:rPr>
      </w:pPr>
      <w:r>
        <w:rPr>
          <w:rFonts w:ascii="黑体" w:eastAsia="黑体" w:hAnsi="宋体" w:hint="eastAsia"/>
          <w:sz w:val="32"/>
          <w:szCs w:val="32"/>
        </w:rPr>
        <w:lastRenderedPageBreak/>
        <w:t>新消费品牌企业信用评价指南</w:t>
      </w:r>
    </w:p>
    <w:p w:rsidR="00BF7B65" w:rsidRDefault="00BD7387" w:rsidP="0043065F">
      <w:pPr>
        <w:pStyle w:val="a"/>
        <w:numPr>
          <w:ilvl w:val="0"/>
          <w:numId w:val="2"/>
        </w:numPr>
        <w:spacing w:beforeLines="50" w:afterLines="50" w:line="240" w:lineRule="auto"/>
        <w:rPr>
          <w:rFonts w:hAnsi="黑体" w:cs="宋体"/>
          <w:szCs w:val="21"/>
        </w:rPr>
      </w:pPr>
      <w:bookmarkStart w:id="6" w:name="_Toc346402488"/>
      <w:bookmarkStart w:id="7" w:name="_Toc346377460"/>
      <w:r>
        <w:rPr>
          <w:rFonts w:hAnsi="黑体" w:cs="宋体" w:hint="eastAsia"/>
          <w:szCs w:val="21"/>
        </w:rPr>
        <w:t xml:space="preserve"> 范围</w:t>
      </w:r>
      <w:bookmarkEnd w:id="6"/>
      <w:bookmarkEnd w:id="7"/>
    </w:p>
    <w:p w:rsidR="00BF7B65" w:rsidRDefault="00BD7387">
      <w:pPr>
        <w:widowControl/>
        <w:ind w:firstLineChars="200" w:firstLine="420"/>
      </w:pPr>
      <w:bookmarkStart w:id="8" w:name="_Toc346377461"/>
      <w:r>
        <w:rPr>
          <w:rFonts w:hint="eastAsia"/>
        </w:rPr>
        <w:t>本</w:t>
      </w:r>
      <w:r>
        <w:rPr>
          <w:rFonts w:ascii="宋体" w:hAnsi="宋体" w:cs="AdobeHeitiStd-Regular" w:hint="eastAsia"/>
          <w:kern w:val="0"/>
          <w:szCs w:val="21"/>
        </w:rPr>
        <w:t>文件</w:t>
      </w:r>
      <w:bookmarkStart w:id="9" w:name="OLE_LINK2"/>
      <w:r>
        <w:rPr>
          <w:rFonts w:hint="eastAsia"/>
        </w:rPr>
        <w:t>规定了新消费品牌企业信用评价的术语和定义、评价原则、评价指标体系、评价方法、评价程序和评价结果</w:t>
      </w:r>
      <w:bookmarkEnd w:id="9"/>
      <w:r>
        <w:rPr>
          <w:rFonts w:hint="eastAsia"/>
        </w:rPr>
        <w:t>。</w:t>
      </w:r>
    </w:p>
    <w:p w:rsidR="00BF7B65" w:rsidRDefault="00BD7387">
      <w:pPr>
        <w:widowControl/>
        <w:ind w:firstLineChars="200" w:firstLine="420"/>
      </w:pPr>
      <w:r>
        <w:rPr>
          <w:rFonts w:hint="eastAsia"/>
        </w:rPr>
        <w:t>本</w:t>
      </w:r>
      <w:r>
        <w:rPr>
          <w:rFonts w:ascii="宋体" w:hAnsi="宋体" w:cs="AdobeHeitiStd-Regular" w:hint="eastAsia"/>
          <w:kern w:val="0"/>
          <w:szCs w:val="21"/>
        </w:rPr>
        <w:t>文件</w:t>
      </w:r>
      <w:r>
        <w:rPr>
          <w:rFonts w:hint="eastAsia"/>
        </w:rPr>
        <w:t>适用于</w:t>
      </w:r>
      <w:bookmarkStart w:id="10" w:name="_Toc481497890"/>
      <w:bookmarkStart w:id="11" w:name="_Toc512851389"/>
      <w:r>
        <w:rPr>
          <w:rFonts w:hint="eastAsia"/>
        </w:rPr>
        <w:t>新消费品牌企业的信用评价。</w:t>
      </w:r>
    </w:p>
    <w:p w:rsidR="00BF7B65" w:rsidRDefault="00BD7387" w:rsidP="0043065F">
      <w:pPr>
        <w:pStyle w:val="a"/>
        <w:numPr>
          <w:ilvl w:val="0"/>
          <w:numId w:val="2"/>
        </w:numPr>
        <w:spacing w:beforeLines="50" w:afterLines="50" w:line="240" w:lineRule="auto"/>
        <w:rPr>
          <w:rFonts w:hAnsi="黑体" w:cs="宋体"/>
          <w:szCs w:val="21"/>
        </w:rPr>
      </w:pPr>
      <w:r>
        <w:rPr>
          <w:rFonts w:hAnsi="黑体" w:cs="宋体" w:hint="eastAsia"/>
          <w:szCs w:val="21"/>
        </w:rPr>
        <w:t>规范性引用文件</w:t>
      </w:r>
      <w:bookmarkEnd w:id="10"/>
      <w:bookmarkEnd w:id="11"/>
    </w:p>
    <w:p w:rsidR="00BF7B65" w:rsidRDefault="00BD7387">
      <w:pPr>
        <w:widowControl/>
        <w:ind w:firstLineChars="200" w:firstLine="420"/>
      </w:pPr>
      <w:r>
        <w:t>下列文件对于本文件的应用是必不可少的。凡是注日期的引用文件，仅注日期的版本适用于本文件。凡是不注日期的引用文件，其最新版本（包括所有的修改单）适用于本文件。</w:t>
      </w:r>
      <w:r>
        <w:t xml:space="preserve"> </w:t>
      </w:r>
    </w:p>
    <w:p w:rsidR="00BF7B65" w:rsidRDefault="00BD7387" w:rsidP="0043065F">
      <w:pPr>
        <w:pStyle w:val="a"/>
        <w:numPr>
          <w:ilvl w:val="0"/>
          <w:numId w:val="2"/>
        </w:numPr>
        <w:spacing w:beforeLines="50" w:afterLines="50" w:line="240" w:lineRule="auto"/>
        <w:rPr>
          <w:rFonts w:hAnsi="黑体" w:cs="宋体"/>
          <w:szCs w:val="21"/>
        </w:rPr>
      </w:pPr>
      <w:bookmarkStart w:id="12" w:name="_Toc346402490"/>
      <w:bookmarkStart w:id="13" w:name="_Toc346377464"/>
      <w:bookmarkStart w:id="14" w:name="_Toc205085013"/>
      <w:bookmarkEnd w:id="8"/>
      <w:r>
        <w:rPr>
          <w:rFonts w:hAnsi="黑体" w:cs="宋体" w:hint="eastAsia"/>
          <w:szCs w:val="21"/>
        </w:rPr>
        <w:t>术语和定义</w:t>
      </w:r>
      <w:bookmarkEnd w:id="12"/>
      <w:bookmarkEnd w:id="13"/>
      <w:bookmarkEnd w:id="14"/>
    </w:p>
    <w:p w:rsidR="00BF7B65" w:rsidRDefault="00BD7387">
      <w:pPr>
        <w:widowControl/>
        <w:ind w:firstLineChars="200" w:firstLine="420"/>
      </w:pPr>
      <w:r>
        <w:t>下列术语和定义适用于本</w:t>
      </w:r>
      <w:r>
        <w:rPr>
          <w:rFonts w:hint="eastAsia"/>
        </w:rPr>
        <w:t>文件</w:t>
      </w:r>
      <w:r>
        <w:t>。</w:t>
      </w:r>
    </w:p>
    <w:p w:rsidR="0043065F" w:rsidRDefault="0043065F" w:rsidP="0039404A">
      <w:pPr>
        <w:numPr>
          <w:ilvl w:val="1"/>
          <w:numId w:val="2"/>
        </w:numPr>
        <w:spacing w:line="360" w:lineRule="auto"/>
        <w:rPr>
          <w:rFonts w:ascii="黑体" w:eastAsia="黑体" w:hAnsi="黑体" w:cs="宋体" w:hint="eastAsia"/>
          <w:kern w:val="0"/>
          <w:szCs w:val="21"/>
        </w:rPr>
      </w:pPr>
    </w:p>
    <w:p w:rsidR="00BF7B65" w:rsidRDefault="0043065F" w:rsidP="0039404A">
      <w:pPr>
        <w:spacing w:line="360" w:lineRule="auto"/>
        <w:rPr>
          <w:rFonts w:ascii="黑体" w:eastAsia="黑体" w:hAnsi="黑体" w:cs="宋体"/>
          <w:kern w:val="0"/>
          <w:szCs w:val="21"/>
        </w:rPr>
      </w:pPr>
      <w:r>
        <w:rPr>
          <w:rFonts w:ascii="黑体" w:eastAsia="黑体" w:hAnsi="黑体" w:cs="宋体" w:hint="eastAsia"/>
          <w:kern w:val="0"/>
          <w:szCs w:val="21"/>
        </w:rPr>
        <w:t xml:space="preserve">    </w:t>
      </w:r>
      <w:r w:rsidR="00BD7387">
        <w:rPr>
          <w:rFonts w:ascii="黑体" w:eastAsia="黑体" w:hAnsi="黑体" w:cs="宋体" w:hint="eastAsia"/>
          <w:kern w:val="0"/>
          <w:szCs w:val="21"/>
        </w:rPr>
        <w:t>新消费品牌</w:t>
      </w:r>
      <w:r>
        <w:rPr>
          <w:rFonts w:ascii="黑体" w:eastAsia="黑体" w:hAnsi="黑体" w:cs="宋体" w:hint="eastAsia"/>
          <w:kern w:val="0"/>
          <w:szCs w:val="21"/>
        </w:rPr>
        <w:t xml:space="preserve"> </w:t>
      </w:r>
      <w:r w:rsidR="0039404A" w:rsidRPr="0039404A">
        <w:rPr>
          <w:rFonts w:ascii="黑体" w:eastAsia="黑体" w:hAnsi="黑体" w:cs="宋体"/>
          <w:kern w:val="0"/>
          <w:szCs w:val="21"/>
        </w:rPr>
        <w:t>new consumer brand</w:t>
      </w:r>
    </w:p>
    <w:p w:rsidR="00BF7B65" w:rsidRDefault="00BD7387" w:rsidP="0039404A">
      <w:pPr>
        <w:widowControl/>
        <w:ind w:firstLineChars="200" w:firstLine="420"/>
      </w:pPr>
      <w:r>
        <w:rPr>
          <w:rFonts w:hint="eastAsia"/>
        </w:rPr>
        <w:t>指顺应消费升级趋势，广泛应用数字技术、前沿科技革新产品与服务、倡导生活新方式、打造消费新场景、创新营销新模式，注重满足消费者的情感价值、文化价值和审美价值，进而催生新消费群体、促进新消费需求、刺激新消费增长的消费品牌。</w:t>
      </w:r>
    </w:p>
    <w:p w:rsidR="0043065F" w:rsidRDefault="0043065F" w:rsidP="0039404A">
      <w:pPr>
        <w:numPr>
          <w:ilvl w:val="1"/>
          <w:numId w:val="2"/>
        </w:numPr>
        <w:spacing w:line="360" w:lineRule="auto"/>
        <w:rPr>
          <w:rFonts w:ascii="黑体" w:eastAsia="黑体" w:hAnsi="黑体" w:cs="宋体" w:hint="eastAsia"/>
          <w:kern w:val="0"/>
          <w:szCs w:val="21"/>
        </w:rPr>
      </w:pPr>
    </w:p>
    <w:p w:rsidR="00BF7B65" w:rsidRDefault="0043065F" w:rsidP="0039404A">
      <w:pPr>
        <w:spacing w:line="360" w:lineRule="auto"/>
        <w:rPr>
          <w:rFonts w:ascii="黑体" w:eastAsia="黑体" w:hAnsi="黑体" w:cs="宋体"/>
          <w:kern w:val="0"/>
          <w:szCs w:val="21"/>
        </w:rPr>
      </w:pPr>
      <w:r>
        <w:rPr>
          <w:rFonts w:ascii="黑体" w:eastAsia="黑体" w:hAnsi="黑体" w:cs="宋体" w:hint="eastAsia"/>
          <w:kern w:val="0"/>
          <w:szCs w:val="21"/>
        </w:rPr>
        <w:t xml:space="preserve">    </w:t>
      </w:r>
      <w:r w:rsidR="00BD7387">
        <w:rPr>
          <w:rFonts w:ascii="黑体" w:eastAsia="黑体" w:hAnsi="黑体" w:cs="宋体" w:hint="eastAsia"/>
          <w:kern w:val="0"/>
          <w:szCs w:val="21"/>
        </w:rPr>
        <w:t>新消费品牌企业</w:t>
      </w:r>
      <w:r w:rsidR="0039404A">
        <w:rPr>
          <w:rFonts w:ascii="黑体" w:eastAsia="黑体" w:hAnsi="黑体" w:cs="宋体" w:hint="eastAsia"/>
          <w:kern w:val="0"/>
          <w:szCs w:val="21"/>
        </w:rPr>
        <w:t xml:space="preserve"> </w:t>
      </w:r>
      <w:r w:rsidR="0039404A" w:rsidRPr="0039404A">
        <w:rPr>
          <w:rFonts w:ascii="黑体" w:eastAsia="黑体" w:hAnsi="黑体" w:cs="宋体"/>
          <w:kern w:val="0"/>
          <w:szCs w:val="21"/>
        </w:rPr>
        <w:t>new consumer brand enterprise</w:t>
      </w:r>
    </w:p>
    <w:p w:rsidR="00BF7B65" w:rsidRDefault="00BD7387" w:rsidP="0039404A">
      <w:pPr>
        <w:widowControl/>
        <w:ind w:firstLineChars="200" w:firstLine="420"/>
      </w:pPr>
      <w:r>
        <w:t>指在新消费时代背景下，以满足消费者升级的消费需求为导向，借助互联网、大数据、人工智能等新技术手段，创新产品或服务模式，具有较高市场知名度和影响力的品牌企业。</w:t>
      </w:r>
    </w:p>
    <w:p w:rsidR="0043065F" w:rsidRDefault="0043065F" w:rsidP="0039404A">
      <w:pPr>
        <w:numPr>
          <w:ilvl w:val="1"/>
          <w:numId w:val="2"/>
        </w:numPr>
        <w:spacing w:line="360" w:lineRule="auto"/>
        <w:rPr>
          <w:rFonts w:ascii="黑体" w:eastAsia="黑体" w:hAnsi="黑体" w:cs="宋体" w:hint="eastAsia"/>
          <w:kern w:val="0"/>
          <w:szCs w:val="21"/>
        </w:rPr>
      </w:pPr>
      <w:bookmarkStart w:id="15" w:name="OLE_LINK23"/>
      <w:bookmarkStart w:id="16" w:name="OLE_LINK21"/>
    </w:p>
    <w:p w:rsidR="00BF7B65" w:rsidRDefault="0043065F" w:rsidP="0039404A">
      <w:pPr>
        <w:spacing w:line="360" w:lineRule="auto"/>
        <w:rPr>
          <w:rFonts w:ascii="黑体" w:eastAsia="黑体" w:hAnsi="黑体" w:cs="宋体"/>
          <w:kern w:val="0"/>
          <w:szCs w:val="21"/>
        </w:rPr>
      </w:pPr>
      <w:r>
        <w:rPr>
          <w:rFonts w:ascii="黑体" w:eastAsia="黑体" w:hAnsi="黑体" w:cs="宋体" w:hint="eastAsia"/>
          <w:kern w:val="0"/>
          <w:szCs w:val="21"/>
        </w:rPr>
        <w:t xml:space="preserve">    </w:t>
      </w:r>
      <w:r w:rsidR="00BD7387">
        <w:rPr>
          <w:rFonts w:ascii="黑体" w:eastAsia="黑体" w:hAnsi="黑体" w:cs="宋体" w:hint="eastAsia"/>
          <w:kern w:val="0"/>
          <w:szCs w:val="21"/>
        </w:rPr>
        <w:t>企业信用评价</w:t>
      </w:r>
      <w:bookmarkEnd w:id="15"/>
      <w:r w:rsidR="0039404A">
        <w:rPr>
          <w:rFonts w:ascii="黑体" w:eastAsia="黑体" w:hAnsi="黑体" w:cs="宋体" w:hint="eastAsia"/>
          <w:kern w:val="0"/>
          <w:szCs w:val="21"/>
        </w:rPr>
        <w:t xml:space="preserve"> </w:t>
      </w:r>
      <w:r w:rsidR="0039404A" w:rsidRPr="0039404A">
        <w:rPr>
          <w:rFonts w:ascii="黑体" w:eastAsia="黑体" w:hAnsi="黑体" w:cs="宋体"/>
          <w:kern w:val="0"/>
          <w:szCs w:val="21"/>
        </w:rPr>
        <w:t>enterprise credit evaluation</w:t>
      </w:r>
    </w:p>
    <w:p w:rsidR="00BF7B65" w:rsidRDefault="00BD7387" w:rsidP="0039404A">
      <w:pPr>
        <w:widowControl/>
        <w:spacing w:line="360" w:lineRule="auto"/>
        <w:ind w:firstLineChars="200" w:firstLine="420"/>
      </w:pPr>
      <w:bookmarkStart w:id="17" w:name="OLE_LINK22"/>
      <w:bookmarkEnd w:id="16"/>
      <w:r>
        <w:rPr>
          <w:rFonts w:hint="eastAsia"/>
        </w:rPr>
        <w:t>指对企业的信用状况进行评估和分析的过程，旨在衡量企业在经济活动中的履约能力和信用风险</w:t>
      </w:r>
      <w:r>
        <w:t>。</w:t>
      </w:r>
    </w:p>
    <w:bookmarkEnd w:id="17"/>
    <w:p w:rsidR="0043065F" w:rsidRDefault="0043065F" w:rsidP="0039404A">
      <w:pPr>
        <w:numPr>
          <w:ilvl w:val="1"/>
          <w:numId w:val="2"/>
        </w:numPr>
        <w:spacing w:line="360" w:lineRule="auto"/>
        <w:rPr>
          <w:rFonts w:ascii="黑体" w:eastAsia="黑体" w:hAnsi="黑体" w:cs="宋体" w:hint="eastAsia"/>
          <w:kern w:val="0"/>
          <w:szCs w:val="21"/>
        </w:rPr>
      </w:pPr>
    </w:p>
    <w:p w:rsidR="00BF7B65" w:rsidRPr="002F12AF" w:rsidRDefault="0043065F" w:rsidP="0039404A">
      <w:pPr>
        <w:spacing w:line="360" w:lineRule="auto"/>
        <w:rPr>
          <w:rFonts w:ascii="黑体" w:eastAsia="黑体" w:hAnsi="黑体" w:cs="宋体"/>
          <w:kern w:val="0"/>
          <w:szCs w:val="21"/>
        </w:rPr>
      </w:pPr>
      <w:r>
        <w:rPr>
          <w:rFonts w:ascii="黑体" w:eastAsia="黑体" w:hAnsi="黑体" w:cs="宋体" w:hint="eastAsia"/>
          <w:kern w:val="0"/>
          <w:szCs w:val="21"/>
        </w:rPr>
        <w:t xml:space="preserve">    </w:t>
      </w:r>
      <w:r w:rsidR="00BD7387" w:rsidRPr="002F12AF">
        <w:rPr>
          <w:rFonts w:ascii="黑体" w:eastAsia="黑体" w:hAnsi="黑体" w:cs="宋体" w:hint="eastAsia"/>
          <w:kern w:val="0"/>
          <w:szCs w:val="21"/>
        </w:rPr>
        <w:t>企业信用认证</w:t>
      </w:r>
      <w:r w:rsidR="0039404A">
        <w:rPr>
          <w:rFonts w:ascii="黑体" w:eastAsia="黑体" w:hAnsi="黑体" w:cs="宋体" w:hint="eastAsia"/>
          <w:kern w:val="0"/>
          <w:szCs w:val="21"/>
        </w:rPr>
        <w:t xml:space="preserve"> </w:t>
      </w:r>
      <w:r w:rsidR="0039404A" w:rsidRPr="0039404A">
        <w:rPr>
          <w:rFonts w:ascii="黑体" w:eastAsia="黑体" w:hAnsi="黑体" w:cs="宋体"/>
          <w:kern w:val="0"/>
          <w:szCs w:val="21"/>
        </w:rPr>
        <w:t>enterprise credit certification</w:t>
      </w:r>
    </w:p>
    <w:p w:rsidR="00BF7B65" w:rsidRDefault="00BD7387" w:rsidP="0039404A">
      <w:pPr>
        <w:widowControl/>
        <w:spacing w:line="360" w:lineRule="auto"/>
        <w:ind w:firstLineChars="200" w:firstLine="420"/>
      </w:pPr>
      <w:bookmarkStart w:id="18" w:name="OLE_LINK4"/>
      <w:r w:rsidRPr="002F12AF">
        <w:rPr>
          <w:rFonts w:hint="eastAsia"/>
        </w:rPr>
        <w:t>指对</w:t>
      </w:r>
      <w:r w:rsidRPr="002F12AF">
        <w:t>企业信用状况进行</w:t>
      </w:r>
      <w:r w:rsidRPr="002F12AF">
        <w:rPr>
          <w:rFonts w:hint="eastAsia"/>
        </w:rPr>
        <w:t>核实和验证</w:t>
      </w:r>
      <w:r w:rsidRPr="002F12AF">
        <w:t>，旨在</w:t>
      </w:r>
      <w:r w:rsidRPr="002F12AF">
        <w:rPr>
          <w:rFonts w:hint="eastAsia"/>
        </w:rPr>
        <w:t>衡量</w:t>
      </w:r>
      <w:r w:rsidRPr="002F12AF">
        <w:t>企业在经营活动中的信用</w:t>
      </w:r>
      <w:r w:rsidRPr="002F12AF">
        <w:rPr>
          <w:rFonts w:hint="eastAsia"/>
        </w:rPr>
        <w:t>情况</w:t>
      </w:r>
      <w:r w:rsidRPr="002F12AF">
        <w:t>。</w:t>
      </w:r>
      <w:bookmarkEnd w:id="18"/>
    </w:p>
    <w:p w:rsidR="00BF7B65" w:rsidRDefault="00BD7387" w:rsidP="0039404A">
      <w:pPr>
        <w:pStyle w:val="a"/>
        <w:numPr>
          <w:ilvl w:val="0"/>
          <w:numId w:val="2"/>
        </w:numPr>
        <w:spacing w:beforeLines="50" w:afterLines="50"/>
      </w:pPr>
      <w:r>
        <w:rPr>
          <w:rFonts w:hAnsi="黑体" w:cs="宋体" w:hint="eastAsia"/>
          <w:szCs w:val="21"/>
        </w:rPr>
        <w:t>评价原则</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客观性原则</w:t>
      </w:r>
    </w:p>
    <w:p w:rsidR="00BF7B65" w:rsidRDefault="00BD7387" w:rsidP="0039404A">
      <w:pPr>
        <w:widowControl/>
        <w:spacing w:line="360" w:lineRule="auto"/>
        <w:ind w:firstLineChars="200" w:firstLine="420"/>
      </w:pPr>
      <w:r>
        <w:t>评价过程应基于客观事实和数据，避免主观随意性，确保评价结果真实、准确地反映企业的信用状况。</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科学性原则</w:t>
      </w:r>
    </w:p>
    <w:p w:rsidR="00BF7B65" w:rsidRDefault="00BD7387" w:rsidP="0039404A">
      <w:pPr>
        <w:widowControl/>
        <w:spacing w:line="360" w:lineRule="auto"/>
        <w:ind w:firstLineChars="200" w:firstLine="420"/>
      </w:pPr>
      <w:r>
        <w:t>指标体系的构建应科学合理，评价方法应符合统计学和经济学原理，能够全面、系统地评价企业的信用水平。</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公正性原则</w:t>
      </w:r>
    </w:p>
    <w:p w:rsidR="00BF7B65" w:rsidRDefault="00BD7387" w:rsidP="0039404A">
      <w:pPr>
        <w:widowControl/>
        <w:spacing w:line="360" w:lineRule="auto"/>
        <w:ind w:firstLineChars="200" w:firstLine="420"/>
      </w:pPr>
      <w:r>
        <w:lastRenderedPageBreak/>
        <w:t>评价机构和人员应保持公正、中立的立场，不受任何利益相关方的影响，确保评价过程和结果的公正性。</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动态性原则</w:t>
      </w:r>
    </w:p>
    <w:p w:rsidR="00BF7B65" w:rsidRDefault="00BD7387" w:rsidP="0039404A">
      <w:pPr>
        <w:widowControl/>
        <w:spacing w:line="360" w:lineRule="auto"/>
        <w:ind w:firstLineChars="200" w:firstLine="420"/>
      </w:pPr>
      <w:r>
        <w:t>企业的信用状况是动态变化的，评价应定期进行或根据企业重大事项及时调整，以反映企业信用的最新情况。</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保密性原则</w:t>
      </w:r>
    </w:p>
    <w:p w:rsidR="00BF7B65" w:rsidRDefault="00BD7387" w:rsidP="0039404A">
      <w:pPr>
        <w:widowControl/>
        <w:spacing w:line="360" w:lineRule="auto"/>
        <w:ind w:firstLineChars="200" w:firstLine="420"/>
      </w:pPr>
      <w:r>
        <w:t>评价机构和人员应对企业的商业秘密和敏感信息予以保密，不得泄露给无关第三方。</w:t>
      </w:r>
    </w:p>
    <w:p w:rsidR="00BF7B65" w:rsidRDefault="00BD7387" w:rsidP="0039404A">
      <w:pPr>
        <w:pStyle w:val="a"/>
        <w:numPr>
          <w:ilvl w:val="0"/>
          <w:numId w:val="2"/>
        </w:numPr>
        <w:spacing w:beforeLines="50" w:afterLines="50"/>
        <w:rPr>
          <w:rFonts w:hAnsi="黑体" w:cs="宋体"/>
          <w:szCs w:val="21"/>
        </w:rPr>
      </w:pPr>
      <w:r>
        <w:rPr>
          <w:rFonts w:hAnsi="黑体" w:cs="宋体" w:hint="eastAsia"/>
          <w:szCs w:val="21"/>
        </w:rPr>
        <w:t>评价指标体系</w:t>
      </w:r>
    </w:p>
    <w:p w:rsidR="00BF7B65" w:rsidRDefault="00BD7387" w:rsidP="0039404A">
      <w:pPr>
        <w:widowControl/>
        <w:spacing w:line="360" w:lineRule="auto"/>
        <w:ind w:firstLineChars="200" w:firstLine="420"/>
      </w:pPr>
      <w:r>
        <w:t>评价指标体系由一级指标</w:t>
      </w:r>
      <w:r>
        <w:rPr>
          <w:rFonts w:hint="eastAsia"/>
        </w:rPr>
        <w:t>、</w:t>
      </w:r>
      <w:r>
        <w:t>二级指标</w:t>
      </w:r>
      <w:r>
        <w:rPr>
          <w:rFonts w:hint="eastAsia"/>
        </w:rPr>
        <w:t>及三级指标</w:t>
      </w:r>
      <w:r>
        <w:t>构成，具体如下：</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信用评价指标</w:t>
      </w:r>
    </w:p>
    <w:p w:rsidR="00BF7B65" w:rsidRDefault="00BD7387" w:rsidP="0039404A">
      <w:pPr>
        <w:widowControl/>
        <w:spacing w:line="360" w:lineRule="auto"/>
        <w:rPr>
          <w:rStyle w:val="a9"/>
          <w:rFonts w:ascii="黑体" w:eastAsia="黑体" w:hAnsi="黑体" w:cs="黑体"/>
          <w:b w:val="0"/>
        </w:rPr>
      </w:pPr>
      <w:bookmarkStart w:id="19" w:name="_Hlk183761781"/>
      <w:r>
        <w:rPr>
          <w:rStyle w:val="a9"/>
          <w:rFonts w:ascii="黑体" w:eastAsia="黑体" w:hAnsi="黑体" w:cs="黑体" w:hint="eastAsia"/>
          <w:b w:val="0"/>
        </w:rPr>
        <w:t>5.1.1基础信用能力</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5.1.1.1</w:t>
      </w:r>
      <w:r>
        <w:rPr>
          <w:rStyle w:val="a9"/>
          <w:rFonts w:ascii="黑体" w:eastAsia="黑体" w:hAnsi="黑体" w:cs="黑体" w:hint="eastAsia"/>
          <w:b w:val="0"/>
        </w:rPr>
        <w:tab/>
        <w:t>企业基础信息</w:t>
      </w:r>
    </w:p>
    <w:p w:rsidR="00BF7B65" w:rsidRDefault="00BD7387" w:rsidP="0039404A">
      <w:pPr>
        <w:widowControl/>
        <w:spacing w:line="360" w:lineRule="auto"/>
        <w:ind w:firstLineChars="200" w:firstLine="420"/>
      </w:pPr>
      <w:r>
        <w:t>包括企业的</w:t>
      </w:r>
      <w:r>
        <w:rPr>
          <w:rFonts w:hint="eastAsia"/>
        </w:rPr>
        <w:t>连续经营年限、净资产规模</w:t>
      </w:r>
      <w:r>
        <w:t>、营业收入等，反映企业的实力和市场影响力。</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5.1.1.2</w:t>
      </w:r>
      <w:r>
        <w:rPr>
          <w:rStyle w:val="a9"/>
          <w:rFonts w:ascii="黑体" w:eastAsia="黑体" w:hAnsi="黑体" w:cs="黑体" w:hint="eastAsia"/>
          <w:b w:val="0"/>
        </w:rPr>
        <w:tab/>
        <w:t>企业治理结构</w:t>
      </w:r>
    </w:p>
    <w:p w:rsidR="00BF7B65" w:rsidRDefault="00BD7387" w:rsidP="0039404A">
      <w:pPr>
        <w:widowControl/>
        <w:spacing w:line="360" w:lineRule="auto"/>
        <w:ind w:firstLineChars="200" w:firstLine="420"/>
      </w:pPr>
      <w:r>
        <w:t>考察企业的</w:t>
      </w:r>
      <w:r>
        <w:rPr>
          <w:rFonts w:hint="eastAsia"/>
        </w:rPr>
        <w:t>机构设置的合理性、规章制度建设</w:t>
      </w:r>
      <w:r>
        <w:t>等。</w:t>
      </w:r>
    </w:p>
    <w:p w:rsidR="00BF7B65" w:rsidRDefault="00BD7387" w:rsidP="0039404A">
      <w:pPr>
        <w:spacing w:line="360" w:lineRule="auto"/>
        <w:rPr>
          <w:rFonts w:ascii="黑体" w:eastAsia="黑体" w:hAnsi="黑体" w:cs="宋体"/>
          <w:kern w:val="0"/>
          <w:szCs w:val="21"/>
        </w:rPr>
      </w:pPr>
      <w:r>
        <w:rPr>
          <w:rFonts w:ascii="黑体" w:eastAsia="黑体" w:hAnsi="黑体" w:cs="宋体" w:hint="eastAsia"/>
          <w:kern w:val="0"/>
          <w:szCs w:val="21"/>
        </w:rPr>
        <w:t>5.1.2经营管理能力</w:t>
      </w:r>
    </w:p>
    <w:p w:rsidR="00BF7B65" w:rsidRDefault="00BD7387" w:rsidP="0039404A">
      <w:pPr>
        <w:widowControl/>
        <w:spacing w:line="360" w:lineRule="auto"/>
        <w:rPr>
          <w:rStyle w:val="a9"/>
          <w:rFonts w:ascii="黑体" w:eastAsia="黑体" w:hAnsi="黑体" w:cs="黑体"/>
          <w:b w:val="0"/>
        </w:rPr>
      </w:pPr>
      <w:r>
        <w:rPr>
          <w:rFonts w:ascii="黑体" w:eastAsia="黑体" w:hAnsi="黑体" w:cs="宋体" w:hint="eastAsia"/>
          <w:kern w:val="0"/>
          <w:szCs w:val="21"/>
        </w:rPr>
        <w:t>5.1.2.1</w:t>
      </w:r>
      <w:r>
        <w:rPr>
          <w:rStyle w:val="a9"/>
          <w:rFonts w:ascii="黑体" w:eastAsia="黑体" w:hAnsi="黑体" w:cs="黑体" w:hint="eastAsia"/>
          <w:b w:val="0"/>
        </w:rPr>
        <w:t>市场营销能力</w:t>
      </w:r>
    </w:p>
    <w:p w:rsidR="00BF7B65" w:rsidRDefault="00BD7387" w:rsidP="0039404A">
      <w:pPr>
        <w:widowControl/>
        <w:spacing w:line="360" w:lineRule="auto"/>
        <w:ind w:firstLineChars="200" w:firstLine="420"/>
      </w:pPr>
      <w:r>
        <w:t>分析企业的市场定位、营销策略、市场份额、客户满意度等。</w:t>
      </w:r>
    </w:p>
    <w:p w:rsidR="00BF7B65" w:rsidRDefault="00BD7387" w:rsidP="0039404A">
      <w:pPr>
        <w:widowControl/>
        <w:spacing w:line="360" w:lineRule="auto"/>
        <w:rPr>
          <w:rStyle w:val="a9"/>
          <w:rFonts w:ascii="黑体" w:eastAsia="黑体" w:hAnsi="黑体" w:cs="黑体"/>
          <w:b w:val="0"/>
        </w:rPr>
      </w:pPr>
      <w:r>
        <w:rPr>
          <w:rFonts w:ascii="黑体" w:eastAsia="黑体" w:hAnsi="黑体" w:cs="宋体" w:hint="eastAsia"/>
          <w:kern w:val="0"/>
          <w:szCs w:val="21"/>
        </w:rPr>
        <w:t>5.1.2.2</w:t>
      </w:r>
      <w:r>
        <w:rPr>
          <w:rStyle w:val="a9"/>
          <w:rFonts w:ascii="黑体" w:eastAsia="黑体" w:hAnsi="黑体" w:cs="黑体" w:hint="eastAsia"/>
          <w:b w:val="0"/>
        </w:rPr>
        <w:t>人力资源管理能力</w:t>
      </w:r>
    </w:p>
    <w:p w:rsidR="00BF7B65" w:rsidRDefault="00BD7387" w:rsidP="0039404A">
      <w:pPr>
        <w:widowControl/>
        <w:spacing w:line="360" w:lineRule="auto"/>
        <w:ind w:firstLineChars="200" w:firstLine="420"/>
      </w:pPr>
      <w:r>
        <w:rPr>
          <w:rFonts w:hint="eastAsia"/>
        </w:rPr>
        <w:t>评估</w:t>
      </w:r>
      <w:r>
        <w:t>企业的人力资源规划、人才招聘与培养、员工激励与绩效管理等。</w:t>
      </w:r>
    </w:p>
    <w:p w:rsidR="00BF7B65" w:rsidRDefault="00BD7387" w:rsidP="0039404A">
      <w:pPr>
        <w:widowControl/>
        <w:spacing w:line="360" w:lineRule="auto"/>
        <w:rPr>
          <w:rStyle w:val="a9"/>
          <w:rFonts w:ascii="黑体" w:eastAsia="黑体" w:hAnsi="黑体" w:cs="黑体"/>
          <w:b w:val="0"/>
        </w:rPr>
      </w:pPr>
      <w:r>
        <w:rPr>
          <w:rFonts w:ascii="黑体" w:eastAsia="黑体" w:hAnsi="黑体" w:cs="宋体" w:hint="eastAsia"/>
          <w:kern w:val="0"/>
          <w:szCs w:val="21"/>
        </w:rPr>
        <w:t>5.1.2.3</w:t>
      </w:r>
      <w:r>
        <w:rPr>
          <w:rStyle w:val="a9"/>
          <w:rFonts w:ascii="黑体" w:eastAsia="黑体" w:hAnsi="黑体" w:cs="黑体" w:hint="eastAsia"/>
          <w:b w:val="0"/>
        </w:rPr>
        <w:t>供应链管理能力</w:t>
      </w:r>
    </w:p>
    <w:p w:rsidR="00BF7B65" w:rsidRDefault="00BD7387" w:rsidP="0039404A">
      <w:pPr>
        <w:widowControl/>
        <w:spacing w:line="360" w:lineRule="auto"/>
        <w:ind w:firstLineChars="200" w:firstLine="420"/>
      </w:pPr>
      <w:r>
        <w:rPr>
          <w:rFonts w:hint="eastAsia"/>
        </w:rPr>
        <w:t>评估</w:t>
      </w:r>
      <w:r>
        <w:t>企业与供应商的合作关系、采购管理、库存管理、物流配送等。</w:t>
      </w:r>
    </w:p>
    <w:p w:rsidR="00BF7B65" w:rsidRDefault="00BD7387" w:rsidP="0039404A">
      <w:pPr>
        <w:widowControl/>
        <w:spacing w:line="360" w:lineRule="auto"/>
        <w:rPr>
          <w:rStyle w:val="a9"/>
          <w:rFonts w:ascii="黑体" w:eastAsia="黑体" w:hAnsi="黑体" w:cs="黑体"/>
          <w:b w:val="0"/>
        </w:rPr>
      </w:pPr>
      <w:r>
        <w:rPr>
          <w:rFonts w:ascii="黑体" w:eastAsia="黑体" w:hAnsi="黑体" w:cs="宋体" w:hint="eastAsia"/>
          <w:kern w:val="0"/>
          <w:szCs w:val="21"/>
        </w:rPr>
        <w:t>5.1.2.4</w:t>
      </w:r>
      <w:r>
        <w:rPr>
          <w:rStyle w:val="a9"/>
          <w:rFonts w:ascii="黑体" w:eastAsia="黑体" w:hAnsi="黑体" w:cs="黑体" w:hint="eastAsia"/>
          <w:b w:val="0"/>
        </w:rPr>
        <w:t>品牌建设</w:t>
      </w:r>
    </w:p>
    <w:p w:rsidR="00BF7B65" w:rsidRDefault="00BD7387" w:rsidP="0039404A">
      <w:pPr>
        <w:widowControl/>
        <w:spacing w:line="360" w:lineRule="auto"/>
        <w:ind w:firstLineChars="200" w:firstLine="420"/>
      </w:pPr>
      <w:r>
        <w:t>衡量企业品牌的知名度、美誉度、忠诚度，以及品牌推广和维护的投入与成效。</w:t>
      </w:r>
    </w:p>
    <w:p w:rsidR="00BF7B65" w:rsidRDefault="00BD7387" w:rsidP="0039404A">
      <w:pPr>
        <w:widowControl/>
        <w:spacing w:line="360" w:lineRule="auto"/>
        <w:rPr>
          <w:rStyle w:val="a9"/>
          <w:rFonts w:ascii="黑体" w:eastAsia="黑体" w:hAnsi="黑体" w:cs="黑体"/>
          <w:b w:val="0"/>
        </w:rPr>
      </w:pPr>
      <w:r>
        <w:rPr>
          <w:rFonts w:ascii="黑体" w:eastAsia="黑体" w:hAnsi="黑体" w:cs="宋体" w:hint="eastAsia"/>
          <w:kern w:val="0"/>
          <w:szCs w:val="21"/>
        </w:rPr>
        <w:t>5.1.2.5</w:t>
      </w:r>
      <w:r>
        <w:rPr>
          <w:rStyle w:val="a9"/>
          <w:rFonts w:ascii="黑体" w:eastAsia="黑体" w:hAnsi="黑体" w:cs="黑体" w:hint="eastAsia"/>
          <w:b w:val="0"/>
        </w:rPr>
        <w:t>创</w:t>
      </w:r>
      <w:r>
        <w:rPr>
          <w:rStyle w:val="a9"/>
          <w:rFonts w:ascii="黑体" w:eastAsia="黑体" w:hAnsi="黑体" w:cs="黑体"/>
          <w:b w:val="0"/>
        </w:rPr>
        <w:t>新能力</w:t>
      </w:r>
    </w:p>
    <w:p w:rsidR="00BF7B65" w:rsidRDefault="00BD7387" w:rsidP="0039404A">
      <w:pPr>
        <w:widowControl/>
        <w:spacing w:line="360" w:lineRule="auto"/>
        <w:ind w:firstLineChars="200" w:firstLine="420"/>
      </w:pPr>
      <w:r>
        <w:t>关注企业在产品、服务、技术、商业模式等方面的创新成果和创新投入。</w:t>
      </w:r>
    </w:p>
    <w:p w:rsidR="00BF7B65" w:rsidRDefault="00BD7387" w:rsidP="0039404A">
      <w:pPr>
        <w:spacing w:line="360" w:lineRule="auto"/>
        <w:rPr>
          <w:rFonts w:ascii="黑体" w:eastAsia="黑体" w:hAnsi="黑体" w:cs="宋体"/>
          <w:kern w:val="0"/>
          <w:szCs w:val="21"/>
        </w:rPr>
      </w:pPr>
      <w:r>
        <w:rPr>
          <w:rFonts w:ascii="黑体" w:eastAsia="黑体" w:hAnsi="黑体" w:cs="宋体" w:hint="eastAsia"/>
          <w:kern w:val="0"/>
          <w:szCs w:val="21"/>
        </w:rPr>
        <w:t>5.1.3产品与服务质量</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5.1.3.1产品质量</w:t>
      </w:r>
    </w:p>
    <w:p w:rsidR="00BF7B65" w:rsidRDefault="00BD7387" w:rsidP="0039404A">
      <w:pPr>
        <w:widowControl/>
        <w:spacing w:line="360" w:lineRule="auto"/>
        <w:ind w:firstLineChars="200" w:firstLine="420"/>
      </w:pPr>
      <w:r>
        <w:t>包括产品的合格率、质量稳定性、安全性、环保性等，是企业信用的重要基础。</w:t>
      </w:r>
    </w:p>
    <w:p w:rsidR="00BF7B65" w:rsidRDefault="00BD7387" w:rsidP="0039404A">
      <w:pPr>
        <w:widowControl/>
        <w:spacing w:line="360" w:lineRule="auto"/>
        <w:rPr>
          <w:rStyle w:val="a9"/>
        </w:rPr>
      </w:pPr>
      <w:r>
        <w:rPr>
          <w:rStyle w:val="a9"/>
          <w:rFonts w:ascii="黑体" w:eastAsia="黑体" w:hAnsi="黑体" w:cs="黑体" w:hint="eastAsia"/>
          <w:b w:val="0"/>
        </w:rPr>
        <w:t>5.1.3.2服务质量</w:t>
      </w:r>
    </w:p>
    <w:p w:rsidR="00BF7B65" w:rsidRDefault="00BD7387" w:rsidP="0039404A">
      <w:pPr>
        <w:widowControl/>
        <w:spacing w:line="360" w:lineRule="auto"/>
        <w:ind w:firstLineChars="200" w:firstLine="420"/>
      </w:pPr>
      <w:r>
        <w:rPr>
          <w:rFonts w:hint="eastAsia"/>
        </w:rPr>
        <w:t>评估</w:t>
      </w:r>
      <w:r>
        <w:t>企业的服务水平、服务响应速度、客户投诉处理等。</w:t>
      </w:r>
    </w:p>
    <w:p w:rsidR="00BF7B65" w:rsidRDefault="00BD7387" w:rsidP="0039404A">
      <w:pPr>
        <w:widowControl/>
        <w:spacing w:line="360" w:lineRule="auto"/>
        <w:rPr>
          <w:rStyle w:val="a9"/>
        </w:rPr>
      </w:pPr>
      <w:r>
        <w:rPr>
          <w:rStyle w:val="a9"/>
          <w:rFonts w:ascii="黑体" w:eastAsia="黑体" w:hAnsi="黑体" w:cs="黑体" w:hint="eastAsia"/>
          <w:b w:val="0"/>
        </w:rPr>
        <w:lastRenderedPageBreak/>
        <w:t>5.1.3.3产品与服务创新</w:t>
      </w:r>
    </w:p>
    <w:p w:rsidR="00BF7B65" w:rsidRDefault="00BD7387" w:rsidP="0039404A">
      <w:pPr>
        <w:widowControl/>
        <w:spacing w:line="360" w:lineRule="auto"/>
        <w:ind w:firstLineChars="200" w:firstLine="420"/>
      </w:pPr>
      <w:r>
        <w:t>关注企业在产品功能、性能、体验以及服务模式等方面的创新。</w:t>
      </w:r>
    </w:p>
    <w:p w:rsidR="00BF7B65" w:rsidRDefault="00BD7387" w:rsidP="0039404A">
      <w:pPr>
        <w:widowControl/>
        <w:spacing w:line="360" w:lineRule="auto"/>
        <w:rPr>
          <w:rStyle w:val="a9"/>
        </w:rPr>
      </w:pPr>
      <w:r>
        <w:rPr>
          <w:rStyle w:val="a9"/>
          <w:rFonts w:ascii="黑体" w:eastAsia="黑体" w:hAnsi="黑体" w:cs="黑体" w:hint="eastAsia"/>
          <w:b w:val="0"/>
        </w:rPr>
        <w:t>5.1.3.4消费者权益保护</w:t>
      </w:r>
    </w:p>
    <w:p w:rsidR="00BF7B65" w:rsidRDefault="00BD7387" w:rsidP="0039404A">
      <w:pPr>
        <w:widowControl/>
        <w:spacing w:line="360" w:lineRule="auto"/>
        <w:ind w:firstLineChars="200" w:firstLine="420"/>
      </w:pPr>
      <w:r>
        <w:t>考察企业在消费者权益保护方面的制度建设、产品与服务的信息披露、售后服务保障等。</w:t>
      </w:r>
    </w:p>
    <w:p w:rsidR="00BF7B65" w:rsidRDefault="00BD7387" w:rsidP="0039404A">
      <w:pPr>
        <w:spacing w:line="360" w:lineRule="auto"/>
        <w:rPr>
          <w:rFonts w:ascii="黑体" w:eastAsia="黑体" w:hAnsi="黑体" w:cs="宋体"/>
          <w:kern w:val="0"/>
          <w:szCs w:val="21"/>
        </w:rPr>
      </w:pPr>
      <w:r>
        <w:rPr>
          <w:rFonts w:ascii="黑体" w:eastAsia="黑体" w:hAnsi="黑体" w:cs="宋体" w:hint="eastAsia"/>
          <w:kern w:val="0"/>
          <w:szCs w:val="21"/>
        </w:rPr>
        <w:t>5.1.4财务状况</w:t>
      </w:r>
    </w:p>
    <w:p w:rsidR="00BF7B65" w:rsidRDefault="00BD7387" w:rsidP="0039404A">
      <w:pPr>
        <w:widowControl/>
        <w:spacing w:line="360" w:lineRule="auto"/>
        <w:ind w:firstLineChars="200" w:firstLine="420"/>
      </w:pPr>
      <w:r>
        <w:rPr>
          <w:rFonts w:hint="eastAsia"/>
        </w:rPr>
        <w:t>考察企业财务实力，包括盈利能力、偿债能力、运营能力、成长能力等方面。</w:t>
      </w:r>
    </w:p>
    <w:p w:rsidR="00BF7B65" w:rsidRDefault="00BD7387" w:rsidP="0039404A">
      <w:pPr>
        <w:spacing w:line="360" w:lineRule="auto"/>
        <w:rPr>
          <w:rFonts w:ascii="黑体" w:eastAsia="黑体" w:hAnsi="黑体" w:cs="宋体"/>
          <w:kern w:val="0"/>
          <w:szCs w:val="21"/>
        </w:rPr>
      </w:pPr>
      <w:r>
        <w:rPr>
          <w:rFonts w:ascii="黑体" w:eastAsia="黑体" w:hAnsi="黑体" w:cs="宋体" w:hint="eastAsia"/>
          <w:kern w:val="0"/>
          <w:szCs w:val="21"/>
        </w:rPr>
        <w:t>5.1.5社会责任履行</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5.1.5.1环保责任</w:t>
      </w:r>
    </w:p>
    <w:p w:rsidR="00BF7B65" w:rsidRDefault="00BD7387" w:rsidP="0039404A">
      <w:pPr>
        <w:widowControl/>
        <w:spacing w:line="360" w:lineRule="auto"/>
        <w:ind w:firstLineChars="200" w:firstLine="420"/>
      </w:pPr>
      <w:r>
        <w:t>评估企业在节能减排、资源循环利用、环境保护等方面的措施和成效。</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5.1.5.2公益活动参与</w:t>
      </w:r>
    </w:p>
    <w:p w:rsidR="00BF7B65" w:rsidRDefault="00BD7387" w:rsidP="0039404A">
      <w:pPr>
        <w:widowControl/>
        <w:spacing w:line="360" w:lineRule="auto"/>
        <w:ind w:firstLineChars="200" w:firstLine="420"/>
      </w:pPr>
      <w:r>
        <w:t>关注企业参与社会公益事业的情况，如慈善捐赠、志愿服务、社会公益项目支持等。</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5.1.5.3员工权益保护</w:t>
      </w:r>
    </w:p>
    <w:p w:rsidR="00BF7B65" w:rsidRDefault="00BD7387" w:rsidP="0039404A">
      <w:pPr>
        <w:widowControl/>
        <w:spacing w:line="360" w:lineRule="auto"/>
        <w:ind w:firstLineChars="200" w:firstLine="420"/>
      </w:pPr>
      <w:r>
        <w:rPr>
          <w:rFonts w:hint="eastAsia"/>
        </w:rPr>
        <w:t>评估</w:t>
      </w:r>
      <w:r>
        <w:t>企业在劳动用工、员工福利、职业健康与安全等方面的保障情况，维护员工的合法权益。</w:t>
      </w:r>
    </w:p>
    <w:p w:rsidR="00BF7B65" w:rsidRDefault="00BD7387" w:rsidP="0039404A">
      <w:pPr>
        <w:spacing w:line="360" w:lineRule="auto"/>
        <w:rPr>
          <w:rFonts w:ascii="黑体" w:eastAsia="黑体" w:hAnsi="黑体" w:cs="宋体"/>
          <w:kern w:val="0"/>
          <w:szCs w:val="21"/>
        </w:rPr>
      </w:pPr>
      <w:r>
        <w:rPr>
          <w:rFonts w:ascii="黑体" w:eastAsia="黑体" w:hAnsi="黑体" w:cs="宋体" w:hint="eastAsia"/>
          <w:kern w:val="0"/>
          <w:szCs w:val="21"/>
        </w:rPr>
        <w:t>5.1.6社会信用记录</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5.1.6.1信用记录</w:t>
      </w:r>
    </w:p>
    <w:p w:rsidR="00BF7B65" w:rsidRDefault="00BD7387" w:rsidP="0039404A">
      <w:pPr>
        <w:widowControl/>
        <w:spacing w:line="360" w:lineRule="auto"/>
        <w:ind w:firstLineChars="200" w:firstLine="420"/>
      </w:pPr>
      <w:r>
        <w:t>查询企业在金融机构、合作伙伴、政府监管部门等的信用记录，包括</w:t>
      </w:r>
      <w:bookmarkStart w:id="20" w:name="OLE_LINK3"/>
      <w:r>
        <w:t>是否存在逾期还款、违约、欺诈等不良信用行为</w:t>
      </w:r>
      <w:bookmarkEnd w:id="20"/>
      <w:r>
        <w:t>。</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5.1.6.2纠纷处理</w:t>
      </w:r>
    </w:p>
    <w:p w:rsidR="00BF7B65" w:rsidRDefault="00BD7387" w:rsidP="0039404A">
      <w:pPr>
        <w:widowControl/>
        <w:spacing w:line="360" w:lineRule="auto"/>
        <w:ind w:firstLineChars="200" w:firstLine="420"/>
      </w:pPr>
      <w:bookmarkStart w:id="21" w:name="_Hlk191908017"/>
      <w:r>
        <w:t>考察</w:t>
      </w:r>
      <w:bookmarkEnd w:id="21"/>
      <w:r>
        <w:t>企业在处理经济纠纷、劳动纠纷、消费者投诉等方面的态度和结果，反映企业的诚信经营意识。</w:t>
      </w:r>
    </w:p>
    <w:p w:rsidR="00BF7B65" w:rsidRPr="002F12AF" w:rsidRDefault="00BD7387" w:rsidP="0039404A">
      <w:pPr>
        <w:numPr>
          <w:ilvl w:val="1"/>
          <w:numId w:val="2"/>
        </w:numPr>
        <w:spacing w:line="360" w:lineRule="auto"/>
        <w:rPr>
          <w:rFonts w:ascii="黑体" w:eastAsia="黑体" w:hAnsi="黑体" w:cs="宋体"/>
          <w:kern w:val="0"/>
          <w:szCs w:val="21"/>
        </w:rPr>
      </w:pPr>
      <w:bookmarkStart w:id="22" w:name="_Hlk191907938"/>
      <w:r w:rsidRPr="002F12AF">
        <w:rPr>
          <w:rFonts w:ascii="黑体" w:eastAsia="黑体" w:hAnsi="黑体" w:cs="宋体" w:hint="eastAsia"/>
          <w:kern w:val="0"/>
          <w:szCs w:val="21"/>
        </w:rPr>
        <w:t>信用认证指标</w:t>
      </w:r>
    </w:p>
    <w:bookmarkEnd w:id="22"/>
    <w:p w:rsidR="00BF7B65" w:rsidRPr="002F12AF" w:rsidRDefault="00BD7387" w:rsidP="0039404A">
      <w:pPr>
        <w:spacing w:line="360" w:lineRule="auto"/>
        <w:rPr>
          <w:rFonts w:ascii="黑体" w:eastAsia="黑体" w:hAnsi="黑体" w:cs="宋体"/>
          <w:kern w:val="0"/>
          <w:szCs w:val="21"/>
        </w:rPr>
      </w:pPr>
      <w:r w:rsidRPr="002F12AF">
        <w:rPr>
          <w:rFonts w:ascii="黑体" w:eastAsia="黑体" w:hAnsi="黑体" w:cs="宋体" w:hint="eastAsia"/>
          <w:kern w:val="0"/>
          <w:szCs w:val="21"/>
        </w:rPr>
        <w:t>5.2.1基础信用</w:t>
      </w:r>
    </w:p>
    <w:p w:rsidR="00BF7B65" w:rsidRPr="002F12AF" w:rsidRDefault="00BD7387" w:rsidP="0039404A">
      <w:pPr>
        <w:widowControl/>
        <w:spacing w:line="360" w:lineRule="auto"/>
        <w:ind w:firstLineChars="200" w:firstLine="420"/>
      </w:pPr>
      <w:bookmarkStart w:id="23" w:name="OLE_LINK25"/>
      <w:r w:rsidRPr="002F12AF">
        <w:rPr>
          <w:rFonts w:hint="eastAsia"/>
        </w:rPr>
        <w:t>考察企业连续经营年限、主要股东类型与规模方面。</w:t>
      </w:r>
    </w:p>
    <w:bookmarkEnd w:id="23"/>
    <w:p w:rsidR="00BF7B65" w:rsidRPr="002F12AF" w:rsidRDefault="00BD7387" w:rsidP="0039404A">
      <w:pPr>
        <w:spacing w:line="360" w:lineRule="auto"/>
        <w:rPr>
          <w:rFonts w:ascii="黑体" w:eastAsia="黑体" w:hAnsi="黑体" w:cs="宋体"/>
          <w:kern w:val="0"/>
          <w:szCs w:val="21"/>
        </w:rPr>
      </w:pPr>
      <w:r w:rsidRPr="002F12AF">
        <w:rPr>
          <w:rFonts w:ascii="黑体" w:eastAsia="黑体" w:hAnsi="黑体" w:cs="宋体" w:hint="eastAsia"/>
          <w:kern w:val="0"/>
          <w:szCs w:val="21"/>
        </w:rPr>
        <w:t>5.2.2管理能力</w:t>
      </w:r>
    </w:p>
    <w:p w:rsidR="00BF7B65" w:rsidRPr="002F12AF" w:rsidRDefault="00BD7387" w:rsidP="0039404A">
      <w:pPr>
        <w:widowControl/>
        <w:spacing w:line="360" w:lineRule="auto"/>
        <w:ind w:firstLineChars="200" w:firstLine="420"/>
      </w:pPr>
      <w:r w:rsidRPr="002F12AF">
        <w:rPr>
          <w:rFonts w:hint="eastAsia"/>
        </w:rPr>
        <w:t>考察企业经营许可、质量管理体系认证、商标，专利及参与标准制定情况。</w:t>
      </w:r>
    </w:p>
    <w:p w:rsidR="00BF7B65" w:rsidRPr="002F12AF" w:rsidRDefault="00BD7387" w:rsidP="0039404A">
      <w:pPr>
        <w:spacing w:line="360" w:lineRule="auto"/>
        <w:rPr>
          <w:rFonts w:ascii="黑体" w:eastAsia="黑体" w:hAnsi="黑体" w:cs="宋体"/>
          <w:kern w:val="0"/>
          <w:szCs w:val="21"/>
        </w:rPr>
      </w:pPr>
      <w:r w:rsidRPr="002F12AF">
        <w:rPr>
          <w:rFonts w:ascii="黑体" w:eastAsia="黑体" w:hAnsi="黑体" w:cs="宋体" w:hint="eastAsia"/>
          <w:kern w:val="0"/>
          <w:szCs w:val="21"/>
        </w:rPr>
        <w:t>5.2.3信用信息</w:t>
      </w:r>
    </w:p>
    <w:p w:rsidR="00BF7B65" w:rsidRDefault="00BD7387" w:rsidP="0039404A">
      <w:pPr>
        <w:widowControl/>
        <w:spacing w:line="360" w:lineRule="auto"/>
        <w:ind w:firstLineChars="200" w:firstLine="420"/>
      </w:pPr>
      <w:r w:rsidRPr="002F12AF">
        <w:rPr>
          <w:rFonts w:hint="eastAsia"/>
        </w:rPr>
        <w:t>考察企业市场监管信用记录、纳税信用记录、司法信用记录及其他行政单位信用记录等。</w:t>
      </w:r>
    </w:p>
    <w:bookmarkEnd w:id="19"/>
    <w:p w:rsidR="00BF7B65" w:rsidRDefault="00BD7387" w:rsidP="0039404A">
      <w:pPr>
        <w:pStyle w:val="a"/>
        <w:numPr>
          <w:ilvl w:val="0"/>
          <w:numId w:val="2"/>
        </w:numPr>
        <w:spacing w:beforeLines="50" w:afterLines="50"/>
        <w:rPr>
          <w:rFonts w:hAnsi="黑体" w:cs="宋体"/>
          <w:szCs w:val="21"/>
        </w:rPr>
      </w:pPr>
      <w:r>
        <w:rPr>
          <w:rFonts w:hAnsi="黑体" w:cs="宋体"/>
          <w:szCs w:val="21"/>
        </w:rPr>
        <w:t>评价方法</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指标权重确定</w:t>
      </w:r>
    </w:p>
    <w:p w:rsidR="00BF7B65" w:rsidRDefault="00BD7387" w:rsidP="0039404A">
      <w:pPr>
        <w:widowControl/>
        <w:spacing w:line="360" w:lineRule="auto"/>
        <w:ind w:firstLineChars="200" w:firstLine="420"/>
      </w:pPr>
      <w:r>
        <w:t>采用层次分析法、德尔菲法等方法，结合专家意见和行业实际情况，确定各评价指标的权重。</w:t>
      </w:r>
    </w:p>
    <w:p w:rsidR="00BF7B65" w:rsidRDefault="00BD7387" w:rsidP="0039404A">
      <w:pPr>
        <w:numPr>
          <w:ilvl w:val="1"/>
          <w:numId w:val="2"/>
        </w:numPr>
        <w:spacing w:line="360" w:lineRule="auto"/>
        <w:rPr>
          <w:rFonts w:cs="宋体"/>
          <w:kern w:val="0"/>
          <w:szCs w:val="21"/>
        </w:rPr>
      </w:pPr>
      <w:r>
        <w:rPr>
          <w:rFonts w:ascii="黑体" w:eastAsia="黑体" w:hAnsi="黑体" w:cs="宋体" w:hint="eastAsia"/>
          <w:kern w:val="0"/>
          <w:szCs w:val="21"/>
        </w:rPr>
        <w:t>数据收集与处理</w:t>
      </w:r>
    </w:p>
    <w:p w:rsidR="00BF7B65" w:rsidRDefault="00BD7387" w:rsidP="0039404A">
      <w:pPr>
        <w:widowControl/>
        <w:spacing w:line="360" w:lineRule="auto"/>
        <w:ind w:firstLineChars="200" w:firstLine="420"/>
      </w:pPr>
      <w:r>
        <w:lastRenderedPageBreak/>
        <w:t>通过企业自评、问卷调查、实地调研、公开信息查询等方式收集评价所需的数据，并对数据进行整理、核实和标准化处理。</w:t>
      </w:r>
    </w:p>
    <w:p w:rsidR="00BF7B65" w:rsidRDefault="00BD7387" w:rsidP="0039404A">
      <w:pPr>
        <w:numPr>
          <w:ilvl w:val="1"/>
          <w:numId w:val="2"/>
        </w:numPr>
        <w:spacing w:line="360" w:lineRule="auto"/>
        <w:rPr>
          <w:rFonts w:cs="宋体"/>
          <w:kern w:val="0"/>
          <w:szCs w:val="21"/>
        </w:rPr>
      </w:pPr>
      <w:r>
        <w:rPr>
          <w:rFonts w:ascii="黑体" w:eastAsia="黑体" w:hAnsi="黑体" w:cs="宋体" w:hint="eastAsia"/>
          <w:kern w:val="0"/>
          <w:szCs w:val="21"/>
        </w:rPr>
        <w:t>评分标准制定</w:t>
      </w:r>
    </w:p>
    <w:p w:rsidR="00BF7B65" w:rsidRDefault="00BD7387" w:rsidP="0039404A">
      <w:pPr>
        <w:widowControl/>
        <w:spacing w:line="360" w:lineRule="auto"/>
        <w:ind w:firstLineChars="200" w:firstLine="420"/>
      </w:pPr>
      <w:r>
        <w:t>根据各指标的性质和重要程度，制定相应的评分标准，明确各指标的得分区间和计算方法。</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综合评价</w:t>
      </w:r>
    </w:p>
    <w:p w:rsidR="00BF7B65" w:rsidRDefault="00BD7387" w:rsidP="0039404A">
      <w:pPr>
        <w:widowControl/>
        <w:spacing w:line="360" w:lineRule="auto"/>
        <w:ind w:firstLineChars="200" w:firstLine="420"/>
      </w:pPr>
      <w:r>
        <w:t>根据指标权重和评分结果，计算企业的综合信用得分。</w:t>
      </w:r>
    </w:p>
    <w:p w:rsidR="00BF7B65" w:rsidRDefault="00BD7387" w:rsidP="0039404A">
      <w:pPr>
        <w:pStyle w:val="a"/>
        <w:numPr>
          <w:ilvl w:val="0"/>
          <w:numId w:val="2"/>
        </w:numPr>
        <w:spacing w:beforeLines="50" w:afterLines="50"/>
        <w:rPr>
          <w:rFonts w:hAnsi="黑体" w:cs="宋体"/>
          <w:szCs w:val="21"/>
        </w:rPr>
      </w:pPr>
      <w:r>
        <w:rPr>
          <w:rFonts w:hAnsi="黑体" w:cs="宋体"/>
          <w:szCs w:val="21"/>
        </w:rPr>
        <w:t>评价程序</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评价准备</w:t>
      </w:r>
    </w:p>
    <w:p w:rsidR="00BF7B65" w:rsidRDefault="00BD7387" w:rsidP="0039404A">
      <w:pPr>
        <w:widowControl/>
        <w:spacing w:line="360" w:lineRule="auto"/>
        <w:ind w:firstLineChars="200" w:firstLine="420"/>
      </w:pPr>
      <w:r>
        <w:t>确定评价机构和人员，制定评价计划，收集企业相关资料，开展评价培训等。</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企业自评</w:t>
      </w:r>
    </w:p>
    <w:p w:rsidR="00BF7B65" w:rsidRDefault="00BD7387" w:rsidP="0039404A">
      <w:pPr>
        <w:widowControl/>
        <w:spacing w:line="360" w:lineRule="auto"/>
        <w:ind w:firstLineChars="200" w:firstLine="420"/>
      </w:pPr>
      <w:r>
        <w:t>企业按照评价标准和要求，对自身的信用状况进行自我评价，填写自评报告，并提交相关证明材料。</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综合评价</w:t>
      </w:r>
    </w:p>
    <w:p w:rsidR="00BF7B65" w:rsidRDefault="00BD7387" w:rsidP="0039404A">
      <w:pPr>
        <w:widowControl/>
        <w:spacing w:line="360" w:lineRule="auto"/>
        <w:ind w:firstLineChars="200" w:firstLine="420"/>
      </w:pPr>
      <w:r>
        <w:t>评价机构依据收集到的数据和信息，按照评价方法和评分标准，对企业进行综合评价，计算企业的信用得分和信用等级。</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评价报告编制</w:t>
      </w:r>
    </w:p>
    <w:p w:rsidR="00BF7B65" w:rsidRDefault="00BD7387" w:rsidP="0039404A">
      <w:pPr>
        <w:widowControl/>
        <w:spacing w:line="360" w:lineRule="auto"/>
        <w:ind w:firstLineChars="200" w:firstLine="420"/>
      </w:pPr>
      <w:r>
        <w:t>评价机构根据评价结果，编制详细的评价报告，包括企业基本情况、评价指标分析、信用得分与等级等内容。</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评价结果公示与反馈</w:t>
      </w:r>
    </w:p>
    <w:p w:rsidR="00BF7B65" w:rsidRDefault="00BD7387" w:rsidP="0039404A">
      <w:pPr>
        <w:widowControl/>
        <w:spacing w:line="360" w:lineRule="auto"/>
        <w:ind w:firstLineChars="200" w:firstLine="420"/>
      </w:pPr>
      <w:r>
        <w:t>将评价结果向社会公示，接受社会监督，并将评价结果反馈给企业，企业如有异议，可在规定时间内提出申诉。</w:t>
      </w:r>
    </w:p>
    <w:p w:rsidR="00BF7B65" w:rsidRDefault="00BD7387" w:rsidP="0039404A">
      <w:pPr>
        <w:pStyle w:val="a"/>
        <w:numPr>
          <w:ilvl w:val="0"/>
          <w:numId w:val="2"/>
        </w:numPr>
        <w:spacing w:beforeLines="50" w:afterLines="50"/>
        <w:rPr>
          <w:rFonts w:hAnsi="黑体" w:cs="宋体"/>
          <w:szCs w:val="21"/>
        </w:rPr>
      </w:pPr>
      <w:r>
        <w:rPr>
          <w:rFonts w:hAnsi="黑体" w:cs="宋体"/>
          <w:szCs w:val="21"/>
        </w:rPr>
        <w:t>评价结果</w:t>
      </w:r>
    </w:p>
    <w:p w:rsidR="00BF7B65" w:rsidRDefault="00BD7387" w:rsidP="0039404A">
      <w:pPr>
        <w:numPr>
          <w:ilvl w:val="1"/>
          <w:numId w:val="2"/>
        </w:numPr>
        <w:spacing w:line="360" w:lineRule="auto"/>
        <w:rPr>
          <w:rFonts w:cs="宋体"/>
          <w:kern w:val="0"/>
          <w:szCs w:val="21"/>
        </w:rPr>
      </w:pPr>
      <w:r>
        <w:rPr>
          <w:rFonts w:ascii="黑体" w:eastAsia="黑体" w:hAnsi="黑体" w:cs="宋体" w:hint="eastAsia"/>
          <w:kern w:val="0"/>
          <w:szCs w:val="21"/>
        </w:rPr>
        <w:t>信用等级划分</w:t>
      </w:r>
    </w:p>
    <w:p w:rsidR="00BF7B65" w:rsidRDefault="00BD7387" w:rsidP="0039404A">
      <w:pPr>
        <w:widowControl/>
        <w:spacing w:line="360" w:lineRule="auto"/>
        <w:ind w:firstLineChars="200" w:firstLine="420"/>
      </w:pPr>
      <w:r>
        <w:t>根据企业的综合信用得分，将新消费品牌企业的信用等级划分为</w:t>
      </w:r>
      <w:r>
        <w:t xml:space="preserve"> AAA</w:t>
      </w:r>
      <w:r>
        <w:t>、</w:t>
      </w:r>
      <w:r>
        <w:t>AA</w:t>
      </w:r>
      <w:r>
        <w:t>、</w:t>
      </w:r>
      <w:r>
        <w:t>A</w:t>
      </w:r>
      <w:r>
        <w:t>、</w:t>
      </w:r>
      <w:r>
        <w:t>B</w:t>
      </w:r>
      <w:r>
        <w:t>、</w:t>
      </w:r>
      <w:r>
        <w:t>C</w:t>
      </w:r>
      <w:r>
        <w:t>五个等级，具体划分标准如下：</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8.1.1</w:t>
      </w:r>
      <w:r>
        <w:rPr>
          <w:rStyle w:val="a9"/>
          <w:rFonts w:ascii="黑体" w:eastAsia="黑体" w:hAnsi="黑体" w:cs="黑体" w:hint="eastAsia"/>
          <w:b w:val="0"/>
        </w:rPr>
        <w:tab/>
        <w:t>AAA 级</w:t>
      </w:r>
    </w:p>
    <w:p w:rsidR="00BF7B65" w:rsidRDefault="00BD7387" w:rsidP="0039404A">
      <w:pPr>
        <w:widowControl/>
        <w:spacing w:line="360" w:lineRule="auto"/>
        <w:ind w:firstLineChars="200" w:firstLine="420"/>
      </w:pPr>
      <w:r>
        <w:t>企业信用状况</w:t>
      </w:r>
      <w:r>
        <w:rPr>
          <w:rFonts w:hint="eastAsia"/>
        </w:rPr>
        <w:t>很好</w:t>
      </w:r>
      <w:r>
        <w:t>，综合得分在</w:t>
      </w:r>
      <w:r>
        <w:t>90</w:t>
      </w:r>
      <w:r>
        <w:t>分及以上，具有很强的市场竞争力和社会影响力，经营管理规范，财务状况良好，产品与服务质量优秀，社会责任履行到位，信用记录良好。</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8.1.2</w:t>
      </w:r>
      <w:r>
        <w:rPr>
          <w:rStyle w:val="a9"/>
          <w:rFonts w:ascii="黑体" w:eastAsia="黑体" w:hAnsi="黑体" w:cs="黑体" w:hint="eastAsia"/>
          <w:b w:val="0"/>
        </w:rPr>
        <w:tab/>
        <w:t>AA 级</w:t>
      </w:r>
    </w:p>
    <w:p w:rsidR="00BF7B65" w:rsidRDefault="00BD7387" w:rsidP="0039404A">
      <w:pPr>
        <w:widowControl/>
        <w:spacing w:line="360" w:lineRule="auto"/>
        <w:ind w:firstLineChars="200" w:firstLine="420"/>
      </w:pPr>
      <w:r>
        <w:t>企业信用状况</w:t>
      </w:r>
      <w:r>
        <w:rPr>
          <w:rFonts w:hint="eastAsia"/>
        </w:rPr>
        <w:t>较</w:t>
      </w:r>
      <w:r>
        <w:t>好，综合得分在</w:t>
      </w:r>
      <w:r>
        <w:t>80-89</w:t>
      </w:r>
      <w:r>
        <w:t>分之间，具备较强的市场</w:t>
      </w:r>
      <w:bookmarkStart w:id="24" w:name="_GoBack"/>
      <w:bookmarkEnd w:id="24"/>
      <w:r>
        <w:t>竞争力和社会认可度，经营管理较规范，财务状况稳定，产品与服务质量较高，社会责任履行较好，信用记录较好。</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lastRenderedPageBreak/>
        <w:t>8.1.3</w:t>
      </w:r>
      <w:r>
        <w:rPr>
          <w:rStyle w:val="a9"/>
          <w:rFonts w:ascii="黑体" w:eastAsia="黑体" w:hAnsi="黑体" w:cs="黑体" w:hint="eastAsia"/>
          <w:b w:val="0"/>
        </w:rPr>
        <w:tab/>
        <w:t>A 级</w:t>
      </w:r>
    </w:p>
    <w:p w:rsidR="00BF7B65" w:rsidRDefault="00BD7387" w:rsidP="0039404A">
      <w:pPr>
        <w:widowControl/>
        <w:spacing w:line="360" w:lineRule="auto"/>
        <w:ind w:firstLineChars="200" w:firstLine="420"/>
      </w:pPr>
      <w:r>
        <w:t>企业信用状况</w:t>
      </w:r>
      <w:r>
        <w:rPr>
          <w:rFonts w:hint="eastAsia"/>
        </w:rPr>
        <w:t>良</w:t>
      </w:r>
      <w:r>
        <w:t>好，综合得分在</w:t>
      </w:r>
      <w:r>
        <w:t>70-79</w:t>
      </w:r>
      <w:r>
        <w:t>分之间，有一定的市场竞争力和社会形象，经营管理基本规范，财务状况基本正常，产品与服务质量合格，能够履行社会责任，信用记录无重大不良行为。</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8.1.4</w:t>
      </w:r>
      <w:r>
        <w:rPr>
          <w:rStyle w:val="a9"/>
          <w:rFonts w:ascii="黑体" w:eastAsia="黑体" w:hAnsi="黑体" w:cs="黑体" w:hint="eastAsia"/>
          <w:b w:val="0"/>
        </w:rPr>
        <w:tab/>
        <w:t>B 级</w:t>
      </w:r>
    </w:p>
    <w:p w:rsidR="00BF7B65" w:rsidRDefault="00BD7387" w:rsidP="0039404A">
      <w:pPr>
        <w:widowControl/>
        <w:spacing w:line="360" w:lineRule="auto"/>
        <w:ind w:firstLineChars="200" w:firstLine="420"/>
      </w:pPr>
      <w:r>
        <w:t>企业信用状况一般，综合得分在</w:t>
      </w:r>
      <w:r>
        <w:t>60-69</w:t>
      </w:r>
      <w:r>
        <w:t>分之间，市场竞争力和社会影响力较弱，经营管理存在一些问题，财务状况有待改善，产品与服务质量存在一定不足，社会责任履行不够充分，信用记录有少量不良行为。</w:t>
      </w:r>
    </w:p>
    <w:p w:rsidR="00BF7B65" w:rsidRDefault="00BD7387" w:rsidP="0039404A">
      <w:pPr>
        <w:widowControl/>
        <w:spacing w:line="360" w:lineRule="auto"/>
        <w:rPr>
          <w:rStyle w:val="a9"/>
          <w:rFonts w:ascii="黑体" w:eastAsia="黑体" w:hAnsi="黑体" w:cs="黑体"/>
          <w:b w:val="0"/>
        </w:rPr>
      </w:pPr>
      <w:r>
        <w:rPr>
          <w:rStyle w:val="a9"/>
          <w:rFonts w:ascii="黑体" w:eastAsia="黑体" w:hAnsi="黑体" w:cs="黑体" w:hint="eastAsia"/>
          <w:b w:val="0"/>
        </w:rPr>
        <w:t>8.1.5</w:t>
      </w:r>
      <w:r>
        <w:rPr>
          <w:rStyle w:val="a9"/>
          <w:rFonts w:ascii="黑体" w:eastAsia="黑体" w:hAnsi="黑体" w:cs="黑体" w:hint="eastAsia"/>
          <w:b w:val="0"/>
        </w:rPr>
        <w:tab/>
        <w:t>C 级</w:t>
      </w:r>
    </w:p>
    <w:p w:rsidR="00BF7B65" w:rsidRDefault="00BD7387" w:rsidP="0039404A">
      <w:pPr>
        <w:widowControl/>
        <w:spacing w:line="360" w:lineRule="auto"/>
        <w:ind w:firstLineChars="200" w:firstLine="420"/>
      </w:pPr>
      <w:r>
        <w:t>企业信用状况较差，综合得分在</w:t>
      </w:r>
      <w:r>
        <w:t>60</w:t>
      </w:r>
      <w:r>
        <w:t>分以下，市场竞争力和社会形象较差，经营管理不规范，财务状况不佳，产品与服务质量问题较多，社会责任履行不力，信用记录存在较多不良行为或重大违法违规行为。</w:t>
      </w:r>
    </w:p>
    <w:p w:rsidR="00BF7B65" w:rsidRPr="007641D4" w:rsidRDefault="00BD7387" w:rsidP="0039404A">
      <w:pPr>
        <w:numPr>
          <w:ilvl w:val="1"/>
          <w:numId w:val="2"/>
        </w:numPr>
        <w:spacing w:line="360" w:lineRule="auto"/>
        <w:rPr>
          <w:rFonts w:ascii="黑体" w:eastAsia="黑体" w:hAnsi="黑体" w:cs="宋体"/>
          <w:kern w:val="0"/>
          <w:szCs w:val="21"/>
        </w:rPr>
      </w:pPr>
      <w:bookmarkStart w:id="25" w:name="OLE_LINK30"/>
      <w:r w:rsidRPr="007641D4">
        <w:rPr>
          <w:rFonts w:ascii="黑体" w:eastAsia="黑体" w:hAnsi="黑体" w:cs="宋体" w:hint="eastAsia"/>
          <w:kern w:val="0"/>
          <w:szCs w:val="21"/>
        </w:rPr>
        <w:t>已认证</w:t>
      </w:r>
    </w:p>
    <w:bookmarkEnd w:id="25"/>
    <w:p w:rsidR="00BF7B65" w:rsidRDefault="00BD7387" w:rsidP="0039404A">
      <w:pPr>
        <w:widowControl/>
        <w:spacing w:line="360" w:lineRule="auto"/>
        <w:ind w:firstLineChars="200" w:firstLine="420"/>
      </w:pPr>
      <w:r>
        <w:rPr>
          <w:rFonts w:hint="eastAsia"/>
        </w:rPr>
        <w:t>企业主要内容综合认证良好。</w:t>
      </w:r>
    </w:p>
    <w:p w:rsidR="00BF7B65" w:rsidRPr="007641D4" w:rsidRDefault="00BD7387" w:rsidP="0039404A">
      <w:pPr>
        <w:numPr>
          <w:ilvl w:val="1"/>
          <w:numId w:val="2"/>
        </w:numPr>
        <w:spacing w:line="360" w:lineRule="auto"/>
        <w:rPr>
          <w:rFonts w:ascii="黑体" w:eastAsia="黑体" w:hAnsi="黑体" w:cs="宋体"/>
          <w:kern w:val="0"/>
          <w:szCs w:val="21"/>
        </w:rPr>
      </w:pPr>
      <w:r w:rsidRPr="007641D4">
        <w:rPr>
          <w:rFonts w:ascii="黑体" w:eastAsia="黑体" w:hAnsi="黑体" w:cs="宋体" w:hint="eastAsia"/>
          <w:kern w:val="0"/>
          <w:szCs w:val="21"/>
        </w:rPr>
        <w:t>未认证</w:t>
      </w:r>
    </w:p>
    <w:p w:rsidR="00BF7B65" w:rsidRDefault="00BD7387" w:rsidP="0039404A">
      <w:pPr>
        <w:widowControl/>
        <w:spacing w:line="360" w:lineRule="auto"/>
        <w:ind w:firstLineChars="200" w:firstLine="420"/>
      </w:pPr>
      <w:r>
        <w:rPr>
          <w:rFonts w:hint="eastAsia"/>
        </w:rPr>
        <w:t>企业主要内容综合认证有待加强。</w:t>
      </w:r>
    </w:p>
    <w:p w:rsidR="00BF7B65" w:rsidRDefault="00BD7387" w:rsidP="0039404A">
      <w:pPr>
        <w:numPr>
          <w:ilvl w:val="1"/>
          <w:numId w:val="2"/>
        </w:numPr>
        <w:spacing w:line="360" w:lineRule="auto"/>
        <w:rPr>
          <w:rFonts w:ascii="黑体" w:eastAsia="黑体" w:hAnsi="黑体" w:cs="宋体"/>
          <w:kern w:val="0"/>
          <w:szCs w:val="21"/>
        </w:rPr>
      </w:pPr>
      <w:r>
        <w:rPr>
          <w:rFonts w:ascii="黑体" w:eastAsia="黑体" w:hAnsi="黑体" w:cs="宋体" w:hint="eastAsia"/>
          <w:kern w:val="0"/>
          <w:szCs w:val="21"/>
        </w:rPr>
        <w:t>评价结果应用</w:t>
      </w:r>
    </w:p>
    <w:p w:rsidR="00BF7B65" w:rsidRDefault="00BD7387" w:rsidP="0039404A">
      <w:pPr>
        <w:widowControl/>
        <w:spacing w:line="360" w:lineRule="auto"/>
        <w:ind w:firstLineChars="200" w:firstLine="420"/>
      </w:pPr>
      <w:r>
        <w:t>评价结果可作为政府部门实施监管、政策扶持的参考依据，金融机构提供信贷支持的重要参考，企业合作伙伴选择和商务谈判的重要依据，以及企业自身加强信用管理、提升信用水平的指导。</w:t>
      </w:r>
      <w:r>
        <w:br w:type="page"/>
      </w:r>
    </w:p>
    <w:p w:rsidR="00BF7B65" w:rsidRDefault="00BD7387" w:rsidP="0043065F">
      <w:pPr>
        <w:pStyle w:val="a"/>
        <w:numPr>
          <w:ilvl w:val="0"/>
          <w:numId w:val="0"/>
        </w:numPr>
        <w:spacing w:beforeLines="50" w:afterLines="50" w:line="240" w:lineRule="auto"/>
        <w:jc w:val="center"/>
        <w:rPr>
          <w:rFonts w:hAnsi="黑体" w:cs="宋体"/>
          <w:szCs w:val="21"/>
        </w:rPr>
      </w:pPr>
      <w:r>
        <w:rPr>
          <w:rFonts w:hAnsi="黑体" w:cs="宋体" w:hint="eastAsia"/>
          <w:szCs w:val="21"/>
        </w:rPr>
        <w:lastRenderedPageBreak/>
        <w:t>附录 A</w:t>
      </w:r>
    </w:p>
    <w:p w:rsidR="00BF7B65" w:rsidRDefault="00D53E93" w:rsidP="00357864">
      <w:pPr>
        <w:widowControl/>
        <w:jc w:val="center"/>
      </w:pPr>
      <w:r>
        <w:rPr>
          <w:rFonts w:hint="eastAsia"/>
        </w:rPr>
        <w:t>（规范性</w:t>
      </w:r>
      <w:r w:rsidR="00BD7387">
        <w:rPr>
          <w:rFonts w:hint="eastAsia"/>
        </w:rPr>
        <w:t>）</w:t>
      </w:r>
    </w:p>
    <w:p w:rsidR="00BF7B65" w:rsidRDefault="00BD7387">
      <w:pPr>
        <w:widowControl/>
        <w:ind w:firstLineChars="200" w:firstLine="420"/>
        <w:jc w:val="left"/>
      </w:pPr>
      <w:bookmarkStart w:id="26" w:name="OLE_LINK18"/>
      <w:r>
        <w:rPr>
          <w:rFonts w:hint="eastAsia"/>
        </w:rPr>
        <w:t>新消费品牌企业</w:t>
      </w:r>
      <w:bookmarkStart w:id="27" w:name="_Hlk191906974"/>
      <w:r>
        <w:rPr>
          <w:rFonts w:hint="eastAsia"/>
        </w:rPr>
        <w:t>信用评价指标</w:t>
      </w:r>
      <w:bookmarkEnd w:id="27"/>
      <w:r>
        <w:rPr>
          <w:rFonts w:hint="eastAsia"/>
        </w:rPr>
        <w:t>表示例。</w:t>
      </w:r>
    </w:p>
    <w:p w:rsidR="00BF7B65" w:rsidRDefault="00BD7387">
      <w:pPr>
        <w:widowControl/>
        <w:ind w:firstLineChars="200" w:firstLine="420"/>
        <w:jc w:val="center"/>
      </w:pPr>
      <w:bookmarkStart w:id="28" w:name="_Hlk191905091"/>
      <w:bookmarkEnd w:id="26"/>
      <w:r>
        <w:rPr>
          <w:rFonts w:hint="eastAsia"/>
        </w:rPr>
        <w:t>表</w:t>
      </w:r>
      <w:r>
        <w:rPr>
          <w:rFonts w:hint="eastAsia"/>
        </w:rPr>
        <w:t xml:space="preserve"> A.1 </w:t>
      </w:r>
      <w:r>
        <w:rPr>
          <w:rFonts w:hint="eastAsia"/>
        </w:rPr>
        <w:t>给出了新消费品牌企业信用评价指标示例</w:t>
      </w:r>
    </w:p>
    <w:tbl>
      <w:tblPr>
        <w:tblW w:w="5069" w:type="pct"/>
        <w:tblLayout w:type="fixed"/>
        <w:tblLook w:val="04A0"/>
      </w:tblPr>
      <w:tblGrid>
        <w:gridCol w:w="667"/>
        <w:gridCol w:w="644"/>
        <w:gridCol w:w="640"/>
        <w:gridCol w:w="1479"/>
        <w:gridCol w:w="3557"/>
        <w:gridCol w:w="2314"/>
      </w:tblGrid>
      <w:tr w:rsidR="00BF7B65">
        <w:trPr>
          <w:trHeight w:val="270"/>
        </w:trPr>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bookmarkEnd w:id="5"/>
          <w:bookmarkEnd w:id="28"/>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346" w:type="pct"/>
            <w:tcBorders>
              <w:top w:val="single" w:sz="4" w:space="0" w:color="auto"/>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344" w:type="pct"/>
            <w:tcBorders>
              <w:top w:val="single" w:sz="4" w:space="0" w:color="auto"/>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795" w:type="pct"/>
            <w:tcBorders>
              <w:top w:val="single" w:sz="4" w:space="0" w:color="auto"/>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1912" w:type="pct"/>
            <w:tcBorders>
              <w:top w:val="single" w:sz="4" w:space="0" w:color="auto"/>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指标说明</w:t>
            </w:r>
          </w:p>
        </w:tc>
        <w:tc>
          <w:tcPr>
            <w:tcW w:w="1244" w:type="pct"/>
            <w:tcBorders>
              <w:top w:val="single" w:sz="4" w:space="0" w:color="auto"/>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kern w:val="0"/>
                <w:sz w:val="18"/>
                <w:szCs w:val="18"/>
              </w:rPr>
            </w:pPr>
            <w:r>
              <w:rPr>
                <w:rFonts w:ascii="宋体" w:hAnsi="宋体" w:cs="宋体" w:hint="eastAsia"/>
                <w:color w:val="000000"/>
                <w:kern w:val="0"/>
                <w:sz w:val="18"/>
                <w:szCs w:val="18"/>
              </w:rPr>
              <w:t>评分细则</w:t>
            </w:r>
          </w:p>
        </w:tc>
      </w:tr>
      <w:tr w:rsidR="00BF7B65">
        <w:trPr>
          <w:trHeight w:val="270"/>
        </w:trPr>
        <w:tc>
          <w:tcPr>
            <w:tcW w:w="359" w:type="pct"/>
            <w:vMerge w:val="restart"/>
            <w:tcBorders>
              <w:top w:val="nil"/>
              <w:left w:val="single" w:sz="4" w:space="0" w:color="auto"/>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bookmarkStart w:id="29" w:name="_Hlk188601206"/>
            <w:r>
              <w:rPr>
                <w:rFonts w:ascii="宋体" w:hAnsi="宋体" w:cs="宋体" w:hint="eastAsia"/>
                <w:color w:val="000000"/>
                <w:kern w:val="0"/>
                <w:sz w:val="18"/>
                <w:szCs w:val="18"/>
              </w:rPr>
              <w:t>基础信用能力</w:t>
            </w: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企业信息</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持续经营年限(年）</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企业创建与成长的年限，一定程度反映企业信用建设，两者具有一定正相关性。</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持续经营年限≥10年，得2分；7年≤持续经营年限＜10年，得1.6分；5年≤持续经营年限＜7年，得1.2分；3年≤持续经营年限＜5年，得0.8分，持续年限＜3年，得0.4分。</w:t>
            </w:r>
          </w:p>
        </w:tc>
      </w:tr>
      <w:tr w:rsidR="00BF7B65">
        <w:trPr>
          <w:trHeight w:val="270"/>
        </w:trPr>
        <w:tc>
          <w:tcPr>
            <w:tcW w:w="359"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近三年年均净资产规模（万元）</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衡量企业的资产实力，反映企业所拥有的经济资源净值，体现企业的规模和财务健康程度。</w:t>
            </w:r>
          </w:p>
          <w:p w:rsidR="00BF7B65" w:rsidRDefault="00BF7B65">
            <w:pPr>
              <w:widowControl/>
              <w:rPr>
                <w:rFonts w:ascii="宋体" w:hAnsi="宋体" w:cs="宋体"/>
                <w:color w:val="000000"/>
                <w:kern w:val="0"/>
                <w:sz w:val="18"/>
                <w:szCs w:val="18"/>
              </w:rPr>
            </w:pP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近三年年均净资产规模≥10000万，得2分；5000万≤近三年年均净资产规模＜10000万，得1.6分；3000万≤近三年年均净资产规模＜5000万，得1.2分；3000万≤近三年年均净资产规模＜5000万，得0.8分，近三年年均净资产规模＜3000，得0.4分。</w:t>
            </w:r>
          </w:p>
        </w:tc>
      </w:tr>
      <w:tr w:rsidR="00BF7B65">
        <w:trPr>
          <w:trHeight w:val="270"/>
        </w:trPr>
        <w:tc>
          <w:tcPr>
            <w:tcW w:w="359"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近三年年均营业收入（万元）</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体现企业在一定时期内通过经营活动获取收入的能力，是衡量企业经营规模和市场竞争力的重要指标，反映企业产品或服务在市场上的受欢迎程度。</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近三年年均营业收入≥10亿，得2分；5亿≤近三年年均营业收入＜10亿，得1.6分；3亿≤近三年年均营业收入＜5亿，得1.2分；1亿≤近三年年均营业收入＜3亿，得0.8分，近三年年均营业收入＜1亿，得0.4分。</w:t>
            </w:r>
          </w:p>
        </w:tc>
      </w:tr>
      <w:tr w:rsidR="00BF7B65">
        <w:trPr>
          <w:trHeight w:val="270"/>
        </w:trPr>
        <w:tc>
          <w:tcPr>
            <w:tcW w:w="359"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治理结构</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机构设置的合理性</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合理的机构设置有助于提高企业运营效率，避免职责不清导致的推诿扯皮现象，促进企业各项工作的顺利开展。</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组织架构清晰且完善，得2分；组织架构较清晰且较完善，得1.6分；组织架构一般，得1.2分；组织架构有待改善，得0.8分。</w:t>
            </w:r>
          </w:p>
        </w:tc>
      </w:tr>
      <w:tr w:rsidR="00BF7B65">
        <w:trPr>
          <w:trHeight w:val="270"/>
        </w:trPr>
        <w:tc>
          <w:tcPr>
            <w:tcW w:w="359"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auto"/>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规章制度建设</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完善的规章制度为企业运营提供明确的行为准则和规范，保障企业有序运行，降低运营风险。</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①企业有一整套完善的管理制度，至少应包括：财务管理制度、人事管理制度、质量管理制度、风险控制或信用管理制度、审计管理制度等；②每个相关职能部门都有具体的管理制度规定；③管理制度至少每年全面调整更新一次；④企业管理制度能够迅速根据企业组织结构和职能变化进行调整。</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满足全部4项，得2分；满足任意3项，得1.6分；满足任意2项，得1.2分；满足任意1项，得0.8分。</w:t>
            </w:r>
          </w:p>
        </w:tc>
      </w:tr>
      <w:tr w:rsidR="00BF7B65">
        <w:trPr>
          <w:trHeight w:val="270"/>
        </w:trPr>
        <w:tc>
          <w:tcPr>
            <w:tcW w:w="359" w:type="pct"/>
            <w:vMerge w:val="restart"/>
            <w:tcBorders>
              <w:top w:val="nil"/>
              <w:left w:val="single" w:sz="4" w:space="0" w:color="auto"/>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经营</w:t>
            </w:r>
            <w:r>
              <w:rPr>
                <w:rFonts w:ascii="宋体" w:hAnsi="宋体" w:cs="宋体" w:hint="eastAsia"/>
                <w:color w:val="000000"/>
                <w:kern w:val="0"/>
                <w:sz w:val="18"/>
                <w:szCs w:val="18"/>
              </w:rPr>
              <w:lastRenderedPageBreak/>
              <w:t>管理能力</w:t>
            </w: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lastRenderedPageBreak/>
              <w:t>市场</w:t>
            </w:r>
            <w:r>
              <w:rPr>
                <w:rFonts w:ascii="宋体" w:hAnsi="宋体" w:cs="宋体" w:hint="eastAsia"/>
                <w:color w:val="000000"/>
                <w:kern w:val="0"/>
                <w:sz w:val="18"/>
                <w:szCs w:val="18"/>
              </w:rPr>
              <w:lastRenderedPageBreak/>
              <w:t>营销能力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lastRenderedPageBreak/>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市场定位</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明确的市场定位有助于企业集中资源，满足</w:t>
            </w:r>
            <w:r>
              <w:rPr>
                <w:rFonts w:ascii="宋体" w:hAnsi="宋体" w:cs="宋体"/>
                <w:color w:val="000000"/>
                <w:kern w:val="0"/>
                <w:sz w:val="18"/>
                <w:szCs w:val="18"/>
              </w:rPr>
              <w:lastRenderedPageBreak/>
              <w:t>特定客户群体的需求，形成竞争优势，提高市场竞争力。</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lastRenderedPageBreak/>
              <w:t>①目标市场明确度：能否清</w:t>
            </w:r>
            <w:r>
              <w:rPr>
                <w:rFonts w:ascii="宋体" w:hAnsi="宋体" w:cs="宋体" w:hint="eastAsia"/>
                <w:color w:val="000000"/>
                <w:kern w:val="0"/>
                <w:sz w:val="18"/>
                <w:szCs w:val="18"/>
              </w:rPr>
              <w:lastRenderedPageBreak/>
              <w:t>晰界定目标市场，准确阐述目标客户的特征、需求和痛点，是否基于合理维度细分。②产品或服务差异化：产品或服务是否具备独特卖点，该卖点与竞品相比独特性如何，以及差异化优势对目标市场核心需求的满足程度。③品牌形象与定位一致性：品牌传达的价值、理念与市场定位的契合度，在各类渠道和营销活动中品牌形象、宣传等是否保持统一。④市场竞争力与可行性：对竞争对手的分析是否全面准确，能否清晰认识自身优劣势、市场机会与威胁，以及市场定位基于企业资源和市场环境的可行性高低。</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满足全部4项，得3分；满足任意3项，得2.4分；满足任意2项，得1.8分；满足任意1项，得1.2分。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营销策略</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有效的营销策略能够帮助企业更好地推广产品或服务，提高品牌知名度，扩大市场份额，实现销售增长。</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“否”得1.5分。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市场份额</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反映企业在特定市场中的竞争地位，市场份额越高，表明企业在该市场中的影响力和竞争力越强。</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市场份额≥15%，得3分；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10%≤市场份额＜15%，得2.4分；5%≤市场份额＜10%，得1.8分；3%≤市场份额＜5%，得1.2分；市场份额＜3%，得0.6分。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人力资源管理能力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人力资源规划、人才招聘与培养、员工激励与绩效管理</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确保企业在不同发展阶段都有合适的人才队伍支持</w:t>
            </w:r>
            <w:r>
              <w:rPr>
                <w:rFonts w:ascii="宋体" w:hAnsi="宋体" w:cs="宋体" w:hint="eastAsia"/>
                <w:color w:val="000000"/>
                <w:kern w:val="0"/>
                <w:sz w:val="18"/>
                <w:szCs w:val="18"/>
              </w:rPr>
              <w:t>；</w:t>
            </w:r>
            <w:r>
              <w:rPr>
                <w:rFonts w:ascii="宋体" w:hAnsi="宋体" w:cs="宋体"/>
                <w:color w:val="000000"/>
                <w:kern w:val="0"/>
                <w:sz w:val="18"/>
                <w:szCs w:val="18"/>
              </w:rPr>
              <w:t>有助于为企业引进新鲜血液，提升员工能力，满足企业发展对人才的需求</w:t>
            </w:r>
            <w:r>
              <w:rPr>
                <w:rFonts w:ascii="宋体" w:hAnsi="宋体" w:cs="宋体" w:hint="eastAsia"/>
                <w:color w:val="000000"/>
                <w:kern w:val="0"/>
                <w:sz w:val="18"/>
                <w:szCs w:val="18"/>
              </w:rPr>
              <w:t>；</w:t>
            </w:r>
            <w:r>
              <w:rPr>
                <w:rFonts w:ascii="宋体" w:hAnsi="宋体" w:cs="宋体"/>
                <w:color w:val="000000"/>
                <w:kern w:val="0"/>
                <w:sz w:val="18"/>
                <w:szCs w:val="18"/>
              </w:rPr>
              <w:t>能够提高员工工作效率和工作质量，实现企业与员工的共同发展。</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满足3项，得3分；满足2项，得2分；满足1项，得1分；无，得最低0分。</w:t>
            </w:r>
          </w:p>
        </w:tc>
      </w:tr>
      <w:tr w:rsidR="00BF7B65">
        <w:trPr>
          <w:trHeight w:val="70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供应链管理能力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供应商管理制度</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确保企业能够获得稳定、优质的原材料和服务供应，降低采购成本，提高供应链的稳定性和可靠性。</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“否”得1.5分。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供应商稳定性</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确保企业能够获得稳定、优质的原材料和服务供应，降低采购成本，提高供应链的稳定性。</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三年以上稳定供应商≥75%，得2分；60%≤三年以上稳定供应商＜75%，得1.6分；40%≤三年以上稳定供应商＜60%，得1.2分；20%≤三年以上稳定供应商＜40%，得0.8分；三年以上稳定供应商＜20%，得0.6分。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品牌建设</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商标</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商标具有识别商品或服务来源、保证商品或服务质量、促进企业品牌建设和市场竞争等作用，是企业重要的无形资产。</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①商标独特性：具有高度独特的设计、名称或组合，能在市场中显著区分于其他品牌；②商标知名度：在目标市场内具有广泛的知名度和较高的品牌影响力；③</w:t>
            </w:r>
            <w:r>
              <w:rPr>
                <w:rFonts w:ascii="宋体" w:hAnsi="宋体" w:cs="宋体" w:hint="eastAsia"/>
                <w:color w:val="000000"/>
                <w:kern w:val="0"/>
                <w:sz w:val="18"/>
                <w:szCs w:val="18"/>
              </w:rPr>
              <w:lastRenderedPageBreak/>
              <w:t>商标保护范围：注册类别全面，涵盖了核心业务及相关拓展领域；④商标使用合规性：守商标使用规范，无任何违规行为。</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满足全部4项，得2分；满足任意3项，得1.6分；满足任意2项，得1.2分；满足任意1项，得0.8分</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创新能力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产品、服务、技术、商业模式等方面的创新成果和创新投入是否有投入</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指企业为开展创新活动而投入的人力、物力和财力资源，包括研发费用、创新人才培养费用、创新设备购置费用等。反映企业对创新的重视程度和投入力度，是实现创新成果的基础和保障。</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研发投入占营业收入比率占比≥10%，得3分；5%≤研发投入占营业收入比率占比＜10%，得2.4分；3%≤研发投入占营业收入比率占比＜5%，得1.8分；1%≤研发投入占营业收入比率占比＜3%，得0.8分；研发投入占营业收入比率占比＜1%，得0.6分。</w:t>
            </w:r>
          </w:p>
        </w:tc>
      </w:tr>
      <w:tr w:rsidR="00BF7B65">
        <w:trPr>
          <w:trHeight w:val="270"/>
        </w:trPr>
        <w:tc>
          <w:tcPr>
            <w:tcW w:w="3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产品与服务质量</w:t>
            </w: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产品质量</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产品的合格率</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衡量企业产品质量的重要指标，反映企业生产过程中的质量控制水平，较高的合格率表明企业能够稳定地生产出符合质量标准的产品。</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产品的合格率100%，得3分；90%≤产品的合格率＜100%，得2.4分；80%≤产品的合格率＜90%，得1.8分；60%≤产品的合格率＜80%，得0.8分；产品的合格率＜60%，得0.6分。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质量稳定性</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质量稳定的产品或服务有助于树立企业良好的品牌形象，增强客户信任度和忠诚度。</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“否”得1.5分。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安全性</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安全性是产品和服务的基本要求，直接关系到用户的生命财产安全，关乎企业的声誉和法律责任。</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“否”得1.5分。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环保性</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体现企业的社会责任和可持续成长能力，符合环保要求有助于企业顺应社会发展趋势，避免环保风险。</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得2分；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服务质量</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服务水平</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良好的服务水平能够提高客户满意度，增强客户粘性，促进企业业务的持续发展。</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服务水平高且完善，得2分；服务水平较高且较完善，得1.6分；服务水平一般，得1.2分；服务水平有待改善，得0.8分。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服务响应速度</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反映企业对客户需求的重视程度和服务效率，快速的响应速度有助于提升客户体验，解决客户问题，避免客户流失。</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服务响应速度≤1天，得2分；1天＜服务响应速度≤2天，得1.6分；2天＜服务响应速度≤3天，得1.2分；3天＜服务响应速度≤5天，得0.8分；服务响应速度＞5天，得0.4分。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客户投诉处理</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妥善处理客户投诉是企业改进产品和服务质量、修复客户关系、提升企业形象的重要契机。</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投诉处理率≥95%，得2分；90%≤产品的合格率＜95%，得1.6分；80%≤产品的合格率＜90%，得1.2分；60%≤产品的合格率＜80%，得0.8分；产品的合格率＜60%，得0.4分。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产品与服</w:t>
            </w:r>
            <w:r>
              <w:rPr>
                <w:rFonts w:ascii="宋体" w:hAnsi="宋体" w:cs="宋体" w:hint="eastAsia"/>
                <w:color w:val="000000"/>
                <w:kern w:val="0"/>
                <w:sz w:val="18"/>
                <w:szCs w:val="18"/>
              </w:rPr>
              <w:lastRenderedPageBreak/>
              <w:t>务创新</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lastRenderedPageBreak/>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产品功能、性能、体验以及服务模</w:t>
            </w:r>
            <w:r>
              <w:rPr>
                <w:rFonts w:ascii="宋体" w:hAnsi="宋体" w:cs="宋体" w:hint="eastAsia"/>
                <w:color w:val="000000"/>
                <w:kern w:val="0"/>
                <w:sz w:val="18"/>
                <w:szCs w:val="18"/>
              </w:rPr>
              <w:lastRenderedPageBreak/>
              <w:t>式</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产品功能满足用户核心需求，性能保障产品稳定高效运行，体验聚焦用户在使用全流程</w:t>
            </w:r>
            <w:r>
              <w:rPr>
                <w:rFonts w:ascii="宋体" w:hAnsi="宋体" w:cs="宋体" w:hint="eastAsia"/>
                <w:color w:val="000000"/>
                <w:kern w:val="0"/>
                <w:sz w:val="18"/>
                <w:szCs w:val="18"/>
              </w:rPr>
              <w:lastRenderedPageBreak/>
              <w:t>的感受，服务模式则通过售前、售中、售后的一系列举措，共同提升产品价值，增强用户满意度与忠诚度，助力产品在市场中赢得竞争优势。</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color w:val="000000"/>
                <w:kern w:val="0"/>
                <w:sz w:val="18"/>
                <w:szCs w:val="18"/>
              </w:rPr>
              <w:lastRenderedPageBreak/>
              <w:t>“</w:t>
            </w:r>
            <w:r>
              <w:rPr>
                <w:rFonts w:ascii="宋体" w:hAnsi="宋体" w:cs="宋体" w:hint="eastAsia"/>
                <w:color w:val="000000"/>
                <w:kern w:val="0"/>
                <w:sz w:val="18"/>
                <w:szCs w:val="18"/>
              </w:rPr>
              <w:t>是</w:t>
            </w:r>
            <w:r>
              <w:rPr>
                <w:rFonts w:ascii="宋体" w:hAnsi="宋体" w:cs="宋体"/>
                <w:color w:val="000000"/>
                <w:kern w:val="0"/>
                <w:sz w:val="18"/>
                <w:szCs w:val="18"/>
              </w:rPr>
              <w:t>”</w:t>
            </w:r>
            <w:r>
              <w:rPr>
                <w:rFonts w:ascii="宋体" w:hAnsi="宋体" w:cs="宋体" w:hint="eastAsia"/>
                <w:color w:val="000000"/>
                <w:kern w:val="0"/>
                <w:sz w:val="18"/>
                <w:szCs w:val="18"/>
              </w:rPr>
              <w:t>得3分；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“否”得1.5分。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消费者权益保护</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制度建设</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为产品与服务的质量提升和持续改进提供制度保障，确保各项工作有章可循。</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制度建设清晰且完善，得2分；制度建设较清晰且较完善，得1.6分；制度建设一般，得1.2分；制度建设有待改善，得0.8分。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产品与服务的信息披露</w:t>
            </w:r>
          </w:p>
        </w:tc>
        <w:tc>
          <w:tcPr>
            <w:tcW w:w="1912" w:type="pct"/>
            <w:tcBorders>
              <w:top w:val="nil"/>
              <w:left w:val="nil"/>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保证信息透明，增强利益相关者对企业产品和服务的了解和信任，促进市场公平竞争。</w:t>
            </w:r>
          </w:p>
        </w:tc>
        <w:tc>
          <w:tcPr>
            <w:tcW w:w="1244" w:type="pct"/>
            <w:tcBorders>
              <w:top w:val="nil"/>
              <w:left w:val="nil"/>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制度建设清晰且完善，得2分；制度建设较清晰且较完善，得1.6分；制度建设一般，得1.2分；制度建设有待改善，得0.8分。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售后服务保障</w:t>
            </w:r>
          </w:p>
        </w:tc>
        <w:tc>
          <w:tcPr>
            <w:tcW w:w="1912" w:type="pct"/>
            <w:tcBorders>
              <w:top w:val="single" w:sz="4" w:space="0" w:color="auto"/>
              <w:left w:val="nil"/>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完善的售后服务保障能够增强客户购买信心，提高客户满意度，提升企业品牌形象。</w:t>
            </w:r>
          </w:p>
        </w:tc>
        <w:tc>
          <w:tcPr>
            <w:tcW w:w="1244" w:type="pct"/>
            <w:tcBorders>
              <w:top w:val="single" w:sz="4" w:space="0" w:color="auto"/>
              <w:left w:val="nil"/>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售后服务保障清晰且完善，得2分；售后服务保障较清晰且较完善，得1.6分；售后服务保障一般，得1.2分；售后服务保障有待改善，得0.8分。</w:t>
            </w:r>
          </w:p>
        </w:tc>
      </w:tr>
      <w:tr w:rsidR="00BF7B65">
        <w:trPr>
          <w:trHeight w:val="270"/>
        </w:trPr>
        <w:tc>
          <w:tcPr>
            <w:tcW w:w="359" w:type="pct"/>
            <w:vMerge w:val="restart"/>
            <w:tcBorders>
              <w:top w:val="nil"/>
              <w:left w:val="single" w:sz="4" w:space="0" w:color="auto"/>
              <w:bottom w:val="nil"/>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财务状况</w:t>
            </w: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偿债能力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资产负债率（%）</w:t>
            </w:r>
          </w:p>
        </w:tc>
        <w:tc>
          <w:tcPr>
            <w:tcW w:w="1912" w:type="pct"/>
            <w:tcBorders>
              <w:top w:val="single" w:sz="4" w:space="0" w:color="auto"/>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反映企业负债水平和偿债能力，衡量企业长期偿债风险的重要指标。一般来说，资产负债率越低，企业偿债能力越强，但过低也可能意味着企业未能充分利用财务杠杆。</w:t>
            </w:r>
          </w:p>
        </w:tc>
        <w:tc>
          <w:tcPr>
            <w:tcW w:w="124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根据行业情况动态变化</w:t>
            </w: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速动比率（倍）</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衡量企业流动资产中可以立即变现用于偿还流动负债的能力，比流动比率更能准确地反映企业短期偿债能力。</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盈利能力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净资产收益率（%）</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反映股东权益的收益水平，用以衡量公司运用自有资本的效率，指标值越高，说明投资带来的收益越高。</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营业利润率（%）</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体现企业经营活动的盈利能力，反映企业通过经营活动获取利润的能力，排除了非经常性损益的影响，更能准确反映企业核心业务的盈利能力。</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总资产报酬率（%）</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衡量企业运用全部资产获取利润的能力，反映资产利用的综合效果，该指标越高，表明企业资产利用效率越高，盈利能力越强。</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成长能力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营业收入增长率（%）</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反映企业营业收入的增减变动情况，衡量企业经营业务的拓展能力和市场前景，体现企业的成长速度。</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利润总额增长率（%）</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bookmarkStart w:id="30" w:name="_Hlk188608861"/>
            <w:r>
              <w:rPr>
                <w:rFonts w:ascii="宋体" w:hAnsi="宋体" w:cs="宋体" w:hint="eastAsia"/>
                <w:sz w:val="18"/>
                <w:szCs w:val="18"/>
                <w:shd w:val="clear" w:color="auto" w:fill="FFFFFF"/>
              </w:rPr>
              <w:t>体现企业利润总额的增长情况，反映企业盈利能力的变化趋势，对评估企业的发展潜力具有重要意义。</w:t>
            </w:r>
            <w:bookmarkEnd w:id="30"/>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运营能力</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总资产周转率（次）</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综合评价企业全部资产经营质量和利用效率的重要指标，周转率越高，表明企业资产运营效率越高，资产利用越充分。</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tcBorders>
              <w:top w:val="nil"/>
              <w:left w:val="single" w:sz="4" w:space="0" w:color="auto"/>
              <w:bottom w:val="nil"/>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存货周转率（次）</w:t>
            </w:r>
          </w:p>
        </w:tc>
        <w:tc>
          <w:tcPr>
            <w:tcW w:w="1912" w:type="pct"/>
            <w:tcBorders>
              <w:top w:val="single" w:sz="4" w:space="0" w:color="auto"/>
              <w:left w:val="single" w:sz="4" w:space="0" w:color="auto"/>
              <w:bottom w:val="single" w:sz="4" w:space="0" w:color="000000"/>
              <w:right w:val="single" w:sz="4" w:space="0" w:color="auto"/>
            </w:tcBorders>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衡量企业存货运营效率，反映企业存货的周转速度和流动性，存货周转率越高，表明企业存货管理水平越高，存货占用资金越少。</w:t>
            </w:r>
          </w:p>
        </w:tc>
        <w:tc>
          <w:tcPr>
            <w:tcW w:w="1244"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r>
      <w:tr w:rsidR="00BF7B65">
        <w:trPr>
          <w:trHeight w:val="270"/>
        </w:trPr>
        <w:tc>
          <w:tcPr>
            <w:tcW w:w="3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社会责任履行</w:t>
            </w: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环保责任</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是否存在环保责任内容</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体现企业对环境保护的重视程度和履行社会责任的意识，有助于推动企业可持续发展，树立良好的企业形象。</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口是，得2分；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口否，得1.5分。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公益活动参与</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是否存在公益活动</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展示企业的社会责任感，提升企业的社会形象和美誉度，增强企业与社会的互动和联系。</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口是，得2分；</w:t>
            </w:r>
          </w:p>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口否，得1.5分。</w:t>
            </w:r>
          </w:p>
        </w:tc>
      </w:tr>
      <w:tr w:rsidR="00BF7B65">
        <w:trPr>
          <w:trHeight w:val="270"/>
        </w:trPr>
        <w:tc>
          <w:tcPr>
            <w:tcW w:w="359" w:type="pct"/>
            <w:vMerge/>
            <w:tcBorders>
              <w:top w:val="single" w:sz="4" w:space="0" w:color="auto"/>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员工权益保护</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在劳动用工、员工福利、职业健康与安全等方面的保障情况，维护员工的合法权益</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tabs>
                <w:tab w:val="left" w:pos="1042"/>
              </w:tabs>
              <w:rPr>
                <w:rFonts w:ascii="宋体" w:hAnsi="宋体" w:cs="宋体"/>
                <w:color w:val="000000"/>
                <w:kern w:val="0"/>
                <w:sz w:val="18"/>
                <w:szCs w:val="18"/>
              </w:rPr>
            </w:pPr>
            <w:r>
              <w:rPr>
                <w:rFonts w:ascii="宋体" w:hAnsi="宋体" w:cs="宋体" w:hint="eastAsia"/>
                <w:sz w:val="18"/>
                <w:szCs w:val="18"/>
                <w:shd w:val="clear" w:color="auto" w:fill="FFFFFF"/>
              </w:rPr>
              <w:t>良好的劳动用工、员工福利和职业健康与安全保障有助于吸引和留住人才，构建和谐稳定的劳动关系，促进企业的可持续发展。</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劳动合同签订率（%)和社会保险参保率（%)均为100%，得2分；劳动合同签订率（%)和社会保险参保率（%)均低于100%，根据实际原因进行扣分处理。</w:t>
            </w:r>
          </w:p>
        </w:tc>
      </w:tr>
      <w:tr w:rsidR="00BF7B65">
        <w:trPr>
          <w:trHeight w:val="270"/>
        </w:trPr>
        <w:tc>
          <w:tcPr>
            <w:tcW w:w="359"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社会信用记录</w:t>
            </w:r>
          </w:p>
        </w:tc>
        <w:tc>
          <w:tcPr>
            <w:tcW w:w="346" w:type="pct"/>
            <w:vMerge w:val="restart"/>
            <w:tcBorders>
              <w:top w:val="nil"/>
              <w:left w:val="single" w:sz="4" w:space="0" w:color="auto"/>
              <w:bottom w:val="single" w:sz="4" w:space="0" w:color="000000"/>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信用记录</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市监信用</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反映企业在市场经营活动中的诚信水平，是市场监管部门实施分类监管和社会公众选择交易对象的重要依据。</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重合同守信用企业，得2分；无不良记录，得1.6分；有不良记录，得0分。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税务信用</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纳税信用等级影响企业在税收征管、税收优惠等方面的待遇，同时也体现企业的诚信纳税意识和社会责任。</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优良或A级以上，得2分；无不良记录，得1.6分；有不良记录，得0分。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高法信用记录</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高法信用记录直接反映企业的法律诚信状况，对企业的商业信誉和市场竞争力产生重大影响。</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优良或A级以上，得2分；无不良记录，得2分；有不良记录，得0分。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金融机构</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良好的金融机构信用记录有助于企业获得更便捷的金融服务和更优惠的融资条件，是企业信用形象的重要组成部分。</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是否存在逾期还款、违约、欺诈等不良信用行为。无不良记录，得2分；有不良记录，得0分。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其他主管部门</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全面展示企业在各个监管领域的信用状况，为综合评估企业信用提供更全面的依据。</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无不良记录，得2分；有不良记录，得0分。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用户或供应商评价记录</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从交易伙伴的角度反映企业的实际经营表现和商业信誉，具有较高的参考价值。</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提交客户或供应商的反馈记录满意；无不良记录，得2分；有不良记录，得0分。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2</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企业或个人征信证明</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为第三方提供全面、客观的企业或个人信用信息，是金融机构、合作伙伴等评估信用风险的重要依据。</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企业高管个人征信、或企业征信报告、资信调查报告；无不良记录，得2分；有不良记录，得0分。</w:t>
            </w:r>
          </w:p>
        </w:tc>
      </w:tr>
      <w:tr w:rsidR="00BF7B65">
        <w:trPr>
          <w:trHeight w:val="270"/>
        </w:trPr>
        <w:tc>
          <w:tcPr>
            <w:tcW w:w="359" w:type="pct"/>
            <w:vMerge/>
            <w:tcBorders>
              <w:top w:val="nil"/>
              <w:left w:val="single" w:sz="4" w:space="0" w:color="auto"/>
              <w:bottom w:val="single" w:sz="4" w:space="0" w:color="000000"/>
              <w:right w:val="single" w:sz="4" w:space="0" w:color="auto"/>
            </w:tcBorders>
            <w:vAlign w:val="center"/>
          </w:tcPr>
          <w:p w:rsidR="00BF7B65" w:rsidRDefault="00BF7B65">
            <w:pPr>
              <w:widowControl/>
              <w:rPr>
                <w:rFonts w:ascii="宋体" w:hAnsi="宋体" w:cs="宋体"/>
                <w:color w:val="000000"/>
                <w:kern w:val="0"/>
                <w:sz w:val="18"/>
                <w:szCs w:val="18"/>
              </w:rPr>
            </w:pPr>
          </w:p>
        </w:tc>
        <w:tc>
          <w:tcPr>
            <w:tcW w:w="346"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纠纷处理</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3</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处理经济纠纷、劳动纠纷、消费者投诉等方面的态度和结果</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sz w:val="18"/>
                <w:szCs w:val="18"/>
                <w:shd w:val="clear" w:color="auto" w:fill="FFFFFF"/>
              </w:rPr>
              <w:t>为第三方提供全面、客观的企业或个人信用信息，是金融机构、合作伙伴等评估信用风险的重要依据。</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kern w:val="0"/>
                <w:sz w:val="18"/>
                <w:szCs w:val="18"/>
              </w:rPr>
            </w:pPr>
            <w:r>
              <w:rPr>
                <w:rFonts w:ascii="宋体" w:hAnsi="宋体" w:cs="宋体" w:hint="eastAsia"/>
                <w:color w:val="000000"/>
                <w:kern w:val="0"/>
                <w:sz w:val="18"/>
                <w:szCs w:val="18"/>
              </w:rPr>
              <w:t>处理时间和响应程度快，得2分；处理时间和响应程度较快，得1.6分；处理时间和响应程度一般1.2分；处理时间和响应程度较慢，得0.8分，处理时间和响应程度慢，得0.4分。</w:t>
            </w:r>
          </w:p>
        </w:tc>
      </w:tr>
      <w:bookmarkEnd w:id="29"/>
      <w:tr w:rsidR="00BF7B65">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不良记录及处理(一票否决)</w:t>
            </w:r>
          </w:p>
        </w:tc>
        <w:tc>
          <w:tcPr>
            <w:tcW w:w="346" w:type="pct"/>
            <w:tcBorders>
              <w:top w:val="nil"/>
              <w:left w:val="nil"/>
              <w:bottom w:val="single" w:sz="4" w:space="0" w:color="auto"/>
              <w:right w:val="single" w:sz="4" w:space="0" w:color="auto"/>
            </w:tcBorders>
            <w:shd w:val="clear" w:color="auto" w:fill="auto"/>
            <w:vAlign w:val="center"/>
          </w:tcPr>
          <w:p w:rsidR="00BF7B65" w:rsidRDefault="00BD7387">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不良记录及处理(一票否决)</w:t>
            </w:r>
          </w:p>
        </w:tc>
        <w:tc>
          <w:tcPr>
            <w:tcW w:w="3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795" w:type="pct"/>
            <w:tcBorders>
              <w:top w:val="nil"/>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存在以上内容级别暂定</w:t>
            </w:r>
          </w:p>
        </w:tc>
        <w:tc>
          <w:tcPr>
            <w:tcW w:w="1912" w:type="pct"/>
            <w:tcBorders>
              <w:top w:val="nil"/>
              <w:left w:val="nil"/>
              <w:bottom w:val="single" w:sz="4" w:space="0" w:color="auto"/>
              <w:right w:val="single" w:sz="4" w:space="0" w:color="auto"/>
            </w:tcBorders>
            <w:shd w:val="clear" w:color="auto" w:fill="auto"/>
            <w:noWrap/>
            <w:vAlign w:val="center"/>
          </w:tcPr>
          <w:p w:rsidR="00BF7B65" w:rsidRDefault="00BD7387">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1244" w:type="pct"/>
            <w:tcBorders>
              <w:top w:val="nil"/>
              <w:left w:val="nil"/>
              <w:bottom w:val="single" w:sz="4" w:space="0" w:color="auto"/>
              <w:right w:val="single" w:sz="4" w:space="0" w:color="auto"/>
            </w:tcBorders>
            <w:shd w:val="clear" w:color="auto" w:fill="auto"/>
            <w:noWrap/>
            <w:vAlign w:val="center"/>
          </w:tcPr>
          <w:p w:rsidR="00BF7B65" w:rsidRDefault="00BD7387">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1.被列入联合惩戒失信名单；2.被列入重大税收违法案件名录；3.制售假冒伪劣产品；4.被列入全国法院失信被执行人名单；5.企业违反行业行规、受到行业主管部门处罚的；6.提供虚假资料参评的；7.是否遵守国家法律法规、行业规范和商业道德，有无违法违规经营行为，如虚假宣传、不正当竞争、侵犯知识产权等；8.其他。</w:t>
            </w:r>
          </w:p>
        </w:tc>
      </w:tr>
    </w:tbl>
    <w:p w:rsidR="00BF7B65" w:rsidRDefault="00BF7B65">
      <w:pPr>
        <w:jc w:val="center"/>
        <w:rPr>
          <w:sz w:val="18"/>
          <w:szCs w:val="18"/>
        </w:rPr>
        <w:sectPr w:rsidR="00BF7B65">
          <w:footerReference w:type="default" r:id="rId13"/>
          <w:footerReference w:type="first" r:id="rId14"/>
          <w:pgSz w:w="11906" w:h="16838"/>
          <w:pgMar w:top="2041" w:right="1474" w:bottom="1361" w:left="1474" w:header="851" w:footer="1418" w:gutter="0"/>
          <w:pgNumType w:start="1"/>
          <w:cols w:space="425"/>
          <w:titlePg/>
          <w:docGrid w:linePitch="286" w:charSpace="-1638"/>
        </w:sectPr>
      </w:pPr>
    </w:p>
    <w:p w:rsidR="00BF7B65" w:rsidRPr="002F12AF" w:rsidRDefault="00BD7387">
      <w:pPr>
        <w:widowControl/>
        <w:ind w:firstLineChars="200" w:firstLine="420"/>
        <w:jc w:val="left"/>
      </w:pPr>
      <w:r w:rsidRPr="002F12AF">
        <w:rPr>
          <w:rFonts w:hint="eastAsia"/>
        </w:rPr>
        <w:lastRenderedPageBreak/>
        <w:t>新消费品牌企业信用认证指标表示例。</w:t>
      </w:r>
    </w:p>
    <w:p w:rsidR="00BF7B65" w:rsidRPr="002F12AF" w:rsidRDefault="00BD7387">
      <w:pPr>
        <w:widowControl/>
        <w:ind w:firstLineChars="200" w:firstLine="420"/>
        <w:jc w:val="center"/>
      </w:pPr>
      <w:bookmarkStart w:id="31" w:name="_Hlk191906188"/>
      <w:r w:rsidRPr="002F12AF">
        <w:rPr>
          <w:rFonts w:hint="eastAsia"/>
        </w:rPr>
        <w:t>表</w:t>
      </w:r>
      <w:r w:rsidRPr="002F12AF">
        <w:rPr>
          <w:rFonts w:hint="eastAsia"/>
        </w:rPr>
        <w:t xml:space="preserve"> A.2 </w:t>
      </w:r>
      <w:bookmarkEnd w:id="31"/>
      <w:r w:rsidRPr="002F12AF">
        <w:rPr>
          <w:rFonts w:hint="eastAsia"/>
        </w:rPr>
        <w:t>给出了新消费品牌</w:t>
      </w:r>
      <w:bookmarkStart w:id="32" w:name="_Hlk191907092"/>
      <w:r w:rsidRPr="002F12AF">
        <w:rPr>
          <w:rFonts w:hint="eastAsia"/>
        </w:rPr>
        <w:t>企业信用认证指标</w:t>
      </w:r>
      <w:bookmarkEnd w:id="32"/>
      <w:r w:rsidRPr="002F12AF">
        <w:rPr>
          <w:rFonts w:hint="eastAsia"/>
        </w:rPr>
        <w:t>示例</w:t>
      </w:r>
    </w:p>
    <w:p w:rsidR="00BF7B65" w:rsidRDefault="00BD7387">
      <w:pPr>
        <w:jc w:val="center"/>
        <w:rPr>
          <w:b/>
          <w:bCs/>
          <w:szCs w:val="21"/>
        </w:rPr>
      </w:pPr>
      <w:r w:rsidRPr="002F12AF">
        <w:rPr>
          <w:rFonts w:hint="eastAsia"/>
          <w:b/>
          <w:bCs/>
          <w:szCs w:val="21"/>
        </w:rPr>
        <w:t>新消费品牌企业信用认证指标</w:t>
      </w:r>
    </w:p>
    <w:tbl>
      <w:tblPr>
        <w:tblW w:w="145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64"/>
        <w:gridCol w:w="1447"/>
        <w:gridCol w:w="2082"/>
        <w:gridCol w:w="810"/>
        <w:gridCol w:w="5897"/>
        <w:gridCol w:w="3372"/>
      </w:tblGrid>
      <w:tr w:rsidR="00BF7B65">
        <w:trPr>
          <w:trHeight w:val="537"/>
          <w:jc w:val="center"/>
        </w:trPr>
        <w:tc>
          <w:tcPr>
            <w:tcW w:w="964"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一级指标</w:t>
            </w:r>
          </w:p>
        </w:tc>
        <w:tc>
          <w:tcPr>
            <w:tcW w:w="1447"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二级指标</w:t>
            </w:r>
          </w:p>
        </w:tc>
        <w:tc>
          <w:tcPr>
            <w:tcW w:w="2082"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三级指标</w:t>
            </w:r>
          </w:p>
        </w:tc>
        <w:tc>
          <w:tcPr>
            <w:tcW w:w="810"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分值</w:t>
            </w:r>
          </w:p>
        </w:tc>
        <w:tc>
          <w:tcPr>
            <w:tcW w:w="5897"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指标说明</w:t>
            </w:r>
          </w:p>
        </w:tc>
        <w:tc>
          <w:tcPr>
            <w:tcW w:w="3372" w:type="dxa"/>
            <w:tcBorders>
              <w:top w:val="single" w:sz="12" w:space="0" w:color="auto"/>
              <w:bottom w:val="single" w:sz="12" w:space="0" w:color="auto"/>
            </w:tcBorders>
            <w:vAlign w:val="center"/>
          </w:tcPr>
          <w:p w:rsidR="00BF7B65" w:rsidRDefault="00BD7387">
            <w:pPr>
              <w:jc w:val="center"/>
              <w:rPr>
                <w:sz w:val="18"/>
                <w:szCs w:val="18"/>
              </w:rPr>
            </w:pPr>
            <w:r>
              <w:rPr>
                <w:rFonts w:hint="eastAsia"/>
                <w:sz w:val="18"/>
                <w:szCs w:val="18"/>
              </w:rPr>
              <w:t>评分细则</w:t>
            </w:r>
          </w:p>
        </w:tc>
      </w:tr>
      <w:tr w:rsidR="00BF7B65">
        <w:trPr>
          <w:trHeight w:val="646"/>
          <w:jc w:val="center"/>
        </w:trPr>
        <w:tc>
          <w:tcPr>
            <w:tcW w:w="964" w:type="dxa"/>
            <w:vMerge w:val="restart"/>
            <w:tcBorders>
              <w:top w:val="single" w:sz="12" w:space="0" w:color="auto"/>
            </w:tcBorders>
            <w:vAlign w:val="center"/>
          </w:tcPr>
          <w:p w:rsidR="00BF7B65" w:rsidRDefault="00BD7387">
            <w:pPr>
              <w:pStyle w:val="af4"/>
              <w:ind w:left="0"/>
              <w:jc w:val="center"/>
              <w:outlineLvl w:val="9"/>
              <w:rPr>
                <w:rFonts w:ascii="宋体" w:eastAsia="宋体" w:hAnsi="宋体"/>
                <w:sz w:val="18"/>
                <w:szCs w:val="18"/>
              </w:rPr>
            </w:pPr>
            <w:bookmarkStart w:id="33" w:name="_Toc170976426"/>
            <w:r>
              <w:rPr>
                <w:rFonts w:ascii="宋体" w:eastAsia="宋体" w:hAnsi="宋体" w:hint="eastAsia"/>
                <w:sz w:val="18"/>
                <w:szCs w:val="18"/>
              </w:rPr>
              <w:t>基础信用</w:t>
            </w:r>
            <w:bookmarkEnd w:id="33"/>
          </w:p>
        </w:tc>
        <w:tc>
          <w:tcPr>
            <w:tcW w:w="1447" w:type="dxa"/>
            <w:vMerge w:val="restart"/>
            <w:tcBorders>
              <w:top w:val="single" w:sz="12" w:space="0" w:color="auto"/>
            </w:tcBorders>
            <w:vAlign w:val="center"/>
          </w:tcPr>
          <w:p w:rsidR="00BF7B65" w:rsidRDefault="00BD7387">
            <w:pPr>
              <w:pStyle w:val="af4"/>
              <w:ind w:left="0"/>
              <w:jc w:val="center"/>
              <w:outlineLvl w:val="9"/>
              <w:rPr>
                <w:rFonts w:ascii="宋体" w:eastAsia="宋体" w:hAnsi="宋体"/>
                <w:sz w:val="18"/>
                <w:szCs w:val="18"/>
                <w:lang w:eastAsia="zh-CN"/>
              </w:rPr>
            </w:pPr>
            <w:bookmarkStart w:id="34" w:name="_Toc170976428"/>
            <w:r>
              <w:rPr>
                <w:rFonts w:ascii="宋体" w:eastAsia="宋体" w:hAnsi="宋体" w:hint="eastAsia"/>
                <w:sz w:val="18"/>
                <w:szCs w:val="18"/>
              </w:rPr>
              <w:t>基础信息</w:t>
            </w:r>
            <w:bookmarkEnd w:id="34"/>
          </w:p>
        </w:tc>
        <w:tc>
          <w:tcPr>
            <w:tcW w:w="2082" w:type="dxa"/>
            <w:tcBorders>
              <w:top w:val="single" w:sz="12" w:space="0" w:color="auto"/>
            </w:tcBorders>
            <w:vAlign w:val="center"/>
          </w:tcPr>
          <w:p w:rsidR="00BF7B65" w:rsidRDefault="00BD7387">
            <w:pPr>
              <w:rPr>
                <w:sz w:val="18"/>
                <w:szCs w:val="18"/>
              </w:rPr>
            </w:pPr>
            <w:r>
              <w:rPr>
                <w:rFonts w:hint="eastAsia"/>
                <w:sz w:val="18"/>
                <w:szCs w:val="18"/>
              </w:rPr>
              <w:t>连续经营年限</w:t>
            </w:r>
          </w:p>
        </w:tc>
        <w:tc>
          <w:tcPr>
            <w:tcW w:w="810" w:type="dxa"/>
            <w:tcBorders>
              <w:top w:val="single" w:sz="12" w:space="0" w:color="auto"/>
            </w:tcBorders>
            <w:vAlign w:val="center"/>
          </w:tcPr>
          <w:p w:rsidR="00BF7B65" w:rsidRDefault="00BD7387">
            <w:pPr>
              <w:jc w:val="center"/>
              <w:rPr>
                <w:sz w:val="18"/>
                <w:szCs w:val="18"/>
              </w:rPr>
            </w:pPr>
            <w:r>
              <w:rPr>
                <w:rFonts w:hint="eastAsia"/>
                <w:sz w:val="18"/>
                <w:szCs w:val="18"/>
              </w:rPr>
              <w:t>20</w:t>
            </w:r>
          </w:p>
        </w:tc>
        <w:tc>
          <w:tcPr>
            <w:tcW w:w="5897" w:type="dxa"/>
            <w:tcBorders>
              <w:top w:val="single" w:sz="12" w:space="0" w:color="auto"/>
            </w:tcBorders>
            <w:vAlign w:val="center"/>
          </w:tcPr>
          <w:p w:rsidR="00BF7B65" w:rsidRDefault="00BD7387">
            <w:pPr>
              <w:rPr>
                <w:sz w:val="18"/>
                <w:szCs w:val="18"/>
              </w:rPr>
            </w:pPr>
            <w:r>
              <w:rPr>
                <w:rFonts w:hint="eastAsia"/>
                <w:sz w:val="18"/>
                <w:szCs w:val="18"/>
              </w:rPr>
              <w:t>企业创建与成长的年限，一定程度反映企业信用建设，两者具有一定正相关性。</w:t>
            </w:r>
          </w:p>
        </w:tc>
        <w:tc>
          <w:tcPr>
            <w:tcW w:w="3372" w:type="dxa"/>
            <w:tcBorders>
              <w:top w:val="single" w:sz="12" w:space="0" w:color="auto"/>
            </w:tcBorders>
            <w:vAlign w:val="center"/>
          </w:tcPr>
          <w:p w:rsidR="00BF7B65" w:rsidRDefault="00BD7387">
            <w:pPr>
              <w:adjustRightInd w:val="0"/>
              <w:snapToGrid w:val="0"/>
              <w:rPr>
                <w:sz w:val="18"/>
                <w:szCs w:val="18"/>
                <w:highlight w:val="yellow"/>
              </w:rPr>
            </w:pPr>
            <w:r>
              <w:rPr>
                <w:rFonts w:hint="eastAsia"/>
                <w:sz w:val="18"/>
                <w:szCs w:val="18"/>
              </w:rPr>
              <w:t>持续经营年限≥</w:t>
            </w:r>
            <w:r>
              <w:rPr>
                <w:rFonts w:hint="eastAsia"/>
                <w:sz w:val="18"/>
                <w:szCs w:val="18"/>
              </w:rPr>
              <w:t>3</w:t>
            </w:r>
            <w:r>
              <w:rPr>
                <w:rFonts w:hint="eastAsia"/>
                <w:sz w:val="18"/>
                <w:szCs w:val="18"/>
              </w:rPr>
              <w:t>年，得</w:t>
            </w:r>
            <w:r>
              <w:rPr>
                <w:rFonts w:hint="eastAsia"/>
                <w:sz w:val="18"/>
                <w:szCs w:val="18"/>
              </w:rPr>
              <w:t>20</w:t>
            </w:r>
            <w:r>
              <w:rPr>
                <w:rFonts w:hint="eastAsia"/>
                <w:sz w:val="18"/>
                <w:szCs w:val="18"/>
              </w:rPr>
              <w:t>分；持续经营年限＜</w:t>
            </w:r>
            <w:r>
              <w:rPr>
                <w:rFonts w:hint="eastAsia"/>
                <w:sz w:val="18"/>
                <w:szCs w:val="18"/>
              </w:rPr>
              <w:t>3</w:t>
            </w:r>
            <w:r>
              <w:rPr>
                <w:rFonts w:hint="eastAsia"/>
                <w:sz w:val="18"/>
                <w:szCs w:val="18"/>
              </w:rPr>
              <w:t>年，得</w:t>
            </w:r>
            <w:r>
              <w:rPr>
                <w:rFonts w:hint="eastAsia"/>
                <w:sz w:val="18"/>
                <w:szCs w:val="18"/>
              </w:rPr>
              <w:t>12</w:t>
            </w:r>
            <w:r>
              <w:rPr>
                <w:rFonts w:hint="eastAsia"/>
                <w:sz w:val="18"/>
                <w:szCs w:val="18"/>
              </w:rPr>
              <w:t>分。</w:t>
            </w:r>
          </w:p>
        </w:tc>
      </w:tr>
      <w:tr w:rsidR="00BF7B65">
        <w:trPr>
          <w:trHeight w:val="982"/>
          <w:jc w:val="center"/>
        </w:trPr>
        <w:tc>
          <w:tcPr>
            <w:tcW w:w="964" w:type="dxa"/>
            <w:vMerge/>
            <w:vAlign w:val="center"/>
          </w:tcPr>
          <w:p w:rsidR="00BF7B65" w:rsidRDefault="00BF7B65">
            <w:pPr>
              <w:jc w:val="center"/>
              <w:rPr>
                <w:bCs/>
                <w:sz w:val="18"/>
                <w:szCs w:val="18"/>
              </w:rPr>
            </w:pPr>
          </w:p>
        </w:tc>
        <w:tc>
          <w:tcPr>
            <w:tcW w:w="1447" w:type="dxa"/>
            <w:vMerge/>
            <w:vAlign w:val="center"/>
          </w:tcPr>
          <w:p w:rsidR="00BF7B65" w:rsidRDefault="00BF7B65">
            <w:pPr>
              <w:jc w:val="center"/>
              <w:rPr>
                <w:bCs/>
                <w:sz w:val="18"/>
                <w:szCs w:val="18"/>
              </w:rPr>
            </w:pPr>
          </w:p>
        </w:tc>
        <w:tc>
          <w:tcPr>
            <w:tcW w:w="2082" w:type="dxa"/>
            <w:vAlign w:val="center"/>
          </w:tcPr>
          <w:p w:rsidR="00BF7B65" w:rsidRDefault="00BD7387">
            <w:pPr>
              <w:rPr>
                <w:sz w:val="18"/>
                <w:szCs w:val="18"/>
              </w:rPr>
            </w:pPr>
            <w:r>
              <w:rPr>
                <w:rFonts w:hint="eastAsia"/>
                <w:sz w:val="18"/>
                <w:szCs w:val="18"/>
              </w:rPr>
              <w:t>主要股东类型与规模</w:t>
            </w:r>
          </w:p>
        </w:tc>
        <w:tc>
          <w:tcPr>
            <w:tcW w:w="810" w:type="dxa"/>
            <w:vAlign w:val="center"/>
          </w:tcPr>
          <w:p w:rsidR="00BF7B65" w:rsidRDefault="00BD7387">
            <w:pPr>
              <w:jc w:val="center"/>
              <w:rPr>
                <w:sz w:val="18"/>
                <w:szCs w:val="18"/>
              </w:rPr>
            </w:pPr>
            <w:r>
              <w:rPr>
                <w:rFonts w:hint="eastAsia"/>
                <w:sz w:val="18"/>
                <w:szCs w:val="18"/>
              </w:rPr>
              <w:t>10</w:t>
            </w:r>
          </w:p>
        </w:tc>
        <w:tc>
          <w:tcPr>
            <w:tcW w:w="5897" w:type="dxa"/>
            <w:vAlign w:val="center"/>
          </w:tcPr>
          <w:p w:rsidR="00BF7B65" w:rsidRDefault="00BD7387">
            <w:pPr>
              <w:rPr>
                <w:sz w:val="18"/>
                <w:szCs w:val="18"/>
              </w:rPr>
            </w:pPr>
            <w:r>
              <w:rPr>
                <w:rFonts w:hint="eastAsia"/>
                <w:sz w:val="18"/>
                <w:szCs w:val="18"/>
              </w:rPr>
              <w:t>股东和股本结构会影响资本市场预期进而影响市值。比如股权结构中机构投资者与个人投资者的类型和占比会影响资本市场对企业的估值和评价。</w:t>
            </w:r>
          </w:p>
        </w:tc>
        <w:tc>
          <w:tcPr>
            <w:tcW w:w="3372" w:type="dxa"/>
            <w:vAlign w:val="center"/>
          </w:tcPr>
          <w:p w:rsidR="00BF7B65" w:rsidRDefault="00BD7387">
            <w:pPr>
              <w:rPr>
                <w:sz w:val="18"/>
                <w:szCs w:val="18"/>
              </w:rPr>
            </w:pPr>
            <w:r>
              <w:rPr>
                <w:rFonts w:hint="eastAsia"/>
                <w:sz w:val="18"/>
                <w:szCs w:val="18"/>
              </w:rPr>
              <w:t>上市</w:t>
            </w:r>
            <w:r>
              <w:rPr>
                <w:rFonts w:hint="eastAsia"/>
                <w:sz w:val="18"/>
                <w:szCs w:val="18"/>
              </w:rPr>
              <w:t>,</w:t>
            </w:r>
            <w:r>
              <w:rPr>
                <w:rFonts w:hint="eastAsia"/>
                <w:sz w:val="18"/>
                <w:szCs w:val="18"/>
              </w:rPr>
              <w:t>国企或大型集团公司持股</w:t>
            </w:r>
            <w:r>
              <w:rPr>
                <w:rFonts w:hint="eastAsia"/>
                <w:sz w:val="18"/>
                <w:szCs w:val="18"/>
              </w:rPr>
              <w:t>30%</w:t>
            </w:r>
            <w:r>
              <w:rPr>
                <w:rFonts w:hint="eastAsia"/>
                <w:sz w:val="18"/>
                <w:szCs w:val="18"/>
              </w:rPr>
              <w:t>，得</w:t>
            </w:r>
            <w:r>
              <w:rPr>
                <w:rFonts w:hint="eastAsia"/>
                <w:sz w:val="18"/>
                <w:szCs w:val="18"/>
              </w:rPr>
              <w:t>10</w:t>
            </w:r>
            <w:r>
              <w:rPr>
                <w:rFonts w:hint="eastAsia"/>
                <w:sz w:val="18"/>
                <w:szCs w:val="18"/>
              </w:rPr>
              <w:t>分；法人股东，得</w:t>
            </w:r>
            <w:r>
              <w:rPr>
                <w:rFonts w:hint="eastAsia"/>
                <w:sz w:val="18"/>
                <w:szCs w:val="18"/>
              </w:rPr>
              <w:t>8</w:t>
            </w:r>
            <w:r>
              <w:rPr>
                <w:rFonts w:hint="eastAsia"/>
                <w:sz w:val="18"/>
                <w:szCs w:val="18"/>
              </w:rPr>
              <w:t>分；全部是自然人股东，得</w:t>
            </w:r>
            <w:r>
              <w:rPr>
                <w:rFonts w:hint="eastAsia"/>
                <w:sz w:val="18"/>
                <w:szCs w:val="18"/>
              </w:rPr>
              <w:t>6</w:t>
            </w:r>
            <w:r>
              <w:rPr>
                <w:rFonts w:hint="eastAsia"/>
                <w:sz w:val="18"/>
                <w:szCs w:val="18"/>
              </w:rPr>
              <w:t>分。</w:t>
            </w:r>
          </w:p>
        </w:tc>
      </w:tr>
      <w:tr w:rsidR="00BF7B65">
        <w:trPr>
          <w:trHeight w:val="535"/>
          <w:jc w:val="center"/>
        </w:trPr>
        <w:tc>
          <w:tcPr>
            <w:tcW w:w="964" w:type="dxa"/>
            <w:vMerge w:val="restart"/>
            <w:vAlign w:val="center"/>
          </w:tcPr>
          <w:p w:rsidR="00BF7B65" w:rsidRDefault="00BD7387">
            <w:pPr>
              <w:jc w:val="center"/>
              <w:rPr>
                <w:bCs/>
                <w:sz w:val="18"/>
                <w:szCs w:val="18"/>
              </w:rPr>
            </w:pPr>
            <w:bookmarkStart w:id="35" w:name="_Hlk166617291"/>
            <w:r>
              <w:rPr>
                <w:rFonts w:hint="eastAsia"/>
                <w:bCs/>
                <w:sz w:val="18"/>
                <w:szCs w:val="18"/>
              </w:rPr>
              <w:t>管理能力</w:t>
            </w:r>
          </w:p>
        </w:tc>
        <w:tc>
          <w:tcPr>
            <w:tcW w:w="1447" w:type="dxa"/>
            <w:vMerge w:val="restart"/>
            <w:vAlign w:val="center"/>
          </w:tcPr>
          <w:p w:rsidR="00BF7B65" w:rsidRDefault="00BD7387">
            <w:pPr>
              <w:jc w:val="center"/>
              <w:rPr>
                <w:sz w:val="18"/>
                <w:szCs w:val="18"/>
              </w:rPr>
            </w:pPr>
            <w:bookmarkStart w:id="36" w:name="_Toc170976429"/>
            <w:r>
              <w:rPr>
                <w:rFonts w:hint="eastAsia"/>
                <w:sz w:val="18"/>
                <w:szCs w:val="18"/>
              </w:rPr>
              <w:t>管理评价</w:t>
            </w:r>
            <w:bookmarkEnd w:id="36"/>
          </w:p>
        </w:tc>
        <w:tc>
          <w:tcPr>
            <w:tcW w:w="2082" w:type="dxa"/>
            <w:vAlign w:val="center"/>
          </w:tcPr>
          <w:p w:rsidR="00BF7B65" w:rsidRDefault="00BD7387">
            <w:pPr>
              <w:rPr>
                <w:sz w:val="18"/>
                <w:szCs w:val="18"/>
              </w:rPr>
            </w:pPr>
            <w:r>
              <w:rPr>
                <w:rFonts w:hint="eastAsia"/>
                <w:sz w:val="18"/>
                <w:szCs w:val="18"/>
              </w:rPr>
              <w:t>经营许可</w:t>
            </w:r>
          </w:p>
        </w:tc>
        <w:tc>
          <w:tcPr>
            <w:tcW w:w="810" w:type="dxa"/>
            <w:vAlign w:val="center"/>
          </w:tcPr>
          <w:p w:rsidR="00BF7B65" w:rsidRDefault="00BD7387">
            <w:pPr>
              <w:jc w:val="center"/>
              <w:rPr>
                <w:sz w:val="18"/>
                <w:szCs w:val="18"/>
              </w:rPr>
            </w:pPr>
            <w:r>
              <w:rPr>
                <w:rFonts w:hint="eastAsia"/>
                <w:sz w:val="18"/>
                <w:szCs w:val="18"/>
              </w:rPr>
              <w:t>20</w:t>
            </w:r>
          </w:p>
        </w:tc>
        <w:tc>
          <w:tcPr>
            <w:tcW w:w="5897" w:type="dxa"/>
            <w:vAlign w:val="center"/>
          </w:tcPr>
          <w:p w:rsidR="00BF7B65" w:rsidRDefault="00BD7387">
            <w:pPr>
              <w:rPr>
                <w:sz w:val="18"/>
                <w:szCs w:val="18"/>
              </w:rPr>
            </w:pPr>
            <w:r>
              <w:rPr>
                <w:rFonts w:hint="eastAsia"/>
                <w:sz w:val="18"/>
                <w:szCs w:val="18"/>
              </w:rPr>
              <w:t>企业应具有合法经营的法律地位。</w:t>
            </w:r>
          </w:p>
        </w:tc>
        <w:tc>
          <w:tcPr>
            <w:tcW w:w="3372" w:type="dxa"/>
            <w:vAlign w:val="center"/>
          </w:tcPr>
          <w:p w:rsidR="00BF7B65" w:rsidRDefault="00BD7387">
            <w:pPr>
              <w:rPr>
                <w:sz w:val="18"/>
                <w:szCs w:val="18"/>
              </w:rPr>
            </w:pPr>
            <w:r>
              <w:rPr>
                <w:rFonts w:hint="eastAsia"/>
                <w:sz w:val="18"/>
                <w:szCs w:val="18"/>
              </w:rPr>
              <w:t>存续（在营、开业、在册）得</w:t>
            </w:r>
            <w:r>
              <w:rPr>
                <w:rFonts w:hint="eastAsia"/>
                <w:sz w:val="18"/>
                <w:szCs w:val="18"/>
              </w:rPr>
              <w:t>20</w:t>
            </w:r>
            <w:r>
              <w:rPr>
                <w:rFonts w:hint="eastAsia"/>
                <w:sz w:val="18"/>
                <w:szCs w:val="18"/>
              </w:rPr>
              <w:t>分；否，不得分。</w:t>
            </w:r>
          </w:p>
        </w:tc>
      </w:tr>
      <w:tr w:rsidR="00BF7B65">
        <w:trPr>
          <w:trHeight w:val="805"/>
          <w:jc w:val="center"/>
        </w:trPr>
        <w:tc>
          <w:tcPr>
            <w:tcW w:w="964" w:type="dxa"/>
            <w:vMerge/>
            <w:vAlign w:val="center"/>
          </w:tcPr>
          <w:p w:rsidR="00BF7B65" w:rsidRDefault="00BF7B65">
            <w:pPr>
              <w:jc w:val="center"/>
              <w:rPr>
                <w:bCs/>
                <w:sz w:val="18"/>
                <w:szCs w:val="18"/>
              </w:rPr>
            </w:pPr>
          </w:p>
        </w:tc>
        <w:tc>
          <w:tcPr>
            <w:tcW w:w="1447" w:type="dxa"/>
            <w:vMerge/>
            <w:vAlign w:val="center"/>
          </w:tcPr>
          <w:p w:rsidR="00BF7B65" w:rsidRDefault="00BF7B65">
            <w:pPr>
              <w:jc w:val="center"/>
              <w:rPr>
                <w:sz w:val="18"/>
                <w:szCs w:val="18"/>
              </w:rPr>
            </w:pPr>
          </w:p>
        </w:tc>
        <w:tc>
          <w:tcPr>
            <w:tcW w:w="2082" w:type="dxa"/>
            <w:vAlign w:val="center"/>
          </w:tcPr>
          <w:p w:rsidR="00BF7B65" w:rsidRDefault="00BD7387">
            <w:pPr>
              <w:rPr>
                <w:sz w:val="18"/>
                <w:szCs w:val="18"/>
              </w:rPr>
            </w:pPr>
            <w:r>
              <w:rPr>
                <w:rFonts w:hint="eastAsia"/>
                <w:sz w:val="18"/>
                <w:szCs w:val="18"/>
              </w:rPr>
              <w:t>管理体系认证</w:t>
            </w:r>
          </w:p>
        </w:tc>
        <w:tc>
          <w:tcPr>
            <w:tcW w:w="810" w:type="dxa"/>
            <w:vAlign w:val="center"/>
          </w:tcPr>
          <w:p w:rsidR="00BF7B65" w:rsidRDefault="00BD7387">
            <w:pPr>
              <w:jc w:val="center"/>
              <w:rPr>
                <w:sz w:val="18"/>
                <w:szCs w:val="18"/>
              </w:rPr>
            </w:pPr>
            <w:r>
              <w:rPr>
                <w:rFonts w:hint="eastAsia"/>
                <w:sz w:val="18"/>
                <w:szCs w:val="18"/>
              </w:rPr>
              <w:t>5</w:t>
            </w:r>
          </w:p>
        </w:tc>
        <w:tc>
          <w:tcPr>
            <w:tcW w:w="5897" w:type="dxa"/>
            <w:vAlign w:val="center"/>
          </w:tcPr>
          <w:p w:rsidR="00BF7B65" w:rsidRDefault="00BD7387">
            <w:pPr>
              <w:rPr>
                <w:sz w:val="18"/>
                <w:szCs w:val="18"/>
              </w:rPr>
            </w:pPr>
            <w:r>
              <w:rPr>
                <w:rFonts w:hint="eastAsia"/>
                <w:sz w:val="18"/>
                <w:szCs w:val="18"/>
              </w:rPr>
              <w:t>企业保障产品质量的能力、产品质量的稳定性，质量控制的系统水平，以及企业整体的质量意识和管理水平。</w:t>
            </w:r>
          </w:p>
        </w:tc>
        <w:tc>
          <w:tcPr>
            <w:tcW w:w="3372" w:type="dxa"/>
            <w:vAlign w:val="center"/>
          </w:tcPr>
          <w:p w:rsidR="00BF7B65" w:rsidRDefault="00BD7387">
            <w:pPr>
              <w:rPr>
                <w:sz w:val="18"/>
                <w:szCs w:val="18"/>
              </w:rPr>
            </w:pPr>
            <w:r>
              <w:rPr>
                <w:rFonts w:hint="eastAsia"/>
                <w:sz w:val="18"/>
                <w:szCs w:val="18"/>
              </w:rPr>
              <w:t>通过质量管理体系认证，在有效期内得</w:t>
            </w:r>
            <w:r>
              <w:rPr>
                <w:rFonts w:hint="eastAsia"/>
                <w:sz w:val="18"/>
                <w:szCs w:val="18"/>
              </w:rPr>
              <w:t>5</w:t>
            </w:r>
            <w:r>
              <w:rPr>
                <w:rFonts w:hint="eastAsia"/>
                <w:sz w:val="18"/>
                <w:szCs w:val="18"/>
              </w:rPr>
              <w:t>分；申报中或过期，得</w:t>
            </w:r>
            <w:r>
              <w:rPr>
                <w:rFonts w:hint="eastAsia"/>
                <w:sz w:val="18"/>
                <w:szCs w:val="18"/>
              </w:rPr>
              <w:t>3</w:t>
            </w:r>
            <w:r>
              <w:rPr>
                <w:rFonts w:hint="eastAsia"/>
                <w:sz w:val="18"/>
                <w:szCs w:val="18"/>
              </w:rPr>
              <w:t>分；没有不得分。</w:t>
            </w:r>
          </w:p>
        </w:tc>
      </w:tr>
      <w:tr w:rsidR="00BF7B65">
        <w:trPr>
          <w:trHeight w:val="830"/>
          <w:jc w:val="center"/>
        </w:trPr>
        <w:tc>
          <w:tcPr>
            <w:tcW w:w="964" w:type="dxa"/>
            <w:vMerge/>
            <w:vAlign w:val="center"/>
          </w:tcPr>
          <w:p w:rsidR="00BF7B65" w:rsidRDefault="00BF7B65">
            <w:pPr>
              <w:jc w:val="center"/>
              <w:rPr>
                <w:bCs/>
                <w:sz w:val="18"/>
                <w:szCs w:val="18"/>
              </w:rPr>
            </w:pPr>
          </w:p>
        </w:tc>
        <w:tc>
          <w:tcPr>
            <w:tcW w:w="1447" w:type="dxa"/>
            <w:vMerge/>
            <w:vAlign w:val="center"/>
          </w:tcPr>
          <w:p w:rsidR="00BF7B65" w:rsidRDefault="00BF7B65">
            <w:pPr>
              <w:jc w:val="center"/>
              <w:rPr>
                <w:sz w:val="18"/>
                <w:szCs w:val="18"/>
              </w:rPr>
            </w:pPr>
          </w:p>
        </w:tc>
        <w:tc>
          <w:tcPr>
            <w:tcW w:w="2082" w:type="dxa"/>
            <w:vAlign w:val="center"/>
          </w:tcPr>
          <w:p w:rsidR="00BF7B65" w:rsidRDefault="00BD7387">
            <w:pPr>
              <w:rPr>
                <w:sz w:val="18"/>
                <w:szCs w:val="18"/>
              </w:rPr>
            </w:pPr>
            <w:r>
              <w:rPr>
                <w:rFonts w:hint="eastAsia"/>
                <w:sz w:val="18"/>
                <w:szCs w:val="18"/>
              </w:rPr>
              <w:t>商标</w:t>
            </w:r>
            <w:r>
              <w:rPr>
                <w:rFonts w:hint="eastAsia"/>
                <w:sz w:val="18"/>
                <w:szCs w:val="18"/>
              </w:rPr>
              <w:t>,</w:t>
            </w:r>
            <w:r>
              <w:rPr>
                <w:rFonts w:hint="eastAsia"/>
                <w:sz w:val="18"/>
                <w:szCs w:val="18"/>
              </w:rPr>
              <w:t>专利及参与标准制定情况</w:t>
            </w:r>
          </w:p>
        </w:tc>
        <w:tc>
          <w:tcPr>
            <w:tcW w:w="810" w:type="dxa"/>
            <w:vAlign w:val="center"/>
          </w:tcPr>
          <w:p w:rsidR="00BF7B65" w:rsidRDefault="00BD7387">
            <w:pPr>
              <w:jc w:val="center"/>
              <w:rPr>
                <w:sz w:val="18"/>
                <w:szCs w:val="18"/>
              </w:rPr>
            </w:pPr>
            <w:r>
              <w:rPr>
                <w:rFonts w:hint="eastAsia"/>
                <w:sz w:val="18"/>
                <w:szCs w:val="18"/>
              </w:rPr>
              <w:t>5</w:t>
            </w:r>
          </w:p>
        </w:tc>
        <w:tc>
          <w:tcPr>
            <w:tcW w:w="5897" w:type="dxa"/>
            <w:vAlign w:val="center"/>
          </w:tcPr>
          <w:p w:rsidR="00BF7B65" w:rsidRDefault="00BD7387">
            <w:pPr>
              <w:rPr>
                <w:sz w:val="18"/>
                <w:szCs w:val="18"/>
              </w:rPr>
            </w:pPr>
            <w:r>
              <w:rPr>
                <w:rFonts w:hint="eastAsia"/>
                <w:sz w:val="18"/>
                <w:szCs w:val="18"/>
              </w:rPr>
              <w:t>企业的产品或者服务的想要在市场中占得先机，商标</w:t>
            </w:r>
            <w:r>
              <w:rPr>
                <w:rFonts w:hint="eastAsia"/>
                <w:sz w:val="18"/>
                <w:szCs w:val="18"/>
              </w:rPr>
              <w:t>,</w:t>
            </w:r>
            <w:r>
              <w:rPr>
                <w:rFonts w:hint="eastAsia"/>
                <w:sz w:val="18"/>
                <w:szCs w:val="18"/>
              </w:rPr>
              <w:t>专利及参与标准制定，起着极为重要的作用。</w:t>
            </w:r>
          </w:p>
        </w:tc>
        <w:tc>
          <w:tcPr>
            <w:tcW w:w="3372" w:type="dxa"/>
            <w:vAlign w:val="center"/>
          </w:tcPr>
          <w:p w:rsidR="00BF7B65" w:rsidRDefault="00BD7387">
            <w:pPr>
              <w:rPr>
                <w:sz w:val="18"/>
                <w:szCs w:val="18"/>
              </w:rPr>
            </w:pPr>
            <w:r>
              <w:rPr>
                <w:rFonts w:hint="eastAsia"/>
                <w:sz w:val="18"/>
                <w:szCs w:val="18"/>
              </w:rPr>
              <w:t>有商标和专利权或参与标准制定，得</w:t>
            </w:r>
            <w:r>
              <w:rPr>
                <w:rFonts w:hint="eastAsia"/>
                <w:sz w:val="18"/>
                <w:szCs w:val="18"/>
              </w:rPr>
              <w:t>5</w:t>
            </w:r>
            <w:r>
              <w:rPr>
                <w:rFonts w:hint="eastAsia"/>
                <w:sz w:val="18"/>
                <w:szCs w:val="18"/>
              </w:rPr>
              <w:t>分；没有不得分。</w:t>
            </w:r>
          </w:p>
        </w:tc>
      </w:tr>
      <w:tr w:rsidR="00BF7B65">
        <w:trPr>
          <w:trHeight w:val="693"/>
          <w:jc w:val="center"/>
        </w:trPr>
        <w:tc>
          <w:tcPr>
            <w:tcW w:w="964" w:type="dxa"/>
            <w:vMerge w:val="restart"/>
            <w:vAlign w:val="center"/>
          </w:tcPr>
          <w:p w:rsidR="00BF7B65" w:rsidRDefault="00BD7387">
            <w:pPr>
              <w:pStyle w:val="af4"/>
              <w:ind w:left="0"/>
              <w:jc w:val="center"/>
              <w:outlineLvl w:val="9"/>
              <w:rPr>
                <w:bCs/>
                <w:sz w:val="18"/>
                <w:szCs w:val="18"/>
                <w:lang w:eastAsia="zh-CN"/>
              </w:rPr>
            </w:pPr>
            <w:bookmarkStart w:id="37" w:name="_Toc170976430"/>
            <w:bookmarkEnd w:id="35"/>
            <w:r>
              <w:rPr>
                <w:rFonts w:ascii="宋体" w:eastAsia="宋体" w:hAnsi="宋体" w:hint="eastAsia"/>
                <w:sz w:val="18"/>
                <w:szCs w:val="18"/>
                <w:lang w:eastAsia="zh-CN"/>
              </w:rPr>
              <w:t>信用记录</w:t>
            </w:r>
            <w:bookmarkEnd w:id="37"/>
          </w:p>
        </w:tc>
        <w:tc>
          <w:tcPr>
            <w:tcW w:w="1447" w:type="dxa"/>
            <w:vMerge w:val="restart"/>
            <w:vAlign w:val="center"/>
          </w:tcPr>
          <w:p w:rsidR="00BF7B65" w:rsidRDefault="00BD7387">
            <w:pPr>
              <w:pStyle w:val="af4"/>
              <w:tabs>
                <w:tab w:val="clear" w:pos="360"/>
                <w:tab w:val="left" w:pos="0"/>
              </w:tabs>
              <w:ind w:left="0"/>
              <w:outlineLvl w:val="9"/>
              <w:rPr>
                <w:rFonts w:ascii="宋体" w:eastAsia="宋体" w:hAnsi="宋体"/>
                <w:sz w:val="18"/>
                <w:szCs w:val="18"/>
                <w:lang w:eastAsia="zh-CN"/>
              </w:rPr>
            </w:pPr>
            <w:bookmarkStart w:id="38" w:name="_Toc170976431"/>
            <w:bookmarkStart w:id="39" w:name="_Hlk166616641"/>
            <w:r>
              <w:rPr>
                <w:rFonts w:ascii="宋体" w:eastAsia="宋体" w:hAnsi="宋体" w:hint="eastAsia"/>
                <w:sz w:val="18"/>
                <w:szCs w:val="18"/>
                <w:lang w:eastAsia="zh-CN"/>
              </w:rPr>
              <w:t>公共信用信息</w:t>
            </w:r>
            <w:bookmarkEnd w:id="38"/>
            <w:bookmarkEnd w:id="39"/>
          </w:p>
        </w:tc>
        <w:tc>
          <w:tcPr>
            <w:tcW w:w="2082" w:type="dxa"/>
            <w:vAlign w:val="center"/>
          </w:tcPr>
          <w:p w:rsidR="00BF7B65" w:rsidRDefault="00BD7387">
            <w:pPr>
              <w:rPr>
                <w:sz w:val="18"/>
                <w:szCs w:val="18"/>
              </w:rPr>
            </w:pPr>
            <w:r>
              <w:rPr>
                <w:rFonts w:hint="eastAsia"/>
                <w:sz w:val="18"/>
                <w:szCs w:val="18"/>
              </w:rPr>
              <w:t>市场监管信用记录</w:t>
            </w:r>
          </w:p>
        </w:tc>
        <w:tc>
          <w:tcPr>
            <w:tcW w:w="810" w:type="dxa"/>
            <w:vAlign w:val="center"/>
          </w:tcPr>
          <w:p w:rsidR="00BF7B65" w:rsidRDefault="00BD7387">
            <w:pPr>
              <w:jc w:val="center"/>
              <w:rPr>
                <w:sz w:val="18"/>
                <w:szCs w:val="18"/>
              </w:rPr>
            </w:pPr>
            <w:r>
              <w:rPr>
                <w:rFonts w:hint="eastAsia"/>
                <w:sz w:val="18"/>
                <w:szCs w:val="18"/>
              </w:rPr>
              <w:t>10</w:t>
            </w:r>
            <w:r>
              <w:rPr>
                <w:rFonts w:hint="eastAsia"/>
                <w:sz w:val="18"/>
                <w:szCs w:val="18"/>
              </w:rPr>
              <w:t>分</w:t>
            </w:r>
          </w:p>
        </w:tc>
        <w:tc>
          <w:tcPr>
            <w:tcW w:w="5897" w:type="dxa"/>
            <w:vAlign w:val="center"/>
          </w:tcPr>
          <w:p w:rsidR="00BF7B65" w:rsidRDefault="00BD7387">
            <w:pPr>
              <w:rPr>
                <w:sz w:val="18"/>
                <w:szCs w:val="18"/>
              </w:rPr>
            </w:pPr>
            <w:r>
              <w:rPr>
                <w:rFonts w:hint="eastAsia"/>
                <w:sz w:val="18"/>
                <w:szCs w:val="18"/>
              </w:rPr>
              <w:t>企业在市场监督管理部门的相关信用记录。</w:t>
            </w:r>
          </w:p>
        </w:tc>
        <w:tc>
          <w:tcPr>
            <w:tcW w:w="3372" w:type="dxa"/>
            <w:vAlign w:val="center"/>
          </w:tcPr>
          <w:p w:rsidR="00BF7B65" w:rsidRDefault="00BD7387">
            <w:pPr>
              <w:rPr>
                <w:sz w:val="18"/>
                <w:szCs w:val="18"/>
              </w:rPr>
            </w:pPr>
            <w:r>
              <w:rPr>
                <w:rFonts w:hint="eastAsia"/>
                <w:sz w:val="18"/>
                <w:szCs w:val="18"/>
              </w:rPr>
              <w:t>经国家企业信用信息公示系统查询，无不良记录，得</w:t>
            </w:r>
            <w:r>
              <w:rPr>
                <w:rFonts w:hint="eastAsia"/>
                <w:sz w:val="18"/>
                <w:szCs w:val="18"/>
              </w:rPr>
              <w:t>10</w:t>
            </w:r>
            <w:r>
              <w:rPr>
                <w:rFonts w:hint="eastAsia"/>
                <w:sz w:val="18"/>
                <w:szCs w:val="18"/>
              </w:rPr>
              <w:t>分；每出现一项不良记录扣</w:t>
            </w:r>
            <w:r>
              <w:rPr>
                <w:rFonts w:hint="eastAsia"/>
                <w:sz w:val="18"/>
                <w:szCs w:val="18"/>
              </w:rPr>
              <w:t>2</w:t>
            </w:r>
            <w:r>
              <w:rPr>
                <w:rFonts w:hint="eastAsia"/>
                <w:sz w:val="18"/>
                <w:szCs w:val="18"/>
              </w:rPr>
              <w:t>分，扣完为止。</w:t>
            </w:r>
          </w:p>
        </w:tc>
      </w:tr>
      <w:tr w:rsidR="00BF7B65">
        <w:trPr>
          <w:trHeight w:val="689"/>
          <w:jc w:val="center"/>
        </w:trPr>
        <w:tc>
          <w:tcPr>
            <w:tcW w:w="964" w:type="dxa"/>
            <w:vMerge/>
            <w:vAlign w:val="center"/>
          </w:tcPr>
          <w:p w:rsidR="00BF7B65" w:rsidRDefault="00BF7B65">
            <w:pPr>
              <w:pStyle w:val="af4"/>
              <w:ind w:left="0"/>
              <w:jc w:val="center"/>
              <w:outlineLvl w:val="9"/>
              <w:rPr>
                <w:rFonts w:ascii="宋体" w:eastAsia="宋体" w:hAnsi="宋体"/>
                <w:sz w:val="18"/>
                <w:szCs w:val="18"/>
                <w:lang w:eastAsia="zh-CN"/>
              </w:rPr>
            </w:pPr>
          </w:p>
        </w:tc>
        <w:tc>
          <w:tcPr>
            <w:tcW w:w="1447" w:type="dxa"/>
            <w:vMerge/>
            <w:vAlign w:val="center"/>
          </w:tcPr>
          <w:p w:rsidR="00BF7B65" w:rsidRDefault="00BF7B65">
            <w:pPr>
              <w:pStyle w:val="af4"/>
              <w:tabs>
                <w:tab w:val="clear" w:pos="360"/>
                <w:tab w:val="left" w:pos="0"/>
              </w:tabs>
              <w:ind w:left="0"/>
              <w:jc w:val="center"/>
              <w:outlineLvl w:val="9"/>
              <w:rPr>
                <w:rFonts w:ascii="宋体" w:eastAsia="宋体" w:hAnsi="宋体"/>
                <w:sz w:val="18"/>
                <w:szCs w:val="18"/>
                <w:lang w:eastAsia="zh-CN"/>
              </w:rPr>
            </w:pPr>
          </w:p>
        </w:tc>
        <w:tc>
          <w:tcPr>
            <w:tcW w:w="2082" w:type="dxa"/>
            <w:vAlign w:val="center"/>
          </w:tcPr>
          <w:p w:rsidR="00BF7B65" w:rsidRDefault="00BD7387">
            <w:pPr>
              <w:rPr>
                <w:sz w:val="18"/>
                <w:szCs w:val="18"/>
              </w:rPr>
            </w:pPr>
            <w:r>
              <w:rPr>
                <w:rFonts w:hint="eastAsia"/>
                <w:sz w:val="18"/>
                <w:szCs w:val="18"/>
              </w:rPr>
              <w:t>纳税信用记录</w:t>
            </w:r>
          </w:p>
        </w:tc>
        <w:tc>
          <w:tcPr>
            <w:tcW w:w="810" w:type="dxa"/>
            <w:vAlign w:val="center"/>
          </w:tcPr>
          <w:p w:rsidR="00BF7B65" w:rsidRDefault="00BD7387">
            <w:pPr>
              <w:jc w:val="center"/>
              <w:rPr>
                <w:sz w:val="18"/>
                <w:szCs w:val="18"/>
              </w:rPr>
            </w:pPr>
            <w:r>
              <w:rPr>
                <w:rFonts w:hint="eastAsia"/>
                <w:sz w:val="18"/>
                <w:szCs w:val="18"/>
              </w:rPr>
              <w:t>10</w:t>
            </w:r>
            <w:r>
              <w:rPr>
                <w:rFonts w:hint="eastAsia"/>
                <w:sz w:val="18"/>
                <w:szCs w:val="18"/>
              </w:rPr>
              <w:t>分</w:t>
            </w:r>
          </w:p>
        </w:tc>
        <w:tc>
          <w:tcPr>
            <w:tcW w:w="5897" w:type="dxa"/>
            <w:vAlign w:val="center"/>
          </w:tcPr>
          <w:p w:rsidR="00BF7B65" w:rsidRDefault="00BD7387">
            <w:pPr>
              <w:rPr>
                <w:sz w:val="18"/>
                <w:szCs w:val="18"/>
              </w:rPr>
            </w:pPr>
            <w:r>
              <w:rPr>
                <w:rFonts w:hint="eastAsia"/>
                <w:sz w:val="18"/>
                <w:szCs w:val="18"/>
              </w:rPr>
              <w:t>企业在国家税务部门的相关信用记录。</w:t>
            </w:r>
          </w:p>
        </w:tc>
        <w:tc>
          <w:tcPr>
            <w:tcW w:w="3372" w:type="dxa"/>
            <w:vAlign w:val="center"/>
          </w:tcPr>
          <w:p w:rsidR="00BF7B65" w:rsidRDefault="00BD7387">
            <w:pPr>
              <w:rPr>
                <w:sz w:val="18"/>
                <w:szCs w:val="18"/>
              </w:rPr>
            </w:pPr>
            <w:r>
              <w:rPr>
                <w:rFonts w:hint="eastAsia"/>
                <w:sz w:val="18"/>
                <w:szCs w:val="18"/>
              </w:rPr>
              <w:t>经国家税务总局查询，无税务不良记录，得</w:t>
            </w:r>
            <w:r>
              <w:rPr>
                <w:rFonts w:hint="eastAsia"/>
                <w:sz w:val="18"/>
                <w:szCs w:val="18"/>
              </w:rPr>
              <w:t>10</w:t>
            </w:r>
            <w:r>
              <w:rPr>
                <w:rFonts w:hint="eastAsia"/>
                <w:sz w:val="18"/>
                <w:szCs w:val="18"/>
              </w:rPr>
              <w:t>分；每出现一项不良记录扣</w:t>
            </w:r>
            <w:r>
              <w:rPr>
                <w:rFonts w:hint="eastAsia"/>
                <w:sz w:val="18"/>
                <w:szCs w:val="18"/>
              </w:rPr>
              <w:t>2</w:t>
            </w:r>
            <w:r>
              <w:rPr>
                <w:rFonts w:hint="eastAsia"/>
                <w:sz w:val="18"/>
                <w:szCs w:val="18"/>
              </w:rPr>
              <w:t>分，扣完为止。</w:t>
            </w:r>
          </w:p>
        </w:tc>
      </w:tr>
      <w:tr w:rsidR="00BF7B65">
        <w:trPr>
          <w:trHeight w:val="543"/>
          <w:jc w:val="center"/>
        </w:trPr>
        <w:tc>
          <w:tcPr>
            <w:tcW w:w="964" w:type="dxa"/>
            <w:vMerge/>
            <w:vAlign w:val="center"/>
          </w:tcPr>
          <w:p w:rsidR="00BF7B65" w:rsidRDefault="00BF7B65">
            <w:pPr>
              <w:pStyle w:val="af4"/>
              <w:ind w:left="0"/>
              <w:jc w:val="center"/>
              <w:outlineLvl w:val="9"/>
              <w:rPr>
                <w:rFonts w:ascii="宋体" w:eastAsia="宋体" w:hAnsi="宋体"/>
                <w:sz w:val="18"/>
                <w:szCs w:val="18"/>
                <w:lang w:eastAsia="zh-CN"/>
              </w:rPr>
            </w:pPr>
          </w:p>
        </w:tc>
        <w:tc>
          <w:tcPr>
            <w:tcW w:w="1447" w:type="dxa"/>
            <w:vMerge/>
            <w:vAlign w:val="center"/>
          </w:tcPr>
          <w:p w:rsidR="00BF7B65" w:rsidRDefault="00BF7B65">
            <w:pPr>
              <w:pStyle w:val="af4"/>
              <w:tabs>
                <w:tab w:val="clear" w:pos="360"/>
                <w:tab w:val="left" w:pos="0"/>
              </w:tabs>
              <w:ind w:left="0"/>
              <w:jc w:val="center"/>
              <w:outlineLvl w:val="9"/>
              <w:rPr>
                <w:rFonts w:ascii="宋体" w:eastAsia="宋体" w:hAnsi="宋体"/>
                <w:sz w:val="18"/>
                <w:szCs w:val="18"/>
                <w:lang w:eastAsia="zh-CN"/>
              </w:rPr>
            </w:pPr>
          </w:p>
        </w:tc>
        <w:tc>
          <w:tcPr>
            <w:tcW w:w="2082" w:type="dxa"/>
            <w:vAlign w:val="center"/>
          </w:tcPr>
          <w:p w:rsidR="00BF7B65" w:rsidRDefault="00BD7387">
            <w:pPr>
              <w:rPr>
                <w:sz w:val="18"/>
                <w:szCs w:val="18"/>
              </w:rPr>
            </w:pPr>
            <w:r>
              <w:rPr>
                <w:rFonts w:hint="eastAsia"/>
                <w:sz w:val="18"/>
                <w:szCs w:val="18"/>
              </w:rPr>
              <w:t>司法信用记录</w:t>
            </w:r>
          </w:p>
        </w:tc>
        <w:tc>
          <w:tcPr>
            <w:tcW w:w="810" w:type="dxa"/>
            <w:vAlign w:val="center"/>
          </w:tcPr>
          <w:p w:rsidR="00BF7B65" w:rsidRDefault="00BD7387">
            <w:pPr>
              <w:jc w:val="center"/>
              <w:rPr>
                <w:sz w:val="18"/>
                <w:szCs w:val="18"/>
              </w:rPr>
            </w:pPr>
            <w:r>
              <w:rPr>
                <w:rFonts w:hint="eastAsia"/>
                <w:sz w:val="18"/>
                <w:szCs w:val="18"/>
              </w:rPr>
              <w:t>10</w:t>
            </w:r>
            <w:r>
              <w:rPr>
                <w:rFonts w:hint="eastAsia"/>
                <w:sz w:val="18"/>
                <w:szCs w:val="18"/>
              </w:rPr>
              <w:t>分</w:t>
            </w:r>
          </w:p>
        </w:tc>
        <w:tc>
          <w:tcPr>
            <w:tcW w:w="5897" w:type="dxa"/>
            <w:vAlign w:val="center"/>
          </w:tcPr>
          <w:p w:rsidR="00BF7B65" w:rsidRDefault="00BD7387">
            <w:pPr>
              <w:rPr>
                <w:sz w:val="18"/>
                <w:szCs w:val="18"/>
              </w:rPr>
            </w:pPr>
            <w:r>
              <w:rPr>
                <w:rFonts w:hint="eastAsia"/>
                <w:sz w:val="18"/>
                <w:szCs w:val="18"/>
              </w:rPr>
              <w:t>企业在司法部门的相关信用记录。</w:t>
            </w:r>
          </w:p>
        </w:tc>
        <w:tc>
          <w:tcPr>
            <w:tcW w:w="3372" w:type="dxa"/>
            <w:vAlign w:val="center"/>
          </w:tcPr>
          <w:p w:rsidR="00BF7B65" w:rsidRDefault="00BD7387">
            <w:pPr>
              <w:rPr>
                <w:sz w:val="18"/>
                <w:szCs w:val="18"/>
              </w:rPr>
            </w:pPr>
            <w:r>
              <w:rPr>
                <w:rFonts w:hint="eastAsia"/>
                <w:sz w:val="18"/>
                <w:szCs w:val="18"/>
              </w:rPr>
              <w:t>无司法不良记录，得</w:t>
            </w:r>
            <w:r>
              <w:rPr>
                <w:rFonts w:hint="eastAsia"/>
                <w:sz w:val="18"/>
                <w:szCs w:val="18"/>
              </w:rPr>
              <w:t>10</w:t>
            </w:r>
            <w:r>
              <w:rPr>
                <w:rFonts w:hint="eastAsia"/>
                <w:sz w:val="18"/>
                <w:szCs w:val="18"/>
              </w:rPr>
              <w:t>分；每出现一项不良记录扣</w:t>
            </w:r>
            <w:r>
              <w:rPr>
                <w:rFonts w:hint="eastAsia"/>
                <w:sz w:val="18"/>
                <w:szCs w:val="18"/>
              </w:rPr>
              <w:t>2</w:t>
            </w:r>
            <w:r>
              <w:rPr>
                <w:rFonts w:hint="eastAsia"/>
                <w:sz w:val="18"/>
                <w:szCs w:val="18"/>
              </w:rPr>
              <w:t>分，扣完为止。</w:t>
            </w:r>
          </w:p>
        </w:tc>
      </w:tr>
      <w:tr w:rsidR="00BF7B65">
        <w:trPr>
          <w:trHeight w:val="676"/>
          <w:jc w:val="center"/>
        </w:trPr>
        <w:tc>
          <w:tcPr>
            <w:tcW w:w="964" w:type="dxa"/>
            <w:vMerge/>
            <w:vAlign w:val="center"/>
          </w:tcPr>
          <w:p w:rsidR="00BF7B65" w:rsidRDefault="00BF7B65">
            <w:pPr>
              <w:pStyle w:val="af4"/>
              <w:ind w:left="0"/>
              <w:jc w:val="center"/>
              <w:outlineLvl w:val="9"/>
              <w:rPr>
                <w:rFonts w:ascii="宋体" w:eastAsia="宋体" w:hAnsi="宋体"/>
                <w:sz w:val="18"/>
                <w:szCs w:val="18"/>
                <w:lang w:eastAsia="zh-CN"/>
              </w:rPr>
            </w:pPr>
          </w:p>
        </w:tc>
        <w:tc>
          <w:tcPr>
            <w:tcW w:w="1447" w:type="dxa"/>
            <w:vMerge/>
            <w:vAlign w:val="center"/>
          </w:tcPr>
          <w:p w:rsidR="00BF7B65" w:rsidRDefault="00BF7B65">
            <w:pPr>
              <w:pStyle w:val="af4"/>
              <w:tabs>
                <w:tab w:val="clear" w:pos="360"/>
                <w:tab w:val="left" w:pos="0"/>
              </w:tabs>
              <w:ind w:left="0"/>
              <w:jc w:val="center"/>
              <w:outlineLvl w:val="9"/>
              <w:rPr>
                <w:rFonts w:ascii="宋体" w:eastAsia="宋体" w:hAnsi="宋体"/>
                <w:sz w:val="18"/>
                <w:szCs w:val="18"/>
                <w:lang w:eastAsia="zh-CN"/>
              </w:rPr>
            </w:pPr>
          </w:p>
        </w:tc>
        <w:tc>
          <w:tcPr>
            <w:tcW w:w="2082" w:type="dxa"/>
            <w:vAlign w:val="center"/>
          </w:tcPr>
          <w:p w:rsidR="00BF7B65" w:rsidRDefault="00BD7387">
            <w:pPr>
              <w:rPr>
                <w:sz w:val="18"/>
                <w:szCs w:val="18"/>
              </w:rPr>
            </w:pPr>
            <w:r>
              <w:rPr>
                <w:rFonts w:hint="eastAsia"/>
                <w:sz w:val="18"/>
                <w:szCs w:val="18"/>
              </w:rPr>
              <w:t>其他行政单位信用记录</w:t>
            </w:r>
          </w:p>
        </w:tc>
        <w:tc>
          <w:tcPr>
            <w:tcW w:w="810" w:type="dxa"/>
            <w:vAlign w:val="center"/>
          </w:tcPr>
          <w:p w:rsidR="00BF7B65" w:rsidRDefault="00BD7387">
            <w:pPr>
              <w:jc w:val="center"/>
              <w:rPr>
                <w:sz w:val="18"/>
                <w:szCs w:val="18"/>
              </w:rPr>
            </w:pPr>
            <w:r>
              <w:rPr>
                <w:rFonts w:hint="eastAsia"/>
                <w:sz w:val="18"/>
                <w:szCs w:val="18"/>
              </w:rPr>
              <w:t>10</w:t>
            </w:r>
            <w:r>
              <w:rPr>
                <w:rFonts w:hint="eastAsia"/>
                <w:sz w:val="18"/>
                <w:szCs w:val="18"/>
              </w:rPr>
              <w:t>分</w:t>
            </w:r>
          </w:p>
        </w:tc>
        <w:tc>
          <w:tcPr>
            <w:tcW w:w="5897" w:type="dxa"/>
            <w:vAlign w:val="center"/>
          </w:tcPr>
          <w:p w:rsidR="00BF7B65" w:rsidRDefault="00BD7387">
            <w:pPr>
              <w:rPr>
                <w:sz w:val="18"/>
                <w:szCs w:val="18"/>
              </w:rPr>
            </w:pPr>
            <w:r>
              <w:rPr>
                <w:rFonts w:hint="eastAsia"/>
                <w:sz w:val="18"/>
                <w:szCs w:val="18"/>
              </w:rPr>
              <w:t>企业在除市场监管、税务、质检等部门以外的其他行政单位的相关信用记录。</w:t>
            </w:r>
          </w:p>
        </w:tc>
        <w:tc>
          <w:tcPr>
            <w:tcW w:w="3372" w:type="dxa"/>
            <w:vAlign w:val="center"/>
          </w:tcPr>
          <w:p w:rsidR="00BF7B65" w:rsidRDefault="00BD7387">
            <w:pPr>
              <w:rPr>
                <w:sz w:val="18"/>
                <w:szCs w:val="18"/>
              </w:rPr>
            </w:pPr>
            <w:bookmarkStart w:id="40" w:name="_Hlk80802907"/>
            <w:r>
              <w:rPr>
                <w:rFonts w:hint="eastAsia"/>
                <w:sz w:val="18"/>
                <w:szCs w:val="18"/>
              </w:rPr>
              <w:t>无不良记录，得</w:t>
            </w:r>
            <w:r>
              <w:rPr>
                <w:rFonts w:hint="eastAsia"/>
                <w:sz w:val="18"/>
                <w:szCs w:val="18"/>
              </w:rPr>
              <w:t>10</w:t>
            </w:r>
            <w:r>
              <w:rPr>
                <w:rFonts w:hint="eastAsia"/>
                <w:sz w:val="18"/>
                <w:szCs w:val="18"/>
              </w:rPr>
              <w:t>分；每出现一项不良记录</w:t>
            </w:r>
            <w:bookmarkEnd w:id="40"/>
            <w:r>
              <w:rPr>
                <w:rFonts w:hint="eastAsia"/>
                <w:sz w:val="18"/>
                <w:szCs w:val="18"/>
              </w:rPr>
              <w:t>扣</w:t>
            </w:r>
            <w:r>
              <w:rPr>
                <w:rFonts w:hint="eastAsia"/>
                <w:sz w:val="18"/>
                <w:szCs w:val="18"/>
              </w:rPr>
              <w:t>2</w:t>
            </w:r>
            <w:r>
              <w:rPr>
                <w:rFonts w:hint="eastAsia"/>
                <w:sz w:val="18"/>
                <w:szCs w:val="18"/>
              </w:rPr>
              <w:t>分，扣完为止。</w:t>
            </w:r>
          </w:p>
        </w:tc>
      </w:tr>
    </w:tbl>
    <w:p w:rsidR="00BF7B65" w:rsidRDefault="00BD7387" w:rsidP="0043065F">
      <w:pPr>
        <w:pStyle w:val="a"/>
        <w:numPr>
          <w:ilvl w:val="0"/>
          <w:numId w:val="0"/>
        </w:numPr>
        <w:spacing w:beforeLines="50" w:afterLines="50" w:line="240" w:lineRule="auto"/>
        <w:jc w:val="center"/>
        <w:rPr>
          <w:rFonts w:hAnsi="黑体" w:cs="宋体"/>
          <w:szCs w:val="21"/>
        </w:rPr>
      </w:pPr>
      <w:r>
        <w:rPr>
          <w:rFonts w:hAnsi="黑体" w:cs="宋体" w:hint="eastAsia"/>
          <w:szCs w:val="21"/>
        </w:rPr>
        <w:br w:type="page"/>
      </w:r>
    </w:p>
    <w:p w:rsidR="00BF7B65" w:rsidRDefault="00BD7387" w:rsidP="0043065F">
      <w:pPr>
        <w:pStyle w:val="a"/>
        <w:numPr>
          <w:ilvl w:val="0"/>
          <w:numId w:val="0"/>
        </w:numPr>
        <w:spacing w:beforeLines="50" w:afterLines="50" w:line="240" w:lineRule="auto"/>
        <w:jc w:val="center"/>
        <w:rPr>
          <w:rFonts w:hAnsi="黑体" w:cs="宋体"/>
          <w:szCs w:val="21"/>
        </w:rPr>
      </w:pPr>
      <w:r>
        <w:rPr>
          <w:rFonts w:hAnsi="黑体" w:cs="宋体" w:hint="eastAsia"/>
          <w:szCs w:val="21"/>
        </w:rPr>
        <w:lastRenderedPageBreak/>
        <w:t>附录 B</w:t>
      </w:r>
    </w:p>
    <w:p w:rsidR="00BF7B65" w:rsidRDefault="00357864">
      <w:pPr>
        <w:pStyle w:val="a"/>
        <w:numPr>
          <w:ilvl w:val="0"/>
          <w:numId w:val="0"/>
        </w:numPr>
        <w:spacing w:beforeLines="0" w:afterLines="0"/>
        <w:jc w:val="center"/>
        <w:outlineLvl w:val="0"/>
        <w:rPr>
          <w:rFonts w:asciiTheme="minorEastAsia" w:eastAsiaTheme="minorEastAsia" w:hAnsiTheme="minorEastAsia"/>
        </w:rPr>
      </w:pPr>
      <w:bookmarkStart w:id="41" w:name="_Toc141929809"/>
      <w:r>
        <w:rPr>
          <w:rFonts w:asciiTheme="minorEastAsia" w:eastAsiaTheme="minorEastAsia" w:hAnsiTheme="minorEastAsia" w:hint="eastAsia"/>
        </w:rPr>
        <w:t>（规范性</w:t>
      </w:r>
      <w:r w:rsidR="00BD7387">
        <w:rPr>
          <w:rFonts w:asciiTheme="minorEastAsia" w:eastAsiaTheme="minorEastAsia" w:hAnsiTheme="minorEastAsia" w:hint="eastAsia"/>
        </w:rPr>
        <w:t>）</w:t>
      </w:r>
      <w:r w:rsidR="00BD7387">
        <w:rPr>
          <w:rFonts w:asciiTheme="minorEastAsia" w:eastAsiaTheme="minorEastAsia" w:hAnsiTheme="minorEastAsia" w:hint="eastAsia"/>
        </w:rPr>
        <w:br/>
        <w:t>财务能力指标计算方法</w:t>
      </w:r>
      <w:bookmarkEnd w:id="41"/>
    </w:p>
    <w:p w:rsidR="00BF7B65" w:rsidRDefault="00BD7387" w:rsidP="0043065F">
      <w:pPr>
        <w:pStyle w:val="af2"/>
        <w:spacing w:beforeLines="50" w:afterLines="50"/>
        <w:ind w:left="0"/>
        <w:outlineLvl w:val="9"/>
        <w:rPr>
          <w:rFonts w:ascii="黑体" w:eastAsia="黑体" w:hAnsi="黑体" w:cs="黑体"/>
          <w:bCs/>
        </w:rPr>
      </w:pPr>
      <w:bookmarkStart w:id="42" w:name="_Toc141929810"/>
      <w:r>
        <w:rPr>
          <w:rFonts w:ascii="Times New Roman" w:eastAsia="黑体" w:cs="Times New Roman"/>
          <w:bCs/>
        </w:rPr>
        <w:t>B</w:t>
      </w:r>
      <w:r>
        <w:rPr>
          <w:rFonts w:ascii="黑体" w:eastAsia="黑体" w:hAnsi="黑体" w:cs="黑体" w:hint="eastAsia"/>
          <w:bCs/>
        </w:rPr>
        <w:t>.</w:t>
      </w:r>
      <w:r>
        <w:rPr>
          <w:rFonts w:ascii="黑体" w:eastAsia="黑体" w:hAnsi="黑体" w:cs="黑体"/>
          <w:bCs/>
        </w:rPr>
        <w:t xml:space="preserve">1 </w:t>
      </w:r>
      <w:r>
        <w:rPr>
          <w:rFonts w:ascii="黑体" w:eastAsia="黑体" w:hAnsi="黑体" w:cs="黑体" w:hint="eastAsia"/>
          <w:bCs/>
        </w:rPr>
        <w:t xml:space="preserve"> 偿债能力指标计算方法</w:t>
      </w:r>
      <w:bookmarkEnd w:id="42"/>
    </w:p>
    <w:p w:rsidR="00BF7B65" w:rsidRDefault="00BD7387">
      <w:pPr>
        <w:ind w:firstLineChars="202" w:firstLine="424"/>
        <w:rPr>
          <w:rFonts w:ascii="宋体" w:hAnsi="宋体" w:cs="黑体"/>
          <w:bCs/>
          <w:szCs w:val="18"/>
        </w:rPr>
      </w:pPr>
      <w:r>
        <w:rPr>
          <w:rFonts w:ascii="宋体" w:hAnsi="宋体" w:cs="Arial"/>
          <w:szCs w:val="18"/>
          <w:shd w:val="clear" w:color="auto" w:fill="FFFFFF"/>
        </w:rPr>
        <w:t>偿债能力是指</w:t>
      </w:r>
      <w:r>
        <w:rPr>
          <w:rFonts w:ascii="宋体" w:hAnsi="宋体" w:hint="eastAsia"/>
          <w:szCs w:val="18"/>
        </w:rPr>
        <w:t>企业用其资产偿还长期债务和短期债务的能力</w:t>
      </w:r>
      <w:r>
        <w:rPr>
          <w:rFonts w:ascii="宋体" w:hAnsi="宋体" w:cs="Arial" w:hint="eastAsia"/>
          <w:szCs w:val="18"/>
          <w:shd w:val="clear" w:color="auto" w:fill="FFFFFF"/>
        </w:rPr>
        <w:t>。本标准中，该指标</w:t>
      </w:r>
      <w:r>
        <w:rPr>
          <w:rFonts w:ascii="宋体" w:hAnsi="宋体" w:cs="黑体" w:hint="eastAsia"/>
          <w:bCs/>
          <w:szCs w:val="18"/>
        </w:rPr>
        <w:t>主要通过流动比率、资产负债率等进行评价。其中，速动比率代表企业的短期偿债能力，资产负债率代表其他的长期偿债能力。</w:t>
      </w:r>
    </w:p>
    <w:p w:rsidR="00BF7B65" w:rsidRDefault="00BD7387">
      <w:pPr>
        <w:ind w:firstLineChars="202" w:firstLine="424"/>
        <w:rPr>
          <w:rFonts w:ascii="宋体" w:hAnsi="宋体"/>
          <w:szCs w:val="18"/>
        </w:rPr>
      </w:pPr>
      <w:r>
        <w:rPr>
          <w:rFonts w:ascii="宋体" w:hAnsi="宋体" w:hint="eastAsia"/>
          <w:szCs w:val="18"/>
        </w:rPr>
        <w:t>速动比率（倍）</w:t>
      </w:r>
      <w:r>
        <w:rPr>
          <w:rFonts w:ascii="宋体" w:hAnsi="宋体"/>
          <w:szCs w:val="18"/>
        </w:rPr>
        <w:t>=</w:t>
      </w:r>
      <w:r>
        <w:rPr>
          <w:rFonts w:ascii="宋体" w:hAnsi="宋体" w:hint="eastAsia"/>
          <w:szCs w:val="18"/>
        </w:rPr>
        <w:t>（流动资产-存货）</w:t>
      </w:r>
      <w:r>
        <w:rPr>
          <w:rFonts w:ascii="宋体" w:hAnsi="宋体"/>
          <w:szCs w:val="18"/>
        </w:rPr>
        <w:t>/</w:t>
      </w:r>
      <w:r>
        <w:rPr>
          <w:rFonts w:ascii="宋体" w:hAnsi="宋体" w:hint="eastAsia"/>
          <w:szCs w:val="18"/>
        </w:rPr>
        <w:t>流动负债</w:t>
      </w:r>
    </w:p>
    <w:p w:rsidR="00BF7B65" w:rsidRDefault="00BD7387">
      <w:pPr>
        <w:ind w:firstLineChars="202" w:firstLine="424"/>
        <w:rPr>
          <w:rFonts w:ascii="宋体" w:hAnsi="宋体"/>
          <w:szCs w:val="18"/>
        </w:rPr>
      </w:pPr>
      <w:r>
        <w:rPr>
          <w:rFonts w:ascii="宋体" w:hAnsi="宋体" w:hint="eastAsia"/>
          <w:szCs w:val="18"/>
        </w:rPr>
        <w:t>资产负债率</w:t>
      </w:r>
      <w:r>
        <w:rPr>
          <w:rFonts w:ascii="宋体" w:hAnsi="宋体"/>
          <w:szCs w:val="18"/>
        </w:rPr>
        <w:t>=</w:t>
      </w:r>
      <w:r>
        <w:rPr>
          <w:rFonts w:ascii="宋体" w:hAnsi="宋体" w:hint="eastAsia"/>
          <w:szCs w:val="18"/>
        </w:rPr>
        <w:t>负债总额</w:t>
      </w:r>
      <w:r>
        <w:rPr>
          <w:rFonts w:ascii="宋体" w:hAnsi="宋体"/>
          <w:szCs w:val="18"/>
        </w:rPr>
        <w:t>/</w:t>
      </w:r>
      <w:r>
        <w:rPr>
          <w:rFonts w:ascii="宋体" w:hAnsi="宋体" w:hint="eastAsia"/>
          <w:szCs w:val="18"/>
        </w:rPr>
        <w:t>资产总额</w:t>
      </w:r>
      <w:r>
        <w:rPr>
          <w:rFonts w:ascii="宋体" w:hAnsi="宋体"/>
          <w:szCs w:val="18"/>
        </w:rPr>
        <w:t>×100%</w:t>
      </w:r>
    </w:p>
    <w:p w:rsidR="00BF7B65" w:rsidRDefault="00BD7387" w:rsidP="0043065F">
      <w:pPr>
        <w:pStyle w:val="af2"/>
        <w:spacing w:beforeLines="50" w:afterLines="50"/>
        <w:ind w:left="0"/>
        <w:outlineLvl w:val="9"/>
        <w:rPr>
          <w:rFonts w:ascii="Times New Roman" w:eastAsia="黑体" w:cs="Times New Roman"/>
          <w:bCs/>
        </w:rPr>
      </w:pPr>
      <w:bookmarkStart w:id="43" w:name="_Toc141929811"/>
      <w:r>
        <w:rPr>
          <w:rFonts w:ascii="Times New Roman" w:eastAsia="黑体" w:cs="Times New Roman"/>
          <w:bCs/>
        </w:rPr>
        <w:t>B</w:t>
      </w:r>
      <w:r>
        <w:rPr>
          <w:rFonts w:ascii="Times New Roman" w:eastAsia="黑体" w:cs="Times New Roman" w:hint="eastAsia"/>
          <w:bCs/>
        </w:rPr>
        <w:t>.</w:t>
      </w:r>
      <w:r>
        <w:rPr>
          <w:rFonts w:ascii="Times New Roman" w:eastAsia="黑体" w:cs="Times New Roman"/>
          <w:bCs/>
        </w:rPr>
        <w:t xml:space="preserve">2 </w:t>
      </w:r>
      <w:r>
        <w:rPr>
          <w:rFonts w:ascii="Times New Roman" w:eastAsia="黑体" w:cs="Times New Roman" w:hint="eastAsia"/>
          <w:bCs/>
        </w:rPr>
        <w:t xml:space="preserve"> </w:t>
      </w:r>
      <w:r>
        <w:rPr>
          <w:rFonts w:ascii="Times New Roman" w:eastAsia="黑体" w:cs="Times New Roman" w:hint="eastAsia"/>
          <w:bCs/>
        </w:rPr>
        <w:t>盈利能力指标计算方法</w:t>
      </w:r>
      <w:bookmarkEnd w:id="43"/>
    </w:p>
    <w:p w:rsidR="00BF7B65" w:rsidRDefault="00BD7387">
      <w:pPr>
        <w:ind w:firstLineChars="202" w:firstLine="424"/>
        <w:rPr>
          <w:rFonts w:ascii="宋体" w:hAnsi="宋体"/>
        </w:rPr>
      </w:pPr>
      <w:r>
        <w:rPr>
          <w:rFonts w:ascii="宋体" w:hAnsi="宋体" w:hint="eastAsia"/>
        </w:rPr>
        <w:t>盈利能力是指</w:t>
      </w:r>
      <w:r>
        <w:rPr>
          <w:rFonts w:ascii="宋体" w:hAnsi="宋体" w:hint="eastAsia"/>
          <w:szCs w:val="18"/>
        </w:rPr>
        <w:t>企业资本增值能力</w:t>
      </w:r>
      <w:r>
        <w:rPr>
          <w:rFonts w:ascii="宋体" w:hAnsi="宋体" w:hint="eastAsia"/>
        </w:rPr>
        <w:t>。本标准中，该指标主要通过总资产报酬率、净资产收益率、营业利润率进行评价。其中，总资产报酬率表示企业全部资产获取收益的水平，净资产收益率可衡量公司对股东投入资本的利用效率，营业利润率反映企业通过经营活动获取利润的能力，排除了非经常性损益的影响，更能准确反映企业核心业务的盈利能力。</w:t>
      </w:r>
    </w:p>
    <w:p w:rsidR="00BF7B65" w:rsidRDefault="00BD7387">
      <w:pPr>
        <w:ind w:firstLineChars="202" w:firstLine="424"/>
        <w:rPr>
          <w:rFonts w:ascii="宋体" w:hAnsi="宋体"/>
        </w:rPr>
      </w:pPr>
      <w:r>
        <w:rPr>
          <w:rFonts w:ascii="宋体" w:hAnsi="宋体" w:hint="eastAsia"/>
        </w:rPr>
        <w:t>总资产报酬率</w:t>
      </w:r>
      <w:r>
        <w:rPr>
          <w:rFonts w:ascii="宋体" w:hAnsi="宋体"/>
        </w:rPr>
        <w:t>=</w:t>
      </w:r>
      <w:r>
        <w:rPr>
          <w:rFonts w:ascii="宋体" w:hAnsi="宋体" w:hint="eastAsia"/>
        </w:rPr>
        <w:t>（利润总额</w:t>
      </w:r>
      <w:r>
        <w:rPr>
          <w:rFonts w:ascii="宋体" w:hAnsi="宋体"/>
        </w:rPr>
        <w:t>×2</w:t>
      </w:r>
      <w:r>
        <w:rPr>
          <w:rFonts w:ascii="宋体" w:hAnsi="宋体" w:hint="eastAsia"/>
        </w:rPr>
        <w:t>）</w:t>
      </w:r>
      <w:r>
        <w:rPr>
          <w:rFonts w:ascii="宋体" w:hAnsi="宋体"/>
        </w:rPr>
        <w:t>/</w:t>
      </w:r>
      <w:r>
        <w:rPr>
          <w:rFonts w:ascii="宋体" w:hAnsi="宋体" w:hint="eastAsia"/>
        </w:rPr>
        <w:t>（期初资产合计</w:t>
      </w:r>
      <w:r>
        <w:rPr>
          <w:rFonts w:ascii="宋体" w:hAnsi="宋体"/>
        </w:rPr>
        <w:t>+</w:t>
      </w:r>
      <w:r>
        <w:rPr>
          <w:rFonts w:ascii="宋体" w:hAnsi="宋体" w:hint="eastAsia"/>
        </w:rPr>
        <w:t>期末资产合计）</w:t>
      </w:r>
      <w:r>
        <w:rPr>
          <w:rFonts w:ascii="宋体" w:hAnsi="宋体"/>
        </w:rPr>
        <w:t>×100%</w:t>
      </w:r>
    </w:p>
    <w:p w:rsidR="00BF7B65" w:rsidRDefault="00BD7387">
      <w:pPr>
        <w:ind w:firstLineChars="202" w:firstLine="424"/>
        <w:rPr>
          <w:rFonts w:ascii="宋体" w:hAnsi="宋体"/>
        </w:rPr>
      </w:pPr>
      <w:r>
        <w:rPr>
          <w:rFonts w:ascii="宋体" w:hAnsi="宋体" w:hint="eastAsia"/>
        </w:rPr>
        <w:t>净资产收益率</w:t>
      </w:r>
      <w:r>
        <w:rPr>
          <w:rFonts w:ascii="宋体" w:hAnsi="宋体"/>
        </w:rPr>
        <w:t>=</w:t>
      </w:r>
      <w:r>
        <w:rPr>
          <w:rFonts w:ascii="宋体" w:hAnsi="宋体" w:hint="eastAsia"/>
        </w:rPr>
        <w:t>净利润</w:t>
      </w:r>
      <w:r>
        <w:rPr>
          <w:rFonts w:ascii="宋体" w:hAnsi="宋体"/>
        </w:rPr>
        <w:t>/</w:t>
      </w:r>
      <w:r>
        <w:rPr>
          <w:rFonts w:ascii="宋体" w:hAnsi="宋体" w:hint="eastAsia"/>
        </w:rPr>
        <w:t>平均净资产</w:t>
      </w:r>
      <w:r>
        <w:rPr>
          <w:rFonts w:ascii="宋体" w:hAnsi="宋体"/>
        </w:rPr>
        <w:t xml:space="preserve">×100% </w:t>
      </w:r>
    </w:p>
    <w:p w:rsidR="00BF7B65" w:rsidRDefault="00BD7387">
      <w:pPr>
        <w:ind w:firstLineChars="202" w:firstLine="424"/>
        <w:rPr>
          <w:rFonts w:ascii="宋体" w:hAnsi="宋体"/>
        </w:rPr>
      </w:pPr>
      <w:r>
        <w:rPr>
          <w:rFonts w:ascii="宋体" w:hAnsi="宋体" w:hint="eastAsia"/>
        </w:rPr>
        <w:t>平均净资产</w:t>
      </w:r>
      <w:r>
        <w:rPr>
          <w:rFonts w:ascii="宋体" w:hAnsi="宋体"/>
        </w:rPr>
        <w:t>=(</w:t>
      </w:r>
      <w:r>
        <w:rPr>
          <w:rFonts w:ascii="宋体" w:hAnsi="宋体" w:hint="eastAsia"/>
        </w:rPr>
        <w:t>年初净资产</w:t>
      </w:r>
      <w:r>
        <w:rPr>
          <w:rFonts w:ascii="宋体" w:hAnsi="宋体"/>
        </w:rPr>
        <w:t>+</w:t>
      </w:r>
      <w:r>
        <w:rPr>
          <w:rFonts w:ascii="宋体" w:hAnsi="宋体" w:hint="eastAsia"/>
        </w:rPr>
        <w:t>年末净资产</w:t>
      </w:r>
      <w:r>
        <w:rPr>
          <w:rFonts w:ascii="宋体" w:hAnsi="宋体"/>
        </w:rPr>
        <w:t>)/2</w:t>
      </w:r>
    </w:p>
    <w:p w:rsidR="00BF7B65" w:rsidRDefault="00BD7387">
      <w:pPr>
        <w:ind w:firstLineChars="202" w:firstLine="424"/>
        <w:rPr>
          <w:rFonts w:ascii="宋体" w:hAnsi="宋体"/>
        </w:rPr>
      </w:pPr>
      <w:r>
        <w:rPr>
          <w:rFonts w:ascii="宋体" w:hAnsi="宋体" w:hint="eastAsia"/>
        </w:rPr>
        <w:t>营业利润率=利润总额/营业收入*100%</w:t>
      </w:r>
    </w:p>
    <w:p w:rsidR="00BF7B65" w:rsidRDefault="00BD7387" w:rsidP="0043065F">
      <w:pPr>
        <w:pStyle w:val="af2"/>
        <w:spacing w:beforeLines="50" w:afterLines="50"/>
        <w:ind w:left="0"/>
        <w:outlineLvl w:val="9"/>
        <w:rPr>
          <w:rFonts w:ascii="Times New Roman" w:eastAsia="黑体" w:cs="Times New Roman"/>
          <w:bCs/>
        </w:rPr>
      </w:pPr>
      <w:bookmarkStart w:id="44" w:name="_Toc141929812"/>
      <w:r>
        <w:rPr>
          <w:rFonts w:ascii="Times New Roman" w:eastAsia="黑体" w:cs="Times New Roman"/>
          <w:bCs/>
        </w:rPr>
        <w:t>B</w:t>
      </w:r>
      <w:r>
        <w:rPr>
          <w:rFonts w:ascii="Times New Roman" w:eastAsia="黑体" w:cs="Times New Roman" w:hint="eastAsia"/>
          <w:bCs/>
        </w:rPr>
        <w:t>.</w:t>
      </w:r>
      <w:r>
        <w:rPr>
          <w:rFonts w:ascii="Times New Roman" w:eastAsia="黑体" w:cs="Times New Roman"/>
          <w:bCs/>
        </w:rPr>
        <w:t xml:space="preserve">3 </w:t>
      </w:r>
      <w:r>
        <w:rPr>
          <w:rFonts w:ascii="Times New Roman" w:eastAsia="黑体" w:cs="Times New Roman" w:hint="eastAsia"/>
          <w:bCs/>
        </w:rPr>
        <w:t xml:space="preserve"> </w:t>
      </w:r>
      <w:r>
        <w:rPr>
          <w:rFonts w:ascii="Times New Roman" w:eastAsia="黑体" w:cs="Times New Roman" w:hint="eastAsia"/>
          <w:bCs/>
        </w:rPr>
        <w:t>运营能力指标计算方法</w:t>
      </w:r>
      <w:bookmarkEnd w:id="44"/>
    </w:p>
    <w:p w:rsidR="00BF7B65" w:rsidRDefault="00BD7387">
      <w:pPr>
        <w:ind w:firstLineChars="202" w:firstLine="424"/>
        <w:rPr>
          <w:rFonts w:ascii="宋体" w:hAnsi="宋体"/>
        </w:rPr>
      </w:pPr>
      <w:r>
        <w:rPr>
          <w:rFonts w:ascii="宋体" w:hAnsi="宋体" w:hint="eastAsia"/>
        </w:rPr>
        <w:t>运营能力是指</w:t>
      </w:r>
      <w:r>
        <w:rPr>
          <w:rFonts w:ascii="宋体" w:hAnsi="宋体" w:hint="eastAsia"/>
          <w:szCs w:val="18"/>
        </w:rPr>
        <w:t>企业运用各项资产以赚取利润的能力</w:t>
      </w:r>
      <w:r>
        <w:rPr>
          <w:rFonts w:ascii="宋体" w:hAnsi="宋体" w:hint="eastAsia"/>
        </w:rPr>
        <w:t>。本标准中，该指标主要通过总资产周转率、存货周转率进行评价。其中，总资产周转率代表一定时期营业收入与平均资产总额的比率，存货周转率是用于反映存货的周转速度。</w:t>
      </w:r>
    </w:p>
    <w:p w:rsidR="00BF7B65" w:rsidRDefault="00BD7387">
      <w:pPr>
        <w:ind w:firstLineChars="202" w:firstLine="424"/>
        <w:rPr>
          <w:rFonts w:ascii="宋体" w:hAnsi="宋体"/>
        </w:rPr>
      </w:pPr>
      <w:r>
        <w:rPr>
          <w:rFonts w:ascii="宋体" w:hAnsi="宋体" w:hint="eastAsia"/>
        </w:rPr>
        <w:t>总资产周转率（次）</w:t>
      </w:r>
      <w:r>
        <w:rPr>
          <w:rFonts w:ascii="宋体" w:hAnsi="宋体"/>
        </w:rPr>
        <w:t>=</w:t>
      </w:r>
      <w:r>
        <w:rPr>
          <w:rFonts w:ascii="宋体" w:hAnsi="宋体" w:hint="eastAsia"/>
        </w:rPr>
        <w:t>主营业务收入</w:t>
      </w:r>
      <w:r>
        <w:rPr>
          <w:rFonts w:ascii="宋体" w:hAnsi="宋体"/>
        </w:rPr>
        <w:t>/</w:t>
      </w:r>
      <w:r>
        <w:rPr>
          <w:rFonts w:ascii="宋体" w:hAnsi="宋体" w:hint="eastAsia"/>
        </w:rPr>
        <w:t>平均资产总额×</w:t>
      </w:r>
      <w:r>
        <w:rPr>
          <w:rFonts w:ascii="宋体" w:hAnsi="宋体"/>
        </w:rPr>
        <w:t>100%</w:t>
      </w:r>
    </w:p>
    <w:p w:rsidR="00BF7B65" w:rsidRDefault="00BD7387">
      <w:pPr>
        <w:ind w:firstLineChars="202" w:firstLine="424"/>
        <w:rPr>
          <w:rFonts w:ascii="宋体" w:hAnsi="宋体"/>
        </w:rPr>
      </w:pPr>
      <w:r>
        <w:rPr>
          <w:rFonts w:ascii="宋体" w:hAnsi="宋体" w:hint="eastAsia"/>
        </w:rPr>
        <w:t>存货周转率（次）</w:t>
      </w:r>
      <w:r>
        <w:rPr>
          <w:rFonts w:ascii="宋体" w:hAnsi="宋体"/>
        </w:rPr>
        <w:t>=</w:t>
      </w:r>
      <w:r>
        <w:rPr>
          <w:rFonts w:ascii="宋体" w:hAnsi="宋体" w:hint="eastAsia"/>
        </w:rPr>
        <w:t>营业成本</w:t>
      </w:r>
      <w:r>
        <w:rPr>
          <w:rFonts w:ascii="宋体" w:hAnsi="宋体"/>
        </w:rPr>
        <w:t>×2/</w:t>
      </w:r>
      <w:r>
        <w:rPr>
          <w:rFonts w:ascii="宋体" w:hAnsi="宋体" w:hint="eastAsia"/>
        </w:rPr>
        <w:t>（年末存货</w:t>
      </w:r>
      <w:r>
        <w:rPr>
          <w:rFonts w:ascii="宋体" w:hAnsi="宋体"/>
        </w:rPr>
        <w:t>+</w:t>
      </w:r>
      <w:r>
        <w:rPr>
          <w:rFonts w:ascii="宋体" w:hAnsi="宋体" w:hint="eastAsia"/>
        </w:rPr>
        <w:t>年初存货）</w:t>
      </w:r>
    </w:p>
    <w:p w:rsidR="00BF7B65" w:rsidRDefault="00BD7387" w:rsidP="0043065F">
      <w:pPr>
        <w:pStyle w:val="af2"/>
        <w:spacing w:beforeLines="50" w:afterLines="50"/>
        <w:ind w:left="0"/>
        <w:outlineLvl w:val="9"/>
        <w:rPr>
          <w:rFonts w:ascii="Times New Roman" w:eastAsia="黑体" w:cs="Times New Roman"/>
          <w:bCs/>
        </w:rPr>
      </w:pPr>
      <w:bookmarkStart w:id="45" w:name="_Toc141929813"/>
      <w:r>
        <w:rPr>
          <w:rFonts w:ascii="Times New Roman" w:eastAsia="黑体" w:cs="Times New Roman"/>
          <w:bCs/>
        </w:rPr>
        <w:t>B</w:t>
      </w:r>
      <w:r>
        <w:rPr>
          <w:rFonts w:ascii="Times New Roman" w:eastAsia="黑体" w:cs="Times New Roman" w:hint="eastAsia"/>
          <w:bCs/>
        </w:rPr>
        <w:t>.</w:t>
      </w:r>
      <w:r>
        <w:rPr>
          <w:rFonts w:ascii="Times New Roman" w:eastAsia="黑体" w:cs="Times New Roman"/>
          <w:bCs/>
        </w:rPr>
        <w:t xml:space="preserve">4 </w:t>
      </w:r>
      <w:r>
        <w:rPr>
          <w:rFonts w:ascii="Times New Roman" w:eastAsia="黑体" w:cs="Times New Roman" w:hint="eastAsia"/>
          <w:bCs/>
        </w:rPr>
        <w:t xml:space="preserve"> </w:t>
      </w:r>
      <w:r>
        <w:rPr>
          <w:rFonts w:ascii="Times New Roman" w:eastAsia="黑体" w:cs="Times New Roman" w:hint="eastAsia"/>
          <w:bCs/>
        </w:rPr>
        <w:t>成长能力指标计算方法</w:t>
      </w:r>
      <w:bookmarkEnd w:id="45"/>
    </w:p>
    <w:p w:rsidR="00BF7B65" w:rsidRDefault="00BD7387">
      <w:pPr>
        <w:ind w:firstLineChars="202" w:firstLine="424"/>
        <w:rPr>
          <w:rFonts w:ascii="宋体" w:hAnsi="宋体"/>
        </w:rPr>
      </w:pPr>
      <w:r>
        <w:rPr>
          <w:rFonts w:ascii="宋体" w:hAnsi="宋体" w:hint="eastAsia"/>
        </w:rPr>
        <w:t>成长能力是指</w:t>
      </w:r>
      <w:r>
        <w:rPr>
          <w:rFonts w:ascii="宋体" w:hAnsi="宋体" w:hint="eastAsia"/>
          <w:szCs w:val="18"/>
        </w:rPr>
        <w:t>企业发展壮大的潜在能力</w:t>
      </w:r>
      <w:r>
        <w:rPr>
          <w:rFonts w:ascii="MS Gothic" w:hAnsi="MS Gothic" w:cs="MS Gothic" w:hint="eastAsia"/>
        </w:rPr>
        <w:t>。本标准中，该指标</w:t>
      </w:r>
      <w:r>
        <w:rPr>
          <w:rFonts w:ascii="宋体" w:hAnsi="宋体" w:hint="eastAsia"/>
        </w:rPr>
        <w:t>主要通过营业收入增长率、利润总额增长率进行评价。其中利润总额增长率体现企业利润总额的增长情况，反映企业盈利能力的变化趋势，对评估企业的发展潜力具有重要意义。，营业收入增长率是衡量企业经营状况和市场占有能力、预测企业经营业务拓展趋势的重要标志。</w:t>
      </w:r>
    </w:p>
    <w:p w:rsidR="00BF7B65" w:rsidRDefault="00BD7387">
      <w:pPr>
        <w:ind w:firstLineChars="200" w:firstLine="420"/>
        <w:rPr>
          <w:rFonts w:ascii="宋体" w:hAnsi="宋体"/>
        </w:rPr>
      </w:pPr>
      <w:r>
        <w:rPr>
          <w:rFonts w:ascii="宋体" w:hAnsi="宋体" w:hint="eastAsia"/>
        </w:rPr>
        <w:t>营业收入增长率</w:t>
      </w:r>
      <w:r>
        <w:rPr>
          <w:rFonts w:ascii="宋体" w:hAnsi="宋体"/>
        </w:rPr>
        <w:t>=(</w:t>
      </w:r>
      <w:r>
        <w:rPr>
          <w:rFonts w:ascii="宋体" w:hAnsi="宋体" w:hint="eastAsia"/>
        </w:rPr>
        <w:t>本期营业收入</w:t>
      </w:r>
      <w:r>
        <w:rPr>
          <w:rFonts w:ascii="宋体" w:hAnsi="宋体"/>
        </w:rPr>
        <w:t>-</w:t>
      </w:r>
      <w:r>
        <w:rPr>
          <w:rFonts w:ascii="宋体" w:hAnsi="宋体" w:hint="eastAsia"/>
        </w:rPr>
        <w:t>上期营业收入</w:t>
      </w:r>
      <w:r>
        <w:rPr>
          <w:rFonts w:ascii="宋体" w:hAnsi="宋体"/>
        </w:rPr>
        <w:t>)/</w:t>
      </w:r>
      <w:r>
        <w:rPr>
          <w:rFonts w:ascii="宋体" w:hAnsi="宋体" w:hint="eastAsia"/>
        </w:rPr>
        <w:t>上期营业收入</w:t>
      </w:r>
      <w:r>
        <w:rPr>
          <w:rFonts w:ascii="宋体" w:hAnsi="宋体"/>
        </w:rPr>
        <w:t>×100%</w:t>
      </w:r>
    </w:p>
    <w:p w:rsidR="00BF7B65" w:rsidRDefault="00BD7387">
      <w:pPr>
        <w:ind w:firstLineChars="200" w:firstLine="420"/>
        <w:rPr>
          <w:rFonts w:ascii="宋体" w:hAnsi="宋体"/>
        </w:rPr>
      </w:pPr>
      <w:r>
        <w:rPr>
          <w:rFonts w:ascii="宋体" w:hAnsi="宋体" w:hint="eastAsia"/>
        </w:rPr>
        <w:t>利润总额增长率</w:t>
      </w:r>
      <w:r>
        <w:rPr>
          <w:rFonts w:ascii="宋体" w:hAnsi="宋体"/>
        </w:rPr>
        <w:t>=(</w:t>
      </w:r>
      <w:r>
        <w:rPr>
          <w:rFonts w:ascii="宋体" w:hAnsi="宋体" w:hint="eastAsia"/>
        </w:rPr>
        <w:t>本期利润总额</w:t>
      </w:r>
      <w:r>
        <w:rPr>
          <w:rFonts w:ascii="宋体" w:hAnsi="宋体"/>
        </w:rPr>
        <w:t>-</w:t>
      </w:r>
      <w:r>
        <w:rPr>
          <w:rFonts w:ascii="宋体" w:hAnsi="宋体" w:hint="eastAsia"/>
        </w:rPr>
        <w:t>上期利润总额</w:t>
      </w:r>
      <w:r>
        <w:rPr>
          <w:rFonts w:ascii="宋体" w:hAnsi="宋体"/>
        </w:rPr>
        <w:t>)/</w:t>
      </w:r>
      <w:r>
        <w:rPr>
          <w:rFonts w:ascii="宋体" w:hAnsi="宋体" w:hint="eastAsia"/>
        </w:rPr>
        <w:t>上期利润总额</w:t>
      </w:r>
      <w:r>
        <w:rPr>
          <w:rFonts w:ascii="宋体" w:hAnsi="宋体"/>
        </w:rPr>
        <w:t>×100%</w:t>
      </w:r>
      <w:r>
        <w:rPr>
          <w:rFonts w:ascii="宋体" w:hAnsi="宋体" w:hint="eastAsia"/>
        </w:rPr>
        <w:br w:type="page"/>
      </w:r>
    </w:p>
    <w:p w:rsidR="00BF7B65" w:rsidRDefault="00BF7B65">
      <w:pPr>
        <w:ind w:firstLineChars="200" w:firstLine="420"/>
        <w:rPr>
          <w:rFonts w:ascii="宋体" w:hAnsi="宋体"/>
        </w:rPr>
      </w:pPr>
    </w:p>
    <w:p w:rsidR="00BF7B65" w:rsidRDefault="00BD7387" w:rsidP="0043065F">
      <w:pPr>
        <w:pStyle w:val="a"/>
        <w:numPr>
          <w:ilvl w:val="0"/>
          <w:numId w:val="0"/>
        </w:numPr>
        <w:spacing w:beforeLines="50" w:afterLines="50" w:line="240" w:lineRule="auto"/>
        <w:jc w:val="center"/>
        <w:rPr>
          <w:rFonts w:hAnsi="黑体" w:cs="宋体"/>
          <w:szCs w:val="21"/>
        </w:rPr>
      </w:pPr>
      <w:r>
        <w:rPr>
          <w:rFonts w:hAnsi="黑体" w:cs="宋体" w:hint="eastAsia"/>
          <w:szCs w:val="21"/>
        </w:rPr>
        <w:t>附录 C</w:t>
      </w:r>
    </w:p>
    <w:p w:rsidR="00BF7B65" w:rsidRDefault="00D53E93">
      <w:pPr>
        <w:pStyle w:val="a"/>
        <w:numPr>
          <w:ilvl w:val="0"/>
          <w:numId w:val="0"/>
        </w:numPr>
        <w:spacing w:beforeLines="0" w:afterLines="0"/>
        <w:jc w:val="center"/>
        <w:outlineLvl w:val="0"/>
        <w:rPr>
          <w:rFonts w:asciiTheme="minorEastAsia" w:eastAsiaTheme="minorEastAsia" w:hAnsiTheme="minorEastAsia"/>
        </w:rPr>
      </w:pPr>
      <w:r>
        <w:rPr>
          <w:rFonts w:asciiTheme="minorEastAsia" w:eastAsiaTheme="minorEastAsia" w:hAnsiTheme="minorEastAsia" w:hint="eastAsia"/>
        </w:rPr>
        <w:t>（规范性</w:t>
      </w:r>
      <w:r w:rsidR="00BD7387">
        <w:rPr>
          <w:rFonts w:asciiTheme="minorEastAsia" w:eastAsiaTheme="minorEastAsia" w:hAnsiTheme="minorEastAsia" w:hint="eastAsia"/>
        </w:rPr>
        <w:t>）</w:t>
      </w:r>
      <w:r w:rsidR="00BD7387">
        <w:rPr>
          <w:rFonts w:asciiTheme="minorEastAsia" w:eastAsiaTheme="minorEastAsia" w:hAnsiTheme="minorEastAsia" w:hint="eastAsia"/>
        </w:rPr>
        <w:br/>
      </w:r>
      <w:bookmarkStart w:id="46" w:name="OLE_LINK19"/>
      <w:r w:rsidR="00BD7387">
        <w:rPr>
          <w:rFonts w:asciiTheme="minorEastAsia" w:eastAsiaTheme="minorEastAsia" w:hAnsiTheme="minorEastAsia" w:hint="eastAsia"/>
        </w:rPr>
        <w:t>表 C.1信用评价等级划分细则</w:t>
      </w:r>
      <w:bookmarkEnd w:id="46"/>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196"/>
        <w:gridCol w:w="1693"/>
        <w:gridCol w:w="6467"/>
      </w:tblGrid>
      <w:tr w:rsidR="00BF7B65">
        <w:trPr>
          <w:trHeight w:val="340"/>
          <w:jc w:val="center"/>
        </w:trPr>
        <w:tc>
          <w:tcPr>
            <w:tcW w:w="1196" w:type="dxa"/>
            <w:vMerge w:val="restart"/>
            <w:vAlign w:val="center"/>
          </w:tcPr>
          <w:p w:rsidR="00BF7B65" w:rsidRDefault="00BD7387">
            <w:pPr>
              <w:jc w:val="center"/>
              <w:rPr>
                <w:rFonts w:ascii="宋体" w:hAnsi="宋体"/>
                <w:sz w:val="18"/>
                <w:szCs w:val="18"/>
              </w:rPr>
            </w:pPr>
            <w:r>
              <w:rPr>
                <w:rFonts w:ascii="宋体" w:hAnsi="宋体" w:hint="eastAsia"/>
                <w:sz w:val="18"/>
                <w:szCs w:val="18"/>
              </w:rPr>
              <w:t>信用等级</w:t>
            </w:r>
          </w:p>
        </w:tc>
        <w:tc>
          <w:tcPr>
            <w:tcW w:w="1693" w:type="dxa"/>
            <w:vMerge w:val="restart"/>
            <w:vAlign w:val="center"/>
          </w:tcPr>
          <w:p w:rsidR="00BF7B65" w:rsidRDefault="00BD7387">
            <w:pPr>
              <w:pStyle w:val="ae"/>
              <w:spacing w:before="120" w:after="120"/>
              <w:ind w:firstLineChars="0" w:firstLine="0"/>
              <w:jc w:val="center"/>
              <w:rPr>
                <w:rFonts w:hAnsi="宋体"/>
                <w:sz w:val="18"/>
                <w:szCs w:val="18"/>
              </w:rPr>
            </w:pPr>
            <w:r>
              <w:rPr>
                <w:rFonts w:hAnsi="宋体" w:hint="eastAsia"/>
                <w:sz w:val="18"/>
                <w:szCs w:val="18"/>
              </w:rPr>
              <w:t>计分区间</w:t>
            </w:r>
          </w:p>
        </w:tc>
        <w:tc>
          <w:tcPr>
            <w:tcW w:w="6467" w:type="dxa"/>
            <w:vMerge w:val="restart"/>
            <w:vAlign w:val="center"/>
          </w:tcPr>
          <w:p w:rsidR="00BF7B65" w:rsidRDefault="00BD7387">
            <w:pPr>
              <w:pStyle w:val="ae"/>
              <w:spacing w:before="120" w:after="120"/>
              <w:ind w:left="29" w:firstLineChars="0" w:firstLine="0"/>
              <w:jc w:val="center"/>
              <w:rPr>
                <w:rFonts w:hAnsi="宋体"/>
                <w:sz w:val="18"/>
                <w:szCs w:val="18"/>
              </w:rPr>
            </w:pPr>
            <w:r>
              <w:rPr>
                <w:rFonts w:hAnsi="宋体" w:hint="eastAsia"/>
                <w:sz w:val="18"/>
                <w:szCs w:val="18"/>
              </w:rPr>
              <w:t>释义</w:t>
            </w:r>
          </w:p>
        </w:tc>
      </w:tr>
      <w:tr w:rsidR="00BF7B65">
        <w:trPr>
          <w:trHeight w:val="312"/>
          <w:jc w:val="center"/>
        </w:trPr>
        <w:tc>
          <w:tcPr>
            <w:tcW w:w="1196" w:type="dxa"/>
            <w:vMerge/>
            <w:vAlign w:val="center"/>
          </w:tcPr>
          <w:p w:rsidR="00BF7B65" w:rsidRDefault="00BF7B65">
            <w:pPr>
              <w:jc w:val="center"/>
              <w:rPr>
                <w:rFonts w:ascii="宋体" w:hAnsi="宋体"/>
                <w:sz w:val="18"/>
                <w:szCs w:val="18"/>
              </w:rPr>
            </w:pPr>
          </w:p>
        </w:tc>
        <w:tc>
          <w:tcPr>
            <w:tcW w:w="1693" w:type="dxa"/>
            <w:vMerge/>
          </w:tcPr>
          <w:p w:rsidR="00BF7B65" w:rsidRDefault="00BF7B65">
            <w:pPr>
              <w:jc w:val="center"/>
              <w:rPr>
                <w:rFonts w:ascii="宋体" w:hAnsi="宋体"/>
                <w:sz w:val="18"/>
                <w:szCs w:val="18"/>
              </w:rPr>
            </w:pPr>
          </w:p>
        </w:tc>
        <w:tc>
          <w:tcPr>
            <w:tcW w:w="6467" w:type="dxa"/>
            <w:vMerge/>
            <w:vAlign w:val="center"/>
          </w:tcPr>
          <w:p w:rsidR="00BF7B65" w:rsidRDefault="00BF7B65">
            <w:pPr>
              <w:pStyle w:val="ae"/>
              <w:spacing w:before="120" w:after="120"/>
              <w:ind w:firstLineChars="0" w:firstLine="0"/>
              <w:jc w:val="center"/>
              <w:rPr>
                <w:rFonts w:hAnsi="宋体"/>
                <w:sz w:val="18"/>
                <w:szCs w:val="18"/>
              </w:rPr>
            </w:pPr>
          </w:p>
        </w:tc>
      </w:tr>
      <w:tr w:rsidR="00BF7B65">
        <w:trPr>
          <w:trHeight w:val="1134"/>
          <w:jc w:val="center"/>
        </w:trPr>
        <w:tc>
          <w:tcPr>
            <w:tcW w:w="1196" w:type="dxa"/>
            <w:vAlign w:val="center"/>
          </w:tcPr>
          <w:p w:rsidR="00BF7B65" w:rsidRDefault="00BD7387">
            <w:pPr>
              <w:jc w:val="center"/>
              <w:rPr>
                <w:rFonts w:ascii="宋体" w:hAnsi="宋体"/>
                <w:sz w:val="18"/>
                <w:szCs w:val="18"/>
              </w:rPr>
            </w:pPr>
            <w:r>
              <w:rPr>
                <w:sz w:val="18"/>
                <w:szCs w:val="18"/>
              </w:rPr>
              <w:t>AAA</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80≤分数≤100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信用极好。企业的信用程度高、债务风险小。该类企业具有优秀的信用记录，经营状况佳，盈利能力强，发展前景广阔，不确定性因素对其经营与发展的影响极小。</w:t>
            </w:r>
          </w:p>
        </w:tc>
      </w:tr>
      <w:tr w:rsidR="00BF7B65">
        <w:trPr>
          <w:trHeight w:val="1134"/>
          <w:jc w:val="center"/>
        </w:trPr>
        <w:tc>
          <w:tcPr>
            <w:tcW w:w="1196" w:type="dxa"/>
            <w:vAlign w:val="center"/>
          </w:tcPr>
          <w:p w:rsidR="00BF7B65" w:rsidRDefault="00BD7387">
            <w:pPr>
              <w:jc w:val="center"/>
              <w:rPr>
                <w:rFonts w:ascii="宋体" w:hAnsi="宋体"/>
                <w:sz w:val="18"/>
                <w:szCs w:val="18"/>
              </w:rPr>
            </w:pPr>
            <w:r>
              <w:rPr>
                <w:sz w:val="18"/>
                <w:szCs w:val="18"/>
              </w:rPr>
              <w:t>AA</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70≤分数＜80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信用优良。企业的信用程度较高，债务风险较小。该类企业具有优良的信用记录，经营状况较佳，盈利水平较高，发展前景较为广阔，不确定性因素对其经营与发展的影响很小。</w:t>
            </w:r>
          </w:p>
        </w:tc>
      </w:tr>
      <w:tr w:rsidR="00BF7B65">
        <w:trPr>
          <w:trHeight w:val="1134"/>
          <w:jc w:val="center"/>
        </w:trPr>
        <w:tc>
          <w:tcPr>
            <w:tcW w:w="1196" w:type="dxa"/>
            <w:vAlign w:val="center"/>
          </w:tcPr>
          <w:p w:rsidR="00BF7B65" w:rsidRDefault="00BD7387">
            <w:pPr>
              <w:jc w:val="center"/>
              <w:rPr>
                <w:rFonts w:ascii="宋体" w:hAnsi="宋体"/>
                <w:sz w:val="18"/>
                <w:szCs w:val="18"/>
              </w:rPr>
            </w:pPr>
            <w:r>
              <w:rPr>
                <w:sz w:val="18"/>
                <w:szCs w:val="18"/>
              </w:rPr>
              <w:t>A</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60≤分数＜70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信用较好。企业的信用程度良好，在正常情况下偿还债务没有问题。该类企业具有良好的信用记录，经营处于良性循环状态，但是可能存在一些影响其未来经营与发展的不确定因素，进而削弱其盈利能力和偿债能力。</w:t>
            </w:r>
          </w:p>
        </w:tc>
      </w:tr>
      <w:tr w:rsidR="00BF7B65">
        <w:trPr>
          <w:trHeight w:val="1134"/>
          <w:jc w:val="center"/>
        </w:trPr>
        <w:tc>
          <w:tcPr>
            <w:tcW w:w="1196" w:type="dxa"/>
            <w:vAlign w:val="center"/>
          </w:tcPr>
          <w:p w:rsidR="00BF7B65" w:rsidRDefault="00BD7387">
            <w:pPr>
              <w:jc w:val="center"/>
              <w:rPr>
                <w:sz w:val="18"/>
                <w:szCs w:val="18"/>
              </w:rPr>
            </w:pPr>
            <w:r>
              <w:rPr>
                <w:sz w:val="18"/>
                <w:szCs w:val="18"/>
              </w:rPr>
              <w:t>B</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40≤分数＜60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信用一般。企业的信用程度一般，偿还债务的能力一般。该类企业的信用记录正常，但其经营状况、盈利水平及未来发展易受不确定因素的影响，偿债能力有波动。</w:t>
            </w:r>
          </w:p>
        </w:tc>
      </w:tr>
      <w:tr w:rsidR="00BF7B65">
        <w:trPr>
          <w:trHeight w:val="1134"/>
          <w:jc w:val="center"/>
        </w:trPr>
        <w:tc>
          <w:tcPr>
            <w:tcW w:w="1196" w:type="dxa"/>
            <w:vAlign w:val="center"/>
          </w:tcPr>
          <w:p w:rsidR="00BF7B65" w:rsidRDefault="00BD7387">
            <w:pPr>
              <w:jc w:val="center"/>
              <w:rPr>
                <w:sz w:val="18"/>
                <w:szCs w:val="18"/>
              </w:rPr>
            </w:pPr>
            <w:r>
              <w:rPr>
                <w:sz w:val="18"/>
                <w:szCs w:val="18"/>
              </w:rPr>
              <w:t>C</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分数＜40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信用差。企业信用差，偿债能力很弱。</w:t>
            </w:r>
          </w:p>
        </w:tc>
      </w:tr>
    </w:tbl>
    <w:p w:rsidR="00BF7B65" w:rsidRDefault="00BF7B65">
      <w:pPr>
        <w:ind w:firstLineChars="200" w:firstLine="420"/>
        <w:jc w:val="center"/>
      </w:pPr>
    </w:p>
    <w:p w:rsidR="00BF7B65" w:rsidRDefault="00BD7387">
      <w:pPr>
        <w:ind w:firstLineChars="200" w:firstLine="420"/>
        <w:jc w:val="center"/>
        <w:rPr>
          <w:rFonts w:asciiTheme="minorEastAsia" w:eastAsiaTheme="minorEastAsia" w:hAnsiTheme="minorEastAsia"/>
          <w:kern w:val="0"/>
          <w:szCs w:val="20"/>
        </w:rPr>
      </w:pPr>
      <w:r>
        <w:rPr>
          <w:rFonts w:asciiTheme="minorEastAsia" w:eastAsiaTheme="minorEastAsia" w:hAnsiTheme="minorEastAsia" w:hint="eastAsia"/>
          <w:kern w:val="0"/>
          <w:szCs w:val="20"/>
        </w:rPr>
        <w:br w:type="page"/>
      </w:r>
    </w:p>
    <w:p w:rsidR="00BF7B65" w:rsidRDefault="00BD7387">
      <w:pPr>
        <w:ind w:firstLineChars="200" w:firstLine="420"/>
        <w:jc w:val="center"/>
        <w:rPr>
          <w:rFonts w:asciiTheme="minorEastAsia" w:eastAsiaTheme="minorEastAsia" w:hAnsiTheme="minorEastAsia"/>
          <w:kern w:val="0"/>
          <w:szCs w:val="20"/>
        </w:rPr>
      </w:pPr>
      <w:r w:rsidRPr="002F12AF">
        <w:rPr>
          <w:rFonts w:asciiTheme="minorEastAsia" w:eastAsiaTheme="minorEastAsia" w:hAnsiTheme="minorEastAsia" w:hint="eastAsia"/>
          <w:kern w:val="0"/>
          <w:szCs w:val="20"/>
        </w:rPr>
        <w:lastRenderedPageBreak/>
        <w:t>表 C.2信用认证等级划分细则</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196"/>
        <w:gridCol w:w="1693"/>
        <w:gridCol w:w="6467"/>
      </w:tblGrid>
      <w:tr w:rsidR="00BF7B65">
        <w:trPr>
          <w:trHeight w:val="340"/>
          <w:jc w:val="center"/>
        </w:trPr>
        <w:tc>
          <w:tcPr>
            <w:tcW w:w="1196" w:type="dxa"/>
            <w:vMerge w:val="restart"/>
            <w:vAlign w:val="center"/>
          </w:tcPr>
          <w:p w:rsidR="00BF7B65" w:rsidRDefault="00BD7387">
            <w:pPr>
              <w:jc w:val="center"/>
              <w:rPr>
                <w:rFonts w:ascii="宋体" w:hAnsi="宋体"/>
                <w:sz w:val="18"/>
                <w:szCs w:val="18"/>
              </w:rPr>
            </w:pPr>
            <w:r>
              <w:rPr>
                <w:rFonts w:ascii="宋体" w:hAnsi="宋体" w:hint="eastAsia"/>
                <w:sz w:val="18"/>
                <w:szCs w:val="18"/>
              </w:rPr>
              <w:t>认证等级</w:t>
            </w:r>
          </w:p>
        </w:tc>
        <w:tc>
          <w:tcPr>
            <w:tcW w:w="1693" w:type="dxa"/>
            <w:vMerge w:val="restart"/>
            <w:vAlign w:val="center"/>
          </w:tcPr>
          <w:p w:rsidR="00BF7B65" w:rsidRDefault="00BD7387">
            <w:pPr>
              <w:pStyle w:val="ae"/>
              <w:spacing w:before="120" w:after="120"/>
              <w:ind w:firstLineChars="0" w:firstLine="0"/>
              <w:jc w:val="center"/>
              <w:rPr>
                <w:rFonts w:hAnsi="宋体"/>
                <w:sz w:val="18"/>
                <w:szCs w:val="18"/>
              </w:rPr>
            </w:pPr>
            <w:r>
              <w:rPr>
                <w:rFonts w:hAnsi="宋体" w:hint="eastAsia"/>
                <w:sz w:val="18"/>
                <w:szCs w:val="18"/>
              </w:rPr>
              <w:t>计分区间</w:t>
            </w:r>
          </w:p>
        </w:tc>
        <w:tc>
          <w:tcPr>
            <w:tcW w:w="6467" w:type="dxa"/>
            <w:vMerge w:val="restart"/>
            <w:vAlign w:val="center"/>
          </w:tcPr>
          <w:p w:rsidR="00BF7B65" w:rsidRDefault="00BD7387">
            <w:pPr>
              <w:pStyle w:val="ae"/>
              <w:spacing w:before="120" w:after="120"/>
              <w:ind w:left="29" w:firstLineChars="0" w:firstLine="0"/>
              <w:jc w:val="center"/>
              <w:rPr>
                <w:rFonts w:hAnsi="宋体"/>
                <w:sz w:val="18"/>
                <w:szCs w:val="18"/>
              </w:rPr>
            </w:pPr>
            <w:r>
              <w:rPr>
                <w:rFonts w:hAnsi="宋体" w:hint="eastAsia"/>
                <w:sz w:val="18"/>
                <w:szCs w:val="18"/>
              </w:rPr>
              <w:t>释义</w:t>
            </w:r>
          </w:p>
        </w:tc>
      </w:tr>
      <w:tr w:rsidR="00BF7B65">
        <w:trPr>
          <w:trHeight w:val="312"/>
          <w:jc w:val="center"/>
        </w:trPr>
        <w:tc>
          <w:tcPr>
            <w:tcW w:w="1196" w:type="dxa"/>
            <w:vMerge/>
            <w:vAlign w:val="center"/>
          </w:tcPr>
          <w:p w:rsidR="00BF7B65" w:rsidRDefault="00BF7B65">
            <w:pPr>
              <w:jc w:val="center"/>
              <w:rPr>
                <w:rFonts w:ascii="宋体" w:hAnsi="宋体"/>
                <w:sz w:val="18"/>
                <w:szCs w:val="18"/>
              </w:rPr>
            </w:pPr>
          </w:p>
        </w:tc>
        <w:tc>
          <w:tcPr>
            <w:tcW w:w="1693" w:type="dxa"/>
            <w:vMerge/>
          </w:tcPr>
          <w:p w:rsidR="00BF7B65" w:rsidRDefault="00BF7B65">
            <w:pPr>
              <w:jc w:val="center"/>
              <w:rPr>
                <w:rFonts w:ascii="宋体" w:hAnsi="宋体"/>
                <w:sz w:val="18"/>
                <w:szCs w:val="18"/>
              </w:rPr>
            </w:pPr>
          </w:p>
        </w:tc>
        <w:tc>
          <w:tcPr>
            <w:tcW w:w="6467" w:type="dxa"/>
            <w:vMerge/>
            <w:vAlign w:val="center"/>
          </w:tcPr>
          <w:p w:rsidR="00BF7B65" w:rsidRDefault="00BF7B65">
            <w:pPr>
              <w:pStyle w:val="ae"/>
              <w:spacing w:before="120" w:after="120"/>
              <w:ind w:firstLineChars="0" w:firstLine="0"/>
              <w:jc w:val="center"/>
              <w:rPr>
                <w:rFonts w:hAnsi="宋体"/>
                <w:sz w:val="18"/>
                <w:szCs w:val="18"/>
              </w:rPr>
            </w:pPr>
          </w:p>
        </w:tc>
      </w:tr>
      <w:tr w:rsidR="00BF7B65">
        <w:trPr>
          <w:trHeight w:val="1134"/>
          <w:jc w:val="center"/>
        </w:trPr>
        <w:tc>
          <w:tcPr>
            <w:tcW w:w="1196" w:type="dxa"/>
            <w:vAlign w:val="center"/>
          </w:tcPr>
          <w:p w:rsidR="00BF7B65" w:rsidRDefault="00BD7387">
            <w:pPr>
              <w:jc w:val="center"/>
              <w:rPr>
                <w:rFonts w:ascii="宋体" w:hAnsi="宋体"/>
                <w:sz w:val="18"/>
                <w:szCs w:val="18"/>
              </w:rPr>
            </w:pPr>
            <w:bookmarkStart w:id="47" w:name="_Hlk191908332"/>
            <w:r>
              <w:rPr>
                <w:rFonts w:hint="eastAsia"/>
                <w:sz w:val="18"/>
                <w:szCs w:val="18"/>
              </w:rPr>
              <w:t>已认证</w:t>
            </w:r>
            <w:bookmarkEnd w:id="47"/>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60≤分数≤100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主要内容综合评价良好。</w:t>
            </w:r>
          </w:p>
        </w:tc>
      </w:tr>
      <w:tr w:rsidR="00BF7B65">
        <w:trPr>
          <w:trHeight w:val="1134"/>
          <w:jc w:val="center"/>
        </w:trPr>
        <w:tc>
          <w:tcPr>
            <w:tcW w:w="1196" w:type="dxa"/>
            <w:vAlign w:val="center"/>
          </w:tcPr>
          <w:p w:rsidR="00BF7B65" w:rsidRDefault="00BD7387">
            <w:pPr>
              <w:jc w:val="center"/>
              <w:rPr>
                <w:rFonts w:ascii="宋体" w:hAnsi="宋体"/>
                <w:sz w:val="18"/>
                <w:szCs w:val="18"/>
              </w:rPr>
            </w:pPr>
            <w:r>
              <w:rPr>
                <w:rFonts w:hint="eastAsia"/>
                <w:sz w:val="18"/>
                <w:szCs w:val="18"/>
              </w:rPr>
              <w:t>未认证</w:t>
            </w:r>
          </w:p>
        </w:tc>
        <w:tc>
          <w:tcPr>
            <w:tcW w:w="1693" w:type="dxa"/>
            <w:vAlign w:val="center"/>
          </w:tcPr>
          <w:p w:rsidR="00BF7B65" w:rsidRDefault="00BD7387">
            <w:pPr>
              <w:jc w:val="center"/>
              <w:rPr>
                <w:rFonts w:ascii="宋体" w:hAnsi="宋体"/>
                <w:sz w:val="18"/>
                <w:szCs w:val="18"/>
              </w:rPr>
            </w:pPr>
            <w:r>
              <w:rPr>
                <w:rFonts w:ascii="宋体" w:hAnsi="宋体" w:hint="eastAsia"/>
                <w:kern w:val="0"/>
                <w:sz w:val="18"/>
                <w:szCs w:val="18"/>
              </w:rPr>
              <w:t>分数＜60</w:t>
            </w:r>
          </w:p>
        </w:tc>
        <w:tc>
          <w:tcPr>
            <w:tcW w:w="6467" w:type="dxa"/>
            <w:vAlign w:val="center"/>
          </w:tcPr>
          <w:p w:rsidR="00BF7B65" w:rsidRDefault="00BD7387">
            <w:pPr>
              <w:jc w:val="left"/>
              <w:rPr>
                <w:rFonts w:ascii="宋体" w:hAnsi="宋体"/>
                <w:sz w:val="18"/>
                <w:szCs w:val="18"/>
              </w:rPr>
            </w:pPr>
            <w:r>
              <w:rPr>
                <w:rFonts w:ascii="宋体" w:hAnsi="宋体" w:hint="eastAsia"/>
                <w:kern w:val="0"/>
                <w:sz w:val="18"/>
                <w:szCs w:val="18"/>
              </w:rPr>
              <w:t>主要内容综合评价有待加强。</w:t>
            </w:r>
          </w:p>
        </w:tc>
      </w:tr>
    </w:tbl>
    <w:p w:rsidR="00BF7B65" w:rsidRDefault="00BF7B65">
      <w:pPr>
        <w:ind w:firstLineChars="200" w:firstLine="420"/>
      </w:pPr>
    </w:p>
    <w:p w:rsidR="00BF7B65" w:rsidRDefault="00BD7387">
      <w:pPr>
        <w:jc w:val="center"/>
      </w:pPr>
      <w:r>
        <w:t>_________________________________</w:t>
      </w:r>
    </w:p>
    <w:sectPr w:rsidR="00BF7B65" w:rsidSect="00BF7B65">
      <w:pgSz w:w="16838" w:h="11906" w:orient="landscape"/>
      <w:pgMar w:top="1474" w:right="2041" w:bottom="1474" w:left="1361" w:header="851" w:footer="1418" w:gutter="0"/>
      <w:pgNumType w:start="1"/>
      <w:cols w:space="425"/>
      <w:titlePg/>
      <w:docGrid w:linePitch="286" w:charSpace="-16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4FA" w:rsidRDefault="008524FA" w:rsidP="00BF7B65">
      <w:r>
        <w:separator/>
      </w:r>
    </w:p>
  </w:endnote>
  <w:endnote w:type="continuationSeparator" w:id="1">
    <w:p w:rsidR="008524FA" w:rsidRDefault="008524FA" w:rsidP="00BF7B6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仿宋简体">
    <w:altName w:val="微软雅黑"/>
    <w:charset w:val="86"/>
    <w:family w:val="script"/>
    <w:pitch w:val="default"/>
    <w:sig w:usb0="00000000" w:usb1="00000000" w:usb2="00000010" w:usb3="00000000" w:csb0="00040000" w:csb1="00000000"/>
  </w:font>
  <w:font w:name="方正粗圆简体">
    <w:altName w:val="宋体"/>
    <w:charset w:val="86"/>
    <w:family w:val="script"/>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1" w:csb1="00000000"/>
  </w:font>
  <w:font w:name="AdobeHeitiStd-Regular">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B2" w:rsidRDefault="00555DB2">
    <w:pPr>
      <w:pStyle w:val="a6"/>
      <w:rPr>
        <w:rFonts w:ascii="宋体" w:hAnsi="宋体"/>
        <w:sz w:val="28"/>
        <w:szCs w:val="28"/>
      </w:rPr>
    </w:pPr>
    <w:r>
      <w:rPr>
        <w:rStyle w:val="aa"/>
        <w:rFonts w:ascii="宋体" w:hAnsi="宋体" w:hint="eastAsia"/>
        <w:sz w:val="28"/>
        <w:szCs w:val="28"/>
      </w:rPr>
      <w:t xml:space="preserve">— </w:t>
    </w:r>
    <w:r>
      <w:rPr>
        <w:rStyle w:val="aa"/>
        <w:rFonts w:ascii="宋体" w:hAnsi="宋体"/>
        <w:sz w:val="28"/>
        <w:szCs w:val="28"/>
      </w:rPr>
      <w:fldChar w:fldCharType="begin"/>
    </w:r>
    <w:r>
      <w:rPr>
        <w:rStyle w:val="aa"/>
        <w:rFonts w:ascii="宋体" w:hAnsi="宋体"/>
        <w:sz w:val="28"/>
        <w:szCs w:val="28"/>
      </w:rPr>
      <w:instrText xml:space="preserve">PAGE  </w:instrText>
    </w:r>
    <w:r>
      <w:rPr>
        <w:rStyle w:val="aa"/>
        <w:rFonts w:ascii="宋体" w:hAnsi="宋体"/>
        <w:sz w:val="28"/>
        <w:szCs w:val="28"/>
      </w:rPr>
      <w:fldChar w:fldCharType="separate"/>
    </w:r>
    <w:r>
      <w:rPr>
        <w:rStyle w:val="aa"/>
        <w:rFonts w:ascii="宋体" w:hAnsi="宋体"/>
        <w:sz w:val="28"/>
        <w:szCs w:val="28"/>
      </w:rPr>
      <w:t>10</w:t>
    </w:r>
    <w:r>
      <w:rPr>
        <w:rStyle w:val="aa"/>
        <w:rFonts w:ascii="宋体" w:hAnsi="宋体"/>
        <w:sz w:val="28"/>
        <w:szCs w:val="28"/>
      </w:rPr>
      <w:fldChar w:fldCharType="end"/>
    </w:r>
    <w:r>
      <w:rPr>
        <w:rStyle w:val="aa"/>
        <w:rFonts w:ascii="宋体" w:hAnsi="宋体" w:hint="eastAsia"/>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B2" w:rsidRDefault="00555DB2">
    <w:pPr>
      <w:pStyle w:val="a6"/>
    </w:pPr>
    <w:r>
      <w:pict>
        <v:shapetype id="_x0000_t202" coordsize="21600,21600" o:spt="202" path="m,l,21600r21600,l21600,xe">
          <v:stroke joinstyle="miter"/>
          <v:path gradientshapeok="t" o:connecttype="rect"/>
        </v:shapetype>
        <v:shape id="文本框 4" o:spid="_x0000_s3073" type="#_x0000_t202" style="position:absolute;margin-left:-70.9pt;margin-top:0;width:4.55pt;height:10.35pt;z-index:251659264;mso-wrap-style:none;mso-position-horizontal:right;mso-position-horizontal-relative:margin"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rvABY0QAAAAIBAAAPAAAAAAAAAAEAIAAAACIAAABkcnMvZG93bnJldi54bWxQSwECFAAU&#10;AAAACACHTuJAtQylrzECAABSBAAADgAAAAAAAAABACAAAAAgAQAAZHJzL2Uyb0RvYy54bWxQSwUG&#10;AAAAAAYABgBZAQAAwwUAAAAA&#10;" filled="f" stroked="f" strokeweight=".5pt">
          <v:textbox style="mso-fit-shape-to-text:t" inset="0,0,0,0">
            <w:txbxContent>
              <w:p w:rsidR="00555DB2" w:rsidRDefault="00555DB2">
                <w:pPr>
                  <w:pStyle w:val="a6"/>
                </w:pPr>
                <w:fldSimple w:instr=" PAGE  \* MERGEFORMAT ">
                  <w:r w:rsidR="0039404A">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B2" w:rsidRDefault="00555DB2">
    <w:pPr>
      <w:pStyle w:val="a6"/>
    </w:pPr>
    <w:r>
      <w:pict>
        <v:shapetype id="_x0000_t202" coordsize="21600,21600" o:spt="202" path="m,l,21600r21600,l21600,xe">
          <v:stroke joinstyle="miter"/>
          <v:path gradientshapeok="t" o:connecttype="rect"/>
        </v:shapetype>
        <v:shape id="文本框 2" o:spid="_x0000_s3074" type="#_x0000_t202" style="position:absolute;margin-left:-70.9pt;margin-top:0;width:4.55pt;height:10.35pt;z-index:251660288;mso-wrap-style:none;mso-position-horizontal:right;mso-position-horizontal-relative:margin"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rvABY0QAAAAIBAAAPAAAAAAAAAAEAIAAAACIAAABkcnMvZG93bnJldi54bWxQSwECFAAU&#10;AAAACACHTuJANjdd6jECAABSBAAADgAAAAAAAAABACAAAAAgAQAAZHJzL2Uyb0RvYy54bWxQSwUG&#10;AAAAAAYABgBZAQAAwwUAAAAA&#10;" filled="f" stroked="f" strokeweight=".5pt">
          <v:textbox style="mso-fit-shape-to-text:t" inset="0,0,0,0">
            <w:txbxContent>
              <w:p w:rsidR="00555DB2" w:rsidRDefault="00555DB2">
                <w:pPr>
                  <w:pStyle w:val="a6"/>
                </w:pPr>
                <w:fldSimple w:instr=" PAGE  \* MERGEFORMAT ">
                  <w:r w:rsidR="0039404A">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4FA" w:rsidRDefault="008524FA" w:rsidP="00BF7B65">
      <w:r>
        <w:separator/>
      </w:r>
    </w:p>
  </w:footnote>
  <w:footnote w:type="continuationSeparator" w:id="1">
    <w:p w:rsidR="008524FA" w:rsidRDefault="008524FA" w:rsidP="00BF7B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B2" w:rsidRDefault="00555DB2">
    <w:pPr>
      <w:pStyle w:val="a7"/>
      <w:pBdr>
        <w:bottom w:val="none" w:sz="0" w:space="1" w:color="auto"/>
      </w:pBdr>
      <w:jc w:val="right"/>
    </w:pPr>
  </w:p>
  <w:p w:rsidR="00555DB2" w:rsidRDefault="00555DB2">
    <w:pPr>
      <w:pStyle w:val="a7"/>
      <w:pBdr>
        <w:bottom w:val="none" w:sz="0" w:space="1" w:color="auto"/>
      </w:pBdr>
      <w:jc w:val="right"/>
    </w:pPr>
  </w:p>
  <w:p w:rsidR="00555DB2" w:rsidRDefault="00555DB2">
    <w:pPr>
      <w:pStyle w:val="a7"/>
      <w:pBdr>
        <w:bottom w:val="none" w:sz="0" w:space="1" w:color="auto"/>
      </w:pBdr>
      <w:jc w:val="right"/>
    </w:pPr>
    <w:r>
      <w:rPr>
        <w:rFonts w:hint="eastAsia"/>
      </w:rPr>
      <w:t>T/CGCC XX-20XX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B2" w:rsidRDefault="00555DB2">
    <w:pPr>
      <w:pStyle w:val="a7"/>
      <w:pBdr>
        <w:bottom w:val="none" w:sz="0" w:space="0" w:color="auto"/>
      </w:pBdr>
      <w:jc w:val="right"/>
      <w:rPr>
        <w:sz w:val="21"/>
        <w:szCs w:val="21"/>
      </w:rPr>
    </w:pPr>
  </w:p>
  <w:p w:rsidR="00555DB2" w:rsidRDefault="00555DB2">
    <w:pPr>
      <w:pStyle w:val="a7"/>
      <w:pBdr>
        <w:bottom w:val="none" w:sz="0" w:space="0" w:color="auto"/>
      </w:pBdr>
      <w:jc w:val="right"/>
      <w:rPr>
        <w:sz w:val="21"/>
        <w:szCs w:val="21"/>
      </w:rPr>
    </w:pPr>
  </w:p>
  <w:p w:rsidR="00555DB2" w:rsidRDefault="00555DB2">
    <w:pPr>
      <w:pStyle w:val="a7"/>
      <w:pBdr>
        <w:bottom w:val="none" w:sz="0" w:space="0" w:color="auto"/>
      </w:pBd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2AB130C"/>
    <w:multiLevelType w:val="multilevel"/>
    <w:tmpl w:val="62AB130C"/>
    <w:lvl w:ilvl="0">
      <w:start w:val="1"/>
      <w:numFmt w:val="decimal"/>
      <w:lvlText w:val="%1"/>
      <w:lvlJc w:val="left"/>
      <w:pPr>
        <w:ind w:left="0" w:firstLine="0"/>
      </w:pPr>
      <w:rPr>
        <w:rFonts w:ascii="黑体" w:eastAsia="黑体" w:hAnsi="黑体" w:hint="eastAsia"/>
        <w:sz w:val="21"/>
        <w:szCs w:val="21"/>
      </w:rPr>
    </w:lvl>
    <w:lvl w:ilvl="1">
      <w:start w:val="1"/>
      <w:numFmt w:val="decimal"/>
      <w:lvlText w:val="%1.%2"/>
      <w:lvlJc w:val="left"/>
      <w:pPr>
        <w:ind w:left="0" w:firstLine="0"/>
      </w:pPr>
      <w:rPr>
        <w:rFonts w:ascii="黑体" w:eastAsia="黑体" w:hAnsi="宋体" w:hint="eastAsia"/>
        <w:b w:val="0"/>
        <w:color w:val="auto"/>
        <w:sz w:val="21"/>
        <w:szCs w:val="24"/>
      </w:rPr>
    </w:lvl>
    <w:lvl w:ilvl="2">
      <w:start w:val="1"/>
      <w:numFmt w:val="decimal"/>
      <w:suff w:val="nothing"/>
      <w:lvlText w:val="%1.%2.%3"/>
      <w:lvlJc w:val="left"/>
      <w:pPr>
        <w:ind w:left="0" w:firstLine="0"/>
      </w:pPr>
      <w:rPr>
        <w:rFonts w:ascii="黑体" w:eastAsia="黑体" w:hAnsi="黑体" w:hint="eastAsia"/>
        <w:sz w:val="21"/>
        <w:szCs w:val="21"/>
      </w:rPr>
    </w:lvl>
    <w:lvl w:ilvl="3">
      <w:start w:val="1"/>
      <w:numFmt w:val="decimal"/>
      <w:lvlText w:val="%1.%2.%3.%4"/>
      <w:lvlJc w:val="left"/>
      <w:pPr>
        <w:ind w:left="0" w:firstLine="0"/>
      </w:pPr>
      <w:rPr>
        <w:rFonts w:ascii="黑体" w:eastAsia="黑体" w:hAnsi="黑体"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6146" fillcolor="white">
      <v:fill color="white"/>
    </o: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503CB6"/>
    <w:rsid w:val="000078FB"/>
    <w:rsid w:val="000161FC"/>
    <w:rsid w:val="00017A03"/>
    <w:rsid w:val="00033851"/>
    <w:rsid w:val="000401D4"/>
    <w:rsid w:val="00046426"/>
    <w:rsid w:val="00052288"/>
    <w:rsid w:val="0008292B"/>
    <w:rsid w:val="000B32B9"/>
    <w:rsid w:val="000B3CBD"/>
    <w:rsid w:val="000D1224"/>
    <w:rsid w:val="000D3CED"/>
    <w:rsid w:val="000D6514"/>
    <w:rsid w:val="000E0251"/>
    <w:rsid w:val="00100299"/>
    <w:rsid w:val="00106C72"/>
    <w:rsid w:val="00117CDC"/>
    <w:rsid w:val="0012473D"/>
    <w:rsid w:val="00162B04"/>
    <w:rsid w:val="00172E48"/>
    <w:rsid w:val="00176015"/>
    <w:rsid w:val="001943E7"/>
    <w:rsid w:val="001C1C31"/>
    <w:rsid w:val="00224B71"/>
    <w:rsid w:val="00226DDA"/>
    <w:rsid w:val="002344E5"/>
    <w:rsid w:val="00241E30"/>
    <w:rsid w:val="0024484D"/>
    <w:rsid w:val="00246219"/>
    <w:rsid w:val="002477E4"/>
    <w:rsid w:val="002A2BE7"/>
    <w:rsid w:val="002A7B95"/>
    <w:rsid w:val="002D42A3"/>
    <w:rsid w:val="002E3919"/>
    <w:rsid w:val="002F03A1"/>
    <w:rsid w:val="002F12AF"/>
    <w:rsid w:val="00304F27"/>
    <w:rsid w:val="003179BD"/>
    <w:rsid w:val="00322978"/>
    <w:rsid w:val="00325AAF"/>
    <w:rsid w:val="00332729"/>
    <w:rsid w:val="00357864"/>
    <w:rsid w:val="00357F86"/>
    <w:rsid w:val="003673CE"/>
    <w:rsid w:val="0039404A"/>
    <w:rsid w:val="003B1D97"/>
    <w:rsid w:val="003D0F8A"/>
    <w:rsid w:val="003D3296"/>
    <w:rsid w:val="00402160"/>
    <w:rsid w:val="00416888"/>
    <w:rsid w:val="00422AEE"/>
    <w:rsid w:val="00424924"/>
    <w:rsid w:val="0043065F"/>
    <w:rsid w:val="00436142"/>
    <w:rsid w:val="00446CBD"/>
    <w:rsid w:val="00447F14"/>
    <w:rsid w:val="00474AAA"/>
    <w:rsid w:val="0049674B"/>
    <w:rsid w:val="004A1A3E"/>
    <w:rsid w:val="004A1DA4"/>
    <w:rsid w:val="004A724B"/>
    <w:rsid w:val="00503CB6"/>
    <w:rsid w:val="005142F8"/>
    <w:rsid w:val="00547300"/>
    <w:rsid w:val="00555DB2"/>
    <w:rsid w:val="0055708A"/>
    <w:rsid w:val="00560CB0"/>
    <w:rsid w:val="00563C43"/>
    <w:rsid w:val="00596BB9"/>
    <w:rsid w:val="005A2D8A"/>
    <w:rsid w:val="005B6E42"/>
    <w:rsid w:val="005C0C93"/>
    <w:rsid w:val="006132E7"/>
    <w:rsid w:val="006148C2"/>
    <w:rsid w:val="00627B6A"/>
    <w:rsid w:val="00634B0B"/>
    <w:rsid w:val="00687C35"/>
    <w:rsid w:val="00696A2F"/>
    <w:rsid w:val="006A193E"/>
    <w:rsid w:val="006A713F"/>
    <w:rsid w:val="006B4AFC"/>
    <w:rsid w:val="006E1755"/>
    <w:rsid w:val="006E6BDC"/>
    <w:rsid w:val="00712C33"/>
    <w:rsid w:val="00713978"/>
    <w:rsid w:val="00725170"/>
    <w:rsid w:val="007315E4"/>
    <w:rsid w:val="007641D4"/>
    <w:rsid w:val="007663D2"/>
    <w:rsid w:val="00767AD3"/>
    <w:rsid w:val="0077507F"/>
    <w:rsid w:val="007853EB"/>
    <w:rsid w:val="007D4357"/>
    <w:rsid w:val="0081513B"/>
    <w:rsid w:val="00816404"/>
    <w:rsid w:val="00834127"/>
    <w:rsid w:val="008524FA"/>
    <w:rsid w:val="00867B15"/>
    <w:rsid w:val="00876CE5"/>
    <w:rsid w:val="008A1F62"/>
    <w:rsid w:val="008A4CD3"/>
    <w:rsid w:val="008B3186"/>
    <w:rsid w:val="008B4E44"/>
    <w:rsid w:val="008C373C"/>
    <w:rsid w:val="008C3EAC"/>
    <w:rsid w:val="008E33FD"/>
    <w:rsid w:val="008F3132"/>
    <w:rsid w:val="00913954"/>
    <w:rsid w:val="00917BAF"/>
    <w:rsid w:val="00927CD5"/>
    <w:rsid w:val="00976634"/>
    <w:rsid w:val="009A01B5"/>
    <w:rsid w:val="009B049E"/>
    <w:rsid w:val="009B28AD"/>
    <w:rsid w:val="009B3E0A"/>
    <w:rsid w:val="009B63EB"/>
    <w:rsid w:val="009C2DB1"/>
    <w:rsid w:val="009C3136"/>
    <w:rsid w:val="009C4187"/>
    <w:rsid w:val="009D02F9"/>
    <w:rsid w:val="009E1FE8"/>
    <w:rsid w:val="009E6C4E"/>
    <w:rsid w:val="00A14D14"/>
    <w:rsid w:val="00A56233"/>
    <w:rsid w:val="00A84B1D"/>
    <w:rsid w:val="00A87492"/>
    <w:rsid w:val="00AB258A"/>
    <w:rsid w:val="00AB5431"/>
    <w:rsid w:val="00AE0A4D"/>
    <w:rsid w:val="00AE14D1"/>
    <w:rsid w:val="00AF495A"/>
    <w:rsid w:val="00AF5927"/>
    <w:rsid w:val="00B17F6B"/>
    <w:rsid w:val="00B25D37"/>
    <w:rsid w:val="00B34FD2"/>
    <w:rsid w:val="00B5150E"/>
    <w:rsid w:val="00B52D02"/>
    <w:rsid w:val="00B54AEE"/>
    <w:rsid w:val="00B56BDA"/>
    <w:rsid w:val="00B57A36"/>
    <w:rsid w:val="00B7739C"/>
    <w:rsid w:val="00BA1E28"/>
    <w:rsid w:val="00BB2B72"/>
    <w:rsid w:val="00BB5CA4"/>
    <w:rsid w:val="00BC31C2"/>
    <w:rsid w:val="00BC7C04"/>
    <w:rsid w:val="00BD7387"/>
    <w:rsid w:val="00BF7B65"/>
    <w:rsid w:val="00C008CD"/>
    <w:rsid w:val="00C029C6"/>
    <w:rsid w:val="00C02F35"/>
    <w:rsid w:val="00C10E20"/>
    <w:rsid w:val="00C53EA1"/>
    <w:rsid w:val="00C7259D"/>
    <w:rsid w:val="00C76151"/>
    <w:rsid w:val="00C76524"/>
    <w:rsid w:val="00C85C5D"/>
    <w:rsid w:val="00CA2757"/>
    <w:rsid w:val="00CA6DB5"/>
    <w:rsid w:val="00CB43B4"/>
    <w:rsid w:val="00CB6842"/>
    <w:rsid w:val="00CE71A8"/>
    <w:rsid w:val="00CE7FB7"/>
    <w:rsid w:val="00CF312B"/>
    <w:rsid w:val="00D003AF"/>
    <w:rsid w:val="00D207C7"/>
    <w:rsid w:val="00D3307F"/>
    <w:rsid w:val="00D40548"/>
    <w:rsid w:val="00D53E93"/>
    <w:rsid w:val="00D54D37"/>
    <w:rsid w:val="00D61B36"/>
    <w:rsid w:val="00D7544F"/>
    <w:rsid w:val="00D81917"/>
    <w:rsid w:val="00D8277D"/>
    <w:rsid w:val="00DA60C2"/>
    <w:rsid w:val="00DB5897"/>
    <w:rsid w:val="00DC7F64"/>
    <w:rsid w:val="00DD47B7"/>
    <w:rsid w:val="00DE52A9"/>
    <w:rsid w:val="00DE65F9"/>
    <w:rsid w:val="00E0552C"/>
    <w:rsid w:val="00E16776"/>
    <w:rsid w:val="00E179B3"/>
    <w:rsid w:val="00E23C92"/>
    <w:rsid w:val="00E3655C"/>
    <w:rsid w:val="00E37174"/>
    <w:rsid w:val="00E443F8"/>
    <w:rsid w:val="00E45CC3"/>
    <w:rsid w:val="00E469CA"/>
    <w:rsid w:val="00E57067"/>
    <w:rsid w:val="00E84630"/>
    <w:rsid w:val="00EA1E71"/>
    <w:rsid w:val="00EA5BAC"/>
    <w:rsid w:val="00EA5E4F"/>
    <w:rsid w:val="00F02F30"/>
    <w:rsid w:val="00F11515"/>
    <w:rsid w:val="00F15634"/>
    <w:rsid w:val="00F345EF"/>
    <w:rsid w:val="00F375EE"/>
    <w:rsid w:val="00F44254"/>
    <w:rsid w:val="00F565E1"/>
    <w:rsid w:val="00F57197"/>
    <w:rsid w:val="00F57A77"/>
    <w:rsid w:val="00F57CB1"/>
    <w:rsid w:val="00F7222D"/>
    <w:rsid w:val="00F76561"/>
    <w:rsid w:val="00FB619F"/>
    <w:rsid w:val="00FE0F13"/>
    <w:rsid w:val="00FE62A2"/>
    <w:rsid w:val="00FF21B8"/>
    <w:rsid w:val="0F95684A"/>
    <w:rsid w:val="110931A7"/>
    <w:rsid w:val="150D2D46"/>
    <w:rsid w:val="19643CF8"/>
    <w:rsid w:val="206F0554"/>
    <w:rsid w:val="22D0282B"/>
    <w:rsid w:val="2D5F0DFA"/>
    <w:rsid w:val="2E006F7F"/>
    <w:rsid w:val="2FAA55F3"/>
    <w:rsid w:val="3E1E5F09"/>
    <w:rsid w:val="3F5655E7"/>
    <w:rsid w:val="41160006"/>
    <w:rsid w:val="4ECE3183"/>
    <w:rsid w:val="53A931D7"/>
    <w:rsid w:val="55E35A1F"/>
    <w:rsid w:val="5AB6271E"/>
    <w:rsid w:val="5EF808F3"/>
    <w:rsid w:val="5FD2425A"/>
    <w:rsid w:val="63EE00FC"/>
    <w:rsid w:val="749B2C8A"/>
    <w:rsid w:val="77F759AF"/>
    <w:rsid w:val="789E3E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7B65"/>
    <w:pPr>
      <w:widowControl w:val="0"/>
      <w:jc w:val="both"/>
    </w:pPr>
    <w:rPr>
      <w:kern w:val="2"/>
      <w:sz w:val="21"/>
      <w:szCs w:val="24"/>
    </w:rPr>
  </w:style>
  <w:style w:type="paragraph" w:styleId="3">
    <w:name w:val="heading 3"/>
    <w:basedOn w:val="a0"/>
    <w:next w:val="a0"/>
    <w:uiPriority w:val="9"/>
    <w:unhideWhenUsed/>
    <w:qFormat/>
    <w:rsid w:val="00BF7B65"/>
    <w:pPr>
      <w:spacing w:beforeAutospacing="1" w:afterAutospacing="1"/>
      <w:jc w:val="left"/>
      <w:outlineLvl w:val="2"/>
    </w:pPr>
    <w:rPr>
      <w:rFonts w:ascii="宋体" w:hAnsi="宋体"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semiHidden/>
    <w:unhideWhenUsed/>
    <w:rsid w:val="00BF7B65"/>
    <w:pPr>
      <w:jc w:val="left"/>
    </w:pPr>
  </w:style>
  <w:style w:type="paragraph" w:styleId="a5">
    <w:name w:val="Date"/>
    <w:basedOn w:val="a0"/>
    <w:next w:val="a0"/>
    <w:link w:val="Char0"/>
    <w:uiPriority w:val="99"/>
    <w:semiHidden/>
    <w:unhideWhenUsed/>
    <w:rsid w:val="00BF7B65"/>
    <w:pPr>
      <w:ind w:leftChars="2500" w:left="100"/>
    </w:pPr>
  </w:style>
  <w:style w:type="paragraph" w:styleId="a6">
    <w:name w:val="footer"/>
    <w:basedOn w:val="a0"/>
    <w:link w:val="Char1"/>
    <w:uiPriority w:val="99"/>
    <w:rsid w:val="00BF7B65"/>
    <w:pPr>
      <w:tabs>
        <w:tab w:val="center" w:pos="4153"/>
        <w:tab w:val="right" w:pos="8306"/>
      </w:tabs>
      <w:snapToGrid w:val="0"/>
      <w:jc w:val="left"/>
    </w:pPr>
    <w:rPr>
      <w:sz w:val="18"/>
      <w:szCs w:val="18"/>
    </w:rPr>
  </w:style>
  <w:style w:type="paragraph" w:styleId="a7">
    <w:name w:val="header"/>
    <w:basedOn w:val="a0"/>
    <w:link w:val="Char2"/>
    <w:qFormat/>
    <w:rsid w:val="00BF7B65"/>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uiPriority w:val="99"/>
    <w:semiHidden/>
    <w:unhideWhenUsed/>
    <w:rsid w:val="00BF7B65"/>
    <w:rPr>
      <w:b/>
      <w:bCs/>
    </w:rPr>
  </w:style>
  <w:style w:type="character" w:styleId="a9">
    <w:name w:val="Strong"/>
    <w:basedOn w:val="a1"/>
    <w:uiPriority w:val="22"/>
    <w:qFormat/>
    <w:rsid w:val="00BF7B65"/>
    <w:rPr>
      <w:b/>
    </w:rPr>
  </w:style>
  <w:style w:type="character" w:styleId="aa">
    <w:name w:val="page number"/>
    <w:qFormat/>
    <w:rsid w:val="00BF7B65"/>
  </w:style>
  <w:style w:type="character" w:styleId="ab">
    <w:name w:val="Hyperlink"/>
    <w:basedOn w:val="a1"/>
    <w:uiPriority w:val="99"/>
    <w:semiHidden/>
    <w:unhideWhenUsed/>
    <w:rsid w:val="00BF7B65"/>
    <w:rPr>
      <w:color w:val="0000FF"/>
      <w:u w:val="single"/>
    </w:rPr>
  </w:style>
  <w:style w:type="character" w:styleId="ac">
    <w:name w:val="annotation reference"/>
    <w:basedOn w:val="a1"/>
    <w:uiPriority w:val="99"/>
    <w:semiHidden/>
    <w:unhideWhenUsed/>
    <w:rsid w:val="00BF7B65"/>
    <w:rPr>
      <w:sz w:val="21"/>
      <w:szCs w:val="21"/>
    </w:rPr>
  </w:style>
  <w:style w:type="character" w:customStyle="1" w:styleId="Char2">
    <w:name w:val="页眉 Char"/>
    <w:basedOn w:val="a1"/>
    <w:link w:val="a7"/>
    <w:qFormat/>
    <w:rsid w:val="00BF7B65"/>
    <w:rPr>
      <w:rFonts w:ascii="Times New Roman" w:eastAsia="宋体" w:hAnsi="Times New Roman" w:cs="Times New Roman"/>
      <w:sz w:val="18"/>
      <w:szCs w:val="18"/>
    </w:rPr>
  </w:style>
  <w:style w:type="character" w:customStyle="1" w:styleId="Char1">
    <w:name w:val="页脚 Char"/>
    <w:basedOn w:val="a1"/>
    <w:link w:val="a6"/>
    <w:uiPriority w:val="99"/>
    <w:qFormat/>
    <w:rsid w:val="00BF7B65"/>
    <w:rPr>
      <w:rFonts w:ascii="Times New Roman" w:eastAsia="宋体" w:hAnsi="Times New Roman" w:cs="Times New Roman"/>
      <w:sz w:val="18"/>
      <w:szCs w:val="18"/>
    </w:rPr>
  </w:style>
  <w:style w:type="paragraph" w:customStyle="1" w:styleId="ad">
    <w:name w:val="前言、引言标题"/>
    <w:next w:val="ae"/>
    <w:qFormat/>
    <w:rsid w:val="00BF7B65"/>
    <w:pPr>
      <w:keepNext/>
      <w:pageBreakBefore/>
      <w:shd w:val="clear" w:color="FFFFFF" w:fill="FFFFFF"/>
      <w:spacing w:beforeLines="50" w:afterLines="50" w:line="360" w:lineRule="auto"/>
      <w:jc w:val="center"/>
      <w:outlineLvl w:val="0"/>
    </w:pPr>
    <w:rPr>
      <w:rFonts w:ascii="黑体" w:eastAsia="黑体"/>
      <w:sz w:val="32"/>
    </w:rPr>
  </w:style>
  <w:style w:type="paragraph" w:customStyle="1" w:styleId="ae">
    <w:name w:val="段"/>
    <w:link w:val="Char4"/>
    <w:qFormat/>
    <w:rsid w:val="00BF7B65"/>
    <w:pPr>
      <w:tabs>
        <w:tab w:val="center" w:pos="4201"/>
        <w:tab w:val="right" w:leader="dot" w:pos="9298"/>
      </w:tabs>
      <w:autoSpaceDE w:val="0"/>
      <w:autoSpaceDN w:val="0"/>
      <w:spacing w:beforeLines="50" w:afterLines="50" w:line="360" w:lineRule="auto"/>
      <w:ind w:firstLineChars="200" w:firstLine="420"/>
      <w:jc w:val="both"/>
    </w:pPr>
    <w:rPr>
      <w:rFonts w:ascii="宋体"/>
      <w:sz w:val="21"/>
    </w:rPr>
  </w:style>
  <w:style w:type="paragraph" w:customStyle="1" w:styleId="a">
    <w:name w:val="章标题"/>
    <w:next w:val="ae"/>
    <w:link w:val="af"/>
    <w:qFormat/>
    <w:rsid w:val="00BF7B65"/>
    <w:pPr>
      <w:numPr>
        <w:numId w:val="1"/>
      </w:numPr>
      <w:spacing w:beforeLines="100" w:afterLines="100" w:line="360" w:lineRule="auto"/>
      <w:jc w:val="both"/>
      <w:outlineLvl w:val="1"/>
    </w:pPr>
    <w:rPr>
      <w:rFonts w:ascii="黑体" w:eastAsia="黑体"/>
      <w:sz w:val="21"/>
    </w:rPr>
  </w:style>
  <w:style w:type="paragraph" w:customStyle="1" w:styleId="CM6">
    <w:name w:val="CM6"/>
    <w:basedOn w:val="Default"/>
    <w:next w:val="Default"/>
    <w:uiPriority w:val="99"/>
    <w:unhideWhenUsed/>
    <w:qFormat/>
    <w:rsid w:val="00BF7B65"/>
    <w:pPr>
      <w:spacing w:line="313" w:lineRule="atLeast"/>
    </w:pPr>
  </w:style>
  <w:style w:type="paragraph" w:customStyle="1" w:styleId="Default">
    <w:name w:val="Default"/>
    <w:unhideWhenUsed/>
    <w:qFormat/>
    <w:rsid w:val="00BF7B65"/>
    <w:pPr>
      <w:widowControl w:val="0"/>
      <w:autoSpaceDE w:val="0"/>
      <w:autoSpaceDN w:val="0"/>
      <w:adjustRightInd w:val="0"/>
    </w:pPr>
    <w:rPr>
      <w:rFonts w:hint="eastAsia"/>
      <w:color w:val="000000"/>
      <w:sz w:val="24"/>
      <w:szCs w:val="22"/>
    </w:rPr>
  </w:style>
  <w:style w:type="paragraph" w:customStyle="1" w:styleId="af0">
    <w:name w:val="终结线"/>
    <w:basedOn w:val="a0"/>
    <w:qFormat/>
    <w:rsid w:val="00BF7B65"/>
    <w:pPr>
      <w:framePr w:hSpace="181" w:vSpace="181" w:wrap="around" w:vAnchor="text" w:hAnchor="margin" w:xAlign="center" w:y="285"/>
    </w:pPr>
  </w:style>
  <w:style w:type="paragraph" w:customStyle="1" w:styleId="2">
    <w:name w:val="封面标准号2"/>
    <w:qFormat/>
    <w:rsid w:val="00BF7B65"/>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标准书脚_奇数页"/>
    <w:qFormat/>
    <w:rsid w:val="00BF7B65"/>
    <w:pPr>
      <w:spacing w:before="120"/>
      <w:ind w:right="198"/>
      <w:jc w:val="right"/>
    </w:pPr>
    <w:rPr>
      <w:rFonts w:ascii="宋体"/>
      <w:sz w:val="18"/>
      <w:szCs w:val="18"/>
    </w:rPr>
  </w:style>
  <w:style w:type="paragraph" w:customStyle="1" w:styleId="1">
    <w:name w:val="修订1"/>
    <w:hidden/>
    <w:uiPriority w:val="99"/>
    <w:unhideWhenUsed/>
    <w:rsid w:val="00BF7B65"/>
    <w:rPr>
      <w:kern w:val="2"/>
      <w:sz w:val="21"/>
      <w:szCs w:val="24"/>
    </w:rPr>
  </w:style>
  <w:style w:type="paragraph" w:customStyle="1" w:styleId="20">
    <w:name w:val="修订2"/>
    <w:hidden/>
    <w:uiPriority w:val="99"/>
    <w:unhideWhenUsed/>
    <w:rsid w:val="00BF7B65"/>
    <w:rPr>
      <w:kern w:val="2"/>
      <w:sz w:val="21"/>
      <w:szCs w:val="24"/>
    </w:rPr>
  </w:style>
  <w:style w:type="paragraph" w:customStyle="1" w:styleId="af2">
    <w:name w:val="一级无"/>
    <w:basedOn w:val="a0"/>
    <w:uiPriority w:val="99"/>
    <w:qFormat/>
    <w:rsid w:val="00BF7B65"/>
    <w:pPr>
      <w:widowControl/>
      <w:ind w:left="1135"/>
      <w:jc w:val="left"/>
      <w:outlineLvl w:val="2"/>
    </w:pPr>
    <w:rPr>
      <w:rFonts w:ascii="宋体" w:hAnsiTheme="minorHAnsi" w:cstheme="minorBidi"/>
      <w:kern w:val="0"/>
      <w:szCs w:val="21"/>
    </w:rPr>
  </w:style>
  <w:style w:type="character" w:customStyle="1" w:styleId="af">
    <w:name w:val="章标题 字符"/>
    <w:link w:val="a"/>
    <w:qFormat/>
    <w:locked/>
    <w:rsid w:val="00BF7B65"/>
    <w:rPr>
      <w:rFonts w:ascii="黑体" w:eastAsia="黑体"/>
      <w:sz w:val="21"/>
    </w:rPr>
  </w:style>
  <w:style w:type="character" w:customStyle="1" w:styleId="Char4">
    <w:name w:val="段 Char"/>
    <w:link w:val="ae"/>
    <w:qFormat/>
    <w:rsid w:val="00BF7B65"/>
    <w:rPr>
      <w:rFonts w:ascii="宋体"/>
      <w:sz w:val="21"/>
    </w:rPr>
  </w:style>
  <w:style w:type="paragraph" w:styleId="af3">
    <w:name w:val="List Paragraph"/>
    <w:basedOn w:val="a0"/>
    <w:uiPriority w:val="34"/>
    <w:qFormat/>
    <w:rsid w:val="00BF7B65"/>
    <w:pPr>
      <w:autoSpaceDE w:val="0"/>
      <w:autoSpaceDN w:val="0"/>
      <w:ind w:left="720"/>
      <w:contextualSpacing/>
      <w:jc w:val="left"/>
    </w:pPr>
    <w:rPr>
      <w:rFonts w:ascii="宋体" w:hAnsi="宋体" w:cs="宋体"/>
      <w:kern w:val="0"/>
      <w:sz w:val="22"/>
      <w:szCs w:val="22"/>
      <w:lang w:eastAsia="en-US"/>
    </w:rPr>
  </w:style>
  <w:style w:type="paragraph" w:customStyle="1" w:styleId="af4">
    <w:name w:val="一级条标题"/>
    <w:basedOn w:val="a0"/>
    <w:next w:val="ae"/>
    <w:link w:val="Char5"/>
    <w:qFormat/>
    <w:rsid w:val="00BF7B65"/>
    <w:pPr>
      <w:widowControl/>
      <w:tabs>
        <w:tab w:val="left" w:pos="360"/>
      </w:tabs>
      <w:ind w:left="1135"/>
      <w:outlineLvl w:val="2"/>
    </w:pPr>
    <w:rPr>
      <w:rFonts w:ascii="黑体" w:eastAsia="黑体"/>
      <w:kern w:val="0"/>
      <w:szCs w:val="20"/>
      <w:lang w:eastAsia="zh-TW"/>
    </w:rPr>
  </w:style>
  <w:style w:type="character" w:customStyle="1" w:styleId="Char5">
    <w:name w:val="一级条标题 Char"/>
    <w:link w:val="af4"/>
    <w:qFormat/>
    <w:rsid w:val="00BF7B65"/>
    <w:rPr>
      <w:rFonts w:ascii="黑体" w:eastAsia="黑体"/>
      <w:sz w:val="21"/>
      <w:lang w:eastAsia="zh-TW"/>
    </w:rPr>
  </w:style>
  <w:style w:type="character" w:customStyle="1" w:styleId="Char0">
    <w:name w:val="日期 Char"/>
    <w:basedOn w:val="a1"/>
    <w:link w:val="a5"/>
    <w:uiPriority w:val="99"/>
    <w:semiHidden/>
    <w:rsid w:val="00BF7B65"/>
    <w:rPr>
      <w:kern w:val="2"/>
      <w:sz w:val="21"/>
      <w:szCs w:val="24"/>
    </w:rPr>
  </w:style>
  <w:style w:type="character" w:customStyle="1" w:styleId="Char">
    <w:name w:val="批注文字 Char"/>
    <w:basedOn w:val="a1"/>
    <w:link w:val="a4"/>
    <w:uiPriority w:val="99"/>
    <w:semiHidden/>
    <w:rsid w:val="00BF7B65"/>
    <w:rPr>
      <w:kern w:val="2"/>
      <w:sz w:val="21"/>
      <w:szCs w:val="24"/>
    </w:rPr>
  </w:style>
  <w:style w:type="character" w:customStyle="1" w:styleId="Char3">
    <w:name w:val="批注主题 Char"/>
    <w:basedOn w:val="Char"/>
    <w:link w:val="a8"/>
    <w:uiPriority w:val="99"/>
    <w:semiHidden/>
    <w:rsid w:val="00BF7B65"/>
    <w:rPr>
      <w:b/>
      <w:bCs/>
      <w:kern w:val="2"/>
      <w:sz w:val="21"/>
      <w:szCs w:val="24"/>
    </w:rPr>
  </w:style>
  <w:style w:type="paragraph" w:styleId="af5">
    <w:name w:val="Balloon Text"/>
    <w:basedOn w:val="a0"/>
    <w:link w:val="Char6"/>
    <w:uiPriority w:val="99"/>
    <w:semiHidden/>
    <w:unhideWhenUsed/>
    <w:rsid w:val="002F12AF"/>
    <w:rPr>
      <w:sz w:val="18"/>
      <w:szCs w:val="18"/>
    </w:rPr>
  </w:style>
  <w:style w:type="character" w:customStyle="1" w:styleId="Char6">
    <w:name w:val="批注框文本 Char"/>
    <w:basedOn w:val="a1"/>
    <w:link w:val="af5"/>
    <w:uiPriority w:val="99"/>
    <w:semiHidden/>
    <w:rsid w:val="002F12A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cgcc.org.cn/gywm/4/3/49778.htm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7BD206B-5F86-462E-A3AF-D77445E6E3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16</Pages>
  <Words>1734</Words>
  <Characters>9888</Characters>
  <Application>Microsoft Office Word</Application>
  <DocSecurity>0</DocSecurity>
  <Lines>82</Lines>
  <Paragraphs>23</Paragraphs>
  <ScaleCrop>false</ScaleCrop>
  <Company/>
  <LinksUpToDate>false</LinksUpToDate>
  <CharactersWithSpaces>11599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zhengyanfeng</dc:creator>
  <cp:lastModifiedBy>nick</cp:lastModifiedBy>
  <cp:revision>5</cp:revision>
  <dcterms:created xsi:type="dcterms:W3CDTF">2025-03-05T07:16:00Z</dcterms:created>
  <dcterms:modified xsi:type="dcterms:W3CDTF">2025-03-05T08:04:00Z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8FA214844DE94E74B06322CF9506A1ED_13</vt:lpwstr>
  </property>
  <property fmtid="{D5CDD505-2E9C-101B-9397-08002B2CF9AE}" pid="4" name="KSOTemplateDocerSaveRecord">
    <vt:lpwstr>eyJoZGlkIjoiZDk5YzM2NGUwMWUzMThiNWQ5MGFkYWM1NzFiZjlkMGQifQ==</vt:lpwstr>
  </property>
</Properties>
</file>