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C017E">
      <w:pPr>
        <w:pStyle w:val="124"/>
        <w:framePr w:wrap="around"/>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61248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5545ED74">
            <w:pPr>
              <w:pStyle w:val="124"/>
              <w:framePr w:wrap="around"/>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e4Oo/KUBAABZAwAADgAAAGRycy9lMm9Eb2MueG1srVNNb9sw&#10;DL0P2H8QdF8UB2iaGXGKrUG2w7AVaPcDFFm2BegLpBIn/36UnKVre+lhPsikSD7yPdrru5Oz7KgB&#10;TfANr2ZzzrRXoTW+b/jvp92nFWeYpG+lDV43/KyR320+fliPsdaLMATbamAE4rEeY8OHlGItBKpB&#10;O4mzELWnYBfAyUQu9KIFORK6s2Ixny/FGKCNEJRGpNvtFOQXRHgPYOg6o/Q2qIPTPk2ooK1MRAkH&#10;E5FvyrRdp1X61XWoE7MNJ6apnNSE7H0+xWYt6x5kHIy6jCDfM8IrTk4aT02vUFuZJDuAeQPljIKA&#10;oUszFZyYiBRFiEU1f6XN4yCjLlxIaoxX0fH/waqfxwdgpm04rd1LRwv/+uV7lmWMWFP0MT7AxUMy&#10;M8dTBy6/aXp2KlKer1LqU2KKLlfL5e3tDWeKQtXnVbUoUovn4giYvungWDYaDrSpIqA8/sBEDSn1&#10;b0ruhcGadmesLQ70+3sL7Chpq7vy5Imp5EWa9TnZh1w2hfONyMQmKtnah/ZMChwimH6gQaqClCOk&#10;eMG8fB15pf/6Ben5j9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B7g6j8pQEAAFkDAAAO&#10;AAAAAAAAAAEAIAAAACQBAABkcnMvZTJvRG9jLnhtbFBLBQYAAAAABgAGAFkBAAA7BQAAAAA=&#10;">
                      <v:fill on="t" focussize="0,0"/>
                      <v:stroke on="f"/>
                      <v:imagedata o:title=""/>
                      <o:lock v:ext="edit" aspectratio="f"/>
                    </v:rect>
                  </w:pict>
                </mc:Fallback>
              </mc:AlternateContent>
            </w:r>
          </w:p>
        </w:tc>
      </w:tr>
    </w:tbl>
    <w:p w14:paraId="02F92C38">
      <w:pPr>
        <w:pStyle w:val="110"/>
        <w:framePr w:wrap="around"/>
      </w:pPr>
      <w:r>
        <w:t>DB</w:t>
      </w:r>
      <w:r>
        <w:rPr>
          <w:rFonts w:hint="eastAsia"/>
        </w:rPr>
        <w:t>61</w:t>
      </w:r>
    </w:p>
    <w:p w14:paraId="4109E31F">
      <w:pPr>
        <w:pStyle w:val="111"/>
        <w:framePr w:wrap="around"/>
      </w:pPr>
      <w:r>
        <w:rPr>
          <w:rFonts w:hint="eastAsia"/>
        </w:rPr>
        <w:t>陕西省地方标准</w:t>
      </w:r>
    </w:p>
    <w:p w14:paraId="230C2F7F">
      <w:pPr>
        <w:pStyle w:val="48"/>
        <w:framePr w:wrap="around"/>
        <w:rPr>
          <w:rFonts w:hAnsi="黑体"/>
        </w:rPr>
      </w:pPr>
      <w:r>
        <w:rPr>
          <w:rFonts w:hint="eastAsia" w:ascii="Times New Roman"/>
          <w:lang w:val="en-US" w:eastAsia="zh-CN"/>
        </w:rPr>
        <w:t>SDBXM180</w:t>
      </w:r>
      <w:r>
        <w:rPr>
          <w:rFonts w:hAnsi="黑体"/>
        </w:rPr>
        <w:t>—</w:t>
      </w:r>
      <w:r>
        <w:rPr>
          <w:rFonts w:hint="eastAsia" w:hAnsi="黑体"/>
        </w:rPr>
        <w:t>202</w:t>
      </w:r>
      <w:r>
        <w:rPr>
          <w:rFonts w:hAnsi="黑体"/>
        </w:rPr>
        <w:t>3</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67C51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55582BEA">
            <w:pPr>
              <w:pStyle w:val="77"/>
              <w:framePr w:wrap="around"/>
            </w:pPr>
            <w: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7"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DT"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qD8iKfAQAAWQMAAA4AAABkcnMvZTJvRG9jLnhtbK1Ty27b&#10;MBC8F8g/ELzXktwiCQTLOdRwLkUTIOkH0BQpEeALu7Rl/32XlOq06SWH6kDti7M7s9Lm4ewsOylA&#10;E3zHm1XNmfIy9MYPHf/5uv98zxkm4Xthg1cdvyjkD9ubT5sptmodxmB7BYxAPLZT7PiYUmyrCuWo&#10;nMBViMpTUgdwIpELQ9WDmAjd2Wpd17fVFKCPEKRCpOhuTvIFET4CGLQ2Uu2CPDrl04wKyopElHA0&#10;Efm2TKu1kulJa1SJ2Y4T01ROakL2IZ/VdiPaAUQcjVxGEB8Z4R0nJ4ynpleonUiCHcH8A+WMhIBB&#10;p5UMrpqJFEWIRVO/0+ZlFFEVLiQ1xqvo+P9g5Y/TMzDTd/yOMy8cLXz3mlWZIraUfInPsHhIZqZ4&#10;1uDym4Zn56Lk5aqkOicmKdg0X7/UNYksKbde39+STTDV2+0ImB5VcCwbHQfaVBFQnL5jmkt/l+Rm&#10;GKzp98ba4sBw+GaBnQRtdV+eBf2vMutzsQ/52oyYI1VmNnPJ1iH0F1LgGMEMIw3SFKScIcXLxMvX&#10;kVf6p1+Q3v6I7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ioPyIp8BAABZAwAADgAAAAAA&#10;AAABACAAAAAlAQAAZHJzL2Uyb0RvYy54bWxQSwUGAAAAAAYABgBZAQAANgUAAAAA&#10;">
                      <v:fill on="t" focussize="0,0"/>
                      <v:stroke on="f"/>
                      <v:imagedata o:title=""/>
                      <o:lock v:ext="edit" aspectratio="f"/>
                    </v:rect>
                  </w:pict>
                </mc:Fallback>
              </mc:AlternateContent>
            </w:r>
          </w:p>
        </w:tc>
      </w:tr>
    </w:tbl>
    <w:p w14:paraId="401B9A84">
      <w:pPr>
        <w:pStyle w:val="48"/>
        <w:framePr w:wrap="around"/>
        <w:rPr>
          <w:rFonts w:hAnsi="黑体"/>
        </w:rPr>
      </w:pPr>
    </w:p>
    <w:p w14:paraId="0CC16B07">
      <w:pPr>
        <w:pStyle w:val="48"/>
        <w:framePr w:wrap="around"/>
        <w:rPr>
          <w:rFonts w:hAnsi="黑体"/>
        </w:rPr>
      </w:pPr>
    </w:p>
    <w:p w14:paraId="72ED8FBA">
      <w:pPr>
        <w:pStyle w:val="79"/>
        <w:framePr w:wrap="around" w:x="1347" w:y="6130"/>
      </w:pPr>
      <w:r>
        <w:rPr>
          <w:rFonts w:hint="eastAsia"/>
          <w:lang w:val="en-US" w:eastAsia="zh-CN"/>
        </w:rPr>
        <w:t>小儿推拿机构运营</w:t>
      </w:r>
      <w:r>
        <w:rPr>
          <w:rFonts w:hint="eastAsia"/>
          <w:lang w:eastAsia="zh-CN"/>
        </w:rPr>
        <w:t>规范</w:t>
      </w:r>
    </w:p>
    <w:p w14:paraId="2B950DAC">
      <w:pPr>
        <w:pStyle w:val="80"/>
        <w:framePr w:wrap="around" w:x="1347" w:y="6130"/>
        <w:rPr>
          <w:rFonts w:hint="eastAsia"/>
        </w:rPr>
      </w:pPr>
      <w:r>
        <w:rPr>
          <w:rFonts w:hint="eastAsia"/>
        </w:rPr>
        <w:t xml:space="preserve">Operation Standards for Pediatric Massage Institutions  </w:t>
      </w:r>
    </w:p>
    <w:p w14:paraId="51E9A0B0">
      <w:pPr>
        <w:pStyle w:val="112"/>
        <w:framePr w:wrap="around"/>
      </w:pPr>
      <w:r>
        <w:rPr>
          <w:rFonts w:hint="eastAsia"/>
        </w:rPr>
        <w:t>陕西省市场监督管理局</w:t>
      </w:r>
      <w:r>
        <w:rPr>
          <w:rFonts w:hAnsi="黑体"/>
        </w:rPr>
        <w:t>   </w:t>
      </w:r>
      <w:r>
        <w:rPr>
          <w:rStyle w:val="74"/>
          <w:rFonts w:hint="eastAsia"/>
        </w:rPr>
        <w:t>发布</w:t>
      </w:r>
    </w:p>
    <w:p w14:paraId="5908000D">
      <w:pPr>
        <w:pStyle w:val="24"/>
        <w:ind w:firstLine="0" w:firstLineChars="0"/>
        <w:rPr>
          <w:u w:val="single"/>
        </w:rPr>
        <w:sectPr>
          <w:headerReference r:id="rId3" w:type="first"/>
          <w:pgSz w:w="11906" w:h="16838"/>
          <w:pgMar w:top="567" w:right="850" w:bottom="1134" w:left="1418" w:header="0" w:footer="0" w:gutter="0"/>
          <w:pgNumType w:start="1"/>
          <w:cols w:space="425" w:num="1"/>
          <w:docGrid w:type="lines" w:linePitch="312" w:charSpace="0"/>
        </w:sectPr>
      </w:pPr>
      <w:r>
        <w:rPr>
          <w:sz w:val="21"/>
        </w:rPr>
        <mc:AlternateContent>
          <mc:Choice Requires="wps">
            <w:drawing>
              <wp:anchor distT="0" distB="0" distL="114300" distR="114300" simplePos="0" relativeHeight="251662336" behindDoc="0" locked="0" layoutInCell="1" allowOverlap="1">
                <wp:simplePos x="0" y="0"/>
                <wp:positionH relativeFrom="column">
                  <wp:posOffset>-166370</wp:posOffset>
                </wp:positionH>
                <wp:positionV relativeFrom="paragraph">
                  <wp:posOffset>8755380</wp:posOffset>
                </wp:positionV>
                <wp:extent cx="6286500" cy="10795"/>
                <wp:effectExtent l="0" t="4445" r="0" b="13335"/>
                <wp:wrapNone/>
                <wp:docPr id="3" name="直接连接符 3"/>
                <wp:cNvGraphicFramePr/>
                <a:graphic xmlns:a="http://schemas.openxmlformats.org/drawingml/2006/main">
                  <a:graphicData uri="http://schemas.microsoft.com/office/word/2010/wordprocessingShape">
                    <wps:wsp>
                      <wps:cNvCnPr/>
                      <wps:spPr>
                        <a:xfrm flipV="1">
                          <a:off x="384810" y="9115425"/>
                          <a:ext cx="6286500" cy="107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13.1pt;margin-top:689.4pt;height:0.85pt;width:495pt;z-index:251662336;mso-width-relative:page;mso-height-relative:page;" filled="f" stroked="t" coordsize="21600,21600" o:gfxdata="UEsDBAoAAAAAAIdO4kAAAAAAAAAAAAAAAAAEAAAAZHJzL1BLAwQUAAAACACHTuJA2Lmt8t0AAAAN&#10;AQAADwAAAGRycy9kb3ducmV2LnhtbE2PT0vDQBDF74LfYRnBW7tpommM2RTxD4ggYlvodZsdk9js&#10;bMhu2vjtnZ70NjPv8eb3itVkO3HEwbeOFCzmEQikypmWagXbzcssA+GDJqM7R6jgBz2sysuLQufG&#10;negTj+tQCw4hn2sFTQh9LqWvGrTaz12PxNqXG6wOvA61NIM+cbjtZBxFqbS6Jf7Q6B4fG6wO69Eq&#10;+IjrpH82m8PN+1v1usymp4fd+K3U9dUiugcRcAp/ZjjjMzqUzLR3IxkvOgWzOI3ZykKyzLgEW+7S&#10;hIf9+ZRFtyDLQv5vUf4CUEsDBBQAAAAIAIdO4kB9hnoH8AEAALMDAAAOAAAAZHJzL2Uyb0RvYy54&#10;bWytU81uEzEQviPxDpbvZHeTJqSrbHpoVC4IIgG9O15715L/5HGzyUvwAkjc4MSRe9+G8hgde0OB&#10;cumBPVhjz+dv5vs8u7o4GE32IoBytqHVpKREWO5aZbuGfnh/9WJJCURmW6adFQ09CqAX6+fPVoOv&#10;xdT1TrciECSxUA++oX2Mvi4K4L0wDCbOC4tJ6YJhEbehK9rABmQ3upiW5aIYXGh9cFwA4OlmTNIT&#10;Y3gKoZNScbFx/MYIG0fWIDSLKAl65YGuc7dSCh7fSgkiEt1QVBrzikUw3qW1WK9Y3QXme8VPLbCn&#10;tPBIk2HKYtEHqg2LjNwE9Q+VUTw4cDJOuDPFKCQ7giqq8pE373rmRdaCVoN/MB3+Hy1/s98GotqG&#10;ziixzOCD3336/uPjl5+3n3G9+/aVzJJJg4casZd2G0478NuQFB9kMERq5a9xmrIHqIockHB5tqzQ&#10;52NDz6tqfjadj26LQyQc84vpcjEvEcARUZUvz3O+GBkTsw8QXwlnSAoaqpVNZrCa7V9DxC4Q+guS&#10;jq27UlrnB9WWDFhgNk/sDIdU4nBgaDwKBdtRwnSH089jyIzgtGrT7cQDodtd6kD2LM1M/lLjWO0v&#10;WCq9YdCPuJw6wbRFdDJstChFO9ces3P5HN8y853mLg3Ln/t8+/e/tr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2Lmt8t0AAAANAQAADwAAAAAAAAABACAAAAAiAAAAZHJzL2Rvd25yZXYueG1sUEsB&#10;AhQAFAAAAAgAh07iQH2GegfwAQAAswMAAA4AAAAAAAAAAQAgAAAALAEAAGRycy9lMm9Eb2MueG1s&#10;UEsFBgAAAAAGAAYAWQEAAI4FAAAAAA==&#10;">
                <v:fill on="f" focussize="0,0"/>
                <v:stroke weight="0.5pt" color="#000000 [3213]" joinstyle="round"/>
                <v:imagedata o:title=""/>
                <o:lock v:ext="edit" aspectratio="f"/>
              </v:line>
            </w:pict>
          </mc:Fallback>
        </mc:AlternateContent>
      </w:r>
      <w:r>
        <w:rPr>
          <w:u w:val="single"/>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2339340</wp:posOffset>
                </wp:positionV>
                <wp:extent cx="6120130" cy="0"/>
                <wp:effectExtent l="0" t="0" r="33020" b="1905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05pt;margin-top:184.2pt;height:0pt;width:481.9pt;z-index:251661312;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s2BOk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rzjz4OjCH7//ePz5&#10;i7VtEWeM2FHMrd+k0w7jJhWmB51c+RMHdqiCHs+CqkNmgpzXLbF6S1qLp7PmOTEmzB9VcKwYPbfG&#10;F67Qwf4TZipGoU8hxW09G3v+/mpBjQq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XW8AjXAAAACQEAAA8A&#10;AAAAAAAAAQAgAAAAIgAAAGRycy9kb3ducmV2LnhtbFBLAQIUABQAAAAIAIdO4kBs2BOk3wEAANAD&#10;AAAOAAAAAAAAAAEAIAAAACYBAABkcnMvZTJvRG9jLnhtbFBLBQYAAAAABgAGAFkBAAB3BQAAAAA=&#10;">
                <v:fill on="f" focussize="0,0"/>
                <v:stroke color="#000000" joinstyle="round"/>
                <v:imagedata o:title=""/>
                <o:lock v:ext="edit" aspectratio="f"/>
              </v:line>
            </w:pict>
          </mc:Fallback>
        </mc:AlternateContent>
      </w:r>
    </w:p>
    <w:p w14:paraId="215808D7">
      <w:pPr>
        <w:pStyle w:val="51"/>
      </w:pPr>
      <w:bookmarkStart w:id="0" w:name="_Toc61774038"/>
      <w:bookmarkStart w:id="1" w:name="_Toc61773962"/>
      <w:r>
        <w:rPr>
          <w:rFonts w:hint="eastAsia"/>
        </w:rPr>
        <w:t>目</w:t>
      </w:r>
      <w:bookmarkStart w:id="2" w:name="BKML"/>
      <w:r>
        <w:rPr>
          <w:rFonts w:hAnsi="黑体"/>
        </w:rPr>
        <w:t>  </w:t>
      </w:r>
      <w:r>
        <w:rPr>
          <w:rFonts w:hint="eastAsia"/>
        </w:rPr>
        <w:t>次</w:t>
      </w:r>
      <w:bookmarkEnd w:id="2"/>
    </w:p>
    <w:p w14:paraId="0798D817">
      <w:pPr>
        <w:pStyle w:val="20"/>
        <w:spacing w:before="78" w:after="78"/>
        <w:rPr>
          <w:rFonts w:ascii="Times New Roman"/>
        </w:rPr>
      </w:pPr>
      <w:r>
        <w:fldChar w:fldCharType="begin" w:fldLock="1"/>
      </w:r>
      <w:r>
        <w:instrText xml:space="preserve"> </w:instrText>
      </w:r>
      <w:r>
        <w:rPr>
          <w:rFonts w:hint="eastAsia"/>
        </w:rPr>
        <w:instrText xml:space="preserve">TOC \h \z \t"前言、引言标题,1,参考文献、索引标题,1,章标题,1,参考文献,1,附录标识,1,一级条标题, 3" \* MERGEFORMAT</w:instrText>
      </w:r>
      <w:r>
        <w:instrText xml:space="preserve"> </w:instrText>
      </w:r>
      <w:r>
        <w:fldChar w:fldCharType="separate"/>
      </w:r>
      <w:r>
        <w:fldChar w:fldCharType="begin"/>
      </w:r>
      <w:r>
        <w:instrText xml:space="preserve"> HYPERLINK \l "_Toc61774155" </w:instrText>
      </w:r>
      <w:r>
        <w:fldChar w:fldCharType="separate"/>
      </w:r>
      <w:r>
        <w:rPr>
          <w:rStyle w:val="40"/>
          <w:rFonts w:hint="eastAsia"/>
        </w:rPr>
        <w:t>前言</w:t>
      </w:r>
      <w:r>
        <w:tab/>
      </w:r>
      <w:r>
        <w:rPr>
          <w:rFonts w:ascii="Times New Roman"/>
        </w:rPr>
        <w:t>Ⅰ</w:t>
      </w:r>
      <w:r>
        <w:rPr>
          <w:rFonts w:ascii="Times New Roman"/>
        </w:rPr>
        <w:fldChar w:fldCharType="end"/>
      </w:r>
    </w:p>
    <w:p w14:paraId="5C54B109">
      <w:pPr>
        <w:pStyle w:val="20"/>
        <w:spacing w:before="78" w:after="78"/>
        <w:rPr>
          <w:rFonts w:hint="default" w:eastAsia="宋体"/>
          <w:lang w:val="en-US" w:eastAsia="zh-CN"/>
        </w:rPr>
      </w:pPr>
      <w:r>
        <w:fldChar w:fldCharType="begin"/>
      </w:r>
      <w:r>
        <w:instrText xml:space="preserve"> HYPERLINK \l "_Toc61774155" </w:instrText>
      </w:r>
      <w:r>
        <w:fldChar w:fldCharType="separate"/>
      </w:r>
      <w:r>
        <w:rPr>
          <w:rStyle w:val="40"/>
          <w:rFonts w:hint="eastAsia" w:ascii="Times New Roman" w:hAnsi="Times New Roman" w:eastAsia="宋体" w:cs="Times New Roman"/>
          <w:lang w:eastAsia="zh-CN"/>
        </w:rPr>
        <w:t>引</w:t>
      </w:r>
      <w:r>
        <w:rPr>
          <w:rStyle w:val="40"/>
          <w:rFonts w:hint="eastAsia" w:ascii="Times New Roman" w:hAnsi="Times New Roman" w:eastAsia="宋体" w:cs="Times New Roman"/>
        </w:rPr>
        <w:t>言</w:t>
      </w:r>
      <w:r>
        <w:tab/>
      </w:r>
      <w:r>
        <w:rPr>
          <w:rFonts w:ascii="Times New Roman"/>
        </w:rPr>
        <w:t>Ⅰ</w:t>
      </w:r>
      <w:r>
        <w:rPr>
          <w:rFonts w:ascii="Times New Roman"/>
        </w:rPr>
        <w:fldChar w:fldCharType="end"/>
      </w:r>
    </w:p>
    <w:p w14:paraId="693D83D0">
      <w:pPr>
        <w:pStyle w:val="20"/>
        <w:spacing w:before="78" w:after="78"/>
        <w:rPr>
          <w:rFonts w:ascii="Calibri" w:hAnsi="Calibri"/>
          <w:szCs w:val="22"/>
        </w:rPr>
      </w:pPr>
      <w:r>
        <w:fldChar w:fldCharType="begin"/>
      </w:r>
      <w:r>
        <w:instrText xml:space="preserve"> HYPERLINK \l "_Toc61774156" </w:instrText>
      </w:r>
      <w:r>
        <w:fldChar w:fldCharType="separate"/>
      </w:r>
      <w:r>
        <w:rPr>
          <w:rFonts w:ascii="Times New Roman"/>
        </w:rPr>
        <w:t>1</w:t>
      </w:r>
      <w:r>
        <w:rPr>
          <w:rStyle w:val="40"/>
          <w:rFonts w:hint="eastAsia"/>
        </w:rPr>
        <w:t>　范围</w:t>
      </w:r>
      <w:r>
        <w:tab/>
      </w:r>
      <w:r>
        <w:rPr>
          <w:rFonts w:ascii="Times New Roman"/>
        </w:rPr>
        <w:fldChar w:fldCharType="begin" w:fldLock="1"/>
      </w:r>
      <w:r>
        <w:rPr>
          <w:rFonts w:ascii="Times New Roman"/>
        </w:rPr>
        <w:instrText xml:space="preserve"> PAGEREF _Toc61774156 \h </w:instrText>
      </w:r>
      <w:r>
        <w:rPr>
          <w:rFonts w:ascii="Times New Roman"/>
        </w:rPr>
        <w:fldChar w:fldCharType="separate"/>
      </w:r>
      <w:r>
        <w:rPr>
          <w:rFonts w:ascii="Times New Roman"/>
        </w:rPr>
        <w:t>1</w:t>
      </w:r>
      <w:r>
        <w:rPr>
          <w:rFonts w:ascii="Times New Roman"/>
        </w:rPr>
        <w:fldChar w:fldCharType="end"/>
      </w:r>
      <w:r>
        <w:rPr>
          <w:rFonts w:ascii="Times New Roman"/>
        </w:rPr>
        <w:fldChar w:fldCharType="end"/>
      </w:r>
    </w:p>
    <w:p w14:paraId="4DAB6A65">
      <w:pPr>
        <w:pStyle w:val="20"/>
        <w:spacing w:before="78" w:after="78"/>
        <w:rPr>
          <w:rFonts w:ascii="Calibri" w:hAnsi="Calibri"/>
          <w:szCs w:val="22"/>
        </w:rPr>
      </w:pPr>
      <w:r>
        <w:fldChar w:fldCharType="begin"/>
      </w:r>
      <w:r>
        <w:instrText xml:space="preserve"> HYPERLINK \l "_Toc61774159" </w:instrText>
      </w:r>
      <w:r>
        <w:fldChar w:fldCharType="separate"/>
      </w:r>
      <w:r>
        <w:rPr>
          <w:rFonts w:ascii="Times New Roman"/>
        </w:rPr>
        <w:t>2</w:t>
      </w:r>
      <w:r>
        <w:rPr>
          <w:rStyle w:val="40"/>
          <w:rFonts w:hint="eastAsia"/>
        </w:rPr>
        <w:t>　规范性引用文件</w:t>
      </w:r>
      <w:r>
        <w:tab/>
      </w:r>
      <w:r>
        <w:rPr>
          <w:rFonts w:ascii="Times New Roman"/>
        </w:rPr>
        <w:fldChar w:fldCharType="begin" w:fldLock="1"/>
      </w:r>
      <w:r>
        <w:rPr>
          <w:rFonts w:ascii="Times New Roman"/>
        </w:rPr>
        <w:instrText xml:space="preserve"> PAGEREF _Toc61774159 \h </w:instrText>
      </w:r>
      <w:r>
        <w:rPr>
          <w:rFonts w:ascii="Times New Roman"/>
        </w:rPr>
        <w:fldChar w:fldCharType="separate"/>
      </w:r>
      <w:r>
        <w:rPr>
          <w:rFonts w:ascii="Times New Roman"/>
        </w:rPr>
        <w:t>1</w:t>
      </w:r>
      <w:r>
        <w:rPr>
          <w:rFonts w:ascii="Times New Roman"/>
        </w:rPr>
        <w:fldChar w:fldCharType="end"/>
      </w:r>
      <w:r>
        <w:rPr>
          <w:rFonts w:ascii="Times New Roman"/>
        </w:rPr>
        <w:fldChar w:fldCharType="end"/>
      </w:r>
    </w:p>
    <w:p w14:paraId="321F4FA3">
      <w:pPr>
        <w:pStyle w:val="20"/>
        <w:spacing w:before="78" w:after="78"/>
        <w:rPr>
          <w:rFonts w:ascii="Calibri" w:hAnsi="Calibri"/>
          <w:szCs w:val="22"/>
        </w:rPr>
      </w:pPr>
      <w:r>
        <w:fldChar w:fldCharType="begin"/>
      </w:r>
      <w:r>
        <w:instrText xml:space="preserve"> HYPERLINK \l "_Toc61774161" </w:instrText>
      </w:r>
      <w:r>
        <w:fldChar w:fldCharType="separate"/>
      </w:r>
      <w:r>
        <w:rPr>
          <w:rFonts w:ascii="Times New Roman"/>
        </w:rPr>
        <w:t>3</w:t>
      </w:r>
      <w:r>
        <w:rPr>
          <w:rStyle w:val="40"/>
          <w:rFonts w:hint="eastAsia"/>
        </w:rPr>
        <w:t>　术语和定义</w:t>
      </w:r>
      <w:r>
        <w:tab/>
      </w:r>
      <w:r>
        <w:rPr>
          <w:rFonts w:ascii="Times New Roman"/>
        </w:rPr>
        <w:fldChar w:fldCharType="begin" w:fldLock="1"/>
      </w:r>
      <w:r>
        <w:rPr>
          <w:rFonts w:ascii="Times New Roman"/>
        </w:rPr>
        <w:instrText xml:space="preserve"> PAGEREF _Toc61774161 \h </w:instrText>
      </w:r>
      <w:r>
        <w:rPr>
          <w:rFonts w:ascii="Times New Roman"/>
        </w:rPr>
        <w:fldChar w:fldCharType="separate"/>
      </w:r>
      <w:r>
        <w:rPr>
          <w:rFonts w:ascii="Times New Roman"/>
        </w:rPr>
        <w:t>1</w:t>
      </w:r>
      <w:r>
        <w:rPr>
          <w:rFonts w:ascii="Times New Roman"/>
        </w:rPr>
        <w:fldChar w:fldCharType="end"/>
      </w:r>
      <w:r>
        <w:rPr>
          <w:rFonts w:ascii="Times New Roman"/>
        </w:rPr>
        <w:fldChar w:fldCharType="end"/>
      </w:r>
    </w:p>
    <w:p w14:paraId="21A7B6E6">
      <w:pPr>
        <w:pStyle w:val="20"/>
        <w:spacing w:before="78" w:after="78"/>
        <w:rPr>
          <w:rFonts w:ascii="Calibri" w:hAnsi="Calibri"/>
          <w:szCs w:val="22"/>
        </w:rPr>
      </w:pPr>
      <w:r>
        <w:fldChar w:fldCharType="begin"/>
      </w:r>
      <w:r>
        <w:instrText xml:space="preserve"> HYPERLINK \l "_Toc61774173" </w:instrText>
      </w:r>
      <w:r>
        <w:fldChar w:fldCharType="separate"/>
      </w:r>
      <w:r>
        <w:rPr>
          <w:rFonts w:ascii="Times New Roman"/>
        </w:rPr>
        <w:t>4</w:t>
      </w:r>
      <w:r>
        <w:rPr>
          <w:rStyle w:val="40"/>
          <w:rFonts w:hint="eastAsia"/>
        </w:rPr>
        <w:t>　</w:t>
      </w:r>
      <w:r>
        <w:rPr>
          <w:rStyle w:val="40"/>
          <w:rFonts w:hint="eastAsia"/>
          <w:lang w:eastAsia="zh-CN"/>
        </w:rPr>
        <w:t>建设目标</w:t>
      </w:r>
      <w:r>
        <w:tab/>
      </w:r>
      <w:r>
        <w:rPr>
          <w:rFonts w:hint="eastAsia" w:ascii="Times New Roman"/>
        </w:rPr>
        <w:t>2</w:t>
      </w:r>
      <w:r>
        <w:rPr>
          <w:rFonts w:hint="eastAsia" w:ascii="Times New Roman"/>
        </w:rPr>
        <w:fldChar w:fldCharType="end"/>
      </w:r>
    </w:p>
    <w:p w14:paraId="5A89C0CD">
      <w:pPr>
        <w:pStyle w:val="20"/>
        <w:spacing w:before="78" w:after="78"/>
        <w:rPr>
          <w:rFonts w:hint="eastAsia" w:ascii="Times New Roman"/>
        </w:rPr>
      </w:pPr>
      <w:r>
        <w:fldChar w:fldCharType="begin"/>
      </w:r>
      <w:r>
        <w:instrText xml:space="preserve"> HYPERLINK \l "_Toc61774178" </w:instrText>
      </w:r>
      <w:r>
        <w:fldChar w:fldCharType="separate"/>
      </w:r>
      <w:r>
        <w:rPr>
          <w:rFonts w:ascii="Times New Roman"/>
        </w:rPr>
        <w:t>5</w:t>
      </w:r>
      <w:r>
        <w:rPr>
          <w:rStyle w:val="40"/>
          <w:rFonts w:hint="eastAsia"/>
        </w:rPr>
        <w:t>　</w:t>
      </w:r>
      <w:r>
        <w:rPr>
          <w:rStyle w:val="40"/>
          <w:rFonts w:hint="eastAsia"/>
          <w:lang w:eastAsia="zh-CN"/>
        </w:rPr>
        <w:t>建设内容</w:t>
      </w:r>
      <w:r>
        <w:tab/>
      </w:r>
      <w:r>
        <w:rPr>
          <w:rFonts w:hint="eastAsia" w:ascii="Times New Roman"/>
        </w:rPr>
        <w:t>2</w:t>
      </w:r>
      <w:r>
        <w:rPr>
          <w:rFonts w:hint="eastAsia" w:ascii="Times New Roman"/>
        </w:rPr>
        <w:fldChar w:fldCharType="end"/>
      </w:r>
    </w:p>
    <w:p w14:paraId="7D55C527">
      <w:pPr>
        <w:pStyle w:val="20"/>
        <w:spacing w:before="78" w:after="78"/>
        <w:rPr>
          <w:rFonts w:ascii="Calibri" w:hAnsi="Calibri"/>
          <w:szCs w:val="22"/>
        </w:rPr>
      </w:pPr>
      <w:r>
        <w:fldChar w:fldCharType="begin"/>
      </w:r>
      <w:r>
        <w:instrText xml:space="preserve"> HYPERLINK \l "_Toc61774173" </w:instrText>
      </w:r>
      <w:r>
        <w:fldChar w:fldCharType="separate"/>
      </w:r>
      <w:r>
        <w:rPr>
          <w:rFonts w:hint="eastAsia"/>
          <w:lang w:val="en-US" w:eastAsia="zh-CN"/>
        </w:rPr>
        <w:t>6</w:t>
      </w:r>
      <w:r>
        <w:rPr>
          <w:rStyle w:val="40"/>
          <w:rFonts w:hint="eastAsia"/>
        </w:rPr>
        <w:t>　</w:t>
      </w:r>
      <w:r>
        <w:rPr>
          <w:rStyle w:val="40"/>
          <w:rFonts w:hint="eastAsia"/>
          <w:lang w:eastAsia="zh-CN"/>
        </w:rPr>
        <w:t>建设原则</w:t>
      </w:r>
      <w:r>
        <w:tab/>
      </w:r>
      <w:r>
        <w:rPr>
          <w:rFonts w:hint="eastAsia" w:ascii="Times New Roman"/>
          <w:lang w:val="en-US" w:eastAsia="zh-CN"/>
        </w:rPr>
        <w:t>3</w:t>
      </w:r>
      <w:r>
        <w:rPr>
          <w:rFonts w:hint="eastAsia" w:ascii="Times New Roman"/>
        </w:rPr>
        <w:fldChar w:fldCharType="end"/>
      </w:r>
    </w:p>
    <w:p w14:paraId="3FC3B38B">
      <w:pPr>
        <w:pStyle w:val="20"/>
        <w:spacing w:before="78" w:after="78"/>
        <w:rPr>
          <w:rFonts w:hint="eastAsia" w:ascii="Times New Roman"/>
        </w:rPr>
      </w:pPr>
      <w:r>
        <w:fldChar w:fldCharType="begin"/>
      </w:r>
      <w:r>
        <w:instrText xml:space="preserve"> HYPERLINK \l "_Toc61774178" </w:instrText>
      </w:r>
      <w:r>
        <w:fldChar w:fldCharType="separate"/>
      </w:r>
      <w:r>
        <w:rPr>
          <w:rFonts w:hint="eastAsia"/>
          <w:lang w:val="en-US" w:eastAsia="zh-CN"/>
        </w:rPr>
        <w:t>7</w:t>
      </w:r>
      <w:r>
        <w:rPr>
          <w:rStyle w:val="40"/>
          <w:rFonts w:hint="eastAsia"/>
        </w:rPr>
        <w:t>　</w:t>
      </w:r>
      <w:r>
        <w:rPr>
          <w:rStyle w:val="40"/>
          <w:rFonts w:hint="eastAsia"/>
          <w:lang w:eastAsia="zh-CN"/>
        </w:rPr>
        <w:t>建设要求</w:t>
      </w:r>
      <w:r>
        <w:tab/>
      </w:r>
      <w:r>
        <w:rPr>
          <w:rFonts w:hint="eastAsia" w:ascii="Times New Roman"/>
          <w:lang w:val="en-US" w:eastAsia="zh-CN"/>
        </w:rPr>
        <w:t>3</w:t>
      </w:r>
      <w:r>
        <w:rPr>
          <w:rFonts w:hint="eastAsia" w:ascii="Times New Roman"/>
        </w:rPr>
        <w:fldChar w:fldCharType="end"/>
      </w:r>
    </w:p>
    <w:p w14:paraId="6458626C">
      <w:pPr>
        <w:pStyle w:val="20"/>
        <w:spacing w:before="78" w:after="78"/>
        <w:rPr>
          <w:rFonts w:ascii="Calibri" w:hAnsi="Calibri"/>
          <w:szCs w:val="22"/>
        </w:rPr>
      </w:pPr>
      <w:r>
        <w:fldChar w:fldCharType="begin"/>
      </w:r>
      <w:r>
        <w:instrText xml:space="preserve"> HYPERLINK \l "_Toc61774173" </w:instrText>
      </w:r>
      <w:r>
        <w:fldChar w:fldCharType="separate"/>
      </w:r>
      <w:r>
        <w:rPr>
          <w:rFonts w:hint="eastAsia"/>
          <w:lang w:val="en-US" w:eastAsia="zh-CN"/>
        </w:rPr>
        <w:t>8</w:t>
      </w:r>
      <w:r>
        <w:rPr>
          <w:rStyle w:val="40"/>
          <w:rFonts w:hint="eastAsia"/>
        </w:rPr>
        <w:t>　</w:t>
      </w:r>
      <w:r>
        <w:rPr>
          <w:rStyle w:val="40"/>
          <w:rFonts w:hint="eastAsia"/>
          <w:lang w:eastAsia="zh-CN"/>
        </w:rPr>
        <w:t>组织管理</w:t>
      </w:r>
      <w:r>
        <w:tab/>
      </w:r>
      <w:r>
        <w:rPr>
          <w:rFonts w:hint="eastAsia" w:ascii="Times New Roman"/>
          <w:lang w:val="en-US" w:eastAsia="zh-CN"/>
        </w:rPr>
        <w:t>5</w:t>
      </w:r>
      <w:r>
        <w:rPr>
          <w:rFonts w:hint="eastAsia" w:ascii="Times New Roman"/>
        </w:rPr>
        <w:fldChar w:fldCharType="end"/>
      </w:r>
    </w:p>
    <w:p w14:paraId="5A30C04D">
      <w:pPr>
        <w:pStyle w:val="20"/>
        <w:spacing w:before="78" w:after="78"/>
        <w:rPr>
          <w:rFonts w:hint="eastAsia" w:ascii="Times New Roman"/>
        </w:rPr>
      </w:pPr>
      <w:r>
        <w:fldChar w:fldCharType="begin"/>
      </w:r>
      <w:r>
        <w:instrText xml:space="preserve"> HYPERLINK \l "_Toc61774178" </w:instrText>
      </w:r>
      <w:r>
        <w:fldChar w:fldCharType="separate"/>
      </w:r>
      <w:r>
        <w:rPr>
          <w:rFonts w:hint="eastAsia"/>
          <w:lang w:val="en-US" w:eastAsia="zh-CN"/>
        </w:rPr>
        <w:t>9</w:t>
      </w:r>
      <w:r>
        <w:rPr>
          <w:rStyle w:val="40"/>
          <w:rFonts w:hint="eastAsia"/>
        </w:rPr>
        <w:t>　</w:t>
      </w:r>
      <w:r>
        <w:rPr>
          <w:rStyle w:val="40"/>
          <w:rFonts w:hint="eastAsia"/>
          <w:lang w:eastAsia="zh-CN"/>
        </w:rPr>
        <w:t>保障措施</w:t>
      </w:r>
      <w:r>
        <w:tab/>
      </w:r>
      <w:r>
        <w:rPr>
          <w:rFonts w:hint="eastAsia" w:ascii="Times New Roman"/>
          <w:lang w:val="en-US" w:eastAsia="zh-CN"/>
        </w:rPr>
        <w:t>6</w:t>
      </w:r>
      <w:r>
        <w:rPr>
          <w:rFonts w:hint="eastAsia" w:ascii="Times New Roman"/>
        </w:rPr>
        <w:fldChar w:fldCharType="end"/>
      </w:r>
    </w:p>
    <w:p w14:paraId="49BCFBBA">
      <w:pPr>
        <w:pStyle w:val="20"/>
        <w:spacing w:before="78" w:after="78"/>
        <w:rPr>
          <w:rFonts w:hint="eastAsia" w:eastAsia="宋体"/>
          <w:lang w:val="en-US" w:eastAsia="zh-CN"/>
        </w:rPr>
      </w:pPr>
      <w:r>
        <w:fldChar w:fldCharType="begin"/>
      </w:r>
      <w:r>
        <w:instrText xml:space="preserve"> HYPERLINK \l "_Toc61774215" </w:instrText>
      </w:r>
      <w:r>
        <w:fldChar w:fldCharType="separate"/>
      </w:r>
      <w:r>
        <w:rPr>
          <w:rFonts w:hint="eastAsia" w:ascii="Times New Roman"/>
        </w:rPr>
        <w:t>参考文献</w:t>
      </w:r>
      <w:r>
        <w:tab/>
      </w:r>
      <w:r>
        <w:rPr>
          <w:rFonts w:hint="eastAsia" w:ascii="Times New Roman"/>
        </w:rPr>
        <w:fldChar w:fldCharType="end"/>
      </w:r>
      <w:r>
        <w:fldChar w:fldCharType="end"/>
      </w:r>
      <w:r>
        <w:rPr>
          <w:rFonts w:hint="eastAsia"/>
          <w:lang w:val="en-US" w:eastAsia="zh-CN"/>
        </w:rPr>
        <w:t>7</w:t>
      </w:r>
    </w:p>
    <w:p w14:paraId="4263C2CA">
      <w:pPr>
        <w:pStyle w:val="113"/>
        <w:sectPr>
          <w:headerReference r:id="rId4" w:type="default"/>
          <w:footerReference r:id="rId5" w:type="default"/>
          <w:pgSz w:w="11906" w:h="16838"/>
          <w:pgMar w:top="567" w:right="1134" w:bottom="1134" w:left="1418" w:header="1418" w:footer="1134" w:gutter="0"/>
          <w:pgNumType w:start="1"/>
          <w:cols w:space="425" w:num="1"/>
          <w:formProt w:val="0"/>
          <w:titlePg/>
          <w:docGrid w:type="lines" w:linePitch="312" w:charSpace="0"/>
        </w:sectPr>
      </w:pPr>
      <w:bookmarkStart w:id="3" w:name="_Toc61774155"/>
    </w:p>
    <w:p w14:paraId="7A5064A4">
      <w:pPr>
        <w:pStyle w:val="113"/>
      </w:pPr>
      <w:r>
        <w:rPr>
          <w:rFonts w:hint="eastAsia"/>
        </w:rPr>
        <w:t>前</w:t>
      </w:r>
      <w:bookmarkStart w:id="4" w:name="BKQY"/>
      <w:r>
        <w:rPr>
          <w:rFonts w:hAnsi="黑体"/>
        </w:rPr>
        <w:t>  </w:t>
      </w:r>
      <w:r>
        <w:rPr>
          <w:rFonts w:hint="eastAsia"/>
        </w:rPr>
        <w:t>言</w:t>
      </w:r>
      <w:bookmarkEnd w:id="0"/>
      <w:bookmarkEnd w:id="1"/>
      <w:bookmarkEnd w:id="3"/>
      <w:bookmarkEnd w:id="4"/>
    </w:p>
    <w:p w14:paraId="1C7EC2DA">
      <w:pPr>
        <w:pStyle w:val="138"/>
        <w:ind w:firstLine="420" w:firstLineChars="200"/>
        <w:rPr>
          <w:sz w:val="21"/>
          <w:szCs w:val="21"/>
        </w:rPr>
      </w:pPr>
      <w:r>
        <w:rPr>
          <w:rFonts w:hint="eastAsia"/>
          <w:sz w:val="21"/>
          <w:szCs w:val="21"/>
        </w:rPr>
        <w:t>本文件按照</w:t>
      </w:r>
      <w:r>
        <w:rPr>
          <w:rFonts w:ascii="Times New Roman" w:cs="Times New Roman"/>
          <w:sz w:val="21"/>
          <w:szCs w:val="21"/>
        </w:rPr>
        <w:t>GB/T 1.1-2020</w:t>
      </w:r>
      <w:r>
        <w:rPr>
          <w:rFonts w:hint="eastAsia"/>
          <w:sz w:val="21"/>
          <w:szCs w:val="21"/>
        </w:rPr>
        <w:t>《标准化工作导则 第1部分：标准化文件的结构和起草规则》的规定起草。</w:t>
      </w:r>
      <w:r>
        <w:rPr>
          <w:sz w:val="21"/>
          <w:szCs w:val="21"/>
        </w:rPr>
        <w:t xml:space="preserve"> </w:t>
      </w:r>
    </w:p>
    <w:p w14:paraId="5C13E454">
      <w:pPr>
        <w:pStyle w:val="138"/>
        <w:ind w:firstLine="420" w:firstLineChars="200"/>
        <w:rPr>
          <w:sz w:val="21"/>
          <w:szCs w:val="21"/>
        </w:rPr>
      </w:pPr>
      <w:r>
        <w:rPr>
          <w:rFonts w:hint="eastAsia"/>
          <w:sz w:val="21"/>
          <w:szCs w:val="21"/>
        </w:rPr>
        <w:t>本文件由陕西省卫生健康委员会提出并归口。</w:t>
      </w:r>
      <w:r>
        <w:rPr>
          <w:sz w:val="21"/>
          <w:szCs w:val="21"/>
        </w:rPr>
        <w:t xml:space="preserve"> </w:t>
      </w:r>
    </w:p>
    <w:p w14:paraId="17F9EEFC">
      <w:pPr>
        <w:pStyle w:val="138"/>
        <w:ind w:firstLine="420" w:firstLineChars="200"/>
        <w:rPr>
          <w:sz w:val="21"/>
          <w:szCs w:val="21"/>
        </w:rPr>
      </w:pPr>
      <w:r>
        <w:rPr>
          <w:rFonts w:hint="eastAsia"/>
          <w:sz w:val="21"/>
          <w:szCs w:val="21"/>
        </w:rPr>
        <w:t>本文件起草单位：陕西中医药大学附属医院、陕西省针灸学会小儿推拿专业委员会、西藏民族大学附属医院、延安大学附属医院、安康市中医医院。</w:t>
      </w:r>
    </w:p>
    <w:p w14:paraId="66816E1C">
      <w:pPr>
        <w:pStyle w:val="24"/>
        <w:rPr>
          <w:rFonts w:hint="eastAsia"/>
          <w:sz w:val="21"/>
          <w:szCs w:val="21"/>
        </w:rPr>
      </w:pPr>
    </w:p>
    <w:p w14:paraId="4FBAEA5B">
      <w:pPr>
        <w:pStyle w:val="24"/>
        <w:rPr>
          <w:rFonts w:hint="eastAsia"/>
          <w:szCs w:val="21"/>
          <w:lang w:eastAsia="zh-CN"/>
        </w:rPr>
      </w:pPr>
      <w:r>
        <w:rPr>
          <w:rFonts w:hint="eastAsia"/>
          <w:szCs w:val="21"/>
        </w:rPr>
        <w:t>本文件主要起草人：王卫刚、王婷、李雪</w:t>
      </w:r>
      <w:r>
        <w:rPr>
          <w:rFonts w:hint="eastAsia"/>
          <w:szCs w:val="21"/>
          <w:lang w:eastAsia="zh-CN"/>
        </w:rPr>
        <w:t>、</w:t>
      </w:r>
      <w:r>
        <w:rPr>
          <w:rFonts w:hint="eastAsia"/>
          <w:szCs w:val="21"/>
        </w:rPr>
        <w:t>刘智斌、</w:t>
      </w:r>
      <w:r>
        <w:rPr>
          <w:rFonts w:hint="eastAsia"/>
          <w:szCs w:val="21"/>
          <w:lang w:val="en-US" w:eastAsia="zh-CN"/>
        </w:rPr>
        <w:t>薛锦锦、崔楠、郭新荣</w:t>
      </w:r>
      <w:bookmarkStart w:id="57" w:name="_GoBack"/>
      <w:bookmarkEnd w:id="57"/>
      <w:r>
        <w:rPr>
          <w:rFonts w:hint="eastAsia"/>
          <w:szCs w:val="21"/>
        </w:rPr>
        <w:t>、董鸿智、陈垣、惠鑫、张倩、李彬锋</w:t>
      </w:r>
      <w:r>
        <w:rPr>
          <w:rFonts w:hint="eastAsia"/>
          <w:szCs w:val="21"/>
          <w:lang w:eastAsia="zh-CN"/>
        </w:rPr>
        <w:t>、</w:t>
      </w:r>
      <w:r>
        <w:rPr>
          <w:rFonts w:hint="eastAsia"/>
          <w:szCs w:val="21"/>
          <w:lang w:val="en-US" w:eastAsia="zh-CN"/>
        </w:rPr>
        <w:t>张朴、梁杏杏、张娟娟</w:t>
      </w:r>
      <w:r>
        <w:rPr>
          <w:rFonts w:hint="eastAsia"/>
          <w:szCs w:val="21"/>
        </w:rPr>
        <w:t>。</w:t>
      </w:r>
      <w:r>
        <w:rPr>
          <w:szCs w:val="21"/>
        </w:rPr>
        <w:t xml:space="preserve"> </w:t>
      </w:r>
    </w:p>
    <w:p w14:paraId="10481A91">
      <w:pPr>
        <w:pStyle w:val="147"/>
        <w:ind w:firstLine="420"/>
        <w:rPr>
          <w:rFonts w:hint="eastAsia" w:eastAsia="宋体"/>
          <w:lang w:eastAsia="zh-CN"/>
        </w:rPr>
      </w:pPr>
      <w:r>
        <w:rPr>
          <w:rFonts w:hint="eastAsia"/>
        </w:rPr>
        <w:t>本标准顾问：</w:t>
      </w:r>
      <w:r>
        <w:rPr>
          <w:rFonts w:hint="eastAsia"/>
          <w:lang w:val="en-US" w:eastAsia="zh-CN"/>
        </w:rPr>
        <w:t>刘智斌、郭亚雄、贾成文、苏同生</w:t>
      </w:r>
      <w:r>
        <w:rPr>
          <w:rFonts w:hint="eastAsia" w:ascii="宋体" w:hAnsi="Times New Roman" w:eastAsia="宋体" w:cs="Times New Roman"/>
          <w:lang w:val="en-US" w:eastAsia="zh-CN"/>
        </w:rPr>
        <w:t>。</w:t>
      </w:r>
    </w:p>
    <w:p w14:paraId="0A90FAB8">
      <w:pPr>
        <w:pStyle w:val="24"/>
        <w:rPr>
          <w:szCs w:val="21"/>
        </w:rPr>
      </w:pPr>
      <w:r>
        <w:rPr>
          <w:rFonts w:hint="eastAsia"/>
          <w:szCs w:val="21"/>
        </w:rPr>
        <w:t>本文件由</w:t>
      </w:r>
      <w:r>
        <w:rPr>
          <w:rFonts w:hint="eastAsia"/>
          <w:szCs w:val="21"/>
          <w:lang w:eastAsia="zh-CN"/>
        </w:rPr>
        <w:t>陕西中医药大学附属医院</w:t>
      </w:r>
      <w:r>
        <w:rPr>
          <w:rFonts w:hint="eastAsia"/>
          <w:szCs w:val="21"/>
        </w:rPr>
        <w:t>负责解释。</w:t>
      </w:r>
    </w:p>
    <w:p w14:paraId="5C15F945">
      <w:pPr>
        <w:pStyle w:val="24"/>
        <w:ind w:firstLineChars="0"/>
        <w:rPr>
          <w:szCs w:val="21"/>
        </w:rPr>
      </w:pPr>
      <w:r>
        <w:rPr>
          <w:rFonts w:hint="eastAsia"/>
          <w:szCs w:val="21"/>
        </w:rPr>
        <w:t>本文件首次发布。</w:t>
      </w:r>
    </w:p>
    <w:p w14:paraId="7C1CC8A1">
      <w:pPr>
        <w:pStyle w:val="24"/>
        <w:ind w:firstLineChars="0"/>
        <w:rPr>
          <w:szCs w:val="21"/>
        </w:rPr>
      </w:pPr>
    </w:p>
    <w:p w14:paraId="733EE74D">
      <w:pPr>
        <w:pStyle w:val="24"/>
        <w:ind w:firstLineChars="0"/>
        <w:rPr>
          <w:rFonts w:hint="eastAsia" w:eastAsia="宋体"/>
          <w:szCs w:val="21"/>
          <w:lang w:eastAsia="zh-CN"/>
        </w:rPr>
      </w:pPr>
      <w:r>
        <w:rPr>
          <w:rFonts w:hint="eastAsia"/>
          <w:szCs w:val="21"/>
        </w:rPr>
        <w:t>联系信息：</w:t>
      </w:r>
    </w:p>
    <w:p w14:paraId="18E5FE53">
      <w:pPr>
        <w:pStyle w:val="24"/>
        <w:ind w:firstLineChars="0"/>
        <w:rPr>
          <w:szCs w:val="21"/>
        </w:rPr>
      </w:pPr>
      <w:r>
        <w:rPr>
          <w:rFonts w:hint="eastAsia"/>
          <w:szCs w:val="21"/>
        </w:rPr>
        <w:t>单位：</w:t>
      </w:r>
      <w:r>
        <w:rPr>
          <w:rFonts w:hint="eastAsia"/>
          <w:szCs w:val="21"/>
          <w:lang w:eastAsia="zh-CN"/>
        </w:rPr>
        <w:t>陕西中医药大学附属医院</w:t>
      </w:r>
      <w:r>
        <w:rPr>
          <w:rFonts w:hint="eastAsia"/>
          <w:szCs w:val="21"/>
        </w:rPr>
        <w:t xml:space="preserve">        </w:t>
      </w:r>
    </w:p>
    <w:p w14:paraId="1FD15785">
      <w:pPr>
        <w:pStyle w:val="24"/>
        <w:ind w:firstLineChars="0"/>
        <w:rPr>
          <w:szCs w:val="21"/>
        </w:rPr>
      </w:pPr>
      <w:r>
        <w:rPr>
          <w:rFonts w:hint="eastAsia"/>
          <w:szCs w:val="21"/>
        </w:rPr>
        <w:t>电话：</w:t>
      </w:r>
      <w:r>
        <w:rPr>
          <w:rFonts w:hint="eastAsia"/>
          <w:szCs w:val="21"/>
          <w:lang w:val="en-US" w:eastAsia="zh-CN"/>
        </w:rPr>
        <w:t>029-32087713</w:t>
      </w:r>
      <w:r>
        <w:rPr>
          <w:rFonts w:hint="eastAsia"/>
          <w:szCs w:val="21"/>
        </w:rPr>
        <w:t xml:space="preserve">        </w:t>
      </w:r>
    </w:p>
    <w:p w14:paraId="14BB97C5">
      <w:pPr>
        <w:pStyle w:val="24"/>
        <w:ind w:firstLineChars="0"/>
        <w:rPr>
          <w:color w:val="000000" w:themeColor="text1"/>
          <w:szCs w:val="21"/>
          <w14:textFill>
            <w14:solidFill>
              <w14:schemeClr w14:val="tx1"/>
            </w14:solidFill>
          </w14:textFill>
        </w:rPr>
      </w:pPr>
      <w:r>
        <w:rPr>
          <w:rFonts w:hint="eastAsia"/>
          <w:szCs w:val="21"/>
        </w:rPr>
        <w:t>地址：</w:t>
      </w:r>
      <w:r>
        <w:rPr>
          <w:rFonts w:hint="eastAsia"/>
          <w:szCs w:val="21"/>
          <w:lang w:eastAsia="zh-CN"/>
        </w:rPr>
        <w:t>陕西省咸阳市秦都区渭阳西路副</w:t>
      </w:r>
      <w:r>
        <w:rPr>
          <w:rFonts w:hint="eastAsia"/>
          <w:szCs w:val="21"/>
          <w:lang w:val="en-US" w:eastAsia="zh-CN"/>
        </w:rPr>
        <w:t>2号</w:t>
      </w:r>
      <w:r>
        <w:rPr>
          <w:rFonts w:hint="eastAsia"/>
          <w:color w:val="000000" w:themeColor="text1"/>
          <w:szCs w:val="21"/>
          <w14:textFill>
            <w14:solidFill>
              <w14:schemeClr w14:val="tx1"/>
            </w14:solidFill>
          </w14:textFill>
        </w:rPr>
        <w:t xml:space="preserve">        </w:t>
      </w:r>
    </w:p>
    <w:p w14:paraId="6530C83F">
      <w:pPr>
        <w:widowControl/>
        <w:ind w:firstLine="420" w:firstLineChars="200"/>
        <w:jc w:val="left"/>
        <w:rPr>
          <w:rFonts w:hint="eastAsia"/>
          <w:szCs w:val="21"/>
        </w:rPr>
        <w:sectPr>
          <w:footerReference r:id="rId7" w:type="first"/>
          <w:footerReference r:id="rId6" w:type="default"/>
          <w:pgSz w:w="11906" w:h="16838"/>
          <w:pgMar w:top="567" w:right="1134" w:bottom="1134" w:left="1418" w:header="1418" w:footer="1134" w:gutter="0"/>
          <w:pgNumType w:start="1"/>
          <w:cols w:space="425" w:num="1"/>
          <w:formProt w:val="0"/>
          <w:titlePg/>
          <w:docGrid w:type="lines" w:linePitch="312" w:charSpace="0"/>
        </w:sectPr>
      </w:pPr>
      <w:r>
        <w:rPr>
          <w:rFonts w:hint="eastAsia"/>
          <w:szCs w:val="21"/>
        </w:rPr>
        <w:t>邮编：</w:t>
      </w:r>
      <w:r>
        <w:rPr>
          <w:rFonts w:hint="eastAsia"/>
          <w:szCs w:val="21"/>
          <w:lang w:val="en-US" w:eastAsia="zh-CN"/>
        </w:rPr>
        <w:t>712000</w:t>
      </w:r>
      <w:r>
        <w:rPr>
          <w:rFonts w:hint="eastAsia"/>
          <w:szCs w:val="21"/>
        </w:rPr>
        <w:t xml:space="preserve">     </w:t>
      </w:r>
    </w:p>
    <w:p w14:paraId="04E4CFFC">
      <w:pPr>
        <w:pStyle w:val="113"/>
        <w:shd w:val="clear" w:color="FFFFFF" w:fill="FFFFFF"/>
        <w:rPr>
          <w:rFonts w:hint="eastAsia" w:ascii="宋体" w:hAnsi="宋体" w:eastAsia="宋体" w:cs="宋体"/>
          <w:sz w:val="24"/>
          <w:szCs w:val="24"/>
        </w:rPr>
      </w:pPr>
      <w:bookmarkStart w:id="5" w:name="_Toc7308"/>
      <w:r>
        <w:rPr>
          <w:rFonts w:hint="eastAsia" w:hAnsi="Times New Roman" w:cs="Times New Roman"/>
        </w:rPr>
        <w:t>引 言</w:t>
      </w:r>
      <w:bookmarkEnd w:id="5"/>
    </w:p>
    <w:p w14:paraId="02E2DD32">
      <w:pPr>
        <w:ind w:firstLine="480" w:firstLineChars="200"/>
        <w:rPr>
          <w:rFonts w:hint="eastAsia"/>
          <w:sz w:val="24"/>
          <w:szCs w:val="32"/>
        </w:rPr>
      </w:pPr>
      <w:r>
        <w:rPr>
          <w:rFonts w:hint="eastAsia"/>
          <w:sz w:val="24"/>
          <w:szCs w:val="32"/>
        </w:rPr>
        <w:t>本规范编写的主要目的是规范医疗机构小儿推拿。小儿推拿专业涉及儿科学和推拿学范畴，所用穴位、手法均有别于成人，为小儿所特有</w:t>
      </w:r>
      <w:r>
        <w:rPr>
          <w:rFonts w:hint="eastAsia"/>
          <w:sz w:val="24"/>
          <w:szCs w:val="32"/>
          <w:lang w:eastAsia="zh-CN"/>
        </w:rPr>
        <w:t>。</w:t>
      </w:r>
      <w:r>
        <w:rPr>
          <w:rFonts w:hint="eastAsia"/>
          <w:sz w:val="24"/>
          <w:szCs w:val="32"/>
        </w:rPr>
        <w:t>随着中国经济水平的提高及人口政策的放开，</w:t>
      </w:r>
      <w:r>
        <w:rPr>
          <w:rFonts w:hint="eastAsia"/>
          <w:sz w:val="24"/>
          <w:szCs w:val="32"/>
          <w:lang w:val="en-US" w:eastAsia="zh-CN"/>
        </w:rPr>
        <w:t>人们对绿色健康的追求，</w:t>
      </w:r>
      <w:r>
        <w:rPr>
          <w:rFonts w:hint="eastAsia"/>
          <w:sz w:val="24"/>
          <w:szCs w:val="32"/>
        </w:rPr>
        <w:t>小儿推拿治疗技术逐步跃入公众视野，但因小儿推拿从业人员储备不足，技能水平参差不齐，加之小儿脏腑稚嫩，易于传变的体质特点，导致近些年小儿推拿失治、误治等不良医疗事件时有发生。为进一步规范小儿推拿</w:t>
      </w:r>
      <w:r>
        <w:rPr>
          <w:rFonts w:hint="eastAsia"/>
          <w:sz w:val="24"/>
          <w:szCs w:val="32"/>
          <w:lang w:val="en-US" w:eastAsia="zh-CN"/>
        </w:rPr>
        <w:t>机构人员、设置、消毒、运营等，</w:t>
      </w:r>
      <w:r>
        <w:rPr>
          <w:rFonts w:hint="eastAsia"/>
          <w:sz w:val="24"/>
          <w:szCs w:val="32"/>
        </w:rPr>
        <w:t>减少医疗事故发生，特制定本规范。</w:t>
      </w:r>
    </w:p>
    <w:p w14:paraId="2B75497B">
      <w:pPr>
        <w:ind w:firstLine="480"/>
        <w:rPr>
          <w:rFonts w:hint="eastAsia"/>
          <w:sz w:val="24"/>
          <w:szCs w:val="32"/>
          <w:lang w:val="en-US" w:eastAsia="zh-CN"/>
        </w:rPr>
      </w:pPr>
      <w:r>
        <w:rPr>
          <w:rFonts w:hint="eastAsia"/>
          <w:sz w:val="24"/>
          <w:szCs w:val="32"/>
          <w:lang w:val="en-US" w:eastAsia="zh-CN"/>
        </w:rPr>
        <w:t>本规范由陕西中医药大学附属医院负责，在中医临床诊疗指南制修订专家和小儿推拿专家指导组的指导、监督下实施。其研制程序和方法参照中华中医药学会《医疗机构小儿推拿技术规范》[2023]要求执行。</w:t>
      </w:r>
    </w:p>
    <w:p w14:paraId="76826017">
      <w:pPr>
        <w:ind w:firstLine="480"/>
        <w:rPr>
          <w:rFonts w:hint="default"/>
          <w:sz w:val="24"/>
          <w:szCs w:val="32"/>
          <w:lang w:val="en-US" w:eastAsia="zh-CN"/>
        </w:rPr>
      </w:pPr>
      <w:r>
        <w:rPr>
          <w:rFonts w:hint="default"/>
          <w:sz w:val="24"/>
          <w:szCs w:val="32"/>
          <w:lang w:val="en-US" w:eastAsia="zh-CN"/>
        </w:rPr>
        <w:t>本规范按照“科学性、规范性、实用性”原则，按照“能被行业外广泛接受和认可，并与国</w:t>
      </w:r>
      <w:r>
        <w:rPr>
          <w:rFonts w:hint="eastAsia"/>
          <w:sz w:val="24"/>
          <w:szCs w:val="32"/>
          <w:lang w:val="en-US" w:eastAsia="zh-CN"/>
        </w:rPr>
        <w:t>内</w:t>
      </w:r>
      <w:r>
        <w:rPr>
          <w:rFonts w:hint="default"/>
          <w:sz w:val="24"/>
          <w:szCs w:val="32"/>
          <w:lang w:val="en-US" w:eastAsia="zh-CN"/>
        </w:rPr>
        <w:t>指南接轨”的要求、依照循证性中医临床实践指南编制技术方法开展“医疗机构小儿推拿</w:t>
      </w:r>
      <w:r>
        <w:rPr>
          <w:rFonts w:hint="eastAsia"/>
          <w:sz w:val="24"/>
          <w:szCs w:val="32"/>
          <w:lang w:val="en-US" w:eastAsia="zh-CN"/>
        </w:rPr>
        <w:t>运营</w:t>
      </w:r>
      <w:r>
        <w:rPr>
          <w:rFonts w:hint="default"/>
          <w:sz w:val="24"/>
          <w:szCs w:val="32"/>
          <w:lang w:val="en-US" w:eastAsia="zh-CN"/>
        </w:rPr>
        <w:t>规范”的研究。</w:t>
      </w:r>
    </w:p>
    <w:p w14:paraId="61CEE08C">
      <w:pPr>
        <w:ind w:firstLine="480"/>
        <w:rPr>
          <w:rFonts w:ascii="瀹嬩綋" w:hAnsi="瀹嬩綋" w:eastAsia="瀹嬩綋" w:cs="瀹嬩綋"/>
          <w:color w:val="000000"/>
          <w:kern w:val="0"/>
          <w:sz w:val="21"/>
          <w:szCs w:val="21"/>
          <w:lang w:val="en-US" w:eastAsia="zh-CN" w:bidi="ar"/>
        </w:rPr>
      </w:pPr>
      <w:r>
        <w:rPr>
          <w:rFonts w:hint="default"/>
          <w:sz w:val="24"/>
          <w:szCs w:val="32"/>
          <w:lang w:val="en-US" w:eastAsia="zh-CN"/>
        </w:rPr>
        <w:t>本规范是在充分搜集和整理文献证据以及不断征求行业内知名专家意见的基础上编制而成。在本规范形成过程中，</w:t>
      </w:r>
      <w:r>
        <w:rPr>
          <w:rFonts w:hint="eastAsia"/>
          <w:sz w:val="24"/>
          <w:szCs w:val="32"/>
          <w:lang w:val="en-US" w:eastAsia="zh-CN"/>
        </w:rPr>
        <w:t>编写组根据</w:t>
      </w:r>
      <w:r>
        <w:rPr>
          <w:rFonts w:hint="default"/>
          <w:sz w:val="24"/>
          <w:szCs w:val="32"/>
          <w:lang w:val="en-US" w:eastAsia="zh-CN"/>
        </w:rPr>
        <w:t>各级医院开展临床调研的结果，充分考虑各级医疗机构小儿推拿开展现状</w:t>
      </w:r>
      <w:r>
        <w:rPr>
          <w:rFonts w:hint="eastAsia"/>
          <w:sz w:val="24"/>
          <w:szCs w:val="32"/>
          <w:lang w:val="en-US" w:eastAsia="zh-CN"/>
        </w:rPr>
        <w:t>、</w:t>
      </w:r>
      <w:r>
        <w:rPr>
          <w:rFonts w:hint="default"/>
          <w:sz w:val="24"/>
          <w:szCs w:val="32"/>
          <w:lang w:val="en-US" w:eastAsia="zh-CN"/>
        </w:rPr>
        <w:t>患者接受度</w:t>
      </w:r>
      <w:r>
        <w:rPr>
          <w:rFonts w:hint="eastAsia"/>
          <w:sz w:val="24"/>
          <w:szCs w:val="32"/>
          <w:lang w:val="en-US" w:eastAsia="zh-CN"/>
        </w:rPr>
        <w:t>、</w:t>
      </w:r>
      <w:r>
        <w:rPr>
          <w:rFonts w:hint="default"/>
          <w:sz w:val="24"/>
          <w:szCs w:val="32"/>
          <w:lang w:val="en-US" w:eastAsia="zh-CN"/>
        </w:rPr>
        <w:t>医保政策等要求，兼顾有效性</w:t>
      </w:r>
      <w:r>
        <w:rPr>
          <w:rFonts w:hint="eastAsia" w:eastAsia="宋体" w:cs="Times New Roman"/>
          <w:sz w:val="24"/>
          <w:szCs w:val="32"/>
          <w:lang w:val="en-US" w:eastAsia="zh-CN"/>
        </w:rPr>
        <w:t>、</w:t>
      </w:r>
      <w:r>
        <w:rPr>
          <w:rFonts w:hint="default" w:eastAsia="宋体" w:cs="Times New Roman"/>
          <w:sz w:val="24"/>
          <w:szCs w:val="32"/>
          <w:lang w:val="en-US" w:eastAsia="zh-CN"/>
        </w:rPr>
        <w:t xml:space="preserve">安全性和经济性形成。 </w:t>
      </w:r>
    </w:p>
    <w:p w14:paraId="72985015">
      <w:pPr>
        <w:ind w:firstLine="480"/>
        <w:rPr>
          <w:rFonts w:hint="default"/>
          <w:sz w:val="24"/>
          <w:szCs w:val="32"/>
          <w:lang w:val="en-US" w:eastAsia="zh-CN"/>
        </w:rPr>
      </w:pPr>
      <w:r>
        <w:rPr>
          <w:rFonts w:hint="default"/>
          <w:sz w:val="24"/>
          <w:szCs w:val="32"/>
          <w:lang w:val="en-US" w:eastAsia="zh-CN"/>
        </w:rPr>
        <w:t>本规范通过审评后，将通过发布会、规范应用推广培训班、继续教育学习班、学术会议、学术期刊等多种渠道宣传、贯彻、实施，在行业内推广应用，并编制《医疗机构小儿推拿</w:t>
      </w:r>
      <w:r>
        <w:rPr>
          <w:rFonts w:hint="eastAsia"/>
          <w:sz w:val="24"/>
          <w:szCs w:val="32"/>
          <w:lang w:val="en-US" w:eastAsia="zh-CN"/>
        </w:rPr>
        <w:t>运营</w:t>
      </w:r>
      <w:r>
        <w:rPr>
          <w:rFonts w:hint="default"/>
          <w:sz w:val="24"/>
          <w:szCs w:val="32"/>
          <w:lang w:val="en-US" w:eastAsia="zh-CN"/>
        </w:rPr>
        <w:t xml:space="preserve">规范应用参考手册》供推广实施用。 </w:t>
      </w:r>
    </w:p>
    <w:p w14:paraId="73425FBC">
      <w:pPr>
        <w:ind w:firstLine="480"/>
        <w:rPr>
          <w:rFonts w:hint="default"/>
          <w:sz w:val="24"/>
          <w:szCs w:val="32"/>
          <w:lang w:val="en-US" w:eastAsia="zh-CN"/>
        </w:rPr>
      </w:pPr>
    </w:p>
    <w:p w14:paraId="2643951D">
      <w:pPr>
        <w:ind w:firstLine="480"/>
        <w:rPr>
          <w:rFonts w:hint="default"/>
          <w:sz w:val="24"/>
          <w:szCs w:val="32"/>
          <w:lang w:val="en-US" w:eastAsia="zh-CN"/>
        </w:rPr>
      </w:pPr>
      <w:r>
        <w:rPr>
          <w:rFonts w:hint="default"/>
          <w:sz w:val="24"/>
          <w:szCs w:val="32"/>
          <w:lang w:val="en-US" w:eastAsia="zh-CN"/>
        </w:rPr>
        <w:t>本规范开发小组的所有成员声明</w:t>
      </w:r>
      <w:r>
        <w:rPr>
          <w:rFonts w:hint="eastAsia"/>
          <w:sz w:val="24"/>
          <w:szCs w:val="32"/>
          <w:lang w:val="en-US" w:eastAsia="zh-CN"/>
        </w:rPr>
        <w:t>：</w:t>
      </w:r>
      <w:r>
        <w:rPr>
          <w:rFonts w:hint="default"/>
          <w:sz w:val="24"/>
          <w:szCs w:val="32"/>
          <w:lang w:val="en-US" w:eastAsia="zh-CN"/>
        </w:rPr>
        <w:t xml:space="preserve">他们与其他任何组织或个人无利益冲突。 </w:t>
      </w:r>
    </w:p>
    <w:p w14:paraId="7DB16D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Times New Roman" w:eastAsia="宋体" w:cs="宋体"/>
          <w:color w:val="0000FF"/>
          <w:kern w:val="0"/>
          <w:sz w:val="21"/>
          <w:szCs w:val="21"/>
          <w:lang w:val="en-US" w:eastAsia="zh-CN" w:bidi="ar-SA"/>
        </w:rPr>
      </w:pPr>
    </w:p>
    <w:p w14:paraId="73CA04D9">
      <w:pPr>
        <w:pStyle w:val="51"/>
        <w:tabs>
          <w:tab w:val="center" w:pos="4677"/>
        </w:tabs>
        <w:jc w:val="left"/>
        <w:rPr>
          <w:rFonts w:hint="eastAsia" w:eastAsia="黑体"/>
          <w:lang w:eastAsia="zh-CN"/>
        </w:rPr>
      </w:pPr>
      <w:r>
        <w:tab/>
      </w:r>
      <w:bookmarkStart w:id="6" w:name="_Toc61774048"/>
      <w:bookmarkStart w:id="7" w:name="_Toc61773968"/>
      <w:bookmarkStart w:id="8" w:name="_Toc61774165"/>
      <w:r>
        <w:rPr>
          <w:rFonts w:hint="eastAsia"/>
          <w:lang w:val="en-US" w:eastAsia="zh-CN"/>
        </w:rPr>
        <w:t>小儿推拿机构运营</w:t>
      </w:r>
      <w:r>
        <w:rPr>
          <w:rFonts w:hint="eastAsia"/>
          <w:lang w:eastAsia="zh-CN"/>
        </w:rPr>
        <w:t>规范</w:t>
      </w:r>
    </w:p>
    <w:p w14:paraId="3299F6B7">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ind w:left="0" w:leftChars="0" w:firstLine="0" w:firstLineChars="0"/>
        <w:textAlignment w:val="auto"/>
        <w:rPr>
          <w:rFonts w:ascii="宋体" w:hAnsi="宋体" w:eastAsia="宋体"/>
        </w:rPr>
      </w:pPr>
      <w:bookmarkStart w:id="9" w:name="_Toc61508744"/>
      <w:bookmarkStart w:id="10" w:name="_Toc61773963"/>
      <w:bookmarkStart w:id="11" w:name="_Toc61774039"/>
      <w:bookmarkStart w:id="12" w:name="_Toc61774156"/>
      <w:r>
        <w:rPr>
          <w:rFonts w:hint="eastAsia" w:ascii="黑体" w:hAnsi="Times New Roman" w:eastAsia="黑体" w:cs="Times New Roman"/>
          <w:b w:val="0"/>
          <w:i w:val="0"/>
          <w:sz w:val="21"/>
          <w:szCs w:val="21"/>
          <w:lang w:val="en-US" w:eastAsia="zh-CN" w:bidi="ar-SA"/>
        </w:rPr>
        <w:t>1　</w:t>
      </w:r>
      <w:r>
        <w:rPr>
          <w:rFonts w:hint="eastAsia"/>
        </w:rPr>
        <w:t>范围</w:t>
      </w:r>
      <w:bookmarkEnd w:id="9"/>
      <w:bookmarkEnd w:id="10"/>
      <w:bookmarkEnd w:id="11"/>
      <w:bookmarkEnd w:id="12"/>
    </w:p>
    <w:p w14:paraId="67906806">
      <w:pPr>
        <w:pStyle w:val="43"/>
        <w:numPr>
          <w:ilvl w:val="0"/>
          <w:numId w:val="0"/>
        </w:numPr>
        <w:spacing w:before="156" w:afterLines="0"/>
        <w:ind w:firstLine="420" w:firstLineChars="200"/>
        <w:rPr>
          <w:rFonts w:ascii="宋体" w:hAnsi="宋体" w:eastAsia="宋体"/>
        </w:rPr>
      </w:pPr>
      <w:bookmarkStart w:id="13" w:name="_Toc61774157"/>
      <w:bookmarkStart w:id="14" w:name="_Toc61774040"/>
      <w:r>
        <w:rPr>
          <w:rFonts w:hint="eastAsia" w:ascii="宋体" w:hAnsi="宋体" w:eastAsia="宋体"/>
        </w:rPr>
        <w:t>本文件规定了</w:t>
      </w:r>
      <w:bookmarkEnd w:id="13"/>
      <w:bookmarkEnd w:id="14"/>
      <w:r>
        <w:rPr>
          <w:rFonts w:hint="eastAsia" w:ascii="宋体" w:hAnsi="宋体" w:eastAsia="宋体"/>
        </w:rPr>
        <w:t xml:space="preserve">小儿推拿机构的术语及定义、经营管理、从业人员、环境及设施设备、服务内容等要求。           </w:t>
      </w:r>
    </w:p>
    <w:p w14:paraId="470223EF">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Times New Roman"/>
          <w:kern w:val="0"/>
          <w:sz w:val="21"/>
          <w:szCs w:val="21"/>
          <w:lang w:val="en-US" w:eastAsia="zh-CN" w:bidi="ar-SA"/>
        </w:rPr>
      </w:pPr>
      <w:bookmarkStart w:id="15" w:name="_Toc61774041"/>
      <w:bookmarkStart w:id="16" w:name="_Toc61774158"/>
      <w:r>
        <w:rPr>
          <w:rFonts w:hint="eastAsia" w:ascii="宋体" w:hAnsi="宋体" w:eastAsia="宋体"/>
        </w:rPr>
        <w:t>本文件适用于</w:t>
      </w:r>
      <w:bookmarkEnd w:id="15"/>
      <w:bookmarkEnd w:id="16"/>
      <w:r>
        <w:rPr>
          <w:rFonts w:hint="eastAsia" w:ascii="宋体" w:hAnsi="宋体" w:eastAsia="宋体"/>
        </w:rPr>
        <w:t>各类开展调理与保健服务的小儿推拿机构。</w:t>
      </w:r>
      <w:r>
        <w:rPr>
          <w:rFonts w:hint="eastAsia" w:ascii="宋体" w:hAnsi="宋体" w:eastAsia="宋体"/>
          <w:lang w:val="en-US" w:eastAsia="zh-CN"/>
        </w:rPr>
        <w:t>服务对象为0-14岁的少年儿童提供调理与保健综合性服务机构，服务内容包括中医推拿的调理与保健。其业态形式包括小儿推拿中心、儿童健康管理中心等。</w:t>
      </w:r>
      <w:r>
        <w:rPr>
          <w:rFonts w:hint="eastAsia" w:ascii="宋体" w:hAnsi="宋体" w:eastAsia="宋体"/>
        </w:rPr>
        <w:t xml:space="preserve">  </w:t>
      </w:r>
      <w:r>
        <w:rPr>
          <w:rFonts w:hint="eastAsia" w:ascii="宋体" w:hAnsi="宋体" w:eastAsia="宋体" w:cs="Times New Roman"/>
          <w:kern w:val="0"/>
          <w:sz w:val="21"/>
          <w:szCs w:val="21"/>
          <w:lang w:val="en-US" w:eastAsia="zh-CN" w:bidi="ar-SA"/>
        </w:rPr>
        <w:t xml:space="preserve">   </w:t>
      </w:r>
    </w:p>
    <w:p w14:paraId="5C4BC0CA">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ind w:left="0" w:leftChars="0" w:firstLine="0" w:firstLineChars="0"/>
        <w:textAlignment w:val="auto"/>
      </w:pPr>
      <w:bookmarkStart w:id="17" w:name="_Toc61773964"/>
      <w:bookmarkStart w:id="18" w:name="_Toc61508745"/>
      <w:bookmarkStart w:id="19" w:name="_Toc61774159"/>
      <w:bookmarkStart w:id="20" w:name="_Toc61774042"/>
      <w:r>
        <w:rPr>
          <w:rFonts w:hint="eastAsia" w:ascii="黑体" w:hAnsi="Times New Roman" w:eastAsia="黑体" w:cs="Times New Roman"/>
          <w:b w:val="0"/>
          <w:i w:val="0"/>
          <w:sz w:val="21"/>
          <w:szCs w:val="21"/>
          <w:lang w:val="en-US" w:eastAsia="zh-CN" w:bidi="ar-SA"/>
        </w:rPr>
        <w:t>2　</w:t>
      </w:r>
      <w:r>
        <w:rPr>
          <w:rFonts w:hint="eastAsia"/>
        </w:rPr>
        <w:t>规范性引用文件</w:t>
      </w:r>
      <w:bookmarkEnd w:id="17"/>
      <w:bookmarkEnd w:id="18"/>
      <w:bookmarkEnd w:id="19"/>
      <w:bookmarkEnd w:id="20"/>
      <w:r>
        <w:rPr>
          <w:rFonts w:hint="eastAsia"/>
        </w:rPr>
        <w:t xml:space="preserve"> </w:t>
      </w:r>
    </w:p>
    <w:p w14:paraId="6FC3D2F5">
      <w:pPr>
        <w:pStyle w:val="43"/>
        <w:numPr>
          <w:ilvl w:val="0"/>
          <w:numId w:val="0"/>
        </w:numPr>
        <w:spacing w:before="156" w:after="156"/>
        <w:ind w:firstLine="420" w:firstLineChars="200"/>
        <w:rPr>
          <w:rFonts w:ascii="宋体" w:hAnsi="宋体" w:eastAsia="宋体"/>
        </w:rPr>
      </w:pPr>
      <w:bookmarkStart w:id="21" w:name="_Toc61773965"/>
      <w:bookmarkStart w:id="22" w:name="_Toc61774043"/>
      <w:bookmarkStart w:id="23" w:name="_Toc61774160"/>
      <w:r>
        <w:rPr>
          <w:rFonts w:hint="eastAsia" w:ascii="宋体" w:hAnsi="宋体" w:eastAsia="宋体"/>
        </w:rPr>
        <w:t>下列文件对于本文件的应用必不可少。</w:t>
      </w:r>
      <w:bookmarkEnd w:id="21"/>
      <w:bookmarkEnd w:id="22"/>
      <w:bookmarkEnd w:id="23"/>
      <w:r>
        <w:rPr>
          <w:rFonts w:hint="eastAsia" w:ascii="宋体" w:hAnsi="宋体" w:eastAsia="宋体"/>
        </w:rPr>
        <w:t>凡是注日期的引用文件，仅注日期的版本适用于本文件。凡是不注日期的引用文件，其最新版本（包括所有的修改单）适用于本文件。</w:t>
      </w:r>
    </w:p>
    <w:p w14:paraId="7681CDF8">
      <w:pPr>
        <w:pStyle w:val="24"/>
        <w:rPr>
          <w:rFonts w:hint="eastAsia"/>
        </w:rPr>
      </w:pPr>
      <w:r>
        <w:rPr>
          <w:rFonts w:hint="eastAsia"/>
        </w:rPr>
        <w:t>GB/T 17242-1998   投诉处理指南</w:t>
      </w:r>
    </w:p>
    <w:p w14:paraId="3A2605C5">
      <w:pPr>
        <w:pStyle w:val="24"/>
        <w:rPr>
          <w:rFonts w:hint="eastAsia"/>
        </w:rPr>
      </w:pPr>
      <w:r>
        <w:rPr>
          <w:rFonts w:hint="eastAsia"/>
        </w:rPr>
        <w:t>YY/T 0734.1-2009  清洗消毒器 第1部分：通用要求、术语定义和试验</w:t>
      </w:r>
    </w:p>
    <w:p w14:paraId="38F47378">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ind w:left="0" w:leftChars="0" w:firstLine="0" w:firstLineChars="0"/>
        <w:textAlignment w:val="auto"/>
      </w:pPr>
      <w:bookmarkStart w:id="24" w:name="_Toc61773966"/>
      <w:bookmarkStart w:id="25" w:name="_Toc61774161"/>
      <w:bookmarkStart w:id="26" w:name="_Toc61774044"/>
      <w:r>
        <w:rPr>
          <w:rFonts w:hint="eastAsia" w:ascii="黑体" w:hAnsi="Times New Roman" w:eastAsia="黑体" w:cs="Times New Roman"/>
          <w:b w:val="0"/>
          <w:i w:val="0"/>
          <w:sz w:val="21"/>
          <w:szCs w:val="21"/>
          <w:lang w:val="en-US" w:eastAsia="zh-CN" w:bidi="ar-SA"/>
        </w:rPr>
        <w:t>3　</w:t>
      </w:r>
      <w:r>
        <w:rPr>
          <w:rFonts w:hint="eastAsia"/>
        </w:rPr>
        <w:t>术语和定义</w:t>
      </w:r>
      <w:bookmarkEnd w:id="24"/>
      <w:bookmarkEnd w:id="25"/>
      <w:bookmarkEnd w:id="26"/>
    </w:p>
    <w:p w14:paraId="71A8B266">
      <w:pPr>
        <w:pStyle w:val="24"/>
        <w:ind w:left="0" w:leftChars="0" w:firstLine="210" w:firstLineChars="100"/>
        <w:rPr>
          <w:rFonts w:hint="default" w:ascii="黑体" w:eastAsia="黑体" w:cs="Times New Roman"/>
          <w:sz w:val="21"/>
          <w:szCs w:val="20"/>
          <w:lang w:val="en-US" w:eastAsia="zh-CN" w:bidi="ar-SA"/>
        </w:rPr>
      </w:pPr>
      <w:r>
        <w:rPr>
          <w:rFonts w:hint="eastAsia" w:ascii="黑体" w:eastAsia="黑体" w:cs="Times New Roman"/>
          <w:sz w:val="21"/>
          <w:szCs w:val="20"/>
          <w:lang w:val="en-US" w:eastAsia="zh-CN" w:bidi="ar-SA"/>
        </w:rPr>
        <w:t>3.1 小儿推拿(Infantile  Tuina)</w:t>
      </w:r>
    </w:p>
    <w:p w14:paraId="29D325EF">
      <w:pPr>
        <w:pStyle w:val="24"/>
        <w:ind w:left="0" w:leftChars="0" w:firstLine="210" w:firstLineChars="100"/>
        <w:rPr>
          <w:rFonts w:hint="eastAsia" w:ascii="宋体" w:hAnsi="宋体" w:eastAsia="宋体" w:cs="Times New Roman"/>
          <w:sz w:val="21"/>
          <w:szCs w:val="21"/>
          <w:lang w:val="en-US" w:eastAsia="zh-CN" w:bidi="ar-SA"/>
        </w:rPr>
      </w:pPr>
      <w:r>
        <w:rPr>
          <w:rFonts w:hint="eastAsia" w:ascii="黑体" w:eastAsia="黑体" w:cs="Times New Roman"/>
          <w:sz w:val="21"/>
          <w:szCs w:val="20"/>
          <w:lang w:val="en-US" w:eastAsia="zh-CN" w:bidi="ar-SA"/>
        </w:rPr>
        <w:t xml:space="preserve">    </w:t>
      </w:r>
      <w:r>
        <w:rPr>
          <w:rFonts w:hint="eastAsia" w:ascii="宋体" w:hAnsi="宋体" w:eastAsia="宋体" w:cs="Times New Roman"/>
          <w:sz w:val="21"/>
          <w:szCs w:val="21"/>
          <w:lang w:val="en-US" w:eastAsia="zh-CN" w:bidi="ar-SA"/>
        </w:rPr>
        <w:t>定义：以中医理论为指导，通过特定手法作用于小儿体表的穴位或部位，以调节脏腑功能、促进生长发育或缓解不适的一种中医外治疗法。</w:t>
      </w:r>
    </w:p>
    <w:p w14:paraId="0C44C1E7">
      <w:pPr>
        <w:pStyle w:val="24"/>
        <w:ind w:left="0" w:leftChars="0" w:firstLine="210" w:firstLineChars="100"/>
        <w:rPr>
          <w:rFonts w:hint="default"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 xml:space="preserve">    适用范围：</w:t>
      </w:r>
      <w:r>
        <w:rPr>
          <w:rFonts w:hint="eastAsia" w:ascii="宋体" w:hAnsi="宋体" w:eastAsia="宋体" w:cs="Times New Roman"/>
          <w:sz w:val="21"/>
          <w:szCs w:val="21"/>
          <w:lang w:val="en-US" w:eastAsia="zh-CN" w:bidi="ar-SA"/>
        </w:rPr>
        <w:t>适用于0-14岁儿童。</w:t>
      </w:r>
    </w:p>
    <w:p w14:paraId="3A6E61B3">
      <w:pPr>
        <w:pStyle w:val="24"/>
        <w:ind w:left="0" w:leftChars="0" w:firstLine="210" w:firstLineChars="100"/>
        <w:rPr>
          <w:rFonts w:hint="eastAsia" w:hAnsi="宋体"/>
          <w:lang w:eastAsia="zh-CN"/>
        </w:rPr>
      </w:pPr>
      <w:r>
        <w:rPr>
          <w:rFonts w:hint="eastAsia" w:ascii="黑体" w:eastAsia="黑体" w:cs="Times New Roman"/>
          <w:sz w:val="21"/>
          <w:szCs w:val="20"/>
          <w:lang w:val="en-US" w:eastAsia="zh-CN" w:bidi="ar-SA"/>
        </w:rPr>
        <w:t xml:space="preserve">3.1 </w:t>
      </w:r>
      <w:r>
        <w:rPr>
          <w:rFonts w:hint="eastAsia" w:ascii="黑体" w:hAnsi="Times New Roman" w:eastAsia="黑体" w:cs="Times New Roman"/>
          <w:sz w:val="21"/>
          <w:szCs w:val="20"/>
          <w:lang w:val="en-US" w:eastAsia="zh-CN" w:bidi="ar-SA"/>
        </w:rPr>
        <w:t>小儿推拿机构</w:t>
      </w:r>
      <w:r>
        <w:rPr>
          <w:rFonts w:hint="eastAsia" w:ascii="黑体" w:eastAsia="黑体" w:cs="Times New Roman"/>
          <w:sz w:val="21"/>
          <w:szCs w:val="20"/>
          <w:lang w:val="en-US" w:eastAsia="zh-CN" w:bidi="ar-SA"/>
        </w:rPr>
        <w:t>(Infantile  Tuina  Institution)</w:t>
      </w:r>
      <w:r>
        <w:rPr>
          <w:rFonts w:hint="eastAsia" w:ascii="黑体" w:hAnsi="Times New Roman" w:eastAsia="黑体" w:cs="Times New Roman"/>
          <w:sz w:val="21"/>
          <w:szCs w:val="20"/>
          <w:lang w:val="en-US" w:eastAsia="zh-CN" w:bidi="ar-SA"/>
        </w:rPr>
        <w:t xml:space="preserve"> </w:t>
      </w:r>
    </w:p>
    <w:p w14:paraId="292F76B8">
      <w:pPr>
        <w:pStyle w:val="43"/>
        <w:numPr>
          <w:ilvl w:val="1"/>
          <w:numId w:val="0"/>
        </w:numPr>
        <w:spacing w:before="156" w:after="156"/>
        <w:ind w:firstLine="210" w:firstLineChars="100"/>
        <w:rPr>
          <w:rFonts w:hint="default" w:cs="Times New Roman"/>
          <w:sz w:val="21"/>
          <w:szCs w:val="20"/>
          <w:lang w:val="en-US" w:eastAsia="zh-CN" w:bidi="ar-SA"/>
        </w:rPr>
      </w:pPr>
      <w:r>
        <w:rPr>
          <w:rFonts w:hint="eastAsia" w:cs="Times New Roman"/>
          <w:sz w:val="21"/>
          <w:szCs w:val="20"/>
          <w:lang w:val="en-US" w:eastAsia="zh-CN" w:bidi="ar-SA"/>
        </w:rPr>
        <w:t xml:space="preserve">    </w:t>
      </w:r>
      <w:r>
        <w:rPr>
          <w:rFonts w:hint="eastAsia" w:ascii="宋体" w:hAnsi="宋体" w:eastAsia="宋体" w:cs="Times New Roman"/>
          <w:sz w:val="21"/>
          <w:szCs w:val="21"/>
          <w:lang w:val="en-US" w:eastAsia="zh-CN" w:bidi="ar-SA"/>
        </w:rPr>
        <w:t>定义：提供小儿推拿服务的场所，分为医疗类机构(如医院、中医诊所等)和非医疗类机构(如养生保健机构、小儿推拿店等)。</w:t>
      </w:r>
    </w:p>
    <w:p w14:paraId="4C75DBAA">
      <w:pPr>
        <w:pStyle w:val="43"/>
        <w:numPr>
          <w:ilvl w:val="1"/>
          <w:numId w:val="0"/>
        </w:numPr>
        <w:spacing w:before="156" w:after="156"/>
        <w:ind w:firstLine="210" w:firstLineChars="100"/>
        <w:rPr>
          <w:rFonts w:hint="eastAsia" w:cs="Times New Roman"/>
          <w:sz w:val="21"/>
          <w:szCs w:val="20"/>
          <w:lang w:val="en-US" w:eastAsia="zh-CN" w:bidi="ar-SA"/>
        </w:rPr>
      </w:pPr>
      <w:r>
        <w:rPr>
          <w:rFonts w:hint="eastAsia" w:cs="Times New Roman"/>
          <w:sz w:val="21"/>
          <w:szCs w:val="20"/>
          <w:lang w:val="en-US" w:eastAsia="zh-CN" w:bidi="ar-SA"/>
        </w:rPr>
        <w:t xml:space="preserve">3.2 运营规范(Operation  Standard) </w:t>
      </w:r>
    </w:p>
    <w:p w14:paraId="4F3D6E84">
      <w:pPr>
        <w:pStyle w:val="43"/>
        <w:numPr>
          <w:ilvl w:val="1"/>
          <w:numId w:val="0"/>
        </w:numPr>
        <w:spacing w:before="156" w:after="156"/>
        <w:ind w:firstLine="630" w:firstLineChars="300"/>
        <w:rPr>
          <w:rFonts w:hint="eastAsia" w:ascii="宋体" w:hAnsi="宋体" w:eastAsia="宋体"/>
          <w:lang w:eastAsia="zh-CN"/>
        </w:rPr>
      </w:pPr>
      <w:r>
        <w:rPr>
          <w:rFonts w:hint="eastAsia" w:ascii="宋体" w:hAnsi="宋体" w:eastAsia="宋体"/>
          <w:lang w:val="en-US" w:eastAsia="zh-CN"/>
        </w:rPr>
        <w:t>定义：</w:t>
      </w:r>
      <w:r>
        <w:rPr>
          <w:rFonts w:hint="eastAsia" w:ascii="宋体" w:hAnsi="宋体" w:eastAsia="宋体"/>
        </w:rPr>
        <w:t>规定了小儿推拿机构的术语及定义、经营管理、从业人员、环境及设施设备、服务内容</w:t>
      </w:r>
      <w:r>
        <w:rPr>
          <w:rFonts w:hint="eastAsia" w:ascii="宋体" w:hAnsi="宋体" w:eastAsia="宋体"/>
          <w:lang w:eastAsia="zh-CN"/>
        </w:rPr>
        <w:t>。</w:t>
      </w:r>
    </w:p>
    <w:p w14:paraId="67990820">
      <w:pPr>
        <w:pStyle w:val="24"/>
        <w:ind w:left="0" w:leftChars="0" w:firstLine="210" w:firstLineChars="100"/>
        <w:rPr>
          <w:rFonts w:hint="default"/>
          <w:lang w:val="en-US"/>
        </w:rPr>
      </w:pPr>
      <w:r>
        <w:rPr>
          <w:rFonts w:hint="eastAsia" w:ascii="黑体" w:hAnsi="Times New Roman" w:eastAsia="黑体" w:cs="Times New Roman"/>
          <w:sz w:val="21"/>
          <w:szCs w:val="20"/>
          <w:lang w:val="en-US" w:eastAsia="zh-CN" w:bidi="ar-SA"/>
        </w:rPr>
        <w:t xml:space="preserve">3.3 </w:t>
      </w:r>
      <w:bookmarkStart w:id="27" w:name="_Toc61774046"/>
      <w:bookmarkStart w:id="28" w:name="_Toc61774163"/>
      <w:r>
        <w:rPr>
          <w:rFonts w:hint="eastAsia" w:ascii="黑体" w:eastAsia="黑体" w:cs="Times New Roman"/>
          <w:sz w:val="21"/>
          <w:szCs w:val="20"/>
          <w:lang w:val="en-US" w:eastAsia="zh-CN" w:bidi="ar-SA"/>
        </w:rPr>
        <w:t>从业人员(Practitioner)</w:t>
      </w:r>
    </w:p>
    <w:bookmarkEnd w:id="27"/>
    <w:bookmarkEnd w:id="28"/>
    <w:p w14:paraId="1D9D1A05">
      <w:pPr>
        <w:pStyle w:val="24"/>
        <w:rPr>
          <w:rFonts w:hint="eastAsia"/>
          <w:lang w:val="en-US" w:eastAsia="zh-CN"/>
        </w:rPr>
      </w:pPr>
      <w:r>
        <w:rPr>
          <w:rFonts w:hint="eastAsia"/>
          <w:lang w:val="en-US" w:eastAsia="zh-CN"/>
        </w:rPr>
        <w:t xml:space="preserve">  定义：在机构内从事小儿推拿服务的人员，包括医师、技师及其他辅助人员。</w:t>
      </w:r>
    </w:p>
    <w:p w14:paraId="1ED5EFE3">
      <w:pPr>
        <w:pStyle w:val="24"/>
        <w:rPr>
          <w:rFonts w:hint="eastAsia"/>
          <w:lang w:val="en-US" w:eastAsia="zh-CN"/>
        </w:rPr>
      </w:pPr>
      <w:r>
        <w:rPr>
          <w:rFonts w:hint="eastAsia"/>
          <w:lang w:val="en-US" w:eastAsia="zh-CN"/>
        </w:rPr>
        <w:t xml:space="preserve">  资质要求：医疗类机构，需持有中医类别医师资格证书；保健类机构，需持有国家认可的职业技能证书。</w:t>
      </w:r>
    </w:p>
    <w:p w14:paraId="20E21F37">
      <w:pPr>
        <w:pStyle w:val="24"/>
        <w:ind w:left="0" w:leftChars="0" w:firstLine="0" w:firstLineChars="0"/>
        <w:rPr>
          <w:rFonts w:hint="eastAsia"/>
          <w:lang w:val="en-US" w:eastAsia="zh-CN"/>
        </w:rPr>
      </w:pPr>
      <w:r>
        <w:rPr>
          <w:rFonts w:hint="eastAsia"/>
          <w:lang w:val="en-US" w:eastAsia="zh-CN"/>
        </w:rPr>
        <w:t xml:space="preserve">  </w:t>
      </w:r>
      <w:r>
        <w:rPr>
          <w:rFonts w:hint="eastAsia" w:ascii="黑体" w:eastAsia="黑体" w:cs="Times New Roman"/>
          <w:sz w:val="21"/>
          <w:szCs w:val="20"/>
          <w:lang w:val="en-US" w:eastAsia="zh-CN" w:bidi="ar-SA"/>
        </w:rPr>
        <w:t>3.4 一客一消毒(One-Time Disinfection)</w:t>
      </w:r>
    </w:p>
    <w:p w14:paraId="2A5B04A2">
      <w:pPr>
        <w:pStyle w:val="24"/>
        <w:ind w:left="0" w:leftChars="0" w:firstLine="0" w:firstLineChars="0"/>
        <w:rPr>
          <w:rFonts w:hint="eastAsia"/>
          <w:lang w:val="en-US" w:eastAsia="zh-CN"/>
        </w:rPr>
      </w:pPr>
      <w:r>
        <w:rPr>
          <w:rFonts w:hint="eastAsia"/>
          <w:lang w:val="en-US" w:eastAsia="zh-CN"/>
        </w:rPr>
        <w:t xml:space="preserve">      定义：每位顾客使用后，推拿床、毛巾、工具等需立即消毒，符合《WS/T367-2012医疗机构消毒技术规范》要求。</w:t>
      </w:r>
    </w:p>
    <w:p w14:paraId="76A8CF48">
      <w:pPr>
        <w:pStyle w:val="24"/>
        <w:ind w:left="0" w:leftChars="0" w:firstLine="0" w:firstLineChars="0"/>
        <w:rPr>
          <w:rFonts w:hint="eastAsia" w:ascii="黑体" w:eastAsia="黑体" w:cs="Times New Roman"/>
          <w:sz w:val="21"/>
          <w:szCs w:val="20"/>
          <w:lang w:val="en-US" w:eastAsia="zh-CN" w:bidi="ar-SA"/>
        </w:rPr>
      </w:pPr>
      <w:r>
        <w:rPr>
          <w:rFonts w:hint="eastAsia"/>
          <w:lang w:val="en-US" w:eastAsia="zh-CN"/>
        </w:rPr>
        <w:t xml:space="preserve">  </w:t>
      </w:r>
      <w:r>
        <w:rPr>
          <w:rFonts w:hint="eastAsia" w:ascii="黑体" w:eastAsia="黑体" w:cs="Times New Roman"/>
          <w:sz w:val="21"/>
          <w:szCs w:val="20"/>
          <w:lang w:val="en-US" w:eastAsia="zh-CN" w:bidi="ar-SA"/>
        </w:rPr>
        <w:t>3.5 超范围经营(Beyond Business Scope)</w:t>
      </w:r>
    </w:p>
    <w:p w14:paraId="742FE33A">
      <w:pPr>
        <w:pStyle w:val="24"/>
        <w:ind w:left="0" w:leftChars="0" w:firstLine="0" w:firstLineChars="0"/>
        <w:rPr>
          <w:rFonts w:hint="eastAsia" w:ascii="黑体" w:eastAsia="黑体" w:cs="Times New Roman"/>
          <w:sz w:val="21"/>
          <w:szCs w:val="20"/>
          <w:lang w:val="en-US" w:eastAsia="zh-CN" w:bidi="ar-SA"/>
        </w:rPr>
      </w:pPr>
      <w:r>
        <w:rPr>
          <w:rFonts w:hint="eastAsia" w:ascii="黑体" w:eastAsia="黑体" w:cs="Times New Roman"/>
          <w:sz w:val="21"/>
          <w:szCs w:val="20"/>
          <w:lang w:val="en-US" w:eastAsia="zh-CN" w:bidi="ar-SA"/>
        </w:rPr>
        <w:t xml:space="preserve">   </w:t>
      </w:r>
      <w:r>
        <w:rPr>
          <w:rFonts w:hint="eastAsia" w:ascii="宋体" w:hAnsi="宋体" w:eastAsia="宋体" w:cs="宋体"/>
          <w:color w:val="auto"/>
          <w:kern w:val="0"/>
          <w:sz w:val="21"/>
          <w:szCs w:val="21"/>
          <w:lang w:val="en-US" w:eastAsia="zh-CN" w:bidi="ar"/>
        </w:rPr>
        <w:t>定义：保健机构违规开展医疗行为（如开具中药处方，使用医疗器械），属违法行为。</w:t>
      </w:r>
    </w:p>
    <w:p w14:paraId="4C0F20E4">
      <w:pPr>
        <w:pStyle w:val="24"/>
        <w:ind w:left="0" w:leftChars="0" w:firstLine="0" w:firstLineChars="0"/>
        <w:rPr>
          <w:rFonts w:hint="eastAsia" w:ascii="黑体" w:eastAsia="黑体" w:cs="Times New Roman"/>
          <w:sz w:val="21"/>
          <w:szCs w:val="20"/>
          <w:lang w:val="en-US" w:eastAsia="zh-CN" w:bidi="ar-SA"/>
        </w:rPr>
      </w:pPr>
      <w:r>
        <w:rPr>
          <w:rFonts w:hint="eastAsia" w:ascii="黑体" w:eastAsia="黑体" w:cs="Times New Roman"/>
          <w:sz w:val="21"/>
          <w:szCs w:val="20"/>
          <w:lang w:val="en-US" w:eastAsia="zh-CN" w:bidi="ar-SA"/>
        </w:rPr>
        <w:t xml:space="preserve">   3.6 应急预案(Emergency Plan)</w:t>
      </w:r>
    </w:p>
    <w:p w14:paraId="05BB0AC5">
      <w:pPr>
        <w:pStyle w:val="24"/>
        <w:ind w:left="0" w:leftChars="0" w:firstLine="0" w:firstLineChars="0"/>
        <w:rPr>
          <w:rFonts w:hint="default" w:ascii="黑体" w:eastAsia="黑体" w:cs="Times New Roman"/>
          <w:sz w:val="21"/>
          <w:szCs w:val="20"/>
          <w:lang w:val="en-US" w:eastAsia="zh-CN" w:bidi="ar-SA"/>
        </w:rPr>
      </w:pPr>
      <w:r>
        <w:rPr>
          <w:rFonts w:hint="eastAsia" w:ascii="黑体" w:eastAsia="黑体" w:cs="Times New Roman"/>
          <w:sz w:val="21"/>
          <w:szCs w:val="20"/>
          <w:lang w:val="en-US" w:eastAsia="zh-CN" w:bidi="ar-SA"/>
        </w:rPr>
        <w:t xml:space="preserve">     </w:t>
      </w:r>
      <w:r>
        <w:rPr>
          <w:rFonts w:hint="eastAsia" w:ascii="宋体" w:hAnsi="宋体" w:eastAsia="宋体" w:cs="宋体"/>
          <w:color w:val="auto"/>
          <w:kern w:val="0"/>
          <w:sz w:val="21"/>
          <w:szCs w:val="21"/>
          <w:lang w:val="en-US" w:eastAsia="zh-CN" w:bidi="ar"/>
        </w:rPr>
        <w:t>定义：针对儿童突发不适（如过敏、哭闹休克）的应急处理流程，需定期演练。</w:t>
      </w:r>
    </w:p>
    <w:bookmarkEnd w:id="6"/>
    <w:bookmarkEnd w:id="7"/>
    <w:bookmarkEnd w:id="8"/>
    <w:p w14:paraId="1FB9E461">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ind w:left="0" w:leftChars="0" w:firstLine="0" w:firstLineChars="0"/>
        <w:textAlignment w:val="auto"/>
        <w:rPr>
          <w:rFonts w:hint="eastAsia" w:hAnsi="Times New Roman" w:cs="Times New Roman"/>
          <w:lang w:val="en-US" w:eastAsia="zh-CN"/>
        </w:rPr>
      </w:pPr>
      <w:bookmarkStart w:id="29" w:name="_Toc61774172"/>
      <w:bookmarkStart w:id="30" w:name="_Toc61774055"/>
      <w:bookmarkStart w:id="31" w:name="_Toc61773974"/>
      <w:bookmarkStart w:id="32" w:name="_Toc61862071"/>
      <w:bookmarkStart w:id="33" w:name="_Toc61774173"/>
      <w:bookmarkStart w:id="34" w:name="_Toc61773975"/>
      <w:bookmarkStart w:id="35" w:name="_Toc61774056"/>
      <w:r>
        <w:rPr>
          <w:rFonts w:hint="eastAsia" w:ascii="黑体" w:hAnsi="Times New Roman" w:eastAsia="黑体" w:cs="Times New Roman"/>
          <w:b w:val="0"/>
          <w:i w:val="0"/>
          <w:sz w:val="21"/>
          <w:szCs w:val="21"/>
          <w:lang w:val="en-US" w:eastAsia="zh-CN" w:bidi="ar-SA"/>
        </w:rPr>
        <w:t>4　</w:t>
      </w:r>
      <w:r>
        <w:rPr>
          <w:rFonts w:hint="eastAsia" w:hAnsi="Times New Roman" w:cs="Times New Roman"/>
        </w:rPr>
        <w:t>建设目标</w:t>
      </w:r>
    </w:p>
    <w:p w14:paraId="6970C66F">
      <w:pPr>
        <w:pStyle w:val="46"/>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ind w:leftChars="0" w:firstLine="420" w:firstLineChars="200"/>
        <w:textAlignment w:val="auto"/>
        <w:rPr>
          <w:rFonts w:hint="eastAsia" w:ascii="宋体" w:hAnsi="宋体" w:eastAsia="宋体" w:cs="宋体"/>
          <w:color w:val="0000FF"/>
          <w:kern w:val="0"/>
          <w:sz w:val="21"/>
          <w:szCs w:val="21"/>
          <w:lang w:val="en-US" w:eastAsia="zh-CN" w:bidi="ar"/>
        </w:rPr>
      </w:pPr>
      <w:r>
        <w:rPr>
          <w:rFonts w:hint="eastAsia" w:ascii="宋体" w:hAnsi="宋体" w:eastAsia="宋体" w:cs="宋体"/>
          <w:color w:val="auto"/>
          <w:kern w:val="0"/>
          <w:sz w:val="21"/>
          <w:szCs w:val="21"/>
          <w:lang w:val="en-US" w:eastAsia="zh-CN" w:bidi="ar"/>
        </w:rPr>
        <w:t>发挥中医小儿推拿特色优势，深化中医小儿推拿服务内涵，通过开展医疗机构小儿推拿运营标准化建设，提升医疗机构小儿推拿规范化水平，挖掘传承中医小儿推拿经典理论与特色技能，探索专科发展方向，发展中医小儿推拿服务新业态，满足患者对中医小儿推拿多层次、多元化的服务需求，改善患者就医体验。</w:t>
      </w:r>
      <w:r>
        <w:rPr>
          <w:rFonts w:hint="eastAsia" w:ascii="宋体" w:hAnsi="宋体" w:eastAsia="宋体" w:cs="宋体"/>
          <w:color w:val="0000FF"/>
          <w:kern w:val="0"/>
          <w:sz w:val="21"/>
          <w:szCs w:val="21"/>
          <w:lang w:val="en-US" w:eastAsia="zh-CN" w:bidi="ar"/>
        </w:rPr>
        <w:t xml:space="preserve"> </w:t>
      </w:r>
    </w:p>
    <w:bookmarkEnd w:id="29"/>
    <w:bookmarkEnd w:id="30"/>
    <w:bookmarkEnd w:id="31"/>
    <w:bookmarkEnd w:id="32"/>
    <w:bookmarkEnd w:id="33"/>
    <w:bookmarkEnd w:id="34"/>
    <w:bookmarkEnd w:id="35"/>
    <w:p w14:paraId="6F3A6E41">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ind w:left="0" w:leftChars="0" w:firstLine="0" w:firstLineChars="0"/>
        <w:textAlignment w:val="auto"/>
        <w:rPr>
          <w:rFonts w:hint="eastAsia" w:ascii="宋体" w:hAnsi="宋体" w:eastAsia="宋体" w:cs="宋体"/>
          <w:color w:val="000000"/>
          <w:kern w:val="0"/>
          <w:sz w:val="21"/>
          <w:szCs w:val="21"/>
          <w:lang w:val="en-US" w:eastAsia="zh-CN" w:bidi="ar"/>
        </w:rPr>
      </w:pPr>
      <w:bookmarkStart w:id="36" w:name="_Toc61773989"/>
      <w:bookmarkStart w:id="37" w:name="_Toc61774187"/>
      <w:bookmarkStart w:id="38" w:name="_Toc61774070"/>
      <w:r>
        <w:rPr>
          <w:rFonts w:hint="eastAsia" w:ascii="黑体" w:hAnsi="Times New Roman" w:eastAsia="黑体" w:cs="宋体"/>
          <w:b w:val="0"/>
          <w:i w:val="0"/>
          <w:color w:val="000000"/>
          <w:kern w:val="0"/>
          <w:sz w:val="21"/>
          <w:szCs w:val="21"/>
          <w:lang w:val="en-US" w:eastAsia="zh-CN" w:bidi="ar"/>
        </w:rPr>
        <w:t>5　</w:t>
      </w:r>
      <w:r>
        <w:rPr>
          <w:rFonts w:hint="eastAsia" w:ascii="黑体" w:hAnsi="黑体" w:eastAsia="黑体"/>
        </w:rPr>
        <w:t xml:space="preserve"> 建设内容</w:t>
      </w:r>
    </w:p>
    <w:p w14:paraId="0FB86C03">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ind w:left="0" w:leftChars="0" w:firstLine="0" w:firstLineChars="0"/>
        <w:textAlignment w:val="auto"/>
        <w:rPr>
          <w:rFonts w:hint="eastAsia" w:ascii="宋体" w:hAnsi="宋体" w:eastAsia="宋体" w:cs="宋体"/>
          <w:color w:val="auto"/>
          <w:kern w:val="0"/>
          <w:sz w:val="21"/>
          <w:szCs w:val="21"/>
          <w:lang w:val="en-US" w:eastAsia="zh-CN" w:bidi="ar"/>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
        </w:rPr>
        <w:t>5.1　</w:t>
      </w:r>
      <w:r>
        <w:rPr>
          <w:rFonts w:hint="eastAsia" w:ascii="宋体" w:hAnsi="宋体" w:eastAsia="宋体" w:cs="宋体"/>
          <w:color w:val="auto"/>
          <w:kern w:val="0"/>
          <w:sz w:val="21"/>
          <w:szCs w:val="21"/>
          <w:lang w:val="en-US" w:eastAsia="zh-CN" w:bidi="ar"/>
        </w:rPr>
        <w:t>依托省内各医院开展中医小儿推拿项目，满足就诊患者追求绿色安全健康需求；充分发挥中医小儿推拿在小儿疾病预防、治疗和康复等方面的重要作用，辩证施推、辨证施术、辨证施养，提供个体化的小儿推拿方案，减少药物的使用，甚至不用药，减轻患者痛苦，促进疾病康复。</w:t>
      </w:r>
    </w:p>
    <w:p w14:paraId="14270D22">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ind w:left="0" w:leftChars="0" w:firstLine="0" w:firstLineChars="0"/>
        <w:textAlignment w:val="auto"/>
        <w:rPr>
          <w:rFonts w:hint="eastAsia" w:ascii="宋体" w:hAnsi="宋体" w:eastAsia="宋体" w:cs="宋体"/>
          <w:color w:val="auto"/>
          <w:kern w:val="0"/>
          <w:sz w:val="21"/>
          <w:szCs w:val="21"/>
          <w:lang w:val="en-US" w:eastAsia="zh-CN" w:bidi="ar"/>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
        </w:rPr>
        <w:t>5.2　</w:t>
      </w:r>
      <w:r>
        <w:rPr>
          <w:rFonts w:hint="eastAsia"/>
          <w:color w:val="auto"/>
          <w:lang w:val="en-US" w:eastAsia="zh-CN"/>
        </w:rPr>
        <w:t xml:space="preserve"> </w:t>
      </w:r>
      <w:r>
        <w:rPr>
          <w:rFonts w:hint="eastAsia" w:ascii="宋体" w:hAnsi="宋体" w:eastAsia="宋体" w:cs="宋体"/>
          <w:color w:val="auto"/>
          <w:kern w:val="0"/>
          <w:sz w:val="21"/>
          <w:szCs w:val="21"/>
          <w:lang w:val="en-US" w:eastAsia="zh-CN" w:bidi="ar"/>
        </w:rPr>
        <w:t>建立小儿推拿机构设置规范与标准流程，健全小儿推拿机构质量评价、管理体系，开展患者满意度、质量安全、效果评价等工作，加强实践过程中和效果评价中的质控管理，促进省内医疗机构小儿推拿建设的规范化。</w:t>
      </w:r>
    </w:p>
    <w:p w14:paraId="66EAC951">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ind w:left="0" w:leftChars="0" w:firstLine="0" w:firstLineChars="0"/>
        <w:textAlignment w:val="auto"/>
        <w:rPr>
          <w:rFonts w:hint="eastAsia" w:ascii="宋体" w:hAnsi="宋体" w:eastAsia="宋体" w:cs="宋体"/>
          <w:color w:val="auto"/>
          <w:kern w:val="0"/>
          <w:sz w:val="21"/>
          <w:szCs w:val="21"/>
          <w:lang w:val="en-US" w:eastAsia="zh-CN" w:bidi="ar"/>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
        </w:rPr>
        <w:t>5.3　</w:t>
      </w:r>
      <w:r>
        <w:rPr>
          <w:rFonts w:hint="eastAsia" w:ascii="宋体" w:hAnsi="宋体" w:eastAsia="宋体" w:cs="宋体"/>
          <w:color w:val="auto"/>
          <w:kern w:val="0"/>
          <w:sz w:val="21"/>
          <w:szCs w:val="21"/>
          <w:lang w:val="en-US" w:eastAsia="zh-CN" w:bidi="ar"/>
        </w:rPr>
        <w:t>健全小儿推拿机构组织运行管理模式，合理规范配备小儿推拿机构人员；优化患者就诊服务流程，创新服务理念，注重人文关怀。</w:t>
      </w:r>
    </w:p>
    <w:p w14:paraId="6929DC53">
      <w:pPr>
        <w:pStyle w:val="43"/>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ind w:left="0" w:leftChars="0" w:firstLine="0" w:firstLineChars="0"/>
        <w:textAlignment w:val="auto"/>
        <w:rPr>
          <w:rFonts w:hint="eastAsia" w:ascii="宋体" w:hAnsi="宋体" w:eastAsia="宋体" w:cs="宋体"/>
          <w:color w:val="auto"/>
          <w:kern w:val="0"/>
          <w:sz w:val="21"/>
          <w:szCs w:val="21"/>
          <w:lang w:val="en-US" w:eastAsia="zh-CN" w:bidi="ar"/>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
        </w:rPr>
        <w:t>5.4　</w:t>
      </w:r>
      <w:r>
        <w:rPr>
          <w:rFonts w:hint="eastAsia" w:ascii="宋体" w:hAnsi="宋体" w:eastAsia="宋体" w:cs="宋体"/>
          <w:color w:val="auto"/>
          <w:kern w:val="0"/>
          <w:sz w:val="21"/>
          <w:szCs w:val="21"/>
          <w:lang w:val="en-US" w:eastAsia="zh-CN" w:bidi="ar"/>
        </w:rPr>
        <w:t>加强小儿推拿机构环境和设施设备建设，建立保障机制，逐步健全小儿推拿机构服务模式，提升全省小儿推拿机构服务水平，推进中医小儿推拿事业高质量发展。</w:t>
      </w:r>
    </w:p>
    <w:p w14:paraId="025FDDDB">
      <w:pPr>
        <w:pStyle w:val="46"/>
        <w:keepNext w:val="0"/>
        <w:keepLines w:val="0"/>
        <w:pageBreakBefore w:val="0"/>
        <w:widowControl/>
        <w:numPr>
          <w:ilvl w:val="0"/>
          <w:numId w:val="0"/>
        </w:numPr>
        <w:tabs>
          <w:tab w:val="left" w:pos="1949"/>
        </w:tabs>
        <w:kinsoku/>
        <w:wordWrap/>
        <w:overflowPunct/>
        <w:topLinePunct w:val="0"/>
        <w:autoSpaceDE/>
        <w:autoSpaceDN/>
        <w:bidi w:val="0"/>
        <w:adjustRightInd/>
        <w:snapToGrid/>
        <w:spacing w:before="312" w:after="312"/>
        <w:ind w:left="0" w:leftChars="0" w:firstLine="0" w:firstLineChars="0"/>
        <w:textAlignment w:val="auto"/>
        <w:rPr>
          <w:rFonts w:hint="eastAsia" w:ascii="宋体" w:hAnsi="宋体" w:eastAsia="宋体" w:cs="宋体"/>
          <w:color w:val="000000"/>
          <w:kern w:val="0"/>
          <w:sz w:val="21"/>
          <w:szCs w:val="21"/>
          <w:lang w:val="en-US" w:eastAsia="zh-CN" w:bidi="ar"/>
        </w:rPr>
      </w:pPr>
      <w:r>
        <w:rPr>
          <w:rFonts w:hint="eastAsia" w:ascii="黑体" w:hAnsi="Times New Roman" w:eastAsia="黑体" w:cs="宋体"/>
          <w:b w:val="0"/>
          <w:i w:val="0"/>
          <w:color w:val="000000"/>
          <w:kern w:val="0"/>
          <w:sz w:val="21"/>
          <w:szCs w:val="21"/>
          <w:lang w:val="en-US" w:eastAsia="zh-CN" w:bidi="ar"/>
        </w:rPr>
        <w:t>6　</w:t>
      </w:r>
      <w:r>
        <w:rPr>
          <w:rFonts w:hint="eastAsia"/>
        </w:rPr>
        <w:t xml:space="preserve"> 建设原则</w:t>
      </w:r>
      <w:r>
        <w:rPr>
          <w:rFonts w:hint="eastAsia"/>
          <w:lang w:eastAsia="zh-CN"/>
        </w:rPr>
        <w:tab/>
      </w:r>
    </w:p>
    <w:p w14:paraId="6ACC7C43">
      <w:pPr>
        <w:pStyle w:val="24"/>
        <w:rPr>
          <w:rFonts w:hint="eastAsia"/>
          <w:highlight w:val="none"/>
          <w:lang w:val="en-US" w:eastAsia="zh-CN"/>
        </w:rPr>
      </w:pPr>
      <w:r>
        <w:rPr>
          <w:rFonts w:hint="eastAsia" w:ascii="宋体" w:hAnsi="宋体" w:eastAsia="宋体" w:cs="宋体"/>
          <w:color w:val="000000"/>
          <w:kern w:val="0"/>
          <w:sz w:val="21"/>
          <w:szCs w:val="21"/>
          <w:highlight w:val="none"/>
          <w:lang w:val="en-US" w:eastAsia="zh-CN" w:bidi="ar"/>
        </w:rPr>
        <w:t>在</w:t>
      </w:r>
      <w:r>
        <w:rPr>
          <w:rFonts w:hint="eastAsia" w:hAnsi="宋体" w:cs="宋体"/>
          <w:color w:val="000000"/>
          <w:kern w:val="0"/>
          <w:sz w:val="21"/>
          <w:szCs w:val="21"/>
          <w:highlight w:val="none"/>
          <w:lang w:val="en-US" w:eastAsia="zh-CN" w:bidi="ar"/>
        </w:rPr>
        <w:t>小儿推拿机构运营</w:t>
      </w:r>
      <w:r>
        <w:rPr>
          <w:rFonts w:hint="eastAsia" w:ascii="宋体" w:hAnsi="宋体" w:eastAsia="宋体" w:cs="宋体"/>
          <w:color w:val="000000"/>
          <w:kern w:val="0"/>
          <w:sz w:val="21"/>
          <w:szCs w:val="21"/>
          <w:highlight w:val="none"/>
          <w:lang w:val="en-US" w:eastAsia="zh-CN" w:bidi="ar"/>
        </w:rPr>
        <w:t>建设的过程中，应遵守医疗卫生相关法律法规</w:t>
      </w:r>
      <w:r>
        <w:rPr>
          <w:rFonts w:hint="eastAsia" w:hAnsi="宋体"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政策</w:t>
      </w:r>
      <w:r>
        <w:rPr>
          <w:rFonts w:hint="eastAsia" w:hAnsi="宋体" w:cs="宋体"/>
          <w:color w:val="000000"/>
          <w:kern w:val="0"/>
          <w:sz w:val="21"/>
          <w:szCs w:val="21"/>
          <w:highlight w:val="none"/>
          <w:lang w:val="en-US" w:eastAsia="zh-CN" w:bidi="ar"/>
        </w:rPr>
        <w:t>和</w:t>
      </w:r>
      <w:r>
        <w:rPr>
          <w:rFonts w:hint="eastAsia" w:ascii="宋体" w:hAnsi="宋体" w:eastAsia="宋体" w:cs="宋体"/>
          <w:color w:val="000000"/>
          <w:kern w:val="0"/>
          <w:sz w:val="21"/>
          <w:szCs w:val="21"/>
          <w:highlight w:val="none"/>
          <w:lang w:val="en-US" w:eastAsia="zh-CN" w:bidi="ar"/>
        </w:rPr>
        <w:t>以下原则</w:t>
      </w:r>
      <w:r>
        <w:rPr>
          <w:rFonts w:hint="eastAsia" w:hAnsi="宋体" w:cs="宋体"/>
          <w:color w:val="000000"/>
          <w:kern w:val="0"/>
          <w:sz w:val="21"/>
          <w:szCs w:val="21"/>
          <w:highlight w:val="none"/>
          <w:lang w:val="en-US" w:eastAsia="zh-CN" w:bidi="ar"/>
        </w:rPr>
        <w:t>。</w:t>
      </w:r>
    </w:p>
    <w:p w14:paraId="2CA3D197">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6.1需求导向原则</w:t>
      </w:r>
    </w:p>
    <w:p w14:paraId="721353F6">
      <w:pPr>
        <w:pStyle w:val="46"/>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ind w:left="0" w:leftChars="0"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以人民群众就医需求为导向，开展小儿推拿服务，满足人民儿童患者不吃药不打针的健康需求。 </w:t>
      </w:r>
    </w:p>
    <w:p w14:paraId="05F31493">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6.2科学布局原则</w:t>
      </w:r>
    </w:p>
    <w:p w14:paraId="7BD74365">
      <w:pPr>
        <w:pStyle w:val="46"/>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ind w:left="0" w:leftChars="0"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明确和落实小儿推拿机构的建设规模与功能任务，根据所在地患者数量与特点及诊疗需求等合理配置。 </w:t>
      </w:r>
    </w:p>
    <w:p w14:paraId="282013AB">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6.3安全性原则</w:t>
      </w:r>
    </w:p>
    <w:p w14:paraId="2E74895A">
      <w:pPr>
        <w:pStyle w:val="46"/>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ind w:left="0" w:leftChars="0"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确保开展的服务项目安全有效、医疗风险低</w:t>
      </w:r>
      <w:r>
        <w:rPr>
          <w:rFonts w:hint="eastAsia" w:ascii="宋体" w:hAnsi="宋体" w:eastAsia="宋体" w:cs="宋体"/>
          <w:color w:val="000000"/>
          <w:kern w:val="0"/>
          <w:sz w:val="21"/>
          <w:szCs w:val="21"/>
          <w:highlight w:val="none"/>
          <w:lang w:val="en-US" w:eastAsia="zh-CN" w:bidi="ar"/>
        </w:rPr>
        <w:t>医疗风险管理到位</w:t>
      </w:r>
      <w:r>
        <w:rPr>
          <w:rFonts w:hint="eastAsia" w:ascii="宋体" w:hAnsi="宋体" w:eastAsia="宋体" w:cs="宋体"/>
          <w:color w:val="000000"/>
          <w:kern w:val="0"/>
          <w:sz w:val="21"/>
          <w:szCs w:val="21"/>
          <w:lang w:val="en-US" w:eastAsia="zh-CN" w:bidi="ar"/>
        </w:rPr>
        <w:t xml:space="preserve">，操作实施严格遵守相关操作规范及指引。 </w:t>
      </w:r>
    </w:p>
    <w:p w14:paraId="18E3CC8A">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ind w:left="0" w:leftChars="0" w:firstLine="0" w:firstLine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b w:val="0"/>
          <w:i w:val="0"/>
          <w:kern w:val="0"/>
          <w:sz w:val="21"/>
          <w:szCs w:val="21"/>
          <w:lang w:val="en-US" w:eastAsia="zh-CN" w:bidi="ar-SA"/>
        </w:rPr>
        <w:t>7　</w:t>
      </w:r>
      <w:r>
        <w:rPr>
          <w:rFonts w:hint="eastAsia" w:hAnsi="Times New Roman" w:cs="Times New Roman"/>
        </w:rPr>
        <w:t>建设要求</w:t>
      </w:r>
    </w:p>
    <w:p w14:paraId="6DBA93E3">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7.1诊室设置要求</w:t>
      </w:r>
    </w:p>
    <w:p w14:paraId="37A42B7C">
      <w:pPr>
        <w:pStyle w:val="64"/>
        <w:numPr>
          <w:ilvl w:val="2"/>
          <w:numId w:val="0"/>
        </w:numPr>
        <w:spacing w:before="156" w:after="156"/>
        <w:ind w:leftChars="0"/>
        <w:rPr>
          <w:color w:val="36363D"/>
        </w:rPr>
      </w:pPr>
      <w:r>
        <w:rPr>
          <w:rFonts w:hint="eastAsia"/>
          <w:color w:val="36363D"/>
          <w:lang w:val="en-US" w:eastAsia="zh-CN"/>
        </w:rPr>
        <w:t>7</w:t>
      </w:r>
      <w:r>
        <w:rPr>
          <w:color w:val="36363D"/>
        </w:rPr>
        <w:t xml:space="preserve">.1.1  </w:t>
      </w:r>
      <w:r>
        <w:rPr>
          <w:rFonts w:hint="eastAsia" w:ascii="宋体" w:hAnsi="宋体" w:eastAsia="宋体" w:cs="Times New Roman"/>
          <w:color w:val="auto"/>
          <w:sz w:val="21"/>
          <w:szCs w:val="21"/>
          <w:lang w:val="en-US" w:eastAsia="zh-CN" w:bidi="ar-SA"/>
        </w:rPr>
        <w:t>小儿推拿机构应选址于交通方便、环境安全卫生的区域，须远离工业污染区和危险区，距离综合性医院或妇幼保健专科医院不应超过5km。</w:t>
      </w:r>
    </w:p>
    <w:p w14:paraId="43E76941">
      <w:pPr>
        <w:pStyle w:val="64"/>
        <w:numPr>
          <w:ilvl w:val="2"/>
          <w:numId w:val="0"/>
        </w:numPr>
        <w:spacing w:before="156" w:after="156"/>
        <w:ind w:leftChars="0"/>
        <w:rPr>
          <w:color w:val="36363D"/>
        </w:rPr>
      </w:pPr>
      <w:r>
        <w:rPr>
          <w:rFonts w:hint="eastAsia"/>
          <w:color w:val="36363D"/>
          <w:lang w:val="en-US" w:eastAsia="zh-CN"/>
        </w:rPr>
        <w:t>7</w:t>
      </w:r>
      <w:r>
        <w:rPr>
          <w:color w:val="36363D"/>
        </w:rPr>
        <w:t xml:space="preserve">.1.2  </w:t>
      </w:r>
      <w:r>
        <w:rPr>
          <w:rFonts w:hint="eastAsia" w:ascii="宋体" w:hAnsi="宋体" w:eastAsia="宋体" w:cs="Times New Roman"/>
          <w:sz w:val="21"/>
          <w:szCs w:val="21"/>
          <w:lang w:val="en-US" w:eastAsia="zh-CN" w:bidi="ar-SA"/>
        </w:rPr>
        <w:t>小儿推拿机构的服务场所应光线充足、通风良好、视野开阔。</w:t>
      </w:r>
    </w:p>
    <w:p w14:paraId="712DEC19">
      <w:pPr>
        <w:pStyle w:val="64"/>
        <w:numPr>
          <w:ilvl w:val="2"/>
          <w:numId w:val="0"/>
        </w:numPr>
        <w:spacing w:before="156" w:after="156"/>
        <w:ind w:leftChars="0"/>
        <w:rPr>
          <w:rFonts w:hint="eastAsia" w:ascii="宋体" w:hAnsi="宋体" w:eastAsia="宋体" w:cs="Times New Roman"/>
          <w:sz w:val="21"/>
          <w:szCs w:val="21"/>
          <w:lang w:val="en-US" w:eastAsia="zh-CN" w:bidi="ar-SA"/>
        </w:rPr>
      </w:pPr>
      <w:r>
        <w:rPr>
          <w:rFonts w:hint="eastAsia"/>
          <w:color w:val="36363D"/>
          <w:lang w:val="en-US" w:eastAsia="zh-CN"/>
        </w:rPr>
        <w:t>7</w:t>
      </w:r>
      <w:r>
        <w:rPr>
          <w:color w:val="36363D"/>
        </w:rPr>
        <w:t xml:space="preserve">.1.3  </w:t>
      </w:r>
      <w:r>
        <w:rPr>
          <w:rFonts w:hint="eastAsia" w:ascii="宋体" w:hAnsi="宋体" w:eastAsia="宋体" w:cs="Times New Roman"/>
          <w:sz w:val="21"/>
          <w:szCs w:val="21"/>
          <w:lang w:val="en-US" w:eastAsia="zh-CN" w:bidi="ar-SA"/>
        </w:rPr>
        <w:t>小儿推拿机构应建接待区、调理区、游乐区等功能区域，游乐区需有安全管理制度。</w:t>
      </w:r>
    </w:p>
    <w:p w14:paraId="6C787960">
      <w:pPr>
        <w:pStyle w:val="64"/>
        <w:numPr>
          <w:ilvl w:val="2"/>
          <w:numId w:val="0"/>
        </w:numPr>
        <w:spacing w:before="156" w:after="156"/>
        <w:ind w:leftChars="0"/>
        <w:rPr>
          <w:color w:val="36363D"/>
        </w:rPr>
      </w:pPr>
      <w:r>
        <w:rPr>
          <w:rFonts w:hint="eastAsia"/>
          <w:color w:val="36363D"/>
          <w:lang w:val="en-US" w:eastAsia="zh-CN"/>
        </w:rPr>
        <w:t>7</w:t>
      </w:r>
      <w:r>
        <w:rPr>
          <w:color w:val="36363D"/>
        </w:rPr>
        <w:t xml:space="preserve">.1.4  </w:t>
      </w:r>
      <w:r>
        <w:rPr>
          <w:rFonts w:hint="eastAsia" w:ascii="宋体" w:hAnsi="宋体" w:eastAsia="宋体" w:cs="Times New Roman"/>
          <w:sz w:val="21"/>
          <w:szCs w:val="21"/>
          <w:lang w:val="en-US" w:eastAsia="zh-CN" w:bidi="ar-SA"/>
        </w:rPr>
        <w:t>小儿推拿机构的调理区和活动室应具备恒温设施和空气消毒设施，使用时，室温应保持在22℃～28℃（以实际患儿温度为宜），相对湿度在40%～60%，每日至少开窗通风2次，保持空气清新。</w:t>
      </w:r>
    </w:p>
    <w:p w14:paraId="6DB48087">
      <w:pPr>
        <w:pStyle w:val="64"/>
        <w:numPr>
          <w:ilvl w:val="2"/>
          <w:numId w:val="0"/>
        </w:numPr>
        <w:spacing w:before="156" w:after="156"/>
        <w:ind w:leftChars="0"/>
        <w:rPr>
          <w:color w:val="36363D"/>
        </w:rPr>
      </w:pPr>
      <w:r>
        <w:rPr>
          <w:rFonts w:hint="eastAsia"/>
          <w:color w:val="36363D"/>
          <w:lang w:val="en-US" w:eastAsia="zh-CN"/>
        </w:rPr>
        <w:t>7</w:t>
      </w:r>
      <w:r>
        <w:rPr>
          <w:color w:val="36363D"/>
        </w:rPr>
        <w:t xml:space="preserve">.1.5  </w:t>
      </w:r>
      <w:r>
        <w:rPr>
          <w:rFonts w:hint="eastAsia" w:ascii="宋体" w:hAnsi="宋体" w:eastAsia="宋体" w:cs="Times New Roman"/>
          <w:sz w:val="21"/>
          <w:szCs w:val="21"/>
          <w:lang w:val="en-US" w:eastAsia="zh-CN" w:bidi="ar-SA"/>
        </w:rPr>
        <w:t>小儿推拿机构的床位设置应≥3张。居室不应采用易燃易碎化纤及散发有害有毒气味的装修材料，人员出入和通行的厅室走道地面应选用平整防滑材料。</w:t>
      </w:r>
    </w:p>
    <w:p w14:paraId="4DDF7869">
      <w:pPr>
        <w:pStyle w:val="64"/>
        <w:numPr>
          <w:ilvl w:val="2"/>
          <w:numId w:val="0"/>
        </w:numPr>
        <w:spacing w:before="156" w:after="156"/>
        <w:ind w:leftChars="0"/>
        <w:rPr>
          <w:color w:val="36363D"/>
        </w:rPr>
      </w:pPr>
      <w:r>
        <w:rPr>
          <w:rFonts w:hint="eastAsia"/>
          <w:color w:val="36363D"/>
          <w:lang w:val="en-US" w:eastAsia="zh-CN"/>
        </w:rPr>
        <w:t>7</w:t>
      </w:r>
      <w:r>
        <w:rPr>
          <w:color w:val="36363D"/>
        </w:rPr>
        <w:t xml:space="preserve">.1.6  </w:t>
      </w:r>
      <w:r>
        <w:rPr>
          <w:rFonts w:hint="eastAsia" w:ascii="宋体" w:hAnsi="宋体" w:eastAsia="宋体" w:cs="Times New Roman"/>
          <w:sz w:val="21"/>
          <w:szCs w:val="21"/>
          <w:lang w:val="en-US" w:eastAsia="zh-CN" w:bidi="ar-SA"/>
        </w:rPr>
        <w:t>调理区应通风、光线充足、整洁、安全，且应有良好隔声处理和噪声控制。</w:t>
      </w:r>
    </w:p>
    <w:p w14:paraId="42FFDFFE">
      <w:pPr>
        <w:pStyle w:val="126"/>
        <w:numPr>
          <w:ilvl w:val="1"/>
          <w:numId w:val="0"/>
        </w:numPr>
        <w:spacing w:before="156" w:after="156"/>
        <w:ind w:leftChars="0"/>
        <w:rPr>
          <w:rFonts w:hint="eastAsia" w:ascii="宋体" w:hAnsi="宋体" w:eastAsia="宋体" w:cs="Times New Roman"/>
          <w:sz w:val="21"/>
          <w:szCs w:val="21"/>
          <w:lang w:val="en-US" w:eastAsia="zh-CN" w:bidi="ar-SA"/>
        </w:rPr>
      </w:pPr>
      <w:r>
        <w:rPr>
          <w:rFonts w:hint="eastAsia"/>
          <w:color w:val="36363D"/>
          <w:lang w:val="en-US" w:eastAsia="zh-CN"/>
        </w:rPr>
        <w:t>7</w:t>
      </w:r>
      <w:r>
        <w:rPr>
          <w:color w:val="36363D"/>
        </w:rPr>
        <w:t xml:space="preserve">.1.7  </w:t>
      </w:r>
      <w:r>
        <w:rPr>
          <w:rFonts w:hint="eastAsia" w:ascii="宋体" w:hAnsi="宋体" w:eastAsia="宋体" w:cs="Times New Roman"/>
          <w:sz w:val="21"/>
          <w:szCs w:val="21"/>
          <w:lang w:val="en-US" w:eastAsia="zh-CN" w:bidi="ar-SA"/>
        </w:rPr>
        <w:t>小儿推拿机构应且仅在公共区域、关键区域安装监控设施。</w:t>
      </w:r>
    </w:p>
    <w:p w14:paraId="5FE70839">
      <w:pPr>
        <w:pStyle w:val="146"/>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before="157" w:beforeLines="50" w:after="157" w:afterLines="50" w:line="240" w:lineRule="auto"/>
        <w:ind w:leftChars="0"/>
        <w:textAlignment w:val="auto"/>
        <w:outlineLvl w:val="1"/>
        <w:rPr>
          <w:rFonts w:hint="eastAsia" w:ascii="黑体" w:hAnsi="黑体" w:eastAsia="黑体" w:cs="宋体"/>
          <w:spacing w:val="2"/>
          <w:szCs w:val="21"/>
          <w:lang w:val="en-US" w:eastAsia="zh-CN"/>
        </w:rPr>
      </w:pPr>
    </w:p>
    <w:p w14:paraId="304B1452">
      <w:pPr>
        <w:pStyle w:val="146"/>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before="157" w:beforeLines="50" w:after="157" w:afterLines="50" w:line="240" w:lineRule="auto"/>
        <w:ind w:leftChars="0"/>
        <w:textAlignment w:val="auto"/>
        <w:outlineLvl w:val="1"/>
        <w:rPr>
          <w:rFonts w:hint="eastAsia" w:ascii="黑体" w:hAnsi="黑体" w:eastAsia="黑体" w:cs="宋体"/>
          <w:spacing w:val="2"/>
          <w:szCs w:val="21"/>
          <w:lang w:val="en-US" w:eastAsia="zh-CN"/>
        </w:rPr>
      </w:pPr>
      <w:r>
        <w:rPr>
          <w:rFonts w:hint="eastAsia" w:ascii="黑体" w:hAnsi="黑体" w:eastAsia="黑体" w:cs="宋体"/>
          <w:spacing w:val="2"/>
          <w:szCs w:val="21"/>
          <w:lang w:val="en-US" w:eastAsia="zh-CN"/>
        </w:rPr>
        <w:t>7.2设施设备要求</w:t>
      </w:r>
    </w:p>
    <w:p w14:paraId="1D9CB30C">
      <w:pPr>
        <w:pStyle w:val="64"/>
        <w:numPr>
          <w:ilvl w:val="2"/>
          <w:numId w:val="0"/>
        </w:numPr>
        <w:spacing w:before="156" w:after="156"/>
        <w:ind w:leftChars="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7.2.1 小儿推拿机构需配置的基本设备为：</w:t>
      </w:r>
    </w:p>
    <w:p w14:paraId="3AF884F9">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体温计、儿童体格测量用具（体重计、身长测量仪）等；</w:t>
      </w:r>
    </w:p>
    <w:p w14:paraId="1830CDAB">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温湿度计、紫外线消毒灯、洗衣机等；</w:t>
      </w:r>
    </w:p>
    <w:p w14:paraId="12A275FB">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与调理项目相适应的其他设备。</w:t>
      </w:r>
    </w:p>
    <w:p w14:paraId="25E6D89E">
      <w:pPr>
        <w:pStyle w:val="64"/>
        <w:numPr>
          <w:ilvl w:val="2"/>
          <w:numId w:val="0"/>
        </w:numPr>
        <w:spacing w:before="156" w:after="156"/>
        <w:ind w:leftChars="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7.2.2  调理室应配设调理床、桌椅、衣架、毯子、床单、时钟、电源插座、温湿度计、面盆、生活、医疗废物桶等。 </w:t>
      </w:r>
    </w:p>
    <w:p w14:paraId="4398CC2F">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宋体" w:hAnsi="宋体" w:eastAsia="宋体" w:cs="宋体"/>
          <w:color w:val="000000"/>
          <w:kern w:val="0"/>
          <w:sz w:val="21"/>
          <w:szCs w:val="21"/>
          <w:lang w:val="en-US" w:eastAsia="zh-CN" w:bidi="ar"/>
        </w:rPr>
      </w:pPr>
      <w:r>
        <w:rPr>
          <w:rFonts w:hint="eastAsia"/>
          <w:color w:val="36363D"/>
          <w:lang w:val="en-US" w:eastAsia="zh-CN"/>
        </w:rPr>
        <w:t>7</w:t>
      </w:r>
      <w:r>
        <w:rPr>
          <w:color w:val="36363D"/>
        </w:rPr>
        <w:t xml:space="preserve">.2.3  </w:t>
      </w:r>
      <w:r>
        <w:rPr>
          <w:rFonts w:hint="eastAsia" w:ascii="宋体" w:hAnsi="宋体" w:eastAsia="宋体" w:cs="Times New Roman"/>
          <w:sz w:val="21"/>
          <w:szCs w:val="21"/>
          <w:lang w:val="en-US" w:eastAsia="zh-CN" w:bidi="ar-SA"/>
        </w:rPr>
        <w:t>小儿推拿机构卫生间应配设蹲便器、毛巾架、梳妆镜、洗漱盆、废纸桶、防滑垫、换气扇等。如设有治疗室的，还应备有常用医疗设备和药品物资及急救药箱和吸氧设备。</w:t>
      </w:r>
      <w:r>
        <w:rPr>
          <w:rFonts w:hint="eastAsia" w:ascii="宋体" w:hAnsi="宋体" w:eastAsia="宋体" w:cs="宋体"/>
          <w:color w:val="000000"/>
          <w:kern w:val="0"/>
          <w:sz w:val="21"/>
          <w:szCs w:val="21"/>
          <w:lang w:val="en-US" w:eastAsia="zh-CN" w:bidi="ar"/>
        </w:rPr>
        <w:t xml:space="preserve"> </w:t>
      </w:r>
    </w:p>
    <w:p w14:paraId="71CB6AB2">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宋体" w:hAnsi="宋体" w:eastAsia="宋体" w:cs="宋体"/>
          <w:color w:val="000000"/>
          <w:kern w:val="0"/>
          <w:sz w:val="21"/>
          <w:szCs w:val="21"/>
          <w:lang w:val="en-US" w:eastAsia="zh-CN" w:bidi="ar"/>
        </w:rPr>
      </w:pPr>
    </w:p>
    <w:p w14:paraId="24C3A7BD">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sz w:val="21"/>
          <w:szCs w:val="20"/>
          <w:lang w:val="en-US" w:eastAsia="zh-CN" w:bidi="ar-SA"/>
        </w:rPr>
      </w:pPr>
      <w:r>
        <w:rPr>
          <w:rFonts w:hint="eastAsia" w:ascii="宋体" w:hAnsi="宋体" w:eastAsia="宋体" w:cs="宋体"/>
          <w:color w:val="000000"/>
          <w:kern w:val="0"/>
          <w:sz w:val="21"/>
          <w:szCs w:val="21"/>
          <w:lang w:val="en-US" w:eastAsia="zh-CN" w:bidi="ar"/>
        </w:rPr>
        <w:t>7.3</w:t>
      </w:r>
      <w:r>
        <w:rPr>
          <w:rFonts w:hint="eastAsia" w:ascii="黑体" w:hAnsi="Times New Roman" w:eastAsia="黑体" w:cs="Times New Roman"/>
          <w:sz w:val="21"/>
          <w:szCs w:val="20"/>
          <w:lang w:val="en-US" w:eastAsia="zh-CN" w:bidi="ar-SA"/>
        </w:rPr>
        <w:t>设施和设备维护</w:t>
      </w:r>
    </w:p>
    <w:p w14:paraId="338791E1">
      <w:pPr>
        <w:pStyle w:val="24"/>
        <w:rPr>
          <w:rFonts w:hint="eastAsia"/>
          <w:lang w:val="en-US" w:eastAsia="zh-CN"/>
        </w:rPr>
      </w:pPr>
      <w:r>
        <w:rPr>
          <w:rFonts w:hint="eastAsia" w:ascii="宋体" w:hAnsi="宋体" w:eastAsia="宋体" w:cs="Times New Roman"/>
          <w:sz w:val="21"/>
          <w:szCs w:val="21"/>
          <w:lang w:val="en-US" w:eastAsia="zh-CN" w:bidi="ar-SA"/>
        </w:rPr>
        <w:t>小儿推拿机构的各类设施设备应符合国家相关规定，及时维修保养、更新改造，保证其始终处于正常状态。</w:t>
      </w:r>
    </w:p>
    <w:p w14:paraId="2A382FF4">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pP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7.</w:t>
      </w:r>
      <w:r>
        <w:rPr>
          <w:rFonts w:hint="eastAsia" w:cs="Times New Roman"/>
          <w:color w:val="000000" w:themeColor="text1"/>
          <w:kern w:val="0"/>
          <w:sz w:val="21"/>
          <w:szCs w:val="21"/>
          <w:lang w:val="en-US" w:eastAsia="zh-CN" w:bidi="ar-SA"/>
          <w14:textFill>
            <w14:solidFill>
              <w14:schemeClr w14:val="tx1"/>
            </w14:solidFill>
          </w14:textFill>
        </w:rPr>
        <w:t>4</w:t>
      </w: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人员要求</w:t>
      </w:r>
    </w:p>
    <w:p w14:paraId="50AB23F9">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7.4.1　</w:t>
      </w:r>
      <w:r>
        <w:rPr>
          <w:rFonts w:hint="eastAsia" w:ascii="宋体" w:hAnsi="宋体" w:eastAsia="宋体" w:cs="Times New Roman"/>
          <w:color w:val="000000" w:themeColor="text1"/>
          <w:sz w:val="21"/>
          <w:szCs w:val="21"/>
          <w:lang w:val="en-US" w:eastAsia="zh-CN" w:bidi="ar-SA"/>
          <w14:textFill>
            <w14:solidFill>
              <w14:schemeClr w14:val="tx1"/>
            </w14:solidFill>
          </w14:textFill>
        </w:rPr>
        <w:t>小儿推拿机构应与员工签订劳动合同，办理社会保险。应建立工作人员花名册和档案。</w:t>
      </w:r>
    </w:p>
    <w:p w14:paraId="558103C0">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2</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　</w:t>
      </w:r>
      <w:r>
        <w:rPr>
          <w:rFonts w:hint="eastAsia" w:ascii="宋体" w:hAnsi="宋体" w:eastAsia="宋体" w:cs="Times New Roman"/>
          <w:color w:val="000000" w:themeColor="text1"/>
          <w:sz w:val="21"/>
          <w:szCs w:val="21"/>
          <w:lang w:val="en-US" w:eastAsia="zh-CN" w:bidi="ar-SA"/>
          <w14:textFill>
            <w14:solidFill>
              <w14:schemeClr w14:val="tx1"/>
            </w14:solidFill>
          </w14:textFill>
        </w:rPr>
        <w:t>小儿推拿机构应定期对管理人员和服务人员组织开展教育培训工作，以提高员工的职业道德和专业技能。</w:t>
      </w:r>
    </w:p>
    <w:p w14:paraId="689FFDC4">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3</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　</w:t>
      </w:r>
      <w:r>
        <w:rPr>
          <w:rFonts w:hint="eastAsia" w:ascii="宋体" w:hAnsi="宋体" w:eastAsia="宋体" w:cs="Times New Roman"/>
          <w:color w:val="000000" w:themeColor="text1"/>
          <w:sz w:val="21"/>
          <w:szCs w:val="21"/>
          <w:lang w:val="en-US" w:eastAsia="zh-CN" w:bidi="ar-SA"/>
          <w14:textFill>
            <w14:solidFill>
              <w14:schemeClr w14:val="tx1"/>
            </w14:solidFill>
          </w14:textFill>
        </w:rPr>
        <w:t>小儿推拿机构的管理人员，应有大专以上学历，具有当地常住户口或居住证，熟悉相关的国家法律法规和行业主管部门规章的要求，了解行业基本知识和专业技能，具有相应的管理能力和从业经验。</w:t>
      </w:r>
    </w:p>
    <w:p w14:paraId="101A809E">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　</w:t>
      </w:r>
      <w:r>
        <w:rPr>
          <w:rFonts w:hint="eastAsia" w:ascii="宋体" w:hAnsi="宋体" w:eastAsia="宋体" w:cs="Times New Roman"/>
          <w:color w:val="000000" w:themeColor="text1"/>
          <w:sz w:val="21"/>
          <w:szCs w:val="21"/>
          <w:lang w:val="en-US" w:eastAsia="zh-CN" w:bidi="ar-SA"/>
          <w14:textFill>
            <w14:solidFill>
              <w14:schemeClr w14:val="tx1"/>
            </w14:solidFill>
          </w14:textFill>
        </w:rPr>
        <w:t>从事与小儿健康调理相关工作的专业人员应当具有中医或中医调理相关理论知识和实际操作技能，经过相应的技术培训及考核，并获得国家人力资源和社会保障部门颁发的中医推拿或小儿推拿的专项职业能力证书。从事服务的人员还应持有有效的体检健康合格证书。</w:t>
      </w:r>
    </w:p>
    <w:p w14:paraId="2D9C4889">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5</w:t>
      </w:r>
      <w:r>
        <w:rPr>
          <w:rFonts w:hint="eastAsia" w:ascii="宋体" w:hAnsi="宋体" w:eastAsia="宋体" w:cs="Times New Roman"/>
          <w:color w:val="000000" w:themeColor="text1"/>
          <w:sz w:val="21"/>
          <w:szCs w:val="21"/>
          <w:lang w:val="en-US" w:eastAsia="zh-CN" w:bidi="ar-SA"/>
          <w14:textFill>
            <w14:solidFill>
              <w14:schemeClr w14:val="tx1"/>
            </w14:solidFill>
          </w14:textFill>
        </w:rPr>
        <w:t>小儿推拿机构应当为儿童配备固定的调理技术人员。</w:t>
      </w:r>
    </w:p>
    <w:p w14:paraId="3C322809">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6</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　</w:t>
      </w:r>
      <w:r>
        <w:rPr>
          <w:rFonts w:hint="eastAsia" w:ascii="宋体" w:hAnsi="宋体" w:eastAsia="宋体" w:cs="Times New Roman"/>
          <w:color w:val="000000" w:themeColor="text1"/>
          <w:sz w:val="21"/>
          <w:szCs w:val="21"/>
          <w:lang w:val="en-US" w:eastAsia="zh-CN" w:bidi="ar-SA"/>
          <w14:textFill>
            <w14:solidFill>
              <w14:schemeClr w14:val="tx1"/>
            </w14:solidFill>
          </w14:textFill>
        </w:rPr>
        <w:t>员工应统一着装，服饰整洁，佩戴工牌上岗，仪容仪表端庄、大方，做到表情自然、亲切、微笑服务，使用普通话进行沟通交流，做到语言文明、表述清晰。</w:t>
      </w:r>
    </w:p>
    <w:p w14:paraId="3944C131">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宋体" w:hAnsi="宋体" w:eastAsia="宋体" w:cs="Times New Roman"/>
          <w:color w:val="000000" w:themeColor="text1"/>
          <w:sz w:val="21"/>
          <w:szCs w:val="21"/>
          <w:lang w:val="en-US" w:eastAsia="zh-CN" w:bidi="ar-SA"/>
          <w14:textFill>
            <w14:solidFill>
              <w14:schemeClr w14:val="tx1"/>
            </w14:solidFill>
          </w14:textFill>
        </w:rPr>
        <w:t>服务人员应具有良好的个人生活卫生习惯，交接班时应严格执行相关卫生清洁要求。</w:t>
      </w:r>
    </w:p>
    <w:p w14:paraId="22A6271B">
      <w:pPr>
        <w:pStyle w:val="126"/>
        <w:numPr>
          <w:ilvl w:val="1"/>
          <w:numId w:val="0"/>
        </w:numPr>
        <w:spacing w:before="156" w:after="156"/>
        <w:ind w:left="0" w:leftChars="0" w:firstLine="0" w:firstLineChars="0"/>
        <w:rPr>
          <w:rFonts w:hint="eastAsia" w:ascii="宋体" w:hAnsi="宋体" w:eastAsia="宋体" w:cs="Times New Roman"/>
          <w:color w:val="000000" w:themeColor="text1"/>
          <w:sz w:val="21"/>
          <w:szCs w:val="21"/>
          <w:lang w:val="en-US" w:eastAsia="zh-CN" w:bidi="ar-SA"/>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8</w:t>
      </w:r>
      <w:r>
        <w:rPr>
          <w:rFonts w:hint="eastAsia" w:ascii="宋体" w:hAnsi="宋体" w:eastAsia="宋体" w:cs="Times New Roman"/>
          <w:color w:val="000000" w:themeColor="text1"/>
          <w:sz w:val="21"/>
          <w:szCs w:val="21"/>
          <w:lang w:val="en-US" w:eastAsia="zh-CN" w:bidi="ar-SA"/>
          <w14:textFill>
            <w14:solidFill>
              <w14:schemeClr w14:val="tx1"/>
            </w14:solidFill>
          </w14:textFill>
        </w:rPr>
        <w:t>各级人员应熟练掌握本岗位业务知识和操作技能，严格按照相应的服务规范和管理流程开展工作。</w:t>
      </w:r>
    </w:p>
    <w:p w14:paraId="58972D44">
      <w:pPr>
        <w:pStyle w:val="126"/>
        <w:numPr>
          <w:ilvl w:val="1"/>
          <w:numId w:val="0"/>
        </w:numPr>
        <w:spacing w:before="156" w:after="156"/>
        <w:ind w:left="0" w:leftChars="0" w:firstLine="0" w:firstLineChars="0"/>
        <w:rPr>
          <w:color w:val="000000" w:themeColor="text1"/>
          <w14:textFill>
            <w14:solidFill>
              <w14:schemeClr w14:val="tx1"/>
            </w14:solidFill>
          </w14:textFill>
        </w:rPr>
      </w:pP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7.</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4</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w:t>
      </w:r>
      <w:r>
        <w:rPr>
          <w:rFonts w:hint="eastAsia" w:ascii="黑体"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9</w:t>
      </w:r>
      <w:r>
        <w:rPr>
          <w:rFonts w:hint="eastAsia"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lang w:val="en-US" w:eastAsia="zh-CN" w:bidi="ar-SA"/>
          <w14:textFill>
            <w14:solidFill>
              <w14:schemeClr w14:val="tx1"/>
            </w14:solidFill>
          </w14:textFill>
        </w:rPr>
        <w:t>　</w:t>
      </w:r>
      <w:r>
        <w:rPr>
          <w:rFonts w:hint="eastAsia" w:ascii="宋体" w:hAnsi="宋体" w:eastAsia="宋体" w:cs="Times New Roman"/>
          <w:color w:val="000000" w:themeColor="text1"/>
          <w:sz w:val="21"/>
          <w:szCs w:val="21"/>
          <w:lang w:val="en-US" w:eastAsia="zh-CN" w:bidi="ar-SA"/>
          <w14:textFill>
            <w14:solidFill>
              <w14:schemeClr w14:val="tx1"/>
            </w14:solidFill>
          </w14:textFill>
        </w:rPr>
        <w:t>从事儿童调理的岗位人员应具备基本的急救常识，定期参加相关部门组织的急救常识培训。</w:t>
      </w:r>
    </w:p>
    <w:p w14:paraId="1557CC00">
      <w:pPr>
        <w:pStyle w:val="114"/>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firstLine="420" w:firstLineChars="200"/>
        <w:textAlignment w:val="auto"/>
        <w:rPr>
          <w:rFonts w:hint="eastAsia" w:ascii="宋体" w:hAnsi="宋体" w:eastAsia="宋体" w:cs="宋体"/>
          <w:color w:val="000000"/>
          <w:kern w:val="0"/>
          <w:sz w:val="21"/>
          <w:szCs w:val="21"/>
          <w:lang w:val="en-US" w:eastAsia="zh-CN" w:bidi="ar"/>
        </w:rPr>
      </w:pPr>
    </w:p>
    <w:p w14:paraId="1F2B3ECC">
      <w:pPr>
        <w:pStyle w:val="114"/>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firstLine="420" w:firstLineChars="200"/>
        <w:textAlignment w:val="auto"/>
        <w:rPr>
          <w:rFonts w:hint="eastAsia" w:ascii="宋体" w:hAnsi="宋体" w:eastAsia="宋体" w:cs="宋体"/>
          <w:color w:val="000000"/>
          <w:kern w:val="0"/>
          <w:sz w:val="21"/>
          <w:szCs w:val="21"/>
          <w:lang w:val="en-US" w:eastAsia="zh-CN" w:bidi="ar"/>
        </w:rPr>
      </w:pPr>
    </w:p>
    <w:p w14:paraId="570C6B55">
      <w:pPr>
        <w:pStyle w:val="46"/>
        <w:numPr>
          <w:ilvl w:val="0"/>
          <w:numId w:val="0"/>
        </w:numPr>
        <w:spacing w:before="312" w:after="312"/>
        <w:ind w:left="0" w:leftChars="0" w:firstLine="0" w:firstLineChars="0"/>
      </w:pPr>
      <w:r>
        <w:rPr>
          <w:rFonts w:hint="eastAsia" w:ascii="黑体" w:hAnsi="Times New Roman" w:eastAsia="黑体" w:cs="Times New Roman"/>
          <w:kern w:val="0"/>
          <w:sz w:val="21"/>
          <w:szCs w:val="21"/>
          <w:lang w:val="en-US" w:eastAsia="zh-CN" w:bidi="ar-SA"/>
        </w:rPr>
        <w:t>7.</w:t>
      </w:r>
      <w:r>
        <w:rPr>
          <w:rFonts w:hint="eastAsia" w:cs="Times New Roman"/>
          <w:kern w:val="0"/>
          <w:sz w:val="21"/>
          <w:szCs w:val="21"/>
          <w:lang w:val="en-US" w:eastAsia="zh-CN" w:bidi="ar-SA"/>
        </w:rPr>
        <w:t>5</w:t>
      </w:r>
      <w:r>
        <w:rPr>
          <w:rFonts w:hint="eastAsia"/>
        </w:rPr>
        <w:t xml:space="preserve"> </w:t>
      </w:r>
      <w:r>
        <w:rPr>
          <w:rFonts w:hint="eastAsia" w:ascii="黑体" w:hAnsi="Times New Roman" w:eastAsia="黑体" w:cs="Times New Roman"/>
          <w:sz w:val="21"/>
          <w:szCs w:val="20"/>
          <w:lang w:val="en-US" w:eastAsia="zh-CN" w:bidi="ar-SA"/>
        </w:rPr>
        <w:t>经营管理要求</w:t>
      </w:r>
    </w:p>
    <w:p w14:paraId="4D7A4AA8">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5.1</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ascii="宋体" w:hAnsi="宋体" w:eastAsia="宋体" w:cs="Times New Roman"/>
          <w:sz w:val="21"/>
          <w:szCs w:val="21"/>
          <w:lang w:val="en-US" w:eastAsia="zh-CN" w:bidi="ar-SA"/>
        </w:rPr>
        <w:t>小儿推拿机构应在具有独立的法人资质医疗机构内，并取得相应的工商、卫生、消防等许可。</w:t>
      </w:r>
    </w:p>
    <w:p w14:paraId="0AA34F90">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5.2</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　</w:t>
      </w:r>
      <w:r>
        <w:rPr>
          <w:rFonts w:hint="eastAsia" w:ascii="宋体" w:hAnsi="宋体" w:eastAsia="宋体" w:cs="Times New Roman"/>
          <w:sz w:val="21"/>
          <w:szCs w:val="21"/>
          <w:lang w:val="en-US" w:eastAsia="zh-CN" w:bidi="ar-SA"/>
        </w:rPr>
        <w:t>经营范围应符合国家有关规定，经由资格认定的调理技术人员开展服务工作，能切实保障服务对象的合法权益。</w:t>
      </w:r>
    </w:p>
    <w:p w14:paraId="630778F0">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5.3</w:t>
      </w:r>
      <w:r>
        <w:rPr>
          <w:rFonts w:hint="eastAsia" w:ascii="宋体" w:hAnsi="宋体" w:eastAsia="宋体" w:cs="Times New Roman"/>
          <w:sz w:val="21"/>
          <w:szCs w:val="21"/>
          <w:lang w:val="en-US" w:eastAsia="zh-CN" w:bidi="ar-SA"/>
        </w:rPr>
        <w:t>应具备与业务范围相适应的固定经营场所、人员和设施。在经营场所醒目位置悬挂相关证照，明示服务项目、收费标准和投诉监督电话等信息。</w:t>
      </w:r>
    </w:p>
    <w:p w14:paraId="63052B94">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5.4</w:t>
      </w:r>
      <w:r>
        <w:rPr>
          <w:rFonts w:hint="eastAsia" w:ascii="宋体" w:hAnsi="宋体" w:eastAsia="宋体" w:cs="Times New Roman"/>
          <w:sz w:val="21"/>
          <w:szCs w:val="21"/>
          <w:lang w:val="en-US" w:eastAsia="zh-CN" w:bidi="ar-SA"/>
        </w:rPr>
        <w:t>小儿推拿机构应当按照国家有关规定建立健全安全、消防、卫生、财务、物资、行政、人事、服务、质量管理、档案和信息管理等规章制度，制定服务规范和工作流程，并予以公开。</w:t>
      </w:r>
    </w:p>
    <w:p w14:paraId="19F46898">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5.5</w:t>
      </w:r>
      <w:r>
        <w:rPr>
          <w:rFonts w:hint="eastAsia" w:ascii="宋体" w:hAnsi="宋体" w:eastAsia="宋体" w:cs="Times New Roman"/>
          <w:sz w:val="21"/>
          <w:szCs w:val="21"/>
          <w:lang w:val="en-US" w:eastAsia="zh-CN" w:bidi="ar-SA"/>
        </w:rPr>
        <w:t>小儿推拿机构应设立调理、消毒、保洁、技术质量督导、市场营销、客服等相应的职能部门。</w:t>
      </w:r>
    </w:p>
    <w:p w14:paraId="755846EA">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5.6</w:t>
      </w:r>
      <w:r>
        <w:rPr>
          <w:rFonts w:hint="eastAsia" w:ascii="宋体" w:hAnsi="宋体" w:eastAsia="宋体" w:cs="Times New Roman"/>
          <w:sz w:val="21"/>
          <w:szCs w:val="21"/>
          <w:lang w:val="en-US" w:eastAsia="zh-CN" w:bidi="ar-SA"/>
        </w:rPr>
        <w:t>小儿推拿机构内部如设立治疗室的，应依法取得医疗机构执业许可证，配有专职的医护人员，并符合医疗机构管理的相关法律法规要求。</w:t>
      </w:r>
    </w:p>
    <w:p w14:paraId="26BF6715">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5.7</w:t>
      </w:r>
      <w:r>
        <w:rPr>
          <w:rFonts w:hint="eastAsia" w:ascii="宋体" w:hAnsi="宋体" w:eastAsia="宋体" w:cs="Times New Roman"/>
          <w:sz w:val="21"/>
          <w:szCs w:val="21"/>
          <w:lang w:val="en-US" w:eastAsia="zh-CN" w:bidi="ar-SA"/>
        </w:rPr>
        <w:t>小儿推拿机构宜积极投保责任保险，降低机构运营风险。</w:t>
      </w:r>
    </w:p>
    <w:p w14:paraId="56C6C7B2">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5.8</w:t>
      </w:r>
      <w:r>
        <w:rPr>
          <w:rFonts w:hint="eastAsia" w:ascii="宋体" w:hAnsi="宋体" w:eastAsia="宋体" w:cs="Times New Roman"/>
          <w:sz w:val="21"/>
          <w:szCs w:val="21"/>
          <w:lang w:val="en-US" w:eastAsia="zh-CN" w:bidi="ar-SA"/>
        </w:rPr>
        <w:t>应建立和保持每位顾客的调理记录，调理记录应至少保留1年。调理记录应包括调理症状、调理方案、预防调护等。</w:t>
      </w:r>
    </w:p>
    <w:p w14:paraId="5B53F97A">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5.9</w:t>
      </w:r>
      <w:r>
        <w:rPr>
          <w:rFonts w:hint="eastAsia" w:ascii="宋体" w:hAnsi="宋体" w:eastAsia="宋体" w:cs="Times New Roman"/>
          <w:sz w:val="21"/>
          <w:szCs w:val="21"/>
          <w:lang w:val="en-US" w:eastAsia="zh-CN" w:bidi="ar-SA"/>
        </w:rPr>
        <w:t>小儿推拿机构应当保护顾客的所有个人信息。服务监控设施的影像资料应妥善保管，满足可追溯性要求，未经允许，不得外泄。</w:t>
      </w:r>
    </w:p>
    <w:p w14:paraId="76997521">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10　</w:t>
      </w:r>
      <w:r>
        <w:rPr>
          <w:rFonts w:hint="eastAsia" w:ascii="宋体" w:hAnsi="宋体" w:eastAsia="宋体" w:cs="Times New Roman"/>
          <w:sz w:val="21"/>
          <w:szCs w:val="21"/>
          <w:lang w:val="en-US" w:eastAsia="zh-CN" w:bidi="ar-SA"/>
        </w:rPr>
        <w:t>小儿推拿机构应当制定突发事件应急预案。突发事件发生后，小儿推拿机构应当立即启动应急处理程序，并向有关部门报告应急处理结果。</w:t>
      </w:r>
    </w:p>
    <w:p w14:paraId="64F4CDAE">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11　</w:t>
      </w:r>
      <w:r>
        <w:rPr>
          <w:rFonts w:hint="eastAsia" w:ascii="宋体" w:hAnsi="宋体" w:eastAsia="宋体" w:cs="Times New Roman"/>
          <w:sz w:val="21"/>
          <w:szCs w:val="21"/>
          <w:lang w:val="en-US" w:eastAsia="zh-CN" w:bidi="ar-SA"/>
        </w:rPr>
        <w:t>小儿推拿机构应建立健全消防安全管理制度，实行消防工作责任制，按要求配置消防设施和器材，并按期检查维护。开展日常防火检查，定期组织灭火和应急疏散消防安全培训。</w:t>
      </w:r>
    </w:p>
    <w:p w14:paraId="05721C27">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12　</w:t>
      </w:r>
      <w:r>
        <w:rPr>
          <w:rFonts w:hint="eastAsia" w:ascii="宋体" w:hAnsi="宋体" w:eastAsia="宋体" w:cs="Times New Roman"/>
          <w:sz w:val="21"/>
          <w:szCs w:val="21"/>
          <w:lang w:val="en-US" w:eastAsia="zh-CN" w:bidi="ar-SA"/>
        </w:rPr>
        <w:t>小儿推拿机构属非医疗机构，非医疗机构开展推拿、按摩、刮痧、拔罐等活动，在经营项目名称和项目介绍中不得出现“医疗”、“治疗”及疾病名称等医疗专门术语，不得宣传治疗作用。</w:t>
      </w:r>
    </w:p>
    <w:p w14:paraId="451872DB">
      <w:pPr>
        <w:pStyle w:val="126"/>
        <w:numPr>
          <w:ilvl w:val="1"/>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kern w:val="0"/>
          <w:sz w:val="21"/>
          <w:szCs w:val="21"/>
          <w:lang w:val="en-US" w:eastAsia="zh-CN" w:bidi="ar-SA"/>
        </w:rPr>
        <w:t>7.</w:t>
      </w:r>
      <w:r>
        <w:rPr>
          <w:rFonts w:hint="eastAsia" w:ascii="黑体" w:eastAsia="黑体" w:cs="Times New Roman"/>
          <w:kern w:val="0"/>
          <w:sz w:val="21"/>
          <w:szCs w:val="21"/>
          <w:lang w:val="en-US" w:eastAsia="zh-CN" w:bidi="ar-SA"/>
        </w:rPr>
        <w:t>5.</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13　</w:t>
      </w:r>
      <w:r>
        <w:rPr>
          <w:rFonts w:hint="eastAsia" w:ascii="宋体" w:hAnsi="宋体" w:eastAsia="宋体" w:cs="Times New Roman"/>
          <w:sz w:val="21"/>
          <w:szCs w:val="21"/>
          <w:lang w:val="en-US" w:eastAsia="zh-CN" w:bidi="ar-SA"/>
        </w:rPr>
        <w:t>小儿推拿机构不具备医疗资质的，应在机构显眼位置悬挂温馨提示“本店为非医疗机构，如需治病请到正规医院”。</w:t>
      </w:r>
    </w:p>
    <w:p w14:paraId="4A11C6B3">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ind w:left="0" w:leftChars="0"/>
        <w:jc w:val="left"/>
        <w:textAlignment w:val="auto"/>
        <w:rPr>
          <w:rFonts w:hint="eastAsia" w:ascii="宋体" w:hAnsi="宋体" w:eastAsia="宋体" w:cs="宋体"/>
          <w:color w:val="000000"/>
          <w:kern w:val="0"/>
          <w:sz w:val="21"/>
          <w:szCs w:val="21"/>
          <w:lang w:val="en-US" w:eastAsia="zh-CN" w:bidi="ar"/>
        </w:rPr>
      </w:pPr>
    </w:p>
    <w:p w14:paraId="70409C54">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ascii="黑体" w:hAnsi="黑体" w:eastAsia="黑体"/>
        </w:rPr>
      </w:pPr>
      <w:r>
        <w:rPr>
          <w:rFonts w:hint="eastAsia" w:ascii="黑体" w:hAnsi="Times New Roman" w:eastAsia="黑体" w:cs="Times New Roman"/>
          <w:kern w:val="0"/>
          <w:sz w:val="21"/>
          <w:szCs w:val="21"/>
          <w:lang w:val="en-US" w:eastAsia="zh-CN" w:bidi="ar-SA"/>
        </w:rPr>
        <w:t>7.</w:t>
      </w:r>
      <w:r>
        <w:rPr>
          <w:rFonts w:hint="eastAsia" w:cs="Times New Roman"/>
          <w:kern w:val="0"/>
          <w:sz w:val="21"/>
          <w:szCs w:val="21"/>
          <w:lang w:val="en-US" w:eastAsia="zh-CN" w:bidi="ar-SA"/>
        </w:rPr>
        <w:t>6</w:t>
      </w:r>
      <w:r>
        <w:rPr>
          <w:rFonts w:hint="eastAsia" w:ascii="黑体" w:hAnsi="Times New Roman" w:eastAsia="黑体" w:cs="Times New Roman"/>
          <w:sz w:val="21"/>
          <w:lang w:val="en-US" w:eastAsia="zh-CN" w:bidi="ar-SA"/>
        </w:rPr>
        <w:t>服务内容及要求</w:t>
      </w:r>
      <w:r>
        <w:rPr>
          <w:rFonts w:hint="eastAsia" w:ascii="黑体" w:hAnsi="Times New Roman" w:eastAsia="黑体" w:cs="Times New Roman"/>
          <w:sz w:val="21"/>
          <w:szCs w:val="20"/>
          <w:lang w:val="en-US" w:eastAsia="zh-CN" w:bidi="ar-SA"/>
        </w:rPr>
        <w:t xml:space="preserve"> </w:t>
      </w:r>
      <w:r>
        <w:rPr>
          <w:rFonts w:hint="eastAsia" w:ascii="黑体" w:hAnsi="黑体" w:eastAsia="黑体"/>
        </w:rPr>
        <w:t xml:space="preserve"> </w:t>
      </w:r>
    </w:p>
    <w:p w14:paraId="07A7CA51">
      <w:pPr>
        <w:pStyle w:val="43"/>
        <w:numPr>
          <w:ilvl w:val="1"/>
          <w:numId w:val="0"/>
        </w:numPr>
        <w:spacing w:before="156" w:after="156"/>
        <w:ind w:left="0" w:leftChars="0" w:firstLine="0" w:firstLineChars="0"/>
        <w:rPr>
          <w:rFonts w:hint="eastAsia" w:ascii="黑体" w:hAnsi="Times New Roman" w:eastAsia="黑体" w:cs="Times New Roman"/>
          <w:sz w:val="21"/>
          <w:szCs w:val="20"/>
          <w:lang w:val="en-US" w:eastAsia="zh-CN" w:bidi="ar-SA"/>
        </w:rPr>
      </w:pP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1　</w:t>
      </w:r>
      <w:r>
        <w:rPr>
          <w:rFonts w:hint="eastAsia" w:ascii="黑体" w:hAnsi="Times New Roman" w:eastAsia="黑体" w:cs="Times New Roman"/>
          <w:sz w:val="21"/>
          <w:szCs w:val="20"/>
          <w:lang w:val="en-US" w:eastAsia="zh-CN" w:bidi="ar-SA"/>
        </w:rPr>
        <w:t>服务准备</w:t>
      </w:r>
    </w:p>
    <w:p w14:paraId="47B1C162">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7.6.1.1　</w:t>
      </w:r>
      <w:r>
        <w:rPr>
          <w:rFonts w:hint="eastAsia" w:ascii="宋体" w:hAnsi="宋体" w:eastAsia="宋体" w:cs="Times New Roman"/>
          <w:sz w:val="21"/>
          <w:szCs w:val="21"/>
          <w:lang w:val="en-US" w:eastAsia="zh-CN" w:bidi="ar-SA"/>
        </w:rPr>
        <w:t>小儿推拿机构在接收服务对象时应在平等协商基础上依法拟定服务合同，依法维护儿童和小儿推拿机构的合法权益。</w:t>
      </w:r>
    </w:p>
    <w:p w14:paraId="1A058440">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7.6.1.2　</w:t>
      </w:r>
      <w:r>
        <w:rPr>
          <w:rFonts w:hint="eastAsia" w:ascii="宋体" w:hAnsi="宋体" w:eastAsia="宋体" w:cs="Times New Roman"/>
          <w:sz w:val="21"/>
          <w:szCs w:val="21"/>
          <w:lang w:val="en-US" w:eastAsia="zh-CN" w:bidi="ar-SA"/>
        </w:rPr>
        <w:t>订立服务合同双方应当具有相应的民事权利能力和民事行为能力。当事人依法可以委托代理人订立合同。合同应体现公平、公正、合理的原则。</w:t>
      </w:r>
    </w:p>
    <w:p w14:paraId="3B980769">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7.6.1.3　</w:t>
      </w:r>
      <w:r>
        <w:rPr>
          <w:rFonts w:hint="eastAsia" w:ascii="宋体" w:hAnsi="宋体" w:eastAsia="宋体" w:cs="Times New Roman"/>
          <w:sz w:val="21"/>
          <w:szCs w:val="21"/>
          <w:lang w:val="en-US" w:eastAsia="zh-CN" w:bidi="ar-SA"/>
        </w:rPr>
        <w:t>合同应至少明确下列主要条款：</w:t>
      </w:r>
    </w:p>
    <w:p w14:paraId="1C3C6458">
      <w:pPr>
        <w:pStyle w:val="60"/>
        <w:numPr>
          <w:ilvl w:val="0"/>
          <w:numId w:val="19"/>
        </w:numPr>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合同各方的基本信息；</w:t>
      </w:r>
    </w:p>
    <w:p w14:paraId="4BC5A9CF">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接收条件和调理程序；</w:t>
      </w:r>
    </w:p>
    <w:p w14:paraId="0B682E69">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服务地点和设施；</w:t>
      </w:r>
    </w:p>
    <w:p w14:paraId="7B3CADEB">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服务内容和质量标准；</w:t>
      </w:r>
    </w:p>
    <w:p w14:paraId="37D94686">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服务收费标准和方式；</w:t>
      </w:r>
    </w:p>
    <w:p w14:paraId="3DCA5541">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合同各方的权利和义务；</w:t>
      </w:r>
    </w:p>
    <w:p w14:paraId="1D3242B2">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合同变更、解除与终止的条件；</w:t>
      </w:r>
    </w:p>
    <w:p w14:paraId="372EC441">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违约责任；</w:t>
      </w:r>
    </w:p>
    <w:p w14:paraId="17FE1CA4">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合同期限；</w:t>
      </w:r>
    </w:p>
    <w:p w14:paraId="1916E5D0">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纠纷的解决方式及管辖；</w:t>
      </w:r>
    </w:p>
    <w:p w14:paraId="1687433E">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合同各方签字确认；</w:t>
      </w:r>
    </w:p>
    <w:p w14:paraId="1665EBCC">
      <w:pPr>
        <w:pStyle w:val="6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其他约定事项。</w:t>
      </w:r>
    </w:p>
    <w:p w14:paraId="32745FFD">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7.6.1.4　</w:t>
      </w:r>
      <w:r>
        <w:rPr>
          <w:rFonts w:hint="eastAsia" w:ascii="宋体" w:hAnsi="宋体" w:eastAsia="宋体" w:cs="Times New Roman"/>
          <w:sz w:val="21"/>
          <w:szCs w:val="21"/>
          <w:lang w:val="en-US" w:eastAsia="zh-CN" w:bidi="ar-SA"/>
        </w:rPr>
        <w:t>儿童调理前，小儿推拿机构应评估儿童基本健康情况，确定儿童健康情况正常，双方签字确定后，方可调理。</w:t>
      </w:r>
    </w:p>
    <w:p w14:paraId="6C4D4860">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7.6.1.5　</w:t>
      </w:r>
      <w:r>
        <w:rPr>
          <w:rFonts w:hint="eastAsia" w:ascii="宋体" w:hAnsi="宋体" w:eastAsia="宋体" w:cs="Times New Roman"/>
          <w:sz w:val="21"/>
          <w:szCs w:val="21"/>
          <w:lang w:val="en-US" w:eastAsia="zh-CN" w:bidi="ar-SA"/>
        </w:rPr>
        <w:t>小儿推拿机构应当对调理儿童实施程序化个案护理，视情况调整调理方案。</w:t>
      </w:r>
    </w:p>
    <w:p w14:paraId="5FBA0567">
      <w:pPr>
        <w:pStyle w:val="43"/>
        <w:numPr>
          <w:ilvl w:val="1"/>
          <w:numId w:val="0"/>
        </w:numPr>
        <w:spacing w:before="156" w:after="156"/>
        <w:ind w:left="0" w:leftChars="0" w:firstLine="0" w:firstLineChars="0"/>
        <w:rPr>
          <w:rFonts w:hint="eastAsia" w:ascii="黑体" w:hAnsi="Times New Roman" w:eastAsia="黑体" w:cs="Times New Roman"/>
          <w:sz w:val="21"/>
          <w:szCs w:val="20"/>
          <w:lang w:val="en-US" w:eastAsia="zh-CN" w:bidi="ar-SA"/>
        </w:rPr>
      </w:pP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lang w:val="en-US" w:eastAsia="zh-CN" w:bidi="ar-SA"/>
        </w:rPr>
        <w:t>.2　</w:t>
      </w:r>
      <w:r>
        <w:rPr>
          <w:rFonts w:hint="eastAsia" w:ascii="黑体" w:hAnsi="Times New Roman" w:eastAsia="黑体" w:cs="Times New Roman"/>
          <w:sz w:val="21"/>
          <w:szCs w:val="20"/>
          <w:lang w:val="en-US" w:eastAsia="zh-CN" w:bidi="ar-SA"/>
        </w:rPr>
        <w:t>儿童调理服务</w:t>
      </w:r>
    </w:p>
    <w:p w14:paraId="04339FAB">
      <w:pPr>
        <w:pStyle w:val="64"/>
        <w:numPr>
          <w:ilvl w:val="2"/>
          <w:numId w:val="0"/>
        </w:numPr>
        <w:spacing w:before="156" w:after="156"/>
        <w:ind w:leftChars="0" w:firstLine="630" w:firstLineChars="30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 xml:space="preserve">小儿推拿机构应向儿童提供专业的调理服务，具体内容包括： </w:t>
      </w:r>
    </w:p>
    <w:p w14:paraId="00D14817">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7.6.2.1　</w:t>
      </w:r>
      <w:r>
        <w:rPr>
          <w:rFonts w:hint="eastAsia" w:ascii="宋体" w:hAnsi="宋体" w:eastAsia="宋体" w:cs="Times New Roman"/>
          <w:sz w:val="21"/>
          <w:szCs w:val="21"/>
          <w:lang w:val="en-US" w:eastAsia="zh-CN" w:bidi="ar-SA"/>
        </w:rPr>
        <w:t>应掌握新生儿期生理性特点和常见病理情况，掌握异常和潜在危险状况的识别。每日对婴儿的生理状态进行测量和评估，并做相关记录，如有异常应采取相应措施或进行必要的辅助检查，如无明显好转应及时建议并协助就医。观察和评估的内容包含：</w:t>
      </w:r>
    </w:p>
    <w:p w14:paraId="255FFB61">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7.6.2.2　</w:t>
      </w:r>
      <w:r>
        <w:rPr>
          <w:rFonts w:hint="eastAsia" w:ascii="宋体" w:hAnsi="宋体" w:eastAsia="宋体" w:cs="Times New Roman"/>
          <w:sz w:val="21"/>
          <w:szCs w:val="21"/>
          <w:lang w:val="en-US" w:eastAsia="zh-CN" w:bidi="ar-SA"/>
        </w:rPr>
        <w:t>生命体征：包括体温、脉搏、呼吸；</w:t>
      </w:r>
    </w:p>
    <w:p w14:paraId="5CC8C909">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7.6.2.3　</w:t>
      </w:r>
      <w:r>
        <w:rPr>
          <w:rFonts w:hint="eastAsia" w:ascii="宋体" w:hAnsi="宋体" w:eastAsia="宋体" w:cs="Times New Roman"/>
          <w:sz w:val="21"/>
          <w:szCs w:val="21"/>
          <w:lang w:val="en-US" w:eastAsia="zh-CN" w:bidi="ar-SA"/>
        </w:rPr>
        <w:t>精神状态、皮肤颜色、舌苔脉象；</w:t>
      </w:r>
    </w:p>
    <w:p w14:paraId="7C97D392">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7.6.2.4　</w:t>
      </w:r>
      <w:r>
        <w:rPr>
          <w:rFonts w:hint="eastAsia" w:ascii="宋体" w:hAnsi="宋体" w:eastAsia="宋体" w:cs="Times New Roman"/>
          <w:sz w:val="21"/>
          <w:szCs w:val="21"/>
          <w:lang w:val="en-US" w:eastAsia="zh-CN" w:bidi="ar-SA"/>
        </w:rPr>
        <w:t>前囟、肌张力及活动情况；</w:t>
      </w:r>
    </w:p>
    <w:p w14:paraId="506A3C64">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7.6.2.5　</w:t>
      </w:r>
      <w:r>
        <w:rPr>
          <w:rFonts w:hint="eastAsia" w:ascii="宋体" w:hAnsi="宋体" w:eastAsia="宋体" w:cs="Times New Roman"/>
          <w:sz w:val="21"/>
          <w:szCs w:val="21"/>
          <w:lang w:val="en-US" w:eastAsia="zh-CN" w:bidi="ar-SA"/>
        </w:rPr>
        <w:t>饮食情况、大小便情况及睡眠情况；</w:t>
      </w:r>
    </w:p>
    <w:p w14:paraId="25949F60">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7.6.2.6　</w:t>
      </w:r>
      <w:r>
        <w:rPr>
          <w:rFonts w:hint="eastAsia" w:ascii="宋体" w:hAnsi="宋体" w:eastAsia="宋体" w:cs="Times New Roman"/>
          <w:sz w:val="21"/>
          <w:szCs w:val="21"/>
          <w:lang w:val="en-US" w:eastAsia="zh-CN" w:bidi="ar-SA"/>
        </w:rPr>
        <w:t>体形监测：体重、身长测量。</w:t>
      </w:r>
    </w:p>
    <w:p w14:paraId="3B60BB69">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7.6.2.7　</w:t>
      </w:r>
      <w:r>
        <w:rPr>
          <w:rFonts w:hint="eastAsia" w:ascii="宋体" w:hAnsi="宋体" w:eastAsia="宋体" w:cs="Times New Roman"/>
          <w:sz w:val="21"/>
          <w:szCs w:val="21"/>
          <w:lang w:val="en-US" w:eastAsia="zh-CN" w:bidi="ar-SA"/>
        </w:rPr>
        <w:t>应指导家长做好对儿童的预防调护，保持合理饮食、适量运动，提高免疫力，增强体质，预防疾病的发生。</w:t>
      </w:r>
    </w:p>
    <w:p w14:paraId="28DCABFC">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7.6.2.8　</w:t>
      </w:r>
      <w:r>
        <w:rPr>
          <w:rFonts w:hint="eastAsia" w:ascii="宋体" w:hAnsi="宋体" w:eastAsia="宋体" w:cs="Times New Roman"/>
          <w:sz w:val="21"/>
          <w:szCs w:val="21"/>
          <w:lang w:val="en-US" w:eastAsia="zh-CN" w:bidi="ar-SA"/>
        </w:rPr>
        <w:t>在各项操作中可播放舒缓音乐并与儿童进行语言及表情的交流，增加婴儿心理情感发育。</w:t>
      </w:r>
    </w:p>
    <w:p w14:paraId="28198DC9">
      <w:pPr>
        <w:pStyle w:val="64"/>
        <w:numPr>
          <w:ilvl w:val="2"/>
          <w:numId w:val="0"/>
        </w:numPr>
        <w:spacing w:before="156" w:after="156"/>
        <w:ind w:left="0" w:leftChars="0" w:firstLine="0" w:firstLineChars="0"/>
        <w:rPr>
          <w:rFonts w:hint="eastAsia" w:ascii="宋体" w:hAnsi="宋体" w:eastAsia="宋体" w:cs="Times New Roman"/>
          <w:sz w:val="21"/>
          <w:szCs w:val="21"/>
          <w:lang w:val="en-US" w:eastAsia="zh-CN" w:bidi="ar-SA"/>
        </w:rPr>
      </w:pPr>
      <w:r>
        <w:rPr>
          <w:rFonts w:hint="eastAsia" w:ascii="黑体" w:hAnsi="Times New Roman" w:eastAsia="黑体" w:cs="Times New Roman"/>
          <w:b w:val="0"/>
          <w:i w:val="0"/>
          <w:sz w:val="21"/>
          <w:szCs w:val="21"/>
          <w:lang w:val="en-US" w:eastAsia="zh-CN" w:bidi="ar-SA"/>
        </w:rPr>
        <w:t>7.6.2.9　</w:t>
      </w:r>
      <w:r>
        <w:rPr>
          <w:rFonts w:hint="eastAsia" w:ascii="宋体" w:hAnsi="宋体" w:eastAsia="宋体" w:cs="Times New Roman"/>
          <w:sz w:val="21"/>
          <w:szCs w:val="21"/>
          <w:lang w:val="en-US" w:eastAsia="zh-CN" w:bidi="ar-SA"/>
        </w:rPr>
        <w:t xml:space="preserve">应嘱家长按时至指定医疗机构为儿童进行免疫接种及健康体检，应对家长定期开展儿童健康调理知识的宣教和培训。   </w:t>
      </w:r>
    </w:p>
    <w:p w14:paraId="66623764">
      <w:pPr>
        <w:pStyle w:val="114"/>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Chars="0" w:firstLine="420" w:firstLineChars="200"/>
        <w:textAlignment w:val="auto"/>
        <w:rPr>
          <w:rFonts w:hint="eastAsia" w:ascii="宋体" w:hAnsi="宋体" w:eastAsia="宋体" w:cs="宋体"/>
          <w:color w:val="000000"/>
          <w:kern w:val="0"/>
          <w:sz w:val="21"/>
          <w:szCs w:val="21"/>
          <w:lang w:val="en-US" w:eastAsia="zh-CN" w:bidi="ar"/>
        </w:rPr>
      </w:pPr>
    </w:p>
    <w:p w14:paraId="0E427C86">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7.6质量控制管理要求</w:t>
      </w:r>
    </w:p>
    <w:p w14:paraId="3A5E3446">
      <w:pPr>
        <w:pStyle w:val="43"/>
        <w:numPr>
          <w:ilvl w:val="1"/>
          <w:numId w:val="0"/>
        </w:numPr>
        <w:spacing w:before="156" w:after="156"/>
        <w:ind w:leftChars="0"/>
        <w:rPr>
          <w:rFonts w:hint="default" w:eastAsia="黑体"/>
          <w:color w:val="36363D"/>
          <w:lang w:val="en-US" w:eastAsia="zh-CN"/>
        </w:rPr>
      </w:pPr>
      <w:r>
        <w:rPr>
          <w:rFonts w:hint="eastAsia"/>
          <w:color w:val="36363D"/>
          <w:lang w:val="en-US" w:eastAsia="zh-CN"/>
        </w:rPr>
        <w:t>7.6.1</w:t>
      </w:r>
      <w:r>
        <w:rPr>
          <w:rFonts w:hint="eastAsia"/>
          <w:color w:val="36363D"/>
        </w:rPr>
        <w:t>服务</w:t>
      </w:r>
      <w:r>
        <w:rPr>
          <w:rFonts w:hint="eastAsia"/>
          <w:color w:val="36363D"/>
          <w:lang w:val="en-US" w:eastAsia="zh-CN"/>
        </w:rPr>
        <w:t>质量控制</w:t>
      </w:r>
    </w:p>
    <w:p w14:paraId="55D445DF">
      <w:pPr>
        <w:pStyle w:val="43"/>
        <w:numPr>
          <w:ilvl w:val="0"/>
          <w:numId w:val="0"/>
        </w:numPr>
        <w:spacing w:before="156" w:after="156"/>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7.6.1.1  小儿推拿机构应建立对服务过程的监督与考核程序，规定监督的频次、方式、人员以及考核方法。应及时保存监督考核记录。</w:t>
      </w:r>
    </w:p>
    <w:p w14:paraId="20C80B56">
      <w:pPr>
        <w:pStyle w:val="64"/>
        <w:numPr>
          <w:ilvl w:val="2"/>
          <w:numId w:val="0"/>
        </w:numPr>
        <w:spacing w:before="156" w:after="156"/>
        <w:ind w:leftChars="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7.6.1.2  监督的形式包括：服务对象调查、日常检查考核、社会监督等。</w:t>
      </w:r>
    </w:p>
    <w:p w14:paraId="46F74550">
      <w:pPr>
        <w:pStyle w:val="64"/>
        <w:numPr>
          <w:ilvl w:val="2"/>
          <w:numId w:val="0"/>
        </w:numPr>
        <w:spacing w:before="156" w:after="156"/>
        <w:ind w:leftChars="0"/>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7.6.1.3  小儿推拿机构应建立不合格服务控制程序，对不合格服务进行预防和控制纠正。分析不合格服务的产生原因，制定整改措施，并对整改措施的实施情况进行验证。</w:t>
      </w:r>
    </w:p>
    <w:p w14:paraId="014A4D78">
      <w:pPr>
        <w:pStyle w:val="43"/>
        <w:numPr>
          <w:ilvl w:val="1"/>
          <w:numId w:val="0"/>
        </w:numPr>
        <w:spacing w:before="156" w:after="156"/>
        <w:ind w:leftChars="0"/>
        <w:rPr>
          <w:color w:val="36363D"/>
        </w:rPr>
      </w:pPr>
      <w:bookmarkStart w:id="39" w:name="_Toc438191414"/>
      <w:bookmarkStart w:id="40" w:name="_Toc439670199"/>
      <w:bookmarkStart w:id="41" w:name="_Toc438147700"/>
      <w:bookmarkStart w:id="42" w:name="_Toc439671295"/>
      <w:bookmarkStart w:id="43" w:name="_Toc438147988"/>
      <w:bookmarkStart w:id="44" w:name="_Toc438147838"/>
      <w:bookmarkStart w:id="45" w:name="_Toc438146664"/>
      <w:r>
        <w:rPr>
          <w:rFonts w:hint="eastAsia"/>
          <w:color w:val="36363D"/>
          <w:lang w:val="en-US" w:eastAsia="zh-CN"/>
        </w:rPr>
        <w:t>7.6.2</w:t>
      </w:r>
      <w:r>
        <w:rPr>
          <w:rFonts w:hint="eastAsia"/>
          <w:color w:val="36363D"/>
        </w:rPr>
        <w:t>客户回访及满意度</w:t>
      </w:r>
      <w:bookmarkEnd w:id="39"/>
      <w:bookmarkEnd w:id="40"/>
      <w:bookmarkEnd w:id="41"/>
      <w:bookmarkEnd w:id="42"/>
      <w:bookmarkEnd w:id="43"/>
      <w:bookmarkEnd w:id="44"/>
      <w:bookmarkEnd w:id="45"/>
      <w:r>
        <w:rPr>
          <w:rFonts w:hint="eastAsia"/>
          <w:color w:val="36363D"/>
        </w:rPr>
        <w:t>调查</w:t>
      </w:r>
    </w:p>
    <w:p w14:paraId="70634AB3">
      <w:pPr>
        <w:pStyle w:val="24"/>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小儿推拿机构应制定客户回访及满意度测评管理制度，定期对调理过的儿童进行客户回访和满意度调查。依据调查结果，制定整改措施，不断改进服务质量。</w:t>
      </w:r>
    </w:p>
    <w:p w14:paraId="2A655FDA">
      <w:pPr>
        <w:pStyle w:val="43"/>
        <w:numPr>
          <w:ilvl w:val="1"/>
          <w:numId w:val="0"/>
        </w:numPr>
        <w:spacing w:before="156" w:after="156"/>
        <w:ind w:leftChars="0"/>
        <w:rPr>
          <w:color w:val="36363D"/>
        </w:rPr>
      </w:pPr>
      <w:bookmarkStart w:id="46" w:name="_Toc439671298"/>
      <w:bookmarkStart w:id="47" w:name="_Toc438146667"/>
      <w:bookmarkStart w:id="48" w:name="_Toc438147991"/>
      <w:bookmarkStart w:id="49" w:name="_Toc438191417"/>
      <w:bookmarkStart w:id="50" w:name="_Toc439670202"/>
      <w:bookmarkStart w:id="51" w:name="_Toc438147841"/>
      <w:bookmarkStart w:id="52" w:name="_Toc438147703"/>
      <w:r>
        <w:rPr>
          <w:rFonts w:hint="eastAsia"/>
          <w:color w:val="36363D"/>
          <w:lang w:val="en-US" w:eastAsia="zh-CN"/>
        </w:rPr>
        <w:t>7.6.3</w:t>
      </w:r>
      <w:r>
        <w:rPr>
          <w:rFonts w:hint="eastAsia"/>
          <w:color w:val="36363D"/>
        </w:rPr>
        <w:t>质量档案管理</w:t>
      </w:r>
      <w:bookmarkEnd w:id="46"/>
      <w:bookmarkEnd w:id="47"/>
      <w:bookmarkEnd w:id="48"/>
      <w:bookmarkEnd w:id="49"/>
      <w:bookmarkEnd w:id="50"/>
      <w:bookmarkEnd w:id="51"/>
      <w:bookmarkEnd w:id="52"/>
    </w:p>
    <w:p w14:paraId="6E5879D8">
      <w:pPr>
        <w:pStyle w:val="24"/>
        <w:rPr>
          <w:rFonts w:hint="eastAsia" w:ascii="宋体" w:hAnsi="宋体" w:eastAsia="宋体" w:cs="Times New Roman"/>
          <w:sz w:val="21"/>
          <w:szCs w:val="21"/>
          <w:lang w:val="en-US" w:eastAsia="zh-CN" w:bidi="ar-SA"/>
        </w:rPr>
      </w:pPr>
      <w:r>
        <w:rPr>
          <w:rFonts w:hint="eastAsia" w:ascii="宋体" w:hAnsi="宋体" w:eastAsia="宋体" w:cs="Times New Roman"/>
          <w:sz w:val="21"/>
          <w:szCs w:val="21"/>
          <w:lang w:val="en-US" w:eastAsia="zh-CN" w:bidi="ar-SA"/>
        </w:rPr>
        <w:t>小儿推拿机构应指定部门或专人负责收集和管理客户回访、满意度调查、客户投诉、服务质量监督检查等方面形成的记录和档案。</w:t>
      </w:r>
    </w:p>
    <w:p w14:paraId="4A1DF84E">
      <w:pPr>
        <w:pStyle w:val="114"/>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rPr>
          <w:rFonts w:hint="eastAsia" w:ascii="黑体" w:hAnsi="Times New Roman" w:eastAsia="黑体" w:cs="Times New Roman"/>
          <w:kern w:val="0"/>
          <w:sz w:val="21"/>
          <w:szCs w:val="21"/>
          <w:lang w:val="en-US" w:eastAsia="zh-CN" w:bidi="ar-SA"/>
        </w:rPr>
      </w:pPr>
    </w:p>
    <w:p w14:paraId="63AE043E">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rPr>
          <w:rFonts w:hint="eastAsia" w:hAnsi="Times New Roman" w:cs="Times New Roman"/>
          <w:color w:val="auto"/>
          <w:lang w:val="en-US" w:eastAsia="zh-CN"/>
        </w:rPr>
      </w:pPr>
      <w:r>
        <w:rPr>
          <w:rFonts w:hint="eastAsia" w:ascii="黑体" w:hAnsi="Times New Roman" w:eastAsia="黑体" w:cs="Times New Roman"/>
          <w:b w:val="0"/>
          <w:i w:val="0"/>
          <w:color w:val="auto"/>
          <w:sz w:val="21"/>
          <w:szCs w:val="21"/>
          <w:lang w:val="en-US" w:eastAsia="zh-CN" w:bidi="ar-SA"/>
        </w:rPr>
        <w:t>8　</w:t>
      </w:r>
      <w:r>
        <w:rPr>
          <w:rFonts w:hint="eastAsia" w:hAnsi="Times New Roman" w:cs="Times New Roman"/>
          <w:color w:val="auto"/>
          <w:lang w:val="en-US" w:eastAsia="zh-CN"/>
        </w:rPr>
        <w:t>组织管理</w:t>
      </w:r>
    </w:p>
    <w:p w14:paraId="109CFA98">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hAnsi="Times New Roman"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8.1运行管理</w:t>
      </w:r>
      <w:r>
        <w:rPr>
          <w:rFonts w:hint="eastAsia" w:hAnsi="Times New Roman" w:cs="Times New Roman"/>
          <w:kern w:val="0"/>
          <w:sz w:val="21"/>
          <w:szCs w:val="21"/>
          <w:lang w:val="en-US" w:eastAsia="zh-CN" w:bidi="ar-SA"/>
        </w:rPr>
        <w:t xml:space="preserve">  </w:t>
      </w:r>
    </w:p>
    <w:p w14:paraId="01191381">
      <w:pPr>
        <w:pStyle w:val="46"/>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小儿推拿机构由医院医务部主管， 独立、纵向的运行管理模式。医务部监督制定门诊运行管理制度、岗位职责、医疗纠纷和风险防范制度、绩效考核制度以及相关技术指南、病历书写规范等，并负责督导具体实施及协调工作。 </w:t>
      </w:r>
    </w:p>
    <w:p w14:paraId="750FC00C">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8.2人员管理</w:t>
      </w:r>
    </w:p>
    <w:p w14:paraId="2BE50F09">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8.2.1</w:t>
      </w:r>
      <w:r>
        <w:rPr>
          <w:rFonts w:hint="eastAsia" w:hAnsi="Times New Roman" w:cs="Times New Roman"/>
          <w:color w:val="000000" w:themeColor="text1"/>
          <w:kern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符合出诊资质要求的小儿推拿人员应在相应机构登记注册备案，上岗前应有所在医疗机构组织进行岗前培训及考核，考核合格后方可上岗。 </w:t>
      </w:r>
    </w:p>
    <w:p w14:paraId="2DD7E025">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8.2.2</w:t>
      </w:r>
      <w:r>
        <w:rPr>
          <w:rFonts w:hint="eastAsia" w:hAnsi="Times New Roman" w:cs="Times New Roman"/>
          <w:color w:val="000000" w:themeColor="text1"/>
          <w:kern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bidi="ar"/>
          <w14:textFill>
            <w14:solidFill>
              <w14:schemeClr w14:val="tx1"/>
            </w14:solidFill>
          </w14:textFill>
        </w:rPr>
        <w:t>出诊人员服从科室的管理，严格遵守各项护理制度和技术操作规程，认真履行工作职责。</w:t>
      </w:r>
    </w:p>
    <w:p w14:paraId="6F74B701">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8.3应急管理</w:t>
      </w:r>
    </w:p>
    <w:p w14:paraId="64344961">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kern w:val="0"/>
          <w:sz w:val="21"/>
          <w:szCs w:val="21"/>
          <w:lang w:val="en-US" w:eastAsia="zh-CN" w:bidi="ar-SA"/>
        </w:rPr>
        <w:t>8.3.1</w:t>
      </w:r>
      <w:r>
        <w:rPr>
          <w:rFonts w:hint="eastAsia" w:hAnsi="Times New Roman" w:cs="Times New Roman"/>
          <w:kern w:val="0"/>
          <w:sz w:val="21"/>
          <w:szCs w:val="21"/>
          <w:lang w:val="en-US" w:eastAsia="zh-CN" w:bidi="ar-SA"/>
        </w:rPr>
        <w:t xml:space="preserve">  </w:t>
      </w:r>
      <w:r>
        <w:rPr>
          <w:rFonts w:hint="eastAsia" w:ascii="宋体" w:hAnsi="宋体" w:eastAsia="宋体" w:cs="宋体"/>
          <w:color w:val="000000"/>
          <w:kern w:val="0"/>
          <w:sz w:val="21"/>
          <w:szCs w:val="21"/>
          <w:lang w:val="en-US" w:eastAsia="zh-CN" w:bidi="ar"/>
        </w:rPr>
        <w:t>根据小儿推拿机构实际情况，制定突发意外事件（停水、停电、火灾、过敏性休克、心跳骤停等）应急预案和传染病防控应急预案。</w:t>
      </w:r>
    </w:p>
    <w:p w14:paraId="3EF58184">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kern w:val="0"/>
          <w:sz w:val="21"/>
          <w:szCs w:val="21"/>
          <w:lang w:val="en-US" w:eastAsia="zh-CN" w:bidi="ar-SA"/>
        </w:rPr>
        <w:t>8.3.2</w:t>
      </w:r>
      <w:r>
        <w:rPr>
          <w:rFonts w:hint="eastAsia" w:hAnsi="Times New Roman" w:cs="Times New Roman"/>
          <w:kern w:val="0"/>
          <w:sz w:val="21"/>
          <w:szCs w:val="21"/>
          <w:lang w:val="en-US" w:eastAsia="zh-CN" w:bidi="ar-SA"/>
        </w:rPr>
        <w:t xml:space="preserve">  </w:t>
      </w:r>
      <w:r>
        <w:rPr>
          <w:rFonts w:hint="eastAsia" w:ascii="宋体" w:hAnsi="宋体" w:eastAsia="宋体" w:cs="宋体"/>
          <w:color w:val="000000"/>
          <w:kern w:val="0"/>
          <w:sz w:val="21"/>
          <w:szCs w:val="21"/>
          <w:lang w:val="en-US" w:eastAsia="zh-CN" w:bidi="ar"/>
        </w:rPr>
        <w:t>参照《医疗机构小儿推拿技术规范》制定中医适宜技术不良事件（晕灸、晕针、烫伤、晕罐、皮肤损伤等）应急预案及防范、处置规范，护理部定期组织应急演练和常用急救技术的演练，全过程纪要，完整留档。</w:t>
      </w:r>
    </w:p>
    <w:p w14:paraId="2826BD98">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kern w:val="0"/>
          <w:sz w:val="21"/>
          <w:szCs w:val="21"/>
          <w:lang w:val="en-US" w:eastAsia="zh-CN" w:bidi="ar-SA"/>
        </w:rPr>
        <w:t>8.3.3</w:t>
      </w:r>
      <w:r>
        <w:rPr>
          <w:rFonts w:hint="eastAsia" w:hAnsi="Times New Roman" w:cs="Times New Roman"/>
          <w:kern w:val="0"/>
          <w:sz w:val="21"/>
          <w:szCs w:val="21"/>
          <w:lang w:val="en-US" w:eastAsia="zh-CN" w:bidi="ar-SA"/>
        </w:rPr>
        <w:t xml:space="preserve">  </w:t>
      </w:r>
      <w:r>
        <w:rPr>
          <w:rFonts w:hint="eastAsia" w:ascii="宋体" w:hAnsi="宋体" w:eastAsia="宋体" w:cs="宋体"/>
          <w:color w:val="000000"/>
          <w:kern w:val="0"/>
          <w:sz w:val="21"/>
          <w:szCs w:val="21"/>
          <w:lang w:val="en-US" w:eastAsia="zh-CN" w:bidi="ar"/>
        </w:rPr>
        <w:t>建立小儿推拿机构医疗纠纷和风险防范制度，制订应急处理预案。开放投诉、评议渠道，接受社会和群众的监督，维护患者健康权益。</w:t>
      </w:r>
    </w:p>
    <w:p w14:paraId="13FB13FC">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8.4设备管理</w:t>
      </w:r>
    </w:p>
    <w:p w14:paraId="7412FE9E">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Chars="0"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设备实行档案化管理，制定设备管理制度，安排专班专人负责定期检查仪器设备运行状况，发现异常问题及时联络专业人员进行检查维修，做好维护保养记录。消防安全应符合WS308医疗机构消防安全管理；消防安全标志应符合GB 13495.1要求，安全通道应畅通。</w:t>
      </w:r>
    </w:p>
    <w:p w14:paraId="4CC67DF0">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8.5信息管理</w:t>
      </w:r>
    </w:p>
    <w:p w14:paraId="18A85A2B">
      <w:pPr>
        <w:pStyle w:val="46"/>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Chars="0"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充分利用现代化信息技术，根据实际需求，建立方便快捷的患者管理系统，推进“互联网+”建设，促进小儿推拿机构精准化管理。</w:t>
      </w:r>
    </w:p>
    <w:p w14:paraId="795B0772">
      <w:pPr>
        <w:pStyle w:val="46"/>
        <w:keepNext w:val="0"/>
        <w:keepLines w:val="0"/>
        <w:pageBreakBefore w:val="0"/>
        <w:widowControl/>
        <w:numPr>
          <w:ilvl w:val="0"/>
          <w:numId w:val="0"/>
        </w:numPr>
        <w:kinsoku/>
        <w:wordWrap/>
        <w:overflowPunct/>
        <w:topLinePunct w:val="0"/>
        <w:autoSpaceDE/>
        <w:autoSpaceDN/>
        <w:bidi w:val="0"/>
        <w:adjustRightInd/>
        <w:snapToGrid/>
        <w:spacing w:before="312" w:after="312" w:line="240" w:lineRule="auto"/>
        <w:ind w:left="0" w:leftChars="0" w:firstLine="0" w:firstLineChars="0"/>
        <w:textAlignment w:val="auto"/>
        <w:rPr>
          <w:rFonts w:hint="default" w:hAnsi="Times New Roman" w:cs="Times New Roman"/>
          <w:lang w:val="en-US" w:eastAsia="zh-CN"/>
        </w:rPr>
      </w:pPr>
      <w:r>
        <w:rPr>
          <w:rFonts w:hint="eastAsia" w:ascii="黑体" w:hAnsi="Times New Roman" w:eastAsia="黑体" w:cs="Times New Roman"/>
          <w:b w:val="0"/>
          <w:i w:val="0"/>
          <w:sz w:val="21"/>
          <w:szCs w:val="21"/>
          <w:lang w:val="en-US" w:eastAsia="zh-CN" w:bidi="ar-SA"/>
        </w:rPr>
        <w:t>9　</w:t>
      </w:r>
      <w:r>
        <w:rPr>
          <w:rFonts w:hint="default" w:hAnsi="Times New Roman" w:cs="Times New Roman"/>
          <w:lang w:val="en-US" w:eastAsia="zh-CN"/>
        </w:rPr>
        <w:t>保障措施</w:t>
      </w:r>
    </w:p>
    <w:p w14:paraId="2E2A5A93">
      <w:pPr>
        <w:pStyle w:val="46"/>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ind w:leftChars="0" w:firstLine="420" w:firstLineChars="200"/>
        <w:textAlignment w:val="auto"/>
      </w:pPr>
      <w:r>
        <w:rPr>
          <w:rFonts w:hint="default" w:ascii="宋体" w:hAnsi="宋体" w:eastAsia="宋体" w:cs="宋体"/>
          <w:color w:val="000000"/>
          <w:kern w:val="0"/>
          <w:sz w:val="21"/>
          <w:szCs w:val="21"/>
          <w:lang w:val="en-US" w:eastAsia="zh-CN" w:bidi="ar"/>
        </w:rPr>
        <w:t>医院领导要高度重视，加强组织领导，充分认识</w:t>
      </w:r>
      <w:r>
        <w:rPr>
          <w:rFonts w:hint="eastAsia" w:ascii="宋体" w:hAnsi="宋体" w:eastAsia="宋体" w:cs="宋体"/>
          <w:color w:val="000000"/>
          <w:kern w:val="0"/>
          <w:sz w:val="21"/>
          <w:szCs w:val="21"/>
          <w:lang w:val="en-US" w:eastAsia="zh-CN" w:bidi="ar"/>
        </w:rPr>
        <w:t>小儿推拿机构</w:t>
      </w:r>
      <w:r>
        <w:rPr>
          <w:rFonts w:hint="default" w:ascii="宋体" w:hAnsi="宋体" w:eastAsia="宋体" w:cs="宋体"/>
          <w:color w:val="000000"/>
          <w:kern w:val="0"/>
          <w:sz w:val="21"/>
          <w:szCs w:val="21"/>
          <w:lang w:val="en-US" w:eastAsia="zh-CN" w:bidi="ar"/>
        </w:rPr>
        <w:t>建设的必要性、重要性，在政策上予以扶持，建立激励机制，保障权益。完善各项制度，加强人员培训，强化日常监管，健全质量管理的长效机制，确保质量安全，促进</w:t>
      </w:r>
      <w:r>
        <w:rPr>
          <w:rFonts w:hint="eastAsia" w:ascii="宋体" w:hAnsi="宋体" w:eastAsia="宋体" w:cs="宋体"/>
          <w:color w:val="000000"/>
          <w:kern w:val="0"/>
          <w:sz w:val="21"/>
          <w:szCs w:val="21"/>
          <w:lang w:val="en-US" w:eastAsia="zh-CN" w:bidi="ar"/>
        </w:rPr>
        <w:t>小儿推拿机构</w:t>
      </w:r>
      <w:r>
        <w:rPr>
          <w:rFonts w:hint="default" w:ascii="宋体" w:hAnsi="宋体" w:eastAsia="宋体" w:cs="宋体"/>
          <w:color w:val="000000"/>
          <w:kern w:val="0"/>
          <w:sz w:val="21"/>
          <w:szCs w:val="21"/>
          <w:lang w:val="en-US" w:eastAsia="zh-CN" w:bidi="ar"/>
        </w:rPr>
        <w:t>规范化、可持续发展。</w:t>
      </w:r>
      <w:bookmarkEnd w:id="36"/>
      <w:bookmarkEnd w:id="37"/>
      <w:bookmarkEnd w:id="38"/>
    </w:p>
    <w:p w14:paraId="09F81438">
      <w:pPr>
        <w:pStyle w:val="72"/>
      </w:pPr>
      <w:bookmarkStart w:id="53" w:name="BKCKWX"/>
      <w:bookmarkStart w:id="54" w:name="_Toc61774103"/>
      <w:bookmarkStart w:id="55" w:name="_Toc61774219"/>
      <w:bookmarkStart w:id="56" w:name="_Toc61774019"/>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p>
    <w:p w14:paraId="225A6D3D">
      <w:pPr>
        <w:pStyle w:val="130"/>
        <w:framePr w:w="9470" w:wrap="around" w:vAnchor="text" w:hAnchor="page" w:x="1239" w:y="1532"/>
        <w:ind w:firstLine="420"/>
        <w:rPr>
          <w:rFonts w:ascii="宋体" w:hAnsi="宋体"/>
          <w:szCs w:val="21"/>
        </w:rPr>
      </w:pPr>
    </w:p>
    <w:bookmarkEnd w:id="53"/>
    <w:bookmarkEnd w:id="54"/>
    <w:bookmarkEnd w:id="55"/>
    <w:bookmarkEnd w:id="56"/>
    <w:p w14:paraId="778E3830">
      <w:pPr>
        <w:keepNext w:val="0"/>
        <w:keepLines w:val="0"/>
        <w:widowControl/>
        <w:suppressLineNumbers w:val="0"/>
        <w:pBdr>
          <w:top w:val="none" w:color="auto" w:sz="0" w:space="0"/>
          <w:left w:val="none" w:color="auto" w:sz="0" w:space="0"/>
          <w:bottom w:val="none" w:color="auto" w:sz="0" w:space="0"/>
          <w:right w:val="none" w:color="auto" w:sz="0" w:space="0"/>
        </w:pBdr>
        <w:jc w:val="left"/>
      </w:pPr>
      <w:r>
        <w:rPr>
          <w:rFonts w:hint="eastAsia" w:ascii="宋体" w:hAnsi="宋体" w:eastAsia="宋体" w:cs="宋体"/>
          <w:color w:val="000000"/>
          <w:kern w:val="0"/>
          <w:sz w:val="21"/>
          <w:szCs w:val="21"/>
          <w:lang w:val="en-US" w:eastAsia="zh-CN" w:bidi="ar"/>
        </w:rPr>
        <w:t xml:space="preserve">[1]王立新，王继红.小儿推拿学[M].北京：科学出版社,2019. </w:t>
      </w:r>
    </w:p>
    <w:p w14:paraId="70530ACC">
      <w:pPr>
        <w:keepNext w:val="0"/>
        <w:keepLines w:val="0"/>
        <w:widowControl/>
        <w:suppressLineNumbers w:val="0"/>
        <w:pBdr>
          <w:top w:val="none" w:color="auto" w:sz="0" w:space="0"/>
          <w:left w:val="none" w:color="auto" w:sz="0" w:space="0"/>
          <w:bottom w:val="none" w:color="auto" w:sz="0" w:space="0"/>
          <w:right w:val="none" w:color="auto" w:sz="0" w:space="0"/>
        </w:pBdr>
        <w:jc w:val="left"/>
      </w:pPr>
      <w:r>
        <w:rPr>
          <w:rFonts w:hint="eastAsia" w:ascii="宋体" w:hAnsi="宋体" w:eastAsia="宋体" w:cs="宋体"/>
          <w:color w:val="000000"/>
          <w:kern w:val="0"/>
          <w:sz w:val="21"/>
          <w:szCs w:val="21"/>
          <w:lang w:val="en-US" w:eastAsia="zh-CN" w:bidi="ar"/>
        </w:rPr>
        <w:t xml:space="preserve">[2]范炳华.推拿学[M].北京：中国中医药出版社,2015. </w:t>
      </w:r>
    </w:p>
    <w:p w14:paraId="458ACDF5">
      <w:pPr>
        <w:keepNext w:val="0"/>
        <w:keepLines w:val="0"/>
        <w:widowControl/>
        <w:suppressLineNumbers w:val="0"/>
        <w:pBdr>
          <w:top w:val="none" w:color="auto" w:sz="0" w:space="0"/>
          <w:left w:val="none" w:color="auto" w:sz="0" w:space="0"/>
          <w:bottom w:val="none" w:color="auto" w:sz="0" w:space="0"/>
          <w:right w:val="none" w:color="auto" w:sz="0" w:space="0"/>
        </w:pBdr>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[3]廖品东.小儿推拿学[M].2版.北京：人民卫生出版社,2016. </w:t>
      </w:r>
    </w:p>
    <w:p w14:paraId="5F9E8C78">
      <w:pPr>
        <w:keepNext w:val="0"/>
        <w:keepLines w:val="0"/>
        <w:widowControl/>
        <w:suppressLineNumbers w:val="0"/>
        <w:pBdr>
          <w:top w:val="none" w:color="auto" w:sz="0" w:space="0"/>
          <w:left w:val="none" w:color="auto" w:sz="0" w:space="0"/>
          <w:bottom w:val="none" w:color="auto" w:sz="0" w:space="0"/>
          <w:right w:val="none" w:color="auto" w:sz="0" w:space="0"/>
        </w:pBdr>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中华中医药学会</w:t>
      </w: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医疗机构小儿推拿技术操作规范</w:t>
      </w: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S</w:t>
      </w:r>
      <w:r>
        <w:rPr>
          <w:rFonts w:hint="eastAsia" w:ascii="宋体" w:hAnsi="宋体" w:eastAsia="宋体" w:cs="宋体"/>
          <w:color w:val="000000"/>
          <w:kern w:val="0"/>
          <w:sz w:val="21"/>
          <w:szCs w:val="21"/>
          <w:lang w:val="en-US" w:eastAsia="zh-CN" w:bidi="ar"/>
        </w:rPr>
        <w:t>].北京：20</w:t>
      </w:r>
      <w:r>
        <w:rPr>
          <w:rFonts w:hint="eastAsia" w:ascii="宋体" w:hAnsi="宋体" w:cs="宋体"/>
          <w:color w:val="000000"/>
          <w:kern w:val="0"/>
          <w:sz w:val="21"/>
          <w:szCs w:val="21"/>
          <w:lang w:val="en-US" w:eastAsia="zh-CN" w:bidi="ar"/>
        </w:rPr>
        <w:t>23</w:t>
      </w:r>
      <w:r>
        <w:rPr>
          <w:rFonts w:hint="eastAsia" w:ascii="宋体" w:hAnsi="宋体" w:eastAsia="宋体" w:cs="宋体"/>
          <w:color w:val="000000"/>
          <w:kern w:val="0"/>
          <w:sz w:val="21"/>
          <w:szCs w:val="21"/>
          <w:lang w:val="en-US" w:eastAsia="zh-CN" w:bidi="ar"/>
        </w:rPr>
        <w:t>.</w:t>
      </w:r>
    </w:p>
    <w:p w14:paraId="5A740517">
      <w:pPr>
        <w:pStyle w:val="85"/>
        <w:numPr>
          <w:ilvl w:val="0"/>
          <w:numId w:val="0"/>
        </w:numPr>
        <w:jc w:val="both"/>
        <w:rPr>
          <w:rFonts w:asciiTheme="minorEastAsia" w:hAnsiTheme="minorEastAsia" w:eastAsiaTheme="minorEastAsia"/>
        </w:rPr>
      </w:pPr>
    </w:p>
    <w:sectPr>
      <w:pgSz w:w="11906" w:h="16838"/>
      <w:pgMar w:top="567" w:right="1134" w:bottom="1134" w:left="1418" w:header="1418" w:footer="1134" w:gutter="0"/>
      <w:pgNumType w:start="1"/>
      <w:cols w:space="425" w:num="1"/>
      <w:formProt w:val="0"/>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65E90">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6C475">
    <w:pPr>
      <w:pStyle w:val="44"/>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91135" cy="131445"/>
              <wp:effectExtent l="0" t="0" r="18415" b="1905"/>
              <wp:wrapNone/>
              <wp:docPr id="2" name="Text Box 7"/>
              <wp:cNvGraphicFramePr/>
              <a:graphic xmlns:a="http://schemas.openxmlformats.org/drawingml/2006/main">
                <a:graphicData uri="http://schemas.microsoft.com/office/word/2010/wordprocessingShape">
                  <wps:wsp>
                    <wps:cNvSpPr txBox="1">
                      <a:spLocks noChangeArrowheads="1"/>
                    </wps:cNvSpPr>
                    <wps:spPr bwMode="auto">
                      <a:xfrm>
                        <a:off x="0" y="0"/>
                        <a:ext cx="191135" cy="131445"/>
                      </a:xfrm>
                      <a:prstGeom prst="rect">
                        <a:avLst/>
                      </a:prstGeom>
                      <a:noFill/>
                      <a:ln>
                        <a:noFill/>
                      </a:ln>
                    </wps:spPr>
                    <wps:txbx>
                      <w:txbxContent>
                        <w:p w14:paraId="157AB98E">
                          <w:pPr>
                            <w:pStyle w:val="18"/>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Text Box 7" o:spid="_x0000_s1026" o:spt="202" type="#_x0000_t202" style="position:absolute;left:0pt;margin-top:0pt;height:10.35pt;width:15.05pt;mso-position-horizontal:right;mso-position-horizontal-relative:margin;mso-wrap-style:none;z-index:251659264;mso-width-relative:page;mso-height-relative:page;" filled="f" stroked="f" coordsize="21600,21600" o:gfxdata="UEsDBAoAAAAAAIdO4kAAAAAAAAAAAAAAAAAEAAAAZHJzL1BLAwQUAAAACACHTuJA47/egtEAAAAD&#10;AQAADwAAAGRycy9kb3ducmV2LnhtbE2PwU7DMBBE70j8g7VI3KidItEqjdNDJS7cKAiJ2zbexhH2&#10;OrLdNPl7DBe4rDSa0czbZj97JyaKaQisoVopEMRdMAP3Gt7fnh+2IFJGNugCk4aFEuzb25sGaxOu&#10;/ErTMfeilHCqUYPNeaylTJ0lj2kVRuLinUP0mIuMvTQRr6XcO7lW6kl6HLgsWBzpYKn7Ol68hs38&#10;EWhMdKDP89RFOyxb97JofX9XqR2ITHP+C8MPfkGHtjCdwoVNEk5DeST/3uI9qgrEScNabUC2jfzP&#10;3n4DUEsDBBQAAAAIAIdO4kCr3AuJ+gEAAAEEAAAOAAAAZHJzL2Uyb0RvYy54bWytU8tu2zAQvBfo&#10;PxC817KcpA/BcpDGcFEgfQBJP4CiKIuoyCWWtCX367ukJDePSw69EEtyOTszu1xfD6ZjR4Vegy15&#10;vlhypqyEWtt9yX897N595MwHYWvRgVUlPynPrzdv36x7V6gVtNDVChmBWF/0ruRtCK7IMi9bZYRf&#10;gFOWLhtAIwJtcZ/VKHpCN122Wi7fZz1g7RCk8p5Ot+MlnxDxNYDQNFqqLciDUTaMqKg6EUiSb7Xz&#10;fJPYNo2S4UfTeBVYV3JSGtJKRSiu4ppt1qLYo3CtlhMF8RoKzzQZoS0VPUNtRRDsgPoFlNESwUMT&#10;FhJMNgpJjpCKfPnMm/tWOJW0kNXenU33/w9Wfj/+RKbrkq84s8JQwx/UENhnGNiH6E7vfEFJ947S&#10;wkDHNDNJqXd3IH97ZuG2FXavbhChb5WoiV0eX2aPno44PoJU/TeoqYw4BEhAQ4MmWkdmMEKnzpzO&#10;nYlUZCz5Kc8vrjiTdJVf5JeXV6mCKObHDn34osCwGJQcqfEJXBzvfIhkRDGnxFoWdrrrUvM7++SA&#10;EuNJIh/5jszDUA2TGRXUJ5KBMM4S/SQKWsA/nPU0RyW39G04675aMiKO3BzgHFRzIKykhyUPnI3h&#10;bRhH8+BQ71vCna2+IbN2OgmJro4cJpY0GUnfNMVx9B7vU9a/n7v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O/3oLRAAAAAwEAAA8AAAAAAAAAAQAgAAAAIgAAAGRycy9kb3ducmV2LnhtbFBLAQIU&#10;ABQAAAAIAIdO4kCr3AuJ+gEAAAEEAAAOAAAAAAAAAAEAIAAAACABAABkcnMvZTJvRG9jLnhtbFBL&#10;BQYAAAAABgAGAFkBAACMBQAAAAA=&#10;">
              <v:fill on="f" focussize="0,0"/>
              <v:stroke on="f"/>
              <v:imagedata o:title=""/>
              <o:lock v:ext="edit" aspectratio="f"/>
              <v:textbox inset="0mm,0mm,0mm,0mm" style="mso-fit-shape-to-text:t;">
                <w:txbxContent>
                  <w:p w14:paraId="157AB98E">
                    <w:pPr>
                      <w:pStyle w:val="1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54969">
    <w:pPr>
      <w:pStyle w:val="18"/>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91135" cy="131445"/>
              <wp:effectExtent l="0" t="0" r="18415" b="1905"/>
              <wp:wrapNone/>
              <wp:docPr id="1" name="Text Box 8"/>
              <wp:cNvGraphicFramePr/>
              <a:graphic xmlns:a="http://schemas.openxmlformats.org/drawingml/2006/main">
                <a:graphicData uri="http://schemas.microsoft.com/office/word/2010/wordprocessingShape">
                  <wps:wsp>
                    <wps:cNvSpPr txBox="1">
                      <a:spLocks noChangeArrowheads="1"/>
                    </wps:cNvSpPr>
                    <wps:spPr bwMode="auto">
                      <a:xfrm>
                        <a:off x="0" y="0"/>
                        <a:ext cx="191135" cy="131445"/>
                      </a:xfrm>
                      <a:prstGeom prst="rect">
                        <a:avLst/>
                      </a:prstGeom>
                      <a:noFill/>
                      <a:ln>
                        <a:noFill/>
                      </a:ln>
                    </wps:spPr>
                    <wps:txbx>
                      <w:txbxContent>
                        <w:p w14:paraId="3DEB3C3C">
                          <w:pPr>
                            <w:pStyle w:val="18"/>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8" o:spid="_x0000_s1026" o:spt="202" type="#_x0000_t202" style="position:absolute;left:0pt;margin-top:0pt;height:10.35pt;width:15.05pt;mso-position-horizontal:right;mso-position-horizontal-relative:margin;mso-wrap-style:none;z-index:251660288;mso-width-relative:page;mso-height-relative:page;" filled="f" stroked="f" coordsize="21600,21600" o:gfxdata="UEsDBAoAAAAAAIdO4kAAAAAAAAAAAAAAAAAEAAAAZHJzL1BLAwQUAAAACACHTuJA47/egtEAAAAD&#10;AQAADwAAAGRycy9kb3ducmV2LnhtbE2PwU7DMBBE70j8g7VI3KidItEqjdNDJS7cKAiJ2zbexhH2&#10;OrLdNPl7DBe4rDSa0czbZj97JyaKaQisoVopEMRdMAP3Gt7fnh+2IFJGNugCk4aFEuzb25sGaxOu&#10;/ErTMfeilHCqUYPNeaylTJ0lj2kVRuLinUP0mIuMvTQRr6XcO7lW6kl6HLgsWBzpYKn7Ol68hs38&#10;EWhMdKDP89RFOyxb97JofX9XqR2ITHP+C8MPfkGHtjCdwoVNEk5DeST/3uI9qgrEScNabUC2jfzP&#10;3n4DUEsDBBQAAAAIAIdO4kCDPO+v+QEAAAEEAAAOAAAAZHJzL2Uyb0RvYy54bWytU8tu2zAQvBfo&#10;PxC817LyKFLBcpDGcFEgfQBJP4CiKImoyCWWtCX367ukJDdNLzn0QizJ5ezM7HJzO5qeHRV6Dbbk&#10;+WrNmbISam3bkv942r+74cwHYWvRg1UlPynPb7dv32wGV6gL6KCvFTICsb4YXMm7EFyRZV52ygi/&#10;AqcsXTaARgTaYpvVKAZCN312sV6/zwbA2iFI5T2d7qZLPiPiawChabRUO5AHo2yYUFH1IpAk32nn&#10;+TaxbRolw7em8SqwvuSkNKSVilBcxTXbbkTRonCdljMF8RoKLzQZoS0VPUPtRBDsgPofKKMlgocm&#10;rCSYbBKSHCEV+fqFN4+dcCppIau9O5vu/x+s/Hr8jkzXNAmcWWGo4U9qDOwjjOwmujM4X1DSo6O0&#10;MNJxzIxKvXsA+dMzC/edsK26Q4ShU6Imdnl8mT17OuH4CFINX6CmMuIQIAGNDZoISGYwQqfOnM6d&#10;iVRkLPkhzy+vOZN0lV/mV1fXqYIolscOffikwLAYlByp8QlcHB98iGREsaTEWhb2uu9T83v71wEl&#10;xpNEPvKdmIexGmczKqhPJANhmiX6SRR0gL84G2iOSm7p23DWf7ZkRBy5JcAlqJZAWEkPSx44m8L7&#10;MI3mwaFuO8JdrL4js/Y6CYmuThxmljQZSd88xXH0nu9T1p+fu/0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47/egtEAAAADAQAADwAAAAAAAAABACAAAAAiAAAAZHJzL2Rvd25yZXYueG1sUEsBAhQA&#10;FAAAAAgAh07iQIM876/5AQAAAQQAAA4AAAAAAAAAAQAgAAAAIAEAAGRycy9lMm9Eb2MueG1sUEsF&#10;BgAAAAAGAAYAWQEAAIsFAAAAAA==&#10;">
              <v:fill on="f" focussize="0,0"/>
              <v:stroke on="f"/>
              <v:imagedata o:title=""/>
              <o:lock v:ext="edit" aspectratio="f"/>
              <v:textbox inset="0mm,0mm,0mm,0mm" style="mso-fit-shape-to-text:t;">
                <w:txbxContent>
                  <w:p w14:paraId="3DEB3C3C">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B80CF">
    <w:pPr>
      <w:pStyle w:val="45"/>
    </w:pPr>
    <w:r>
      <w:rPr>
        <w:rFonts w:hint="eastAsia"/>
        <w:lang w:val="en-US" w:eastAsia="zh-CN"/>
      </w:rPr>
      <w:t>SDBXM180-</w:t>
    </w:r>
    <w:r>
      <w:t>202</w:t>
    </w:r>
    <w:r>
      <w:rPr>
        <w:rFonts w:hint="eastAsia"/>
      </w:rPr>
      <w:t>3</w:t>
    </w:r>
  </w:p>
  <w:p w14:paraId="232D86DC">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2F2B">
    <w:pPr>
      <w:pStyle w:val="45"/>
    </w:pPr>
    <w:r>
      <w:rPr>
        <w:rFonts w:hint="eastAsia"/>
        <w:lang w:val="en-US" w:eastAsia="zh-CN"/>
      </w:rPr>
      <w:t>SDBXM180-</w:t>
    </w:r>
    <w:r>
      <w:t>202</w:t>
    </w:r>
    <w:r>
      <w:rPr>
        <w:rFonts w:hint="eastAsia"/>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46"/>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144"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7"/>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4E1078D6"/>
    <w:multiLevelType w:val="multilevel"/>
    <w:tmpl w:val="4E1078D6"/>
    <w:lvl w:ilvl="0" w:tentative="0">
      <w:start w:val="1"/>
      <w:numFmt w:val="lowerLetter"/>
      <w:pStyle w:val="60"/>
      <w:lvlText w:val="%1)"/>
      <w:lvlJc w:val="left"/>
      <w:pPr>
        <w:tabs>
          <w:tab w:val="left" w:pos="846"/>
        </w:tabs>
        <w:ind w:left="845"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426" w:firstLine="0"/>
      </w:pPr>
      <w:rPr>
        <w:rFonts w:hint="eastAsia" w:ascii="黑体" w:hAnsi="Times New Roman" w:eastAsia="黑体"/>
        <w:b w:val="0"/>
        <w:i w:val="0"/>
        <w:sz w:val="21"/>
      </w:rPr>
    </w:lvl>
    <w:lvl w:ilvl="3" w:tentative="0">
      <w:start w:val="1"/>
      <w:numFmt w:val="decimal"/>
      <w:pStyle w:val="89"/>
      <w:suff w:val="nothing"/>
      <w:lvlText w:val="%1.%2.%3.%4　"/>
      <w:lvlJc w:val="left"/>
      <w:pPr>
        <w:ind w:left="71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7"/>
  </w:num>
  <w:num w:numId="3">
    <w:abstractNumId w:val="10"/>
  </w:num>
  <w:num w:numId="4">
    <w:abstractNumId w:val="3"/>
  </w:num>
  <w:num w:numId="5">
    <w:abstractNumId w:val="13"/>
  </w:num>
  <w:num w:numId="6">
    <w:abstractNumId w:val="18"/>
  </w:num>
  <w:num w:numId="7">
    <w:abstractNumId w:val="1"/>
  </w:num>
  <w:num w:numId="8">
    <w:abstractNumId w:val="12"/>
  </w:num>
  <w:num w:numId="9">
    <w:abstractNumId w:val="8"/>
  </w:num>
  <w:num w:numId="10">
    <w:abstractNumId w:val="6"/>
  </w:num>
  <w:num w:numId="11">
    <w:abstractNumId w:val="16"/>
  </w:num>
  <w:num w:numId="12">
    <w:abstractNumId w:val="14"/>
  </w:num>
  <w:num w:numId="13">
    <w:abstractNumId w:val="17"/>
  </w:num>
  <w:num w:numId="14">
    <w:abstractNumId w:val="9"/>
  </w:num>
  <w:num w:numId="15">
    <w:abstractNumId w:val="2"/>
  </w:num>
  <w:num w:numId="16">
    <w:abstractNumId w:val="5"/>
  </w:num>
  <w:num w:numId="17">
    <w:abstractNumId w:val="15"/>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mZmI4MDViZmQ3ZjZlOGU4NjRlODI4YjFhZmUwMDkifQ=="/>
  </w:docVars>
  <w:rsids>
    <w:rsidRoot w:val="00035925"/>
    <w:rsid w:val="00000244"/>
    <w:rsid w:val="000002C0"/>
    <w:rsid w:val="0000185F"/>
    <w:rsid w:val="0000586F"/>
    <w:rsid w:val="000058D5"/>
    <w:rsid w:val="000122ED"/>
    <w:rsid w:val="00012831"/>
    <w:rsid w:val="00013D86"/>
    <w:rsid w:val="00013E02"/>
    <w:rsid w:val="0002143C"/>
    <w:rsid w:val="0002146C"/>
    <w:rsid w:val="00025A65"/>
    <w:rsid w:val="00025B6F"/>
    <w:rsid w:val="00026C31"/>
    <w:rsid w:val="00027280"/>
    <w:rsid w:val="000320A7"/>
    <w:rsid w:val="00034C24"/>
    <w:rsid w:val="00035925"/>
    <w:rsid w:val="00046ED5"/>
    <w:rsid w:val="000556EE"/>
    <w:rsid w:val="00055C11"/>
    <w:rsid w:val="000602BA"/>
    <w:rsid w:val="000660A9"/>
    <w:rsid w:val="00067CDF"/>
    <w:rsid w:val="00074FBE"/>
    <w:rsid w:val="00076A9F"/>
    <w:rsid w:val="00077DDB"/>
    <w:rsid w:val="00083A09"/>
    <w:rsid w:val="00084B7E"/>
    <w:rsid w:val="00085069"/>
    <w:rsid w:val="000852BB"/>
    <w:rsid w:val="00085513"/>
    <w:rsid w:val="00087346"/>
    <w:rsid w:val="0009005E"/>
    <w:rsid w:val="00092857"/>
    <w:rsid w:val="00094941"/>
    <w:rsid w:val="000962A0"/>
    <w:rsid w:val="000A20A9"/>
    <w:rsid w:val="000A48B1"/>
    <w:rsid w:val="000A62A6"/>
    <w:rsid w:val="000A62F6"/>
    <w:rsid w:val="000B17D8"/>
    <w:rsid w:val="000B28E7"/>
    <w:rsid w:val="000B3143"/>
    <w:rsid w:val="000B64D1"/>
    <w:rsid w:val="000B7010"/>
    <w:rsid w:val="000C0093"/>
    <w:rsid w:val="000C3E4B"/>
    <w:rsid w:val="000C6B05"/>
    <w:rsid w:val="000C6DD6"/>
    <w:rsid w:val="000C73D4"/>
    <w:rsid w:val="000D11E0"/>
    <w:rsid w:val="000D2CF3"/>
    <w:rsid w:val="000D36B9"/>
    <w:rsid w:val="000D3D4C"/>
    <w:rsid w:val="000D4F51"/>
    <w:rsid w:val="000D718B"/>
    <w:rsid w:val="000E0926"/>
    <w:rsid w:val="000E0C46"/>
    <w:rsid w:val="000F030C"/>
    <w:rsid w:val="000F129C"/>
    <w:rsid w:val="000F3A26"/>
    <w:rsid w:val="00101E78"/>
    <w:rsid w:val="001044D9"/>
    <w:rsid w:val="00104CE7"/>
    <w:rsid w:val="001056DE"/>
    <w:rsid w:val="001124C0"/>
    <w:rsid w:val="001134D0"/>
    <w:rsid w:val="001152E6"/>
    <w:rsid w:val="00115F8A"/>
    <w:rsid w:val="00116F80"/>
    <w:rsid w:val="00120BBC"/>
    <w:rsid w:val="0013175F"/>
    <w:rsid w:val="00131907"/>
    <w:rsid w:val="001331AA"/>
    <w:rsid w:val="00135684"/>
    <w:rsid w:val="001369DC"/>
    <w:rsid w:val="00141E0B"/>
    <w:rsid w:val="0015090E"/>
    <w:rsid w:val="001512B4"/>
    <w:rsid w:val="00152848"/>
    <w:rsid w:val="00156378"/>
    <w:rsid w:val="00161DFA"/>
    <w:rsid w:val="001620A5"/>
    <w:rsid w:val="00164E53"/>
    <w:rsid w:val="0016699D"/>
    <w:rsid w:val="00175159"/>
    <w:rsid w:val="00176208"/>
    <w:rsid w:val="0017743F"/>
    <w:rsid w:val="0018211B"/>
    <w:rsid w:val="001840D3"/>
    <w:rsid w:val="0018730D"/>
    <w:rsid w:val="001873B0"/>
    <w:rsid w:val="001900F8"/>
    <w:rsid w:val="00190632"/>
    <w:rsid w:val="00191258"/>
    <w:rsid w:val="00192680"/>
    <w:rsid w:val="00193037"/>
    <w:rsid w:val="00193A2C"/>
    <w:rsid w:val="001A15EE"/>
    <w:rsid w:val="001A288E"/>
    <w:rsid w:val="001A6E05"/>
    <w:rsid w:val="001B173B"/>
    <w:rsid w:val="001B6DC2"/>
    <w:rsid w:val="001C149C"/>
    <w:rsid w:val="001C21AC"/>
    <w:rsid w:val="001C2278"/>
    <w:rsid w:val="001C47BA"/>
    <w:rsid w:val="001C59EA"/>
    <w:rsid w:val="001C6526"/>
    <w:rsid w:val="001D406C"/>
    <w:rsid w:val="001D41EE"/>
    <w:rsid w:val="001D4952"/>
    <w:rsid w:val="001D732E"/>
    <w:rsid w:val="001D7F6A"/>
    <w:rsid w:val="001E0380"/>
    <w:rsid w:val="001E13B1"/>
    <w:rsid w:val="001E2F05"/>
    <w:rsid w:val="001E484A"/>
    <w:rsid w:val="001E783B"/>
    <w:rsid w:val="001F206D"/>
    <w:rsid w:val="001F3A19"/>
    <w:rsid w:val="001F5E20"/>
    <w:rsid w:val="002061D8"/>
    <w:rsid w:val="00213430"/>
    <w:rsid w:val="002304F7"/>
    <w:rsid w:val="002341E0"/>
    <w:rsid w:val="00234350"/>
    <w:rsid w:val="00234467"/>
    <w:rsid w:val="00236FD3"/>
    <w:rsid w:val="00237D8D"/>
    <w:rsid w:val="00241DA2"/>
    <w:rsid w:val="00247627"/>
    <w:rsid w:val="00247FEE"/>
    <w:rsid w:val="00250E7D"/>
    <w:rsid w:val="002565D5"/>
    <w:rsid w:val="00256B84"/>
    <w:rsid w:val="002622C0"/>
    <w:rsid w:val="0026622F"/>
    <w:rsid w:val="002778AE"/>
    <w:rsid w:val="0028269A"/>
    <w:rsid w:val="00283379"/>
    <w:rsid w:val="00283590"/>
    <w:rsid w:val="00286973"/>
    <w:rsid w:val="002907F3"/>
    <w:rsid w:val="00294E70"/>
    <w:rsid w:val="002A1924"/>
    <w:rsid w:val="002A3579"/>
    <w:rsid w:val="002A7420"/>
    <w:rsid w:val="002B05DB"/>
    <w:rsid w:val="002B0F12"/>
    <w:rsid w:val="002B1308"/>
    <w:rsid w:val="002B4554"/>
    <w:rsid w:val="002C716B"/>
    <w:rsid w:val="002C72D8"/>
    <w:rsid w:val="002D11FA"/>
    <w:rsid w:val="002D13BE"/>
    <w:rsid w:val="002D4C88"/>
    <w:rsid w:val="002E0DDF"/>
    <w:rsid w:val="002E1057"/>
    <w:rsid w:val="002E27BC"/>
    <w:rsid w:val="002E2906"/>
    <w:rsid w:val="002E363B"/>
    <w:rsid w:val="002E5635"/>
    <w:rsid w:val="002E64C3"/>
    <w:rsid w:val="002E6A2C"/>
    <w:rsid w:val="002E7C7D"/>
    <w:rsid w:val="002F1D8C"/>
    <w:rsid w:val="002F2180"/>
    <w:rsid w:val="002F21DA"/>
    <w:rsid w:val="002F226A"/>
    <w:rsid w:val="00301F39"/>
    <w:rsid w:val="00303600"/>
    <w:rsid w:val="00310B5C"/>
    <w:rsid w:val="00312BBA"/>
    <w:rsid w:val="00314347"/>
    <w:rsid w:val="00321FC2"/>
    <w:rsid w:val="003253B3"/>
    <w:rsid w:val="003254DC"/>
    <w:rsid w:val="00325926"/>
    <w:rsid w:val="00325DC2"/>
    <w:rsid w:val="00327A8A"/>
    <w:rsid w:val="0033155A"/>
    <w:rsid w:val="00332F0D"/>
    <w:rsid w:val="00336610"/>
    <w:rsid w:val="00336A7B"/>
    <w:rsid w:val="00343F73"/>
    <w:rsid w:val="00344253"/>
    <w:rsid w:val="00345060"/>
    <w:rsid w:val="0035323B"/>
    <w:rsid w:val="00360655"/>
    <w:rsid w:val="003609D2"/>
    <w:rsid w:val="00363C3F"/>
    <w:rsid w:val="00363F22"/>
    <w:rsid w:val="00365506"/>
    <w:rsid w:val="00365862"/>
    <w:rsid w:val="00375564"/>
    <w:rsid w:val="003757DA"/>
    <w:rsid w:val="00383191"/>
    <w:rsid w:val="00383339"/>
    <w:rsid w:val="00383F3B"/>
    <w:rsid w:val="00386293"/>
    <w:rsid w:val="00386DED"/>
    <w:rsid w:val="003912E7"/>
    <w:rsid w:val="003922FD"/>
    <w:rsid w:val="00393765"/>
    <w:rsid w:val="00393947"/>
    <w:rsid w:val="003942F0"/>
    <w:rsid w:val="003A0259"/>
    <w:rsid w:val="003A2275"/>
    <w:rsid w:val="003A5F1D"/>
    <w:rsid w:val="003A6794"/>
    <w:rsid w:val="003A6A4F"/>
    <w:rsid w:val="003A7088"/>
    <w:rsid w:val="003B00DF"/>
    <w:rsid w:val="003B1275"/>
    <w:rsid w:val="003B1778"/>
    <w:rsid w:val="003B3338"/>
    <w:rsid w:val="003B4F29"/>
    <w:rsid w:val="003C11CB"/>
    <w:rsid w:val="003C75F3"/>
    <w:rsid w:val="003C78A3"/>
    <w:rsid w:val="003C7CBF"/>
    <w:rsid w:val="003D4741"/>
    <w:rsid w:val="003E1867"/>
    <w:rsid w:val="003E5729"/>
    <w:rsid w:val="003F37C0"/>
    <w:rsid w:val="003F4EE0"/>
    <w:rsid w:val="00402153"/>
    <w:rsid w:val="00402FC1"/>
    <w:rsid w:val="004054C0"/>
    <w:rsid w:val="004105F8"/>
    <w:rsid w:val="004116D2"/>
    <w:rsid w:val="0041198E"/>
    <w:rsid w:val="00425082"/>
    <w:rsid w:val="00431DEB"/>
    <w:rsid w:val="00432A7D"/>
    <w:rsid w:val="00435B04"/>
    <w:rsid w:val="004404FF"/>
    <w:rsid w:val="00446B29"/>
    <w:rsid w:val="0044770D"/>
    <w:rsid w:val="004521B1"/>
    <w:rsid w:val="00453F9A"/>
    <w:rsid w:val="00460F12"/>
    <w:rsid w:val="0046383A"/>
    <w:rsid w:val="00470905"/>
    <w:rsid w:val="00471781"/>
    <w:rsid w:val="00471E91"/>
    <w:rsid w:val="00474675"/>
    <w:rsid w:val="0047470C"/>
    <w:rsid w:val="00487194"/>
    <w:rsid w:val="004930A2"/>
    <w:rsid w:val="00495612"/>
    <w:rsid w:val="00496B39"/>
    <w:rsid w:val="00497503"/>
    <w:rsid w:val="004A35F9"/>
    <w:rsid w:val="004A77C8"/>
    <w:rsid w:val="004A7FD5"/>
    <w:rsid w:val="004B24C1"/>
    <w:rsid w:val="004C292F"/>
    <w:rsid w:val="004C294B"/>
    <w:rsid w:val="004C29F8"/>
    <w:rsid w:val="004C54C4"/>
    <w:rsid w:val="004D0184"/>
    <w:rsid w:val="004D0AC6"/>
    <w:rsid w:val="004D0D89"/>
    <w:rsid w:val="004D375F"/>
    <w:rsid w:val="004E2E2C"/>
    <w:rsid w:val="004E434D"/>
    <w:rsid w:val="004E48A6"/>
    <w:rsid w:val="004F337A"/>
    <w:rsid w:val="005011C3"/>
    <w:rsid w:val="00510280"/>
    <w:rsid w:val="00513D73"/>
    <w:rsid w:val="00514A43"/>
    <w:rsid w:val="005174E5"/>
    <w:rsid w:val="005215DB"/>
    <w:rsid w:val="00521FC5"/>
    <w:rsid w:val="00522393"/>
    <w:rsid w:val="00522620"/>
    <w:rsid w:val="00524DAF"/>
    <w:rsid w:val="00525656"/>
    <w:rsid w:val="005261CC"/>
    <w:rsid w:val="00526789"/>
    <w:rsid w:val="00531596"/>
    <w:rsid w:val="00531BBA"/>
    <w:rsid w:val="00534C02"/>
    <w:rsid w:val="0054264B"/>
    <w:rsid w:val="00543786"/>
    <w:rsid w:val="005533D7"/>
    <w:rsid w:val="00553526"/>
    <w:rsid w:val="005544DF"/>
    <w:rsid w:val="005703DE"/>
    <w:rsid w:val="00572F16"/>
    <w:rsid w:val="005808EC"/>
    <w:rsid w:val="0058464E"/>
    <w:rsid w:val="005903E0"/>
    <w:rsid w:val="00593B48"/>
    <w:rsid w:val="0059771F"/>
    <w:rsid w:val="005A01CB"/>
    <w:rsid w:val="005A58FF"/>
    <w:rsid w:val="005A5EAF"/>
    <w:rsid w:val="005A64C0"/>
    <w:rsid w:val="005B3C11"/>
    <w:rsid w:val="005B4153"/>
    <w:rsid w:val="005B682E"/>
    <w:rsid w:val="005C033C"/>
    <w:rsid w:val="005C051A"/>
    <w:rsid w:val="005C1C28"/>
    <w:rsid w:val="005C5B4A"/>
    <w:rsid w:val="005C6DB5"/>
    <w:rsid w:val="005C7DD0"/>
    <w:rsid w:val="005D0A48"/>
    <w:rsid w:val="005D68C9"/>
    <w:rsid w:val="005D6B9E"/>
    <w:rsid w:val="005E19E7"/>
    <w:rsid w:val="005E66AA"/>
    <w:rsid w:val="005F0D35"/>
    <w:rsid w:val="005F1FFC"/>
    <w:rsid w:val="005F4326"/>
    <w:rsid w:val="0060561E"/>
    <w:rsid w:val="00606A03"/>
    <w:rsid w:val="00617011"/>
    <w:rsid w:val="0061716C"/>
    <w:rsid w:val="00617C97"/>
    <w:rsid w:val="00617F9C"/>
    <w:rsid w:val="006243A1"/>
    <w:rsid w:val="00630B14"/>
    <w:rsid w:val="00632E56"/>
    <w:rsid w:val="00635CBA"/>
    <w:rsid w:val="0064338B"/>
    <w:rsid w:val="00646542"/>
    <w:rsid w:val="006465A8"/>
    <w:rsid w:val="006504F4"/>
    <w:rsid w:val="006510A6"/>
    <w:rsid w:val="006511DC"/>
    <w:rsid w:val="00654BC9"/>
    <w:rsid w:val="006552FD"/>
    <w:rsid w:val="006559D2"/>
    <w:rsid w:val="00663AF3"/>
    <w:rsid w:val="006661EC"/>
    <w:rsid w:val="00666763"/>
    <w:rsid w:val="00666B6C"/>
    <w:rsid w:val="0066764B"/>
    <w:rsid w:val="006719BC"/>
    <w:rsid w:val="006739D9"/>
    <w:rsid w:val="006754F5"/>
    <w:rsid w:val="006758D2"/>
    <w:rsid w:val="006812A1"/>
    <w:rsid w:val="00682682"/>
    <w:rsid w:val="00682702"/>
    <w:rsid w:val="00682CAE"/>
    <w:rsid w:val="00685F46"/>
    <w:rsid w:val="006866B2"/>
    <w:rsid w:val="00692368"/>
    <w:rsid w:val="00693F82"/>
    <w:rsid w:val="006A2EBC"/>
    <w:rsid w:val="006A4546"/>
    <w:rsid w:val="006A5304"/>
    <w:rsid w:val="006A5EA0"/>
    <w:rsid w:val="006A6DAE"/>
    <w:rsid w:val="006A7032"/>
    <w:rsid w:val="006A783B"/>
    <w:rsid w:val="006A7B33"/>
    <w:rsid w:val="006A7E5F"/>
    <w:rsid w:val="006B4E13"/>
    <w:rsid w:val="006B4E1F"/>
    <w:rsid w:val="006B75DD"/>
    <w:rsid w:val="006C67E0"/>
    <w:rsid w:val="006C7ABA"/>
    <w:rsid w:val="006D0D60"/>
    <w:rsid w:val="006D1122"/>
    <w:rsid w:val="006D3C00"/>
    <w:rsid w:val="006D5D53"/>
    <w:rsid w:val="006D6CF4"/>
    <w:rsid w:val="006D77A3"/>
    <w:rsid w:val="006E3675"/>
    <w:rsid w:val="006E4A7F"/>
    <w:rsid w:val="006F4F9C"/>
    <w:rsid w:val="006F6708"/>
    <w:rsid w:val="00704DF6"/>
    <w:rsid w:val="0070651C"/>
    <w:rsid w:val="007131A1"/>
    <w:rsid w:val="007132A3"/>
    <w:rsid w:val="00716421"/>
    <w:rsid w:val="00724EFB"/>
    <w:rsid w:val="007345BE"/>
    <w:rsid w:val="007419C3"/>
    <w:rsid w:val="00741DA2"/>
    <w:rsid w:val="00743056"/>
    <w:rsid w:val="00743271"/>
    <w:rsid w:val="00744361"/>
    <w:rsid w:val="00744F22"/>
    <w:rsid w:val="007467A7"/>
    <w:rsid w:val="007469DD"/>
    <w:rsid w:val="00746EF2"/>
    <w:rsid w:val="0074741B"/>
    <w:rsid w:val="0074759E"/>
    <w:rsid w:val="007478EA"/>
    <w:rsid w:val="0075415C"/>
    <w:rsid w:val="0075511D"/>
    <w:rsid w:val="00763502"/>
    <w:rsid w:val="00781806"/>
    <w:rsid w:val="007853AA"/>
    <w:rsid w:val="00786911"/>
    <w:rsid w:val="00790A9A"/>
    <w:rsid w:val="007913AB"/>
    <w:rsid w:val="007914F7"/>
    <w:rsid w:val="007A0D5E"/>
    <w:rsid w:val="007A3BD2"/>
    <w:rsid w:val="007B1625"/>
    <w:rsid w:val="007B706E"/>
    <w:rsid w:val="007B71EB"/>
    <w:rsid w:val="007C0F7F"/>
    <w:rsid w:val="007C1089"/>
    <w:rsid w:val="007C6205"/>
    <w:rsid w:val="007C686A"/>
    <w:rsid w:val="007C728E"/>
    <w:rsid w:val="007D24B7"/>
    <w:rsid w:val="007D2C53"/>
    <w:rsid w:val="007D3D60"/>
    <w:rsid w:val="007D5BAD"/>
    <w:rsid w:val="007E1980"/>
    <w:rsid w:val="007E4021"/>
    <w:rsid w:val="007E4B76"/>
    <w:rsid w:val="007E5EA8"/>
    <w:rsid w:val="007F0CF1"/>
    <w:rsid w:val="007F12A5"/>
    <w:rsid w:val="007F4B6B"/>
    <w:rsid w:val="007F4CF1"/>
    <w:rsid w:val="007F758D"/>
    <w:rsid w:val="007F7D52"/>
    <w:rsid w:val="00800A7D"/>
    <w:rsid w:val="0080654C"/>
    <w:rsid w:val="008071C6"/>
    <w:rsid w:val="00815E6D"/>
    <w:rsid w:val="00817A00"/>
    <w:rsid w:val="00823A92"/>
    <w:rsid w:val="00824A20"/>
    <w:rsid w:val="00825E5E"/>
    <w:rsid w:val="00830BB6"/>
    <w:rsid w:val="00830CEF"/>
    <w:rsid w:val="00835A74"/>
    <w:rsid w:val="00835DB3"/>
    <w:rsid w:val="0083617B"/>
    <w:rsid w:val="0083621E"/>
    <w:rsid w:val="008371BD"/>
    <w:rsid w:val="00842AD8"/>
    <w:rsid w:val="00845D62"/>
    <w:rsid w:val="00850199"/>
    <w:rsid w:val="008504A8"/>
    <w:rsid w:val="0085282E"/>
    <w:rsid w:val="008533AA"/>
    <w:rsid w:val="008561D8"/>
    <w:rsid w:val="00865CD4"/>
    <w:rsid w:val="00867CBE"/>
    <w:rsid w:val="0087198C"/>
    <w:rsid w:val="00872543"/>
    <w:rsid w:val="00872C1F"/>
    <w:rsid w:val="00873B42"/>
    <w:rsid w:val="008749C3"/>
    <w:rsid w:val="00874D79"/>
    <w:rsid w:val="00876124"/>
    <w:rsid w:val="00877249"/>
    <w:rsid w:val="00880120"/>
    <w:rsid w:val="008856D8"/>
    <w:rsid w:val="00887797"/>
    <w:rsid w:val="00891044"/>
    <w:rsid w:val="00892E82"/>
    <w:rsid w:val="00895189"/>
    <w:rsid w:val="00896055"/>
    <w:rsid w:val="008A5706"/>
    <w:rsid w:val="008B1437"/>
    <w:rsid w:val="008C1B58"/>
    <w:rsid w:val="008C2A34"/>
    <w:rsid w:val="008C39AE"/>
    <w:rsid w:val="008C4286"/>
    <w:rsid w:val="008C590D"/>
    <w:rsid w:val="008D2035"/>
    <w:rsid w:val="008D378E"/>
    <w:rsid w:val="008D3DDA"/>
    <w:rsid w:val="008D5F93"/>
    <w:rsid w:val="008E031B"/>
    <w:rsid w:val="008E49EB"/>
    <w:rsid w:val="008E5F78"/>
    <w:rsid w:val="008E7029"/>
    <w:rsid w:val="008E7EF6"/>
    <w:rsid w:val="008F1F98"/>
    <w:rsid w:val="008F4278"/>
    <w:rsid w:val="008F6758"/>
    <w:rsid w:val="009040DD"/>
    <w:rsid w:val="00904FF2"/>
    <w:rsid w:val="00905B47"/>
    <w:rsid w:val="00905C90"/>
    <w:rsid w:val="00906DBA"/>
    <w:rsid w:val="0091331C"/>
    <w:rsid w:val="009209F7"/>
    <w:rsid w:val="009251E7"/>
    <w:rsid w:val="009279DE"/>
    <w:rsid w:val="00930116"/>
    <w:rsid w:val="009311B1"/>
    <w:rsid w:val="00934D4A"/>
    <w:rsid w:val="0094212C"/>
    <w:rsid w:val="00952CBD"/>
    <w:rsid w:val="00954689"/>
    <w:rsid w:val="009617C9"/>
    <w:rsid w:val="00961C93"/>
    <w:rsid w:val="00965324"/>
    <w:rsid w:val="00966605"/>
    <w:rsid w:val="00970514"/>
    <w:rsid w:val="00970599"/>
    <w:rsid w:val="0097091E"/>
    <w:rsid w:val="00974587"/>
    <w:rsid w:val="009760D3"/>
    <w:rsid w:val="009767AA"/>
    <w:rsid w:val="00977132"/>
    <w:rsid w:val="00981A4B"/>
    <w:rsid w:val="00982501"/>
    <w:rsid w:val="009877D3"/>
    <w:rsid w:val="00994E8F"/>
    <w:rsid w:val="009951DC"/>
    <w:rsid w:val="009959BB"/>
    <w:rsid w:val="00997158"/>
    <w:rsid w:val="009A04C7"/>
    <w:rsid w:val="009A0E08"/>
    <w:rsid w:val="009A2BBB"/>
    <w:rsid w:val="009A3A7C"/>
    <w:rsid w:val="009B2ADB"/>
    <w:rsid w:val="009B3BDB"/>
    <w:rsid w:val="009B603A"/>
    <w:rsid w:val="009C2D0E"/>
    <w:rsid w:val="009C3DAC"/>
    <w:rsid w:val="009C42E0"/>
    <w:rsid w:val="009C6B0D"/>
    <w:rsid w:val="009D5362"/>
    <w:rsid w:val="009D5F92"/>
    <w:rsid w:val="009D7A5C"/>
    <w:rsid w:val="009E0C56"/>
    <w:rsid w:val="009E0DA1"/>
    <w:rsid w:val="009E1415"/>
    <w:rsid w:val="009E6116"/>
    <w:rsid w:val="009F1F49"/>
    <w:rsid w:val="00A009DD"/>
    <w:rsid w:val="00A02E43"/>
    <w:rsid w:val="00A065F9"/>
    <w:rsid w:val="00A07CA6"/>
    <w:rsid w:val="00A07F34"/>
    <w:rsid w:val="00A17633"/>
    <w:rsid w:val="00A22154"/>
    <w:rsid w:val="00A25C38"/>
    <w:rsid w:val="00A271D8"/>
    <w:rsid w:val="00A306BA"/>
    <w:rsid w:val="00A35582"/>
    <w:rsid w:val="00A36BBE"/>
    <w:rsid w:val="00A36CE9"/>
    <w:rsid w:val="00A4026D"/>
    <w:rsid w:val="00A4307A"/>
    <w:rsid w:val="00A434C6"/>
    <w:rsid w:val="00A44D0F"/>
    <w:rsid w:val="00A450EE"/>
    <w:rsid w:val="00A47EBB"/>
    <w:rsid w:val="00A516AF"/>
    <w:rsid w:val="00A51CDD"/>
    <w:rsid w:val="00A672E4"/>
    <w:rsid w:val="00A6730D"/>
    <w:rsid w:val="00A71625"/>
    <w:rsid w:val="00A71B9B"/>
    <w:rsid w:val="00A751C7"/>
    <w:rsid w:val="00A77C15"/>
    <w:rsid w:val="00A84B6C"/>
    <w:rsid w:val="00A87844"/>
    <w:rsid w:val="00A905F9"/>
    <w:rsid w:val="00A935C6"/>
    <w:rsid w:val="00A95442"/>
    <w:rsid w:val="00A97D2E"/>
    <w:rsid w:val="00AA038C"/>
    <w:rsid w:val="00AA49F9"/>
    <w:rsid w:val="00AA529C"/>
    <w:rsid w:val="00AA7A09"/>
    <w:rsid w:val="00AB1C3C"/>
    <w:rsid w:val="00AB3125"/>
    <w:rsid w:val="00AB3B50"/>
    <w:rsid w:val="00AB6FF3"/>
    <w:rsid w:val="00AC05B1"/>
    <w:rsid w:val="00AC0B65"/>
    <w:rsid w:val="00AC2865"/>
    <w:rsid w:val="00AC2D35"/>
    <w:rsid w:val="00AD0CF1"/>
    <w:rsid w:val="00AD1886"/>
    <w:rsid w:val="00AD356C"/>
    <w:rsid w:val="00AD7A08"/>
    <w:rsid w:val="00AE03B0"/>
    <w:rsid w:val="00AE2875"/>
    <w:rsid w:val="00AE2914"/>
    <w:rsid w:val="00AE5FE8"/>
    <w:rsid w:val="00AE6D15"/>
    <w:rsid w:val="00AF0413"/>
    <w:rsid w:val="00AF132E"/>
    <w:rsid w:val="00B02756"/>
    <w:rsid w:val="00B04182"/>
    <w:rsid w:val="00B071E7"/>
    <w:rsid w:val="00B07AE3"/>
    <w:rsid w:val="00B07C3B"/>
    <w:rsid w:val="00B11430"/>
    <w:rsid w:val="00B1225D"/>
    <w:rsid w:val="00B16C4E"/>
    <w:rsid w:val="00B17A83"/>
    <w:rsid w:val="00B2086B"/>
    <w:rsid w:val="00B212C9"/>
    <w:rsid w:val="00B246DD"/>
    <w:rsid w:val="00B33DDE"/>
    <w:rsid w:val="00B353DF"/>
    <w:rsid w:val="00B353EB"/>
    <w:rsid w:val="00B41E42"/>
    <w:rsid w:val="00B439C4"/>
    <w:rsid w:val="00B43D6F"/>
    <w:rsid w:val="00B4535E"/>
    <w:rsid w:val="00B455A4"/>
    <w:rsid w:val="00B51C48"/>
    <w:rsid w:val="00B52937"/>
    <w:rsid w:val="00B52A31"/>
    <w:rsid w:val="00B52A8C"/>
    <w:rsid w:val="00B54793"/>
    <w:rsid w:val="00B5679D"/>
    <w:rsid w:val="00B636A8"/>
    <w:rsid w:val="00B665C6"/>
    <w:rsid w:val="00B70DA1"/>
    <w:rsid w:val="00B712E5"/>
    <w:rsid w:val="00B72307"/>
    <w:rsid w:val="00B75C8D"/>
    <w:rsid w:val="00B805AF"/>
    <w:rsid w:val="00B81242"/>
    <w:rsid w:val="00B81F4D"/>
    <w:rsid w:val="00B8474E"/>
    <w:rsid w:val="00B85A34"/>
    <w:rsid w:val="00B869EC"/>
    <w:rsid w:val="00B9397A"/>
    <w:rsid w:val="00B94C62"/>
    <w:rsid w:val="00B9633D"/>
    <w:rsid w:val="00B9660E"/>
    <w:rsid w:val="00BA0B75"/>
    <w:rsid w:val="00BA2D34"/>
    <w:rsid w:val="00BA2D74"/>
    <w:rsid w:val="00BA2EBE"/>
    <w:rsid w:val="00BA346A"/>
    <w:rsid w:val="00BB0F28"/>
    <w:rsid w:val="00BB372A"/>
    <w:rsid w:val="00BB3995"/>
    <w:rsid w:val="00BB458A"/>
    <w:rsid w:val="00BB7EA0"/>
    <w:rsid w:val="00BC106E"/>
    <w:rsid w:val="00BC1E23"/>
    <w:rsid w:val="00BD00D3"/>
    <w:rsid w:val="00BD1659"/>
    <w:rsid w:val="00BD16B3"/>
    <w:rsid w:val="00BD2DA5"/>
    <w:rsid w:val="00BD3AA9"/>
    <w:rsid w:val="00BD435F"/>
    <w:rsid w:val="00BD4A18"/>
    <w:rsid w:val="00BD6DB2"/>
    <w:rsid w:val="00BD6E03"/>
    <w:rsid w:val="00BE0948"/>
    <w:rsid w:val="00BE11CF"/>
    <w:rsid w:val="00BE1D06"/>
    <w:rsid w:val="00BE21AB"/>
    <w:rsid w:val="00BE55CB"/>
    <w:rsid w:val="00BE7D06"/>
    <w:rsid w:val="00BF1441"/>
    <w:rsid w:val="00BF5CC0"/>
    <w:rsid w:val="00BF5ECA"/>
    <w:rsid w:val="00BF617A"/>
    <w:rsid w:val="00BF6FCE"/>
    <w:rsid w:val="00C031B2"/>
    <w:rsid w:val="00C0379D"/>
    <w:rsid w:val="00C03931"/>
    <w:rsid w:val="00C05FE3"/>
    <w:rsid w:val="00C06BE1"/>
    <w:rsid w:val="00C141ED"/>
    <w:rsid w:val="00C1729E"/>
    <w:rsid w:val="00C2136D"/>
    <w:rsid w:val="00C214EE"/>
    <w:rsid w:val="00C22DF0"/>
    <w:rsid w:val="00C2314B"/>
    <w:rsid w:val="00C24971"/>
    <w:rsid w:val="00C26BE5"/>
    <w:rsid w:val="00C26E4D"/>
    <w:rsid w:val="00C276E0"/>
    <w:rsid w:val="00C27909"/>
    <w:rsid w:val="00C27B03"/>
    <w:rsid w:val="00C314E1"/>
    <w:rsid w:val="00C31745"/>
    <w:rsid w:val="00C34397"/>
    <w:rsid w:val="00C3788B"/>
    <w:rsid w:val="00C4095D"/>
    <w:rsid w:val="00C414CA"/>
    <w:rsid w:val="00C4236D"/>
    <w:rsid w:val="00C43854"/>
    <w:rsid w:val="00C44FAD"/>
    <w:rsid w:val="00C57851"/>
    <w:rsid w:val="00C601D2"/>
    <w:rsid w:val="00C61645"/>
    <w:rsid w:val="00C65BCC"/>
    <w:rsid w:val="00C66682"/>
    <w:rsid w:val="00C66970"/>
    <w:rsid w:val="00C67226"/>
    <w:rsid w:val="00C67862"/>
    <w:rsid w:val="00C71C66"/>
    <w:rsid w:val="00C72895"/>
    <w:rsid w:val="00C72CC4"/>
    <w:rsid w:val="00C800DD"/>
    <w:rsid w:val="00C8030E"/>
    <w:rsid w:val="00C83E8F"/>
    <w:rsid w:val="00C8691C"/>
    <w:rsid w:val="00C869BF"/>
    <w:rsid w:val="00C92E0F"/>
    <w:rsid w:val="00CA168A"/>
    <w:rsid w:val="00CA25B2"/>
    <w:rsid w:val="00CA357E"/>
    <w:rsid w:val="00CA44F9"/>
    <w:rsid w:val="00CA4A69"/>
    <w:rsid w:val="00CA5F7A"/>
    <w:rsid w:val="00CB7296"/>
    <w:rsid w:val="00CB7576"/>
    <w:rsid w:val="00CC1657"/>
    <w:rsid w:val="00CC233E"/>
    <w:rsid w:val="00CC3E0C"/>
    <w:rsid w:val="00CC58D3"/>
    <w:rsid w:val="00CC6EE1"/>
    <w:rsid w:val="00CC784D"/>
    <w:rsid w:val="00CC7DD7"/>
    <w:rsid w:val="00CD63D2"/>
    <w:rsid w:val="00CE0D14"/>
    <w:rsid w:val="00CE1A33"/>
    <w:rsid w:val="00CE7171"/>
    <w:rsid w:val="00CF1FD2"/>
    <w:rsid w:val="00CF2EAE"/>
    <w:rsid w:val="00CF59DA"/>
    <w:rsid w:val="00CF5ABF"/>
    <w:rsid w:val="00CF6D68"/>
    <w:rsid w:val="00D009B6"/>
    <w:rsid w:val="00D0337B"/>
    <w:rsid w:val="00D0488C"/>
    <w:rsid w:val="00D079B2"/>
    <w:rsid w:val="00D114E9"/>
    <w:rsid w:val="00D119A6"/>
    <w:rsid w:val="00D14B54"/>
    <w:rsid w:val="00D17ADE"/>
    <w:rsid w:val="00D22AD3"/>
    <w:rsid w:val="00D251CD"/>
    <w:rsid w:val="00D25779"/>
    <w:rsid w:val="00D32AEC"/>
    <w:rsid w:val="00D363E6"/>
    <w:rsid w:val="00D429C6"/>
    <w:rsid w:val="00D46972"/>
    <w:rsid w:val="00D472AE"/>
    <w:rsid w:val="00D47748"/>
    <w:rsid w:val="00D50914"/>
    <w:rsid w:val="00D538A1"/>
    <w:rsid w:val="00D54CC3"/>
    <w:rsid w:val="00D6041A"/>
    <w:rsid w:val="00D612FF"/>
    <w:rsid w:val="00D618A0"/>
    <w:rsid w:val="00D633EB"/>
    <w:rsid w:val="00D67488"/>
    <w:rsid w:val="00D716DD"/>
    <w:rsid w:val="00D80DF7"/>
    <w:rsid w:val="00D82FF7"/>
    <w:rsid w:val="00D847FE"/>
    <w:rsid w:val="00D84F1E"/>
    <w:rsid w:val="00D8703E"/>
    <w:rsid w:val="00D964EA"/>
    <w:rsid w:val="00D966D0"/>
    <w:rsid w:val="00DA0C59"/>
    <w:rsid w:val="00DA3991"/>
    <w:rsid w:val="00DA557C"/>
    <w:rsid w:val="00DB0990"/>
    <w:rsid w:val="00DB0FE3"/>
    <w:rsid w:val="00DB7E6C"/>
    <w:rsid w:val="00DD136A"/>
    <w:rsid w:val="00DD247E"/>
    <w:rsid w:val="00DD3675"/>
    <w:rsid w:val="00DD5A29"/>
    <w:rsid w:val="00DD5D9D"/>
    <w:rsid w:val="00DE35CB"/>
    <w:rsid w:val="00DF21E9"/>
    <w:rsid w:val="00E00761"/>
    <w:rsid w:val="00E00F14"/>
    <w:rsid w:val="00E01B24"/>
    <w:rsid w:val="00E05B25"/>
    <w:rsid w:val="00E06386"/>
    <w:rsid w:val="00E073A8"/>
    <w:rsid w:val="00E24380"/>
    <w:rsid w:val="00E24EB4"/>
    <w:rsid w:val="00E320ED"/>
    <w:rsid w:val="00E3282A"/>
    <w:rsid w:val="00E33AFB"/>
    <w:rsid w:val="00E34218"/>
    <w:rsid w:val="00E46282"/>
    <w:rsid w:val="00E5188C"/>
    <w:rsid w:val="00E5216E"/>
    <w:rsid w:val="00E52F4E"/>
    <w:rsid w:val="00E5633C"/>
    <w:rsid w:val="00E56A86"/>
    <w:rsid w:val="00E6461B"/>
    <w:rsid w:val="00E66998"/>
    <w:rsid w:val="00E6740B"/>
    <w:rsid w:val="00E72269"/>
    <w:rsid w:val="00E75E4F"/>
    <w:rsid w:val="00E82344"/>
    <w:rsid w:val="00E83BBC"/>
    <w:rsid w:val="00E83E38"/>
    <w:rsid w:val="00E847C8"/>
    <w:rsid w:val="00E84C82"/>
    <w:rsid w:val="00E84D64"/>
    <w:rsid w:val="00E87408"/>
    <w:rsid w:val="00E914C4"/>
    <w:rsid w:val="00E934F5"/>
    <w:rsid w:val="00E93E17"/>
    <w:rsid w:val="00E9422F"/>
    <w:rsid w:val="00E96961"/>
    <w:rsid w:val="00EA4706"/>
    <w:rsid w:val="00EA72EC"/>
    <w:rsid w:val="00EB07C5"/>
    <w:rsid w:val="00EB11CB"/>
    <w:rsid w:val="00EB275A"/>
    <w:rsid w:val="00EB51C4"/>
    <w:rsid w:val="00EB786A"/>
    <w:rsid w:val="00EC1578"/>
    <w:rsid w:val="00EC1C72"/>
    <w:rsid w:val="00EC3CC9"/>
    <w:rsid w:val="00EC680A"/>
    <w:rsid w:val="00EE0847"/>
    <w:rsid w:val="00EE1BB0"/>
    <w:rsid w:val="00EE2BED"/>
    <w:rsid w:val="00EE374B"/>
    <w:rsid w:val="00EE628A"/>
    <w:rsid w:val="00EF2E6B"/>
    <w:rsid w:val="00F01BC7"/>
    <w:rsid w:val="00F11BB5"/>
    <w:rsid w:val="00F1417B"/>
    <w:rsid w:val="00F2215B"/>
    <w:rsid w:val="00F237AF"/>
    <w:rsid w:val="00F34B99"/>
    <w:rsid w:val="00F52DAB"/>
    <w:rsid w:val="00F543F0"/>
    <w:rsid w:val="00F54A7C"/>
    <w:rsid w:val="00F54CA9"/>
    <w:rsid w:val="00F6123C"/>
    <w:rsid w:val="00F61C59"/>
    <w:rsid w:val="00F76FCA"/>
    <w:rsid w:val="00F81D29"/>
    <w:rsid w:val="00F8690F"/>
    <w:rsid w:val="00F86BA9"/>
    <w:rsid w:val="00F87C10"/>
    <w:rsid w:val="00F91C4D"/>
    <w:rsid w:val="00F92FD9"/>
    <w:rsid w:val="00F96265"/>
    <w:rsid w:val="00F979AD"/>
    <w:rsid w:val="00FA0AED"/>
    <w:rsid w:val="00FA22B8"/>
    <w:rsid w:val="00FA4074"/>
    <w:rsid w:val="00FA5FDC"/>
    <w:rsid w:val="00FA6684"/>
    <w:rsid w:val="00FA731E"/>
    <w:rsid w:val="00FB14EB"/>
    <w:rsid w:val="00FB2B38"/>
    <w:rsid w:val="00FC6358"/>
    <w:rsid w:val="00FC6EDE"/>
    <w:rsid w:val="00FC7CBF"/>
    <w:rsid w:val="00FD01CF"/>
    <w:rsid w:val="00FD320D"/>
    <w:rsid w:val="00FE16D3"/>
    <w:rsid w:val="00FE23DE"/>
    <w:rsid w:val="00FF2DD1"/>
    <w:rsid w:val="00FF7EAD"/>
    <w:rsid w:val="068E7D73"/>
    <w:rsid w:val="06A557DD"/>
    <w:rsid w:val="07E741D1"/>
    <w:rsid w:val="08350C24"/>
    <w:rsid w:val="08B33959"/>
    <w:rsid w:val="0AD61B81"/>
    <w:rsid w:val="0C902B02"/>
    <w:rsid w:val="0CE06AB7"/>
    <w:rsid w:val="0D366907"/>
    <w:rsid w:val="0FC91CB4"/>
    <w:rsid w:val="11EA0F15"/>
    <w:rsid w:val="122B27B2"/>
    <w:rsid w:val="139E00FE"/>
    <w:rsid w:val="13C7762E"/>
    <w:rsid w:val="14A5684C"/>
    <w:rsid w:val="155344FA"/>
    <w:rsid w:val="18D72D4C"/>
    <w:rsid w:val="19831126"/>
    <w:rsid w:val="1B334486"/>
    <w:rsid w:val="1B5C0AA7"/>
    <w:rsid w:val="1C262CA2"/>
    <w:rsid w:val="207B2145"/>
    <w:rsid w:val="23353491"/>
    <w:rsid w:val="23A31CB8"/>
    <w:rsid w:val="240D7A0B"/>
    <w:rsid w:val="256A7B5C"/>
    <w:rsid w:val="259D21A0"/>
    <w:rsid w:val="26451C3D"/>
    <w:rsid w:val="26863190"/>
    <w:rsid w:val="26A41AE1"/>
    <w:rsid w:val="26D74E16"/>
    <w:rsid w:val="27455C6D"/>
    <w:rsid w:val="296E14AB"/>
    <w:rsid w:val="29D71AF4"/>
    <w:rsid w:val="29E65A80"/>
    <w:rsid w:val="2ACA0963"/>
    <w:rsid w:val="2CBA592E"/>
    <w:rsid w:val="2E3B48AF"/>
    <w:rsid w:val="2F7304C2"/>
    <w:rsid w:val="31625CF3"/>
    <w:rsid w:val="31B732C3"/>
    <w:rsid w:val="32350C4E"/>
    <w:rsid w:val="33C360C9"/>
    <w:rsid w:val="34441786"/>
    <w:rsid w:val="36054F45"/>
    <w:rsid w:val="36055AC6"/>
    <w:rsid w:val="393671C3"/>
    <w:rsid w:val="3D006466"/>
    <w:rsid w:val="3D35189D"/>
    <w:rsid w:val="3D93654B"/>
    <w:rsid w:val="3E681160"/>
    <w:rsid w:val="3EB43064"/>
    <w:rsid w:val="3F6F51DD"/>
    <w:rsid w:val="40E2632A"/>
    <w:rsid w:val="452E5D1A"/>
    <w:rsid w:val="46C202E8"/>
    <w:rsid w:val="46D76812"/>
    <w:rsid w:val="48BE5802"/>
    <w:rsid w:val="493B0DD7"/>
    <w:rsid w:val="4A4E6A63"/>
    <w:rsid w:val="4A7C6D19"/>
    <w:rsid w:val="4BD1575C"/>
    <w:rsid w:val="4E1C1B49"/>
    <w:rsid w:val="52021149"/>
    <w:rsid w:val="57390AFA"/>
    <w:rsid w:val="57727B09"/>
    <w:rsid w:val="588C68B0"/>
    <w:rsid w:val="589174B5"/>
    <w:rsid w:val="59921EC5"/>
    <w:rsid w:val="5A2E41BB"/>
    <w:rsid w:val="5D50269A"/>
    <w:rsid w:val="614D63EC"/>
    <w:rsid w:val="61E3588B"/>
    <w:rsid w:val="62694CBE"/>
    <w:rsid w:val="64FB738F"/>
    <w:rsid w:val="66562619"/>
    <w:rsid w:val="67CD5013"/>
    <w:rsid w:val="6B4F092D"/>
    <w:rsid w:val="6C4F33F0"/>
    <w:rsid w:val="6D070322"/>
    <w:rsid w:val="715D6953"/>
    <w:rsid w:val="72804FFD"/>
    <w:rsid w:val="72972D5B"/>
    <w:rsid w:val="72D82ABE"/>
    <w:rsid w:val="74873BF9"/>
    <w:rsid w:val="75614AF5"/>
    <w:rsid w:val="79C8388C"/>
    <w:rsid w:val="7A333930"/>
    <w:rsid w:val="7C1C7EBF"/>
    <w:rsid w:val="7E791D9F"/>
    <w:rsid w:val="7EAB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142"/>
    <w:qFormat/>
    <w:uiPriority w:val="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35">
    <w:name w:val="Default Paragraph Font"/>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140"/>
    <w:qFormat/>
    <w:uiPriority w:val="0"/>
    <w:rPr>
      <w:sz w:val="18"/>
      <w:szCs w:val="18"/>
    </w:rPr>
  </w:style>
  <w:style w:type="paragraph" w:styleId="18">
    <w:name w:val="footer"/>
    <w:basedOn w:val="1"/>
    <w:link w:val="139"/>
    <w:qFormat/>
    <w:uiPriority w:val="99"/>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39"/>
    <w:pPr>
      <w:tabs>
        <w:tab w:val="right" w:leader="dot" w:pos="9241"/>
      </w:tabs>
      <w:spacing w:beforeLines="25" w:afterLines="25"/>
      <w:jc w:val="left"/>
    </w:pPr>
    <w:rPr>
      <w:rFonts w:ascii="宋体"/>
      <w:szCs w:val="21"/>
    </w:rPr>
  </w:style>
  <w:style w:type="paragraph" w:styleId="21">
    <w:name w:val="toc 4"/>
    <w:basedOn w:val="1"/>
    <w:next w:val="1"/>
    <w:qFormat/>
    <w:uiPriority w:val="39"/>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3"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qFormat/>
    <w:uiPriority w:val="39"/>
    <w:pPr>
      <w:tabs>
        <w:tab w:val="right" w:leader="dot" w:pos="9241"/>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Strong"/>
    <w:basedOn w:val="35"/>
    <w:qFormat/>
    <w:uiPriority w:val="0"/>
    <w:rPr>
      <w:b/>
    </w:rPr>
  </w:style>
  <w:style w:type="character" w:styleId="37">
    <w:name w:val="endnote reference"/>
    <w:basedOn w:val="35"/>
    <w:semiHidden/>
    <w:qFormat/>
    <w:uiPriority w:val="0"/>
    <w:rPr>
      <w:vertAlign w:val="superscript"/>
    </w:rPr>
  </w:style>
  <w:style w:type="character" w:styleId="38">
    <w:name w:val="page number"/>
    <w:basedOn w:val="35"/>
    <w:qFormat/>
    <w:uiPriority w:val="0"/>
    <w:rPr>
      <w:rFonts w:ascii="Times New Roman" w:hAnsi="Times New Roman" w:eastAsia="宋体"/>
      <w:sz w:val="18"/>
    </w:rPr>
  </w:style>
  <w:style w:type="character" w:styleId="39">
    <w:name w:val="FollowedHyperlink"/>
    <w:basedOn w:val="35"/>
    <w:qFormat/>
    <w:uiPriority w:val="0"/>
    <w:rPr>
      <w:color w:val="800080"/>
      <w:u w:val="single"/>
    </w:rPr>
  </w:style>
  <w:style w:type="character" w:styleId="40">
    <w:name w:val="Hyperlink"/>
    <w:basedOn w:val="35"/>
    <w:qFormat/>
    <w:uiPriority w:val="99"/>
    <w:rPr>
      <w:color w:val="0000FF"/>
      <w:spacing w:val="0"/>
      <w:w w:val="100"/>
      <w:szCs w:val="21"/>
      <w:u w:val="single"/>
    </w:rPr>
  </w:style>
  <w:style w:type="character" w:styleId="41">
    <w:name w:val="footnote reference"/>
    <w:basedOn w:val="35"/>
    <w:semiHidden/>
    <w:qFormat/>
    <w:uiPriority w:val="0"/>
    <w:rPr>
      <w:vertAlign w:val="superscript"/>
    </w:rPr>
  </w:style>
  <w:style w:type="character" w:customStyle="1" w:styleId="42">
    <w:name w:val="段 Char"/>
    <w:basedOn w:val="35"/>
    <w:link w:val="24"/>
    <w:qFormat/>
    <w:uiPriority w:val="0"/>
    <w:rPr>
      <w:rFonts w:ascii="宋体"/>
      <w:sz w:val="21"/>
      <w:lang w:val="en-US" w:eastAsia="zh-CN" w:bidi="ar-SA"/>
    </w:rPr>
  </w:style>
  <w:style w:type="paragraph" w:customStyle="1" w:styleId="43">
    <w:name w:val="一级条标题"/>
    <w:next w:val="24"/>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4"/>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24"/>
    <w:qFormat/>
    <w:uiPriority w:val="0"/>
    <w:pPr>
      <w:numPr>
        <w:ilvl w:val="2"/>
      </w:numPr>
      <w:spacing w:before="50" w:after="50"/>
      <w:ind w:left="142"/>
      <w:outlineLvl w:val="3"/>
    </w:p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24"/>
    <w:qFormat/>
    <w:uiPriority w:val="0"/>
    <w:pPr>
      <w:numPr>
        <w:ilvl w:val="0"/>
        <w:numId w:val="0"/>
      </w:numPr>
      <w:outlineLvl w:val="4"/>
    </w:p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24"/>
    <w:qFormat/>
    <w:uiPriority w:val="0"/>
    <w:pPr>
      <w:numPr>
        <w:ilvl w:val="4"/>
        <w:numId w:val="2"/>
      </w:numPr>
      <w:outlineLvl w:val="5"/>
    </w:pPr>
  </w:style>
  <w:style w:type="paragraph" w:customStyle="1" w:styleId="57">
    <w:name w:val="五级条标题"/>
    <w:basedOn w:val="56"/>
    <w:next w:val="24"/>
    <w:qFormat/>
    <w:uiPriority w:val="0"/>
    <w:pPr>
      <w:numPr>
        <w:ilvl w:val="5"/>
      </w:numPr>
      <w:outlineLvl w:val="6"/>
    </w:pPr>
  </w:style>
  <w:style w:type="paragraph" w:customStyle="1" w:styleId="58">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Lines="0" w:afterLines="0"/>
      <w:outlineLvl w:val="9"/>
    </w:pPr>
    <w:rPr>
      <w:rFonts w:ascii="宋体" w:eastAsia="宋体"/>
      <w:sz w:val="18"/>
      <w:szCs w:val="18"/>
    </w:rPr>
  </w:style>
  <w:style w:type="paragraph" w:customStyle="1" w:styleId="64">
    <w:name w:val="二级无"/>
    <w:basedOn w:val="47"/>
    <w:qFormat/>
    <w:uiPriority w:val="0"/>
    <w:pPr>
      <w:spacing w:beforeLines="0" w:afterLines="0"/>
    </w:pPr>
    <w:rPr>
      <w:rFonts w:ascii="宋体" w:eastAsia="宋体"/>
    </w:rPr>
  </w:style>
  <w:style w:type="paragraph" w:customStyle="1" w:styleId="65">
    <w:name w:val="注：（正文）"/>
    <w:basedOn w:val="58"/>
    <w:next w:val="24"/>
    <w:qFormat/>
    <w:uiPriority w:val="0"/>
    <w:pPr>
      <w:numPr>
        <w:ilvl w:val="0"/>
        <w:numId w:val="9"/>
      </w:numPr>
    </w:pPr>
  </w:style>
  <w:style w:type="paragraph" w:customStyle="1" w:styleId="66">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basedOn w:val="35"/>
    <w:qFormat/>
    <w:uiPriority w:val="0"/>
    <w:rPr>
      <w:rFonts w:ascii="黑体" w:eastAsia="黑体"/>
      <w:spacing w:val="85"/>
      <w:w w:val="100"/>
      <w:position w:val="3"/>
      <w:sz w:val="28"/>
      <w:szCs w:val="28"/>
    </w:rPr>
  </w:style>
  <w:style w:type="paragraph" w:customStyle="1" w:styleId="75">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framePr w:wrap="around"/>
      <w:spacing w:before="370" w:line="400" w:lineRule="exact"/>
    </w:pPr>
    <w:rPr>
      <w:rFonts w:ascii="Times New Roman"/>
      <w:sz w:val="28"/>
      <w:szCs w:val="28"/>
    </w:rPr>
  </w:style>
  <w:style w:type="paragraph" w:customStyle="1" w:styleId="81">
    <w:name w:val="封面一致性程度标识"/>
    <w:basedOn w:val="80"/>
    <w:qFormat/>
    <w:uiPriority w:val="0"/>
    <w:pPr>
      <w:framePr w:wrap="around"/>
      <w:spacing w:before="440"/>
    </w:pPr>
    <w:rPr>
      <w:rFonts w:ascii="宋体" w:eastAsia="宋体"/>
    </w:rPr>
  </w:style>
  <w:style w:type="paragraph" w:customStyle="1" w:styleId="82">
    <w:name w:val="封面标准文稿类别"/>
    <w:basedOn w:val="81"/>
    <w:qFormat/>
    <w:uiPriority w:val="0"/>
    <w:pPr>
      <w:framePr w:wrap="around"/>
      <w:spacing w:after="160" w:line="240" w:lineRule="auto"/>
    </w:pPr>
    <w:rPr>
      <w:sz w:val="24"/>
    </w:rPr>
  </w:style>
  <w:style w:type="paragraph" w:customStyle="1" w:styleId="83">
    <w:name w:val="封面标准文稿编辑信息"/>
    <w:basedOn w:val="82"/>
    <w:qFormat/>
    <w:uiPriority w:val="0"/>
    <w:pPr>
      <w:framePr w:wrap="around"/>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4"/>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4"/>
    <w:next w:val="24"/>
    <w:qFormat/>
    <w:uiPriority w:val="0"/>
    <w:pPr>
      <w:ind w:firstLine="0" w:firstLineChars="0"/>
      <w:jc w:val="center"/>
    </w:pPr>
    <w:rPr>
      <w:rFonts w:ascii="黑体" w:eastAsia="黑体"/>
    </w:rPr>
  </w:style>
  <w:style w:type="paragraph" w:customStyle="1" w:styleId="87">
    <w:name w:val="附录表标号"/>
    <w:basedOn w:val="1"/>
    <w:next w:val="24"/>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4"/>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9">
    <w:name w:val="附录二级条标题"/>
    <w:basedOn w:val="1"/>
    <w:next w:val="24"/>
    <w:qFormat/>
    <w:uiPriority w:val="0"/>
    <w:pPr>
      <w:widowControl/>
      <w:numPr>
        <w:ilvl w:val="3"/>
        <w:numId w:val="11"/>
      </w:numPr>
      <w:wordWrap w:val="0"/>
      <w:overflowPunct w:val="0"/>
      <w:autoSpaceDE w:val="0"/>
      <w:autoSpaceDN w:val="0"/>
      <w:spacing w:beforeLines="50" w:afterLines="50"/>
      <w:ind w:left="0"/>
      <w:textAlignment w:val="baseline"/>
      <w:outlineLvl w:val="3"/>
    </w:pPr>
    <w:rPr>
      <w:rFonts w:ascii="黑体" w:eastAsia="黑体"/>
      <w:kern w:val="21"/>
      <w:szCs w:val="20"/>
    </w:rPr>
  </w:style>
  <w:style w:type="paragraph" w:customStyle="1" w:styleId="90">
    <w:name w:val="附录二级无"/>
    <w:basedOn w:val="89"/>
    <w:qFormat/>
    <w:uiPriority w:val="0"/>
    <w:pPr>
      <w:spacing w:beforeLines="0" w:afterLines="0"/>
    </w:pPr>
    <w:rPr>
      <w:rFonts w:ascii="宋体" w:eastAsia="宋体"/>
      <w:szCs w:val="21"/>
    </w:rPr>
  </w:style>
  <w:style w:type="paragraph" w:customStyle="1" w:styleId="91">
    <w:name w:val="附录公式"/>
    <w:basedOn w:val="24"/>
    <w:next w:val="24"/>
    <w:link w:val="92"/>
    <w:qFormat/>
    <w:uiPriority w:val="0"/>
  </w:style>
  <w:style w:type="character" w:customStyle="1" w:styleId="92">
    <w:name w:val="附录公式 Char"/>
    <w:basedOn w:val="42"/>
    <w:link w:val="91"/>
    <w:qFormat/>
    <w:uiPriority w:val="0"/>
    <w:rPr>
      <w:rFonts w:ascii="宋体"/>
      <w:sz w:val="21"/>
      <w:lang w:val="en-US" w:eastAsia="zh-CN" w:bidi="ar-SA"/>
    </w:rPr>
  </w:style>
  <w:style w:type="paragraph" w:customStyle="1" w:styleId="93">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4"/>
    <w:qFormat/>
    <w:uiPriority w:val="0"/>
    <w:pPr>
      <w:numPr>
        <w:ilvl w:val="4"/>
      </w:numPr>
      <w:tabs>
        <w:tab w:val="left" w:pos="360"/>
      </w:tabs>
      <w:outlineLvl w:val="4"/>
    </w:pPr>
  </w:style>
  <w:style w:type="paragraph" w:customStyle="1" w:styleId="95">
    <w:name w:val="附录三级无"/>
    <w:basedOn w:val="94"/>
    <w:qFormat/>
    <w:uiPriority w:val="0"/>
    <w:pPr>
      <w:tabs>
        <w:tab w:val="clear" w:pos="360"/>
      </w:tabs>
      <w:spacing w:beforeLines="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4"/>
    <w:qFormat/>
    <w:uiPriority w:val="0"/>
    <w:pPr>
      <w:numPr>
        <w:ilvl w:val="5"/>
      </w:numPr>
      <w:outlineLvl w:val="5"/>
    </w:pPr>
  </w:style>
  <w:style w:type="paragraph" w:customStyle="1" w:styleId="98">
    <w:name w:val="附录四级无"/>
    <w:basedOn w:val="97"/>
    <w:qFormat/>
    <w:uiPriority w:val="0"/>
    <w:pPr>
      <w:tabs>
        <w:tab w:val="clear" w:pos="360"/>
      </w:tabs>
      <w:spacing w:beforeLines="0" w:afterLines="0"/>
    </w:pPr>
    <w:rPr>
      <w:rFonts w:ascii="宋体" w:eastAsia="宋体"/>
      <w:szCs w:val="21"/>
    </w:rPr>
  </w:style>
  <w:style w:type="paragraph" w:customStyle="1" w:styleId="9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4"/>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1">
    <w:name w:val="附录五级条标题"/>
    <w:basedOn w:val="97"/>
    <w:next w:val="24"/>
    <w:qFormat/>
    <w:uiPriority w:val="0"/>
    <w:pPr>
      <w:numPr>
        <w:ilvl w:val="6"/>
      </w:numPr>
      <w:outlineLvl w:val="6"/>
    </w:pPr>
  </w:style>
  <w:style w:type="paragraph" w:customStyle="1" w:styleId="102">
    <w:name w:val="附录五级无"/>
    <w:basedOn w:val="101"/>
    <w:qFormat/>
    <w:uiPriority w:val="0"/>
    <w:pPr>
      <w:tabs>
        <w:tab w:val="clear" w:pos="360"/>
      </w:tabs>
      <w:spacing w:beforeLines="0" w:afterLines="0"/>
    </w:pPr>
    <w:rPr>
      <w:rFonts w:ascii="宋体" w:eastAsia="宋体"/>
      <w:szCs w:val="21"/>
    </w:rPr>
  </w:style>
  <w:style w:type="paragraph" w:customStyle="1" w:styleId="103">
    <w:name w:val="附录章标题"/>
    <w:next w:val="24"/>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4"/>
    <w:qFormat/>
    <w:uiPriority w:val="0"/>
    <w:pPr>
      <w:numPr>
        <w:ilvl w:val="2"/>
      </w:numPr>
      <w:autoSpaceDN w:val="0"/>
      <w:spacing w:beforeLines="50" w:afterLines="50"/>
      <w:ind w:left="0"/>
      <w:outlineLvl w:val="2"/>
    </w:pPr>
  </w:style>
  <w:style w:type="paragraph" w:customStyle="1" w:styleId="105">
    <w:name w:val="附录一级无"/>
    <w:basedOn w:val="104"/>
    <w:qFormat/>
    <w:uiPriority w:val="0"/>
    <w:pPr>
      <w:spacing w:beforeLines="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wrap="around" w:y="15310"/>
      <w:spacing w:line="0" w:lineRule="atLeast"/>
    </w:pPr>
    <w:rPr>
      <w:rFonts w:ascii="黑体" w:eastAsia="黑体"/>
      <w:b w:val="0"/>
    </w:rPr>
  </w:style>
  <w:style w:type="paragraph" w:customStyle="1" w:styleId="113">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Lines="0" w:afterLines="0"/>
    </w:pPr>
    <w:rPr>
      <w:rFonts w:ascii="宋体" w:eastAsia="宋体"/>
    </w:rPr>
  </w:style>
  <w:style w:type="paragraph" w:customStyle="1" w:styleId="115">
    <w:name w:val="实施日期"/>
    <w:basedOn w:val="76"/>
    <w:qFormat/>
    <w:uiPriority w:val="0"/>
    <w:pPr>
      <w:framePr w:wrap="around" w:vAnchor="page" w:hAnchor="text"/>
      <w:jc w:val="right"/>
    </w:pPr>
  </w:style>
  <w:style w:type="paragraph" w:customStyle="1" w:styleId="116">
    <w:name w:val="示例后文字"/>
    <w:basedOn w:val="24"/>
    <w:next w:val="24"/>
    <w:qFormat/>
    <w:uiPriority w:val="0"/>
    <w:pPr>
      <w:ind w:firstLine="360"/>
    </w:pPr>
    <w:rPr>
      <w:sz w:val="18"/>
    </w:rPr>
  </w:style>
  <w:style w:type="paragraph" w:customStyle="1" w:styleId="117">
    <w:name w:val="首示例"/>
    <w:next w:val="24"/>
    <w:link w:val="118"/>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basedOn w:val="35"/>
    <w:link w:val="117"/>
    <w:qFormat/>
    <w:uiPriority w:val="0"/>
    <w:rPr>
      <w:rFonts w:ascii="宋体" w:hAnsi="宋体"/>
      <w:kern w:val="2"/>
      <w:sz w:val="18"/>
      <w:szCs w:val="18"/>
      <w:lang w:val="en-US" w:eastAsia="zh-CN" w:bidi="ar-SA"/>
    </w:rPr>
  </w:style>
  <w:style w:type="paragraph" w:customStyle="1" w:styleId="119">
    <w:name w:val="四级无"/>
    <w:basedOn w:val="56"/>
    <w:qFormat/>
    <w:uiPriority w:val="0"/>
    <w:pPr>
      <w:spacing w:beforeLines="0" w:afterLines="0"/>
    </w:pPr>
    <w:rPr>
      <w:rFonts w:ascii="宋体" w:eastAsia="宋体"/>
    </w:rPr>
  </w:style>
  <w:style w:type="paragraph" w:customStyle="1" w:styleId="120">
    <w:name w:val="条文脚注"/>
    <w:basedOn w:val="25"/>
    <w:qFormat/>
    <w:uiPriority w:val="0"/>
    <w:pPr>
      <w:numPr>
        <w:numId w:val="0"/>
      </w:numPr>
      <w:jc w:val="both"/>
    </w:pPr>
  </w:style>
  <w:style w:type="paragraph" w:customStyle="1" w:styleId="121">
    <w:name w:val="图标脚注说明"/>
    <w:basedOn w:val="24"/>
    <w:qFormat/>
    <w:uiPriority w:val="0"/>
    <w:pPr>
      <w:ind w:left="840" w:hanging="420" w:firstLineChars="0"/>
    </w:pPr>
    <w:rPr>
      <w:sz w:val="18"/>
      <w:szCs w:val="18"/>
    </w:rPr>
  </w:style>
  <w:style w:type="paragraph" w:customStyle="1" w:styleId="122">
    <w:name w:val="图表脚注说明"/>
    <w:basedOn w:val="1"/>
    <w:qFormat/>
    <w:uiPriority w:val="0"/>
    <w:pPr>
      <w:numPr>
        <w:ilvl w:val="0"/>
        <w:numId w:val="16"/>
      </w:numPr>
    </w:pPr>
    <w:rPr>
      <w:rFonts w:ascii="宋体"/>
      <w:sz w:val="18"/>
      <w:szCs w:val="18"/>
    </w:rPr>
  </w:style>
  <w:style w:type="paragraph" w:customStyle="1" w:styleId="123">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Lines="0" w:afterLines="0"/>
    </w:pPr>
    <w:rPr>
      <w:rFonts w:ascii="宋体" w:eastAsia="宋体"/>
    </w:rPr>
  </w:style>
  <w:style w:type="paragraph" w:customStyle="1" w:styleId="126">
    <w:name w:val="一级无"/>
    <w:basedOn w:val="43"/>
    <w:qFormat/>
    <w:uiPriority w:val="0"/>
    <w:pPr>
      <w:spacing w:beforeLines="0" w:afterLines="0"/>
    </w:pPr>
    <w:rPr>
      <w:rFonts w:ascii="宋体" w:eastAsia="宋体"/>
    </w:rPr>
  </w:style>
  <w:style w:type="paragraph" w:customStyle="1" w:styleId="127">
    <w:name w:val="正文表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4"/>
    <w:next w:val="24"/>
    <w:qFormat/>
    <w:uiPriority w:val="0"/>
    <w:pPr>
      <w:ind w:firstLine="0" w:firstLineChars="0"/>
    </w:pPr>
  </w:style>
  <w:style w:type="paragraph" w:customStyle="1" w:styleId="129">
    <w:name w:val="正文图标题"/>
    <w:next w:val="24"/>
    <w:qFormat/>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basedOn w:val="76"/>
    <w:qFormat/>
    <w:uiPriority w:val="0"/>
    <w:pPr>
      <w:framePr w:wrap="around" w:vAnchor="page" w:hAnchor="text" w:x="1419"/>
    </w:pPr>
  </w:style>
  <w:style w:type="paragraph" w:customStyle="1" w:styleId="132">
    <w:name w:val="其他实施日期"/>
    <w:basedOn w:val="115"/>
    <w:qFormat/>
    <w:uiPriority w:val="0"/>
    <w:pPr>
      <w:framePr w:wrap="around"/>
    </w:pPr>
  </w:style>
  <w:style w:type="paragraph" w:customStyle="1" w:styleId="133">
    <w:name w:val="封面标准名称2"/>
    <w:basedOn w:val="79"/>
    <w:qFormat/>
    <w:uiPriority w:val="0"/>
    <w:pPr>
      <w:framePr w:wrap="around" w:y="4469"/>
      <w:spacing w:beforeLines="630"/>
    </w:pPr>
  </w:style>
  <w:style w:type="paragraph" w:customStyle="1" w:styleId="134">
    <w:name w:val="封面标准英文名称2"/>
    <w:basedOn w:val="80"/>
    <w:qFormat/>
    <w:uiPriority w:val="0"/>
    <w:pPr>
      <w:framePr w:wrap="around" w:y="4469"/>
    </w:pPr>
  </w:style>
  <w:style w:type="paragraph" w:customStyle="1" w:styleId="135">
    <w:name w:val="封面一致性程度标识2"/>
    <w:basedOn w:val="81"/>
    <w:qFormat/>
    <w:uiPriority w:val="0"/>
    <w:pPr>
      <w:framePr w:wrap="around" w:y="4469"/>
    </w:pPr>
  </w:style>
  <w:style w:type="paragraph" w:customStyle="1" w:styleId="136">
    <w:name w:val="封面标准文稿类别2"/>
    <w:basedOn w:val="82"/>
    <w:qFormat/>
    <w:uiPriority w:val="0"/>
    <w:pPr>
      <w:framePr w:wrap="around" w:y="4469"/>
    </w:pPr>
  </w:style>
  <w:style w:type="paragraph" w:customStyle="1" w:styleId="137">
    <w:name w:val="封面标准文稿编辑信息2"/>
    <w:basedOn w:val="83"/>
    <w:qFormat/>
    <w:uiPriority w:val="0"/>
    <w:pPr>
      <w:framePr w:wrap="around" w:y="4469"/>
    </w:pPr>
  </w:style>
  <w:style w:type="paragraph" w:customStyle="1" w:styleId="13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39">
    <w:name w:val="页脚 Char"/>
    <w:basedOn w:val="35"/>
    <w:link w:val="18"/>
    <w:qFormat/>
    <w:uiPriority w:val="99"/>
    <w:rPr>
      <w:kern w:val="2"/>
      <w:sz w:val="18"/>
      <w:szCs w:val="18"/>
    </w:rPr>
  </w:style>
  <w:style w:type="character" w:customStyle="1" w:styleId="140">
    <w:name w:val="批注框文本 Char"/>
    <w:basedOn w:val="35"/>
    <w:link w:val="17"/>
    <w:qFormat/>
    <w:uiPriority w:val="0"/>
    <w:rPr>
      <w:kern w:val="2"/>
      <w:sz w:val="18"/>
      <w:szCs w:val="18"/>
    </w:rPr>
  </w:style>
  <w:style w:type="character" w:customStyle="1" w:styleId="141">
    <w:name w:val="标题 1 Char"/>
    <w:basedOn w:val="35"/>
    <w:link w:val="2"/>
    <w:qFormat/>
    <w:uiPriority w:val="9"/>
    <w:rPr>
      <w:rFonts w:ascii="宋体" w:hAnsi="宋体" w:cs="宋体"/>
      <w:b/>
      <w:bCs/>
      <w:kern w:val="36"/>
      <w:sz w:val="48"/>
      <w:szCs w:val="48"/>
    </w:rPr>
  </w:style>
  <w:style w:type="character" w:customStyle="1" w:styleId="142">
    <w:name w:val="标题 2 Char"/>
    <w:basedOn w:val="35"/>
    <w:link w:val="3"/>
    <w:qFormat/>
    <w:uiPriority w:val="9"/>
    <w:rPr>
      <w:rFonts w:ascii="宋体" w:hAnsi="宋体" w:cs="宋体"/>
      <w:b/>
      <w:bCs/>
      <w:sz w:val="36"/>
      <w:szCs w:val="36"/>
    </w:rPr>
  </w:style>
  <w:style w:type="paragraph" w:customStyle="1" w:styleId="14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44">
    <w:name w:val="List Paragraph"/>
    <w:basedOn w:val="1"/>
    <w:semiHidden/>
    <w:unhideWhenUsed/>
    <w:qFormat/>
    <w:uiPriority w:val="99"/>
    <w:pPr>
      <w:ind w:firstLine="420" w:firstLineChars="200"/>
    </w:pPr>
  </w:style>
  <w:style w:type="paragraph" w:customStyle="1" w:styleId="145">
    <w:name w:val="TOC Heading"/>
    <w:basedOn w:val="2"/>
    <w:next w:val="1"/>
    <w:semiHidden/>
    <w:unhideWhenUsed/>
    <w:qFormat/>
    <w:uiPriority w:val="39"/>
    <w:pPr>
      <w:keepNext/>
      <w:keepLines/>
      <w:spacing w:before="480" w:beforeAutospacing="0" w:after="0" w:afterAutospacing="0" w:line="276" w:lineRule="auto"/>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列出段落1"/>
    <w:basedOn w:val="1"/>
    <w:qFormat/>
    <w:uiPriority w:val="34"/>
    <w:pPr>
      <w:adjustRightInd/>
      <w:spacing w:line="240" w:lineRule="auto"/>
      <w:ind w:firstLine="420" w:firstLineChars="200"/>
    </w:pPr>
    <w:rPr>
      <w:rFonts w:ascii="Calibri" w:hAnsi="Calibri" w:eastAsia="宋体" w:cs="Times New Roman"/>
      <w:szCs w:val="22"/>
    </w:rPr>
  </w:style>
  <w:style w:type="paragraph" w:customStyle="1" w:styleId="14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12</Pages>
  <Words>5892</Words>
  <Characters>6439</Characters>
  <Lines>8</Lines>
  <Paragraphs>2</Paragraphs>
  <TotalTime>156</TotalTime>
  <ScaleCrop>false</ScaleCrop>
  <LinksUpToDate>false</LinksUpToDate>
  <CharactersWithSpaces>6656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2023-03-07T08:42:00Z</dcterms:created>
  <dc:creator>CNIS</dc:creator>
  <cp:lastModifiedBy>王卫刚@陕中附院</cp:lastModifiedBy>
  <cp:lastPrinted>2023-03-08T07:29:00Z</cp:lastPrinted>
  <dcterms:modified xsi:type="dcterms:W3CDTF">2025-03-07T10:43:47Z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E6C60D7BA0FA41FDBCAD7A08F0E48A84</vt:lpwstr>
  </property>
  <property fmtid="{D5CDD505-2E9C-101B-9397-08002B2CF9AE}" pid="4" name="_DocHome">
    <vt:i4>-913376604</vt:i4>
  </property>
  <property fmtid="{D5CDD505-2E9C-101B-9397-08002B2CF9AE}" pid="5" name="KSOTemplateDocerSaveRecord">
    <vt:lpwstr>eyJoZGlkIjoiMDQ0ZTNhZjk0YjEyODJkZmI1ZDI0MjYxNzJlOGFlNTQiLCJ1c2VySWQiOiIzMzE1MTc5ODQifQ==</vt:lpwstr>
  </property>
</Properties>
</file>