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B9C60">
      <w:pPr>
        <w:numPr>
          <w:ilvl w:val="0"/>
          <w:numId w:val="0"/>
        </w:numPr>
        <w:spacing w:before="0" w:beforeAutospacing="1" w:after="0" w:afterAutospacing="1"/>
        <w:ind w:left="360" w:leftChars="0"/>
        <w:jc w:val="center"/>
        <w:rPr>
          <w:rFonts w:hint="eastAsia" w:ascii="方正公文小标宋" w:hAnsi="方正公文小标宋" w:eastAsia="方正公文小标宋" w:cs="方正公文小标宋"/>
          <w:sz w:val="36"/>
          <w:szCs w:val="44"/>
          <w:lang w:val="en-US" w:eastAsia="zh-CN"/>
        </w:rPr>
      </w:pPr>
      <w:r>
        <w:rPr>
          <w:rFonts w:hint="eastAsia" w:ascii="方正公文小标宋" w:hAnsi="方正公文小标宋" w:eastAsia="方正公文小标宋" w:cs="方正公文小标宋"/>
          <w:sz w:val="36"/>
          <w:szCs w:val="44"/>
          <w:lang w:val="en-US" w:eastAsia="zh-CN"/>
        </w:rPr>
        <w:t>陕西省地方标准</w:t>
      </w:r>
      <w:r>
        <w:rPr>
          <w:rFonts w:hint="eastAsia" w:ascii="方正公文小标宋" w:hAnsi="方正公文小标宋" w:eastAsia="方正公文小标宋" w:cs="方正公文小标宋"/>
          <w:sz w:val="36"/>
          <w:szCs w:val="44"/>
          <w:lang w:eastAsia="zh-CN"/>
        </w:rPr>
        <w:t>《</w:t>
      </w:r>
      <w:r>
        <w:rPr>
          <w:rFonts w:hint="eastAsia" w:ascii="方正公文小标宋" w:hAnsi="方正公文小标宋" w:eastAsia="方正公文小标宋" w:cs="方正公文小标宋"/>
          <w:sz w:val="36"/>
          <w:szCs w:val="44"/>
        </w:rPr>
        <w:t>客运索道作业人员</w:t>
      </w:r>
      <w:r>
        <w:rPr>
          <w:rFonts w:hint="eastAsia" w:ascii="方正公文小标宋" w:hAnsi="方正公文小标宋" w:eastAsia="方正公文小标宋" w:cs="方正公文小标宋"/>
          <w:sz w:val="36"/>
          <w:szCs w:val="44"/>
          <w:lang w:eastAsia="zh-CN"/>
        </w:rPr>
        <w:t>考核管理规范</w:t>
      </w:r>
      <w:r>
        <w:rPr>
          <w:rFonts w:hint="eastAsia" w:ascii="方正公文小标宋" w:hAnsi="方正公文小标宋" w:eastAsia="方正公文小标宋" w:cs="方正公文小标宋"/>
          <w:sz w:val="36"/>
          <w:szCs w:val="44"/>
        </w:rPr>
        <w:t>工作</w:t>
      </w:r>
      <w:r>
        <w:rPr>
          <w:rFonts w:hint="eastAsia" w:ascii="方正公文小标宋" w:hAnsi="方正公文小标宋" w:eastAsia="方正公文小标宋" w:cs="方正公文小标宋"/>
          <w:sz w:val="36"/>
          <w:szCs w:val="44"/>
          <w:lang w:eastAsia="zh-CN"/>
        </w:rPr>
        <w:t>》（</w:t>
      </w:r>
      <w:r>
        <w:rPr>
          <w:rFonts w:hint="eastAsia" w:ascii="方正公文小标宋" w:hAnsi="方正公文小标宋" w:eastAsia="方正公文小标宋" w:cs="方正公文小标宋"/>
          <w:sz w:val="36"/>
          <w:szCs w:val="44"/>
          <w:lang w:val="en-US" w:eastAsia="zh-CN"/>
        </w:rPr>
        <w:t>征求意见稿</w:t>
      </w:r>
      <w:r>
        <w:rPr>
          <w:rFonts w:hint="eastAsia" w:ascii="方正公文小标宋" w:hAnsi="方正公文小标宋" w:eastAsia="方正公文小标宋" w:cs="方正公文小标宋"/>
          <w:sz w:val="36"/>
          <w:szCs w:val="44"/>
          <w:lang w:eastAsia="zh-CN"/>
        </w:rPr>
        <w:t>）</w:t>
      </w:r>
      <w:r>
        <w:rPr>
          <w:rFonts w:hint="eastAsia" w:ascii="方正公文小标宋" w:hAnsi="方正公文小标宋" w:eastAsia="方正公文小标宋" w:cs="方正公文小标宋"/>
          <w:sz w:val="36"/>
          <w:szCs w:val="44"/>
          <w:lang w:val="en-US" w:eastAsia="zh-CN"/>
        </w:rPr>
        <w:t>编制说明</w:t>
      </w:r>
    </w:p>
    <w:p w14:paraId="3E2D6C39">
      <w:pPr>
        <w:keepNext w:val="0"/>
        <w:keepLines w:val="0"/>
        <w:pageBreakBefore w:val="0"/>
        <w:widowControl/>
        <w:kinsoku w:val="0"/>
        <w:wordWrap/>
        <w:overflowPunct/>
        <w:topLinePunct w:val="0"/>
        <w:autoSpaceDE w:val="0"/>
        <w:autoSpaceDN w:val="0"/>
        <w:bidi w:val="0"/>
        <w:adjustRightInd/>
        <w:snapToGrid/>
        <w:spacing w:line="560" w:lineRule="exact"/>
        <w:ind w:right="0"/>
        <w:textAlignment w:val="baseline"/>
        <w:rPr>
          <w:rFonts w:hint="eastAsia" w:ascii="黑体" w:hAnsi="黑体" w:eastAsia="黑体" w:cs="黑体"/>
          <w:sz w:val="32"/>
          <w:szCs w:val="32"/>
          <w:lang w:eastAsia="zh-CN"/>
        </w:rPr>
      </w:pPr>
      <w:r>
        <w:rPr>
          <w:rFonts w:hint="eastAsia" w:ascii="黑体" w:hAnsi="黑体" w:eastAsia="黑体" w:cs="黑体"/>
          <w:spacing w:val="7"/>
          <w:sz w:val="32"/>
          <w:szCs w:val="32"/>
          <w:lang w:val="en-US" w:eastAsia="zh-CN"/>
        </w:rPr>
        <w:t>一</w:t>
      </w:r>
      <w:r>
        <w:rPr>
          <w:rFonts w:ascii="黑体" w:hAnsi="黑体" w:eastAsia="黑体" w:cs="黑体"/>
          <w:spacing w:val="7"/>
          <w:sz w:val="32"/>
          <w:szCs w:val="32"/>
        </w:rPr>
        <w:t>、工作</w:t>
      </w:r>
      <w:r>
        <w:rPr>
          <w:rFonts w:hint="eastAsia" w:ascii="黑体" w:hAnsi="黑体" w:eastAsia="黑体" w:cs="黑体"/>
          <w:spacing w:val="7"/>
          <w:sz w:val="32"/>
          <w:szCs w:val="32"/>
          <w:lang w:val="en-US" w:eastAsia="zh-CN"/>
        </w:rPr>
        <w:t>概况</w:t>
      </w:r>
    </w:p>
    <w:p w14:paraId="321FBE89">
      <w:pPr>
        <w:keepNext w:val="0"/>
        <w:keepLines w:val="0"/>
        <w:pageBreakBefore w:val="0"/>
        <w:widowControl/>
        <w:kinsoku w:val="0"/>
        <w:wordWrap/>
        <w:overflowPunct/>
        <w:topLinePunct w:val="0"/>
        <w:autoSpaceDE w:val="0"/>
        <w:autoSpaceDN w:val="0"/>
        <w:bidi w:val="0"/>
        <w:adjustRightInd/>
        <w:snapToGrid/>
        <w:spacing w:line="560" w:lineRule="exact"/>
        <w:ind w:left="0" w:right="0" w:firstLine="651" w:firstLineChars="200"/>
        <w:textAlignment w:val="baseline"/>
        <w:outlineLvl w:val="2"/>
        <w:rPr>
          <w:rFonts w:ascii="楷体" w:hAnsi="楷体" w:eastAsia="楷体" w:cs="楷体"/>
          <w:sz w:val="32"/>
          <w:szCs w:val="32"/>
        </w:rPr>
      </w:pPr>
      <w:r>
        <w:rPr>
          <w:rFonts w:ascii="楷体" w:hAnsi="楷体" w:eastAsia="楷体" w:cs="楷体"/>
          <w:b/>
          <w:bCs/>
          <w:spacing w:val="2"/>
          <w:sz w:val="32"/>
          <w:szCs w:val="32"/>
        </w:rPr>
        <w:t>（一）任务来源</w:t>
      </w:r>
    </w:p>
    <w:p w14:paraId="427D62B3">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textAlignment w:val="baseline"/>
        <w:rPr>
          <w:rFonts w:hint="eastAsia"/>
          <w:spacing w:val="3"/>
          <w:sz w:val="32"/>
          <w:szCs w:val="32"/>
          <w:lang w:val="en-US" w:eastAsia="zh-CN"/>
        </w:rPr>
      </w:pPr>
      <w:r>
        <w:rPr>
          <w:rFonts w:hint="eastAsia"/>
          <w:spacing w:val="8"/>
          <w:sz w:val="32"/>
          <w:szCs w:val="32"/>
          <w:lang w:val="en-US" w:eastAsia="zh-CN"/>
        </w:rPr>
        <w:t>标准编制任务来源于</w:t>
      </w:r>
      <w:r>
        <w:rPr>
          <w:spacing w:val="8"/>
          <w:sz w:val="32"/>
          <w:szCs w:val="32"/>
        </w:rPr>
        <w:t>《</w:t>
      </w:r>
      <w:r>
        <w:rPr>
          <w:rFonts w:hint="eastAsia"/>
          <w:spacing w:val="8"/>
          <w:sz w:val="32"/>
          <w:szCs w:val="32"/>
        </w:rPr>
        <w:t>陕西省市场监督管理局关于下达2023年度陕西省地方标准制修订项目计划的通知</w:t>
      </w:r>
      <w:r>
        <w:rPr>
          <w:spacing w:val="7"/>
          <w:sz w:val="32"/>
          <w:szCs w:val="32"/>
        </w:rPr>
        <w:t>》</w:t>
      </w:r>
      <w:r>
        <w:rPr>
          <w:spacing w:val="3"/>
          <w:sz w:val="32"/>
          <w:szCs w:val="32"/>
        </w:rPr>
        <w:t>（</w:t>
      </w:r>
      <w:r>
        <w:rPr>
          <w:rFonts w:hint="eastAsia"/>
          <w:spacing w:val="3"/>
          <w:sz w:val="32"/>
          <w:szCs w:val="32"/>
        </w:rPr>
        <w:t>陕市监函</w:t>
      </w:r>
      <w:r>
        <w:rPr>
          <w:rFonts w:hint="eastAsia"/>
          <w:spacing w:val="3"/>
          <w:sz w:val="32"/>
          <w:szCs w:val="32"/>
          <w:lang w:val="en-US" w:eastAsia="zh-CN"/>
        </w:rPr>
        <w:t>[</w:t>
      </w:r>
      <w:r>
        <w:rPr>
          <w:rFonts w:hint="eastAsia"/>
          <w:spacing w:val="3"/>
          <w:sz w:val="32"/>
          <w:szCs w:val="32"/>
        </w:rPr>
        <w:t>2023</w:t>
      </w:r>
      <w:r>
        <w:rPr>
          <w:rFonts w:hint="eastAsia"/>
          <w:spacing w:val="3"/>
          <w:sz w:val="32"/>
          <w:szCs w:val="32"/>
          <w:lang w:val="en-US" w:eastAsia="zh-CN"/>
        </w:rPr>
        <w:t>]</w:t>
      </w:r>
      <w:r>
        <w:rPr>
          <w:rFonts w:hint="eastAsia"/>
          <w:spacing w:val="3"/>
          <w:sz w:val="32"/>
          <w:szCs w:val="32"/>
        </w:rPr>
        <w:t>410号</w:t>
      </w:r>
      <w:r>
        <w:rPr>
          <w:spacing w:val="3"/>
          <w:sz w:val="32"/>
          <w:szCs w:val="32"/>
        </w:rPr>
        <w:t>）</w:t>
      </w:r>
      <w:r>
        <w:rPr>
          <w:rFonts w:hint="eastAsia"/>
          <w:spacing w:val="3"/>
          <w:sz w:val="32"/>
          <w:szCs w:val="32"/>
          <w:lang w:eastAsia="zh-CN"/>
        </w:rPr>
        <w:t>，</w:t>
      </w:r>
      <w:r>
        <w:rPr>
          <w:rFonts w:hint="eastAsia"/>
          <w:spacing w:val="3"/>
          <w:sz w:val="32"/>
          <w:szCs w:val="32"/>
          <w:lang w:val="en-US" w:eastAsia="zh-CN"/>
        </w:rPr>
        <w:t>项目编号：SDBXM219-2023。</w:t>
      </w:r>
    </w:p>
    <w:p w14:paraId="5EBCE5E2">
      <w:pPr>
        <w:keepNext w:val="0"/>
        <w:keepLines w:val="0"/>
        <w:pageBreakBefore w:val="0"/>
        <w:widowControl/>
        <w:kinsoku w:val="0"/>
        <w:wordWrap/>
        <w:overflowPunct/>
        <w:topLinePunct w:val="0"/>
        <w:autoSpaceDE w:val="0"/>
        <w:autoSpaceDN w:val="0"/>
        <w:bidi w:val="0"/>
        <w:adjustRightInd/>
        <w:snapToGrid/>
        <w:spacing w:line="560" w:lineRule="exact"/>
        <w:ind w:left="0" w:right="0" w:firstLine="651" w:firstLineChars="200"/>
        <w:textAlignment w:val="baseline"/>
        <w:outlineLvl w:val="2"/>
        <w:rPr>
          <w:rFonts w:hint="eastAsia" w:ascii="楷体" w:hAnsi="楷体" w:eastAsia="楷体" w:cs="楷体"/>
          <w:b/>
          <w:bCs/>
          <w:spacing w:val="2"/>
          <w:sz w:val="32"/>
          <w:szCs w:val="32"/>
          <w:lang w:val="en-US" w:eastAsia="zh-CN"/>
        </w:rPr>
      </w:pPr>
      <w:r>
        <w:rPr>
          <w:rFonts w:hint="eastAsia" w:ascii="楷体" w:hAnsi="楷体" w:eastAsia="楷体" w:cs="楷体"/>
          <w:b/>
          <w:bCs/>
          <w:spacing w:val="2"/>
          <w:sz w:val="32"/>
          <w:szCs w:val="32"/>
          <w:lang w:val="en-US" w:eastAsia="zh-CN"/>
        </w:rPr>
        <w:t>（二）目的意义</w:t>
      </w:r>
    </w:p>
    <w:p w14:paraId="02B4DA13">
      <w:pPr>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textAlignment w:val="baseline"/>
        <w:rPr>
          <w:rFonts w:hint="eastAsia" w:ascii="仿宋" w:hAnsi="仿宋" w:eastAsia="仿宋" w:cs="仿宋"/>
          <w:spacing w:val="8"/>
          <w:kern w:val="2"/>
          <w:sz w:val="32"/>
          <w:szCs w:val="32"/>
          <w:lang w:val="en-US" w:eastAsia="zh-CN" w:bidi="ar-SA"/>
        </w:rPr>
      </w:pPr>
      <w:r>
        <w:rPr>
          <w:rFonts w:hint="eastAsia" w:ascii="仿宋" w:hAnsi="仿宋" w:eastAsia="仿宋" w:cs="仿宋"/>
          <w:spacing w:val="8"/>
          <w:kern w:val="2"/>
          <w:sz w:val="32"/>
          <w:szCs w:val="32"/>
          <w:lang w:val="en-US" w:eastAsia="zh-CN" w:bidi="ar-SA"/>
        </w:rPr>
        <w:t>随着社会经济的发展，旅游业越来越成为各地的支柱产业之一。陕西省委书记赵一德在接受记者采访时也强调：“要扬文化优势，做强文旅产业集群。文化是陕西的战略性资源，旅游是陕西的标志性名片。我们将聚焦全域旅游示范省建设，坚持以文塑旅、以旅彰文、数字赋能、金融支撑，全方位全链条全要素整合文旅优势资源，做足“文旅+”和“+文旅”大文章。”</w:t>
      </w:r>
    </w:p>
    <w:p w14:paraId="58FE74E0">
      <w:pPr>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textAlignment w:val="baseline"/>
        <w:rPr>
          <w:rFonts w:hint="eastAsia" w:ascii="仿宋" w:hAnsi="仿宋" w:eastAsia="仿宋" w:cs="仿宋"/>
          <w:spacing w:val="8"/>
          <w:kern w:val="2"/>
          <w:sz w:val="32"/>
          <w:szCs w:val="32"/>
          <w:lang w:val="en-US" w:eastAsia="zh-CN" w:bidi="ar-SA"/>
        </w:rPr>
      </w:pPr>
      <w:r>
        <w:rPr>
          <w:rFonts w:hint="eastAsia" w:ascii="仿宋" w:hAnsi="仿宋" w:eastAsia="仿宋" w:cs="仿宋"/>
          <w:spacing w:val="8"/>
          <w:kern w:val="2"/>
          <w:sz w:val="32"/>
          <w:szCs w:val="32"/>
          <w:lang w:val="en-US" w:eastAsia="zh-CN" w:bidi="ar-SA"/>
        </w:rPr>
        <w:t>客运索道作为特种设备之一，越来越受到山地旅游、滑雪运输和城市交通的青睐，近二十年来，我国客运索道得到了大力发展，截至2021年底，我国共有客运索道1114条，我省也拥有客运索道38条，作业人员约950名。由于客运索道多处于旅游景区和交通要塞，且载人在高空运行，一旦发生事故或故障，容易造成群体滞留、群死群伤，社会影响大，广受监管部门、社会媒体和社会大众的关注，客运索道的安全运营管理至关重要。据统计，2021年特种设备事故原因中，违章作业约占82.14%，仍是造成事故的主要原因，具体表现为作业人员违章操作、操作不当甚至无证作业，维护缺失，管理不善等。因此，客运索道的作业人员管理是保障客运索道安全运营的重中之重。</w:t>
      </w:r>
    </w:p>
    <w:p w14:paraId="70677BB9">
      <w:pPr>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textAlignment w:val="baseline"/>
        <w:rPr>
          <w:rFonts w:hint="eastAsia" w:ascii="仿宋" w:hAnsi="仿宋" w:eastAsia="仿宋" w:cs="仿宋"/>
          <w:spacing w:val="8"/>
          <w:kern w:val="2"/>
          <w:sz w:val="32"/>
          <w:szCs w:val="32"/>
          <w:lang w:val="en-US" w:eastAsia="zh-CN" w:bidi="ar-SA"/>
        </w:rPr>
      </w:pPr>
      <w:r>
        <w:rPr>
          <w:rFonts w:hint="eastAsia" w:ascii="仿宋" w:hAnsi="仿宋" w:eastAsia="仿宋" w:cs="仿宋"/>
          <w:spacing w:val="8"/>
          <w:kern w:val="2"/>
          <w:sz w:val="32"/>
          <w:szCs w:val="32"/>
          <w:lang w:val="en-US" w:eastAsia="zh-CN" w:bidi="ar-SA"/>
        </w:rPr>
        <w:t>客运索道作业人员的管理分为从业资格管理和从业过程管理两个部分，从业资格管理是客运索道作业人员执业资格的管理，由省级特种设备监督管理部门授权的考试机构负责实施，包括执业资格证的取证和复审管理两个部分；从业过程管理是客运索道作业人员的日常从业情况管理，由客运索道运营单位自行负责。目前，国家市场监管总局对于客运索道作业人员的管理没有专门的标准规范，其相关要求不够具体，且分散于特种设备安全法律法规、部门规章或安全技术规范中。《特种设备作业人员考核规则》（TSGZ6001-2019）规定了整个特种设备作业人员的资格、取证、复审要求和考试机构的基本要求，对客运索道作业人员的继续教育和资格复审管理中的违章作业证明没有明确的要求。《特种设备作业人员考试机构管理要求（试行）》（市监特设发〔2022〕91号）对考试机构的基本配置作了规定，但对客运索道作业人员考试机构的考评人员的资格管理、实操考试所需设备或模拟设备控制系统功能明细、实操设备考试流程都没有具体的要求。</w:t>
      </w:r>
    </w:p>
    <w:p w14:paraId="72191BE9">
      <w:pPr>
        <w:keepNext w:val="0"/>
        <w:keepLines w:val="0"/>
        <w:pageBreakBefore w:val="0"/>
        <w:widowControl/>
        <w:kinsoku w:val="0"/>
        <w:wordWrap/>
        <w:overflowPunct/>
        <w:topLinePunct w:val="0"/>
        <w:autoSpaceDE w:val="0"/>
        <w:autoSpaceDN w:val="0"/>
        <w:bidi w:val="0"/>
        <w:adjustRightInd/>
        <w:snapToGrid/>
        <w:spacing w:line="560" w:lineRule="exact"/>
        <w:ind w:left="0" w:right="0" w:firstLine="663" w:firstLineChars="200"/>
        <w:textAlignment w:val="baseline"/>
        <w:outlineLvl w:val="2"/>
        <w:rPr>
          <w:rFonts w:ascii="楷体" w:hAnsi="楷体" w:eastAsia="楷体" w:cs="楷体"/>
          <w:sz w:val="32"/>
          <w:szCs w:val="32"/>
        </w:rPr>
      </w:pPr>
      <w:r>
        <w:rPr>
          <w:rFonts w:ascii="楷体" w:hAnsi="楷体" w:eastAsia="楷体" w:cs="楷体"/>
          <w:b/>
          <w:bCs/>
          <w:spacing w:val="5"/>
          <w:sz w:val="32"/>
          <w:szCs w:val="32"/>
        </w:rPr>
        <w:t>（</w:t>
      </w:r>
      <w:r>
        <w:rPr>
          <w:rFonts w:hint="eastAsia" w:ascii="楷体" w:hAnsi="楷体" w:eastAsia="楷体" w:cs="楷体"/>
          <w:b/>
          <w:bCs/>
          <w:spacing w:val="5"/>
          <w:sz w:val="32"/>
          <w:szCs w:val="32"/>
          <w:lang w:val="en-US" w:eastAsia="zh-CN"/>
        </w:rPr>
        <w:t>三</w:t>
      </w:r>
      <w:r>
        <w:rPr>
          <w:rFonts w:ascii="楷体" w:hAnsi="楷体" w:eastAsia="楷体" w:cs="楷体"/>
          <w:b/>
          <w:bCs/>
          <w:spacing w:val="5"/>
          <w:sz w:val="32"/>
          <w:szCs w:val="32"/>
        </w:rPr>
        <w:t>）</w:t>
      </w:r>
      <w:r>
        <w:rPr>
          <w:rFonts w:hint="eastAsia" w:ascii="楷体" w:hAnsi="楷体" w:eastAsia="楷体" w:cs="楷体"/>
          <w:b/>
          <w:bCs/>
          <w:spacing w:val="5"/>
          <w:sz w:val="32"/>
          <w:szCs w:val="32"/>
          <w:lang w:val="en-US" w:eastAsia="zh-CN"/>
        </w:rPr>
        <w:t>主导</w:t>
      </w:r>
      <w:r>
        <w:rPr>
          <w:rFonts w:ascii="楷体" w:hAnsi="楷体" w:eastAsia="楷体" w:cs="楷体"/>
          <w:b/>
          <w:bCs/>
          <w:spacing w:val="5"/>
          <w:sz w:val="32"/>
          <w:szCs w:val="32"/>
        </w:rPr>
        <w:t>单位</w:t>
      </w:r>
    </w:p>
    <w:p w14:paraId="2D3A88ED">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textAlignment w:val="baseline"/>
        <w:rPr>
          <w:rFonts w:hint="eastAsia" w:eastAsia="仿宋"/>
          <w:spacing w:val="8"/>
          <w:sz w:val="32"/>
          <w:szCs w:val="32"/>
          <w:lang w:eastAsia="zh-CN"/>
        </w:rPr>
      </w:pPr>
      <w:r>
        <w:rPr>
          <w:spacing w:val="8"/>
          <w:sz w:val="32"/>
          <w:szCs w:val="32"/>
        </w:rPr>
        <w:t>本标准</w:t>
      </w:r>
      <w:r>
        <w:rPr>
          <w:rFonts w:hint="eastAsia"/>
          <w:spacing w:val="8"/>
          <w:sz w:val="32"/>
          <w:szCs w:val="32"/>
          <w:lang w:val="en-US" w:eastAsia="zh-CN"/>
        </w:rPr>
        <w:t>主导单位为陕西省特种设备检验检测研究院，参与单位有陕西骏景索道投资建设有限公司、西太华旅游索道公路有限公司、陕西太白山索道管理有限公司、陕西骏景索道运营管理有限公司。</w:t>
      </w:r>
    </w:p>
    <w:p w14:paraId="7853C0E0">
      <w:pPr>
        <w:keepNext w:val="0"/>
        <w:keepLines w:val="0"/>
        <w:pageBreakBefore w:val="0"/>
        <w:widowControl/>
        <w:kinsoku w:val="0"/>
        <w:wordWrap/>
        <w:overflowPunct/>
        <w:topLinePunct w:val="0"/>
        <w:autoSpaceDE w:val="0"/>
        <w:autoSpaceDN w:val="0"/>
        <w:bidi w:val="0"/>
        <w:adjustRightInd/>
        <w:snapToGrid/>
        <w:spacing w:line="560" w:lineRule="exact"/>
        <w:ind w:left="0" w:right="0" w:firstLine="655" w:firstLineChars="200"/>
        <w:textAlignment w:val="baseline"/>
        <w:outlineLvl w:val="2"/>
        <w:rPr>
          <w:rFonts w:ascii="楷体" w:hAnsi="楷体" w:eastAsia="楷体" w:cs="楷体"/>
          <w:sz w:val="32"/>
          <w:szCs w:val="32"/>
        </w:rPr>
      </w:pPr>
      <w:r>
        <w:rPr>
          <w:rFonts w:ascii="楷体" w:hAnsi="楷体" w:eastAsia="楷体" w:cs="楷体"/>
          <w:b/>
          <w:bCs/>
          <w:spacing w:val="3"/>
          <w:sz w:val="32"/>
          <w:szCs w:val="32"/>
        </w:rPr>
        <w:t>（</w:t>
      </w:r>
      <w:r>
        <w:rPr>
          <w:rFonts w:hint="eastAsia" w:ascii="楷体" w:hAnsi="楷体" w:eastAsia="楷体" w:cs="楷体"/>
          <w:b/>
          <w:bCs/>
          <w:spacing w:val="3"/>
          <w:sz w:val="32"/>
          <w:szCs w:val="32"/>
          <w:lang w:val="en-US" w:eastAsia="zh-CN"/>
        </w:rPr>
        <w:t>四</w:t>
      </w:r>
      <w:r>
        <w:rPr>
          <w:rFonts w:ascii="楷体" w:hAnsi="楷体" w:eastAsia="楷体" w:cs="楷体"/>
          <w:b/>
          <w:bCs/>
          <w:spacing w:val="3"/>
          <w:sz w:val="32"/>
          <w:szCs w:val="32"/>
        </w:rPr>
        <w:t>）主要工作过程</w:t>
      </w:r>
    </w:p>
    <w:p w14:paraId="3479DF9A">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43" w:firstLineChars="200"/>
        <w:textAlignment w:val="baseline"/>
        <w:outlineLvl w:val="3"/>
        <w:rPr>
          <w:sz w:val="32"/>
          <w:szCs w:val="32"/>
        </w:rPr>
      </w:pPr>
      <w:r>
        <w:rPr>
          <w:b/>
          <w:bCs/>
          <w:sz w:val="32"/>
          <w:szCs w:val="32"/>
        </w:rPr>
        <w:t>1.预研阶段</w:t>
      </w:r>
    </w:p>
    <w:p w14:paraId="3ECFC276">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2" w:firstLineChars="200"/>
        <w:textAlignment w:val="baseline"/>
        <w:rPr>
          <w:sz w:val="32"/>
          <w:szCs w:val="32"/>
        </w:rPr>
      </w:pPr>
      <w:r>
        <w:rPr>
          <w:spacing w:val="3"/>
          <w:sz w:val="32"/>
          <w:szCs w:val="32"/>
        </w:rPr>
        <w:t>2023年</w:t>
      </w:r>
      <w:r>
        <w:rPr>
          <w:rFonts w:hint="eastAsia"/>
          <w:spacing w:val="3"/>
          <w:sz w:val="32"/>
          <w:szCs w:val="32"/>
          <w:lang w:val="en-US" w:eastAsia="zh-CN"/>
        </w:rPr>
        <w:t>1</w:t>
      </w:r>
      <w:r>
        <w:rPr>
          <w:spacing w:val="3"/>
          <w:sz w:val="32"/>
          <w:szCs w:val="32"/>
        </w:rPr>
        <w:t>-</w:t>
      </w:r>
      <w:r>
        <w:rPr>
          <w:rFonts w:hint="eastAsia"/>
          <w:spacing w:val="3"/>
          <w:sz w:val="32"/>
          <w:szCs w:val="32"/>
          <w:lang w:val="en-US" w:eastAsia="zh-CN"/>
        </w:rPr>
        <w:t>4</w:t>
      </w:r>
      <w:r>
        <w:rPr>
          <w:spacing w:val="3"/>
          <w:sz w:val="32"/>
          <w:szCs w:val="32"/>
        </w:rPr>
        <w:t>月，由</w:t>
      </w:r>
      <w:r>
        <w:rPr>
          <w:rFonts w:hint="eastAsia"/>
          <w:spacing w:val="3"/>
          <w:sz w:val="32"/>
          <w:szCs w:val="32"/>
          <w:lang w:eastAsia="zh-CN"/>
        </w:rPr>
        <w:t>陕西省</w:t>
      </w:r>
      <w:r>
        <w:rPr>
          <w:spacing w:val="3"/>
          <w:sz w:val="32"/>
          <w:szCs w:val="32"/>
        </w:rPr>
        <w:t>特种设备检测科学研究院牵头，</w:t>
      </w:r>
      <w:r>
        <w:rPr>
          <w:spacing w:val="12"/>
          <w:sz w:val="32"/>
          <w:szCs w:val="32"/>
        </w:rPr>
        <w:t>联合</w:t>
      </w:r>
      <w:r>
        <w:rPr>
          <w:rFonts w:hint="eastAsia"/>
          <w:spacing w:val="12"/>
          <w:sz w:val="32"/>
          <w:szCs w:val="32"/>
          <w:lang w:val="en-US" w:eastAsia="zh-CN"/>
        </w:rPr>
        <w:t>标准参编单位</w:t>
      </w:r>
      <w:r>
        <w:rPr>
          <w:spacing w:val="12"/>
          <w:sz w:val="32"/>
          <w:szCs w:val="32"/>
        </w:rPr>
        <w:t>组成</w:t>
      </w:r>
      <w:r>
        <w:rPr>
          <w:rFonts w:hint="eastAsia"/>
          <w:spacing w:val="12"/>
          <w:sz w:val="32"/>
          <w:szCs w:val="32"/>
          <w:lang w:eastAsia="zh-CN"/>
        </w:rPr>
        <w:t>标准起草工作组</w:t>
      </w:r>
      <w:r>
        <w:rPr>
          <w:spacing w:val="12"/>
          <w:sz w:val="32"/>
          <w:szCs w:val="32"/>
        </w:rPr>
        <w:t>，初步讨论明确标准制定方向，明确责任分工。</w:t>
      </w:r>
      <w:r>
        <w:rPr>
          <w:rFonts w:hint="eastAsia"/>
          <w:spacing w:val="12"/>
          <w:sz w:val="32"/>
          <w:szCs w:val="32"/>
          <w:lang w:eastAsia="zh-CN"/>
        </w:rPr>
        <w:t>标准起草工作组</w:t>
      </w:r>
      <w:r>
        <w:rPr>
          <w:spacing w:val="12"/>
          <w:sz w:val="32"/>
          <w:szCs w:val="32"/>
        </w:rPr>
        <w:t>搜集相关资料，在</w:t>
      </w:r>
      <w:r>
        <w:rPr>
          <w:rFonts w:hint="eastAsia"/>
          <w:spacing w:val="12"/>
          <w:sz w:val="32"/>
          <w:szCs w:val="32"/>
          <w:lang w:val="en-US" w:eastAsia="zh-CN"/>
        </w:rPr>
        <w:t>陕西省市场监督管理局特种设备安全监察局的</w:t>
      </w:r>
      <w:r>
        <w:rPr>
          <w:spacing w:val="12"/>
          <w:sz w:val="32"/>
          <w:szCs w:val="32"/>
        </w:rPr>
        <w:t>指导下，根据</w:t>
      </w:r>
      <w:r>
        <w:rPr>
          <w:rFonts w:hint="eastAsia"/>
          <w:spacing w:val="12"/>
          <w:sz w:val="32"/>
          <w:szCs w:val="32"/>
          <w:lang w:eastAsia="zh-CN"/>
        </w:rPr>
        <w:t>客运索道作业人员考核管理规范工作</w:t>
      </w:r>
      <w:r>
        <w:rPr>
          <w:spacing w:val="12"/>
          <w:sz w:val="32"/>
          <w:szCs w:val="32"/>
        </w:rPr>
        <w:t>现状，形成标准草案和立项</w:t>
      </w:r>
      <w:r>
        <w:rPr>
          <w:rFonts w:hint="eastAsia"/>
          <w:spacing w:val="12"/>
          <w:sz w:val="32"/>
          <w:szCs w:val="32"/>
          <w:lang w:val="en-US" w:eastAsia="zh-CN"/>
        </w:rPr>
        <w:t>申请书</w:t>
      </w:r>
      <w:r>
        <w:rPr>
          <w:spacing w:val="-7"/>
          <w:sz w:val="32"/>
          <w:szCs w:val="32"/>
        </w:rPr>
        <w:t>。</w:t>
      </w:r>
    </w:p>
    <w:p w14:paraId="1FAD2BC0">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5" w:firstLineChars="200"/>
        <w:textAlignment w:val="baseline"/>
        <w:outlineLvl w:val="3"/>
        <w:rPr>
          <w:sz w:val="32"/>
          <w:szCs w:val="32"/>
        </w:rPr>
      </w:pPr>
      <w:r>
        <w:rPr>
          <w:b/>
          <w:bCs/>
          <w:spacing w:val="3"/>
          <w:sz w:val="32"/>
          <w:szCs w:val="32"/>
        </w:rPr>
        <w:t>2.标准立项</w:t>
      </w:r>
    </w:p>
    <w:p w14:paraId="1893BA5F">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28" w:firstLineChars="200"/>
        <w:textAlignment w:val="baseline"/>
        <w:rPr>
          <w:sz w:val="32"/>
          <w:szCs w:val="32"/>
        </w:rPr>
      </w:pPr>
      <w:r>
        <w:rPr>
          <w:spacing w:val="-3"/>
          <w:sz w:val="32"/>
          <w:szCs w:val="32"/>
        </w:rPr>
        <w:t>2023年</w:t>
      </w:r>
      <w:r>
        <w:rPr>
          <w:rFonts w:hint="eastAsia"/>
          <w:spacing w:val="-3"/>
          <w:sz w:val="32"/>
          <w:szCs w:val="32"/>
          <w:lang w:val="en-US" w:eastAsia="zh-CN"/>
        </w:rPr>
        <w:t>4</w:t>
      </w:r>
      <w:r>
        <w:rPr>
          <w:spacing w:val="-3"/>
          <w:sz w:val="32"/>
          <w:szCs w:val="32"/>
        </w:rPr>
        <w:t>月</w:t>
      </w:r>
      <w:r>
        <w:rPr>
          <w:rFonts w:hint="eastAsia"/>
          <w:spacing w:val="-3"/>
          <w:sz w:val="32"/>
          <w:szCs w:val="32"/>
          <w:lang w:val="en-US" w:eastAsia="zh-CN"/>
        </w:rPr>
        <w:t>26</w:t>
      </w:r>
      <w:r>
        <w:rPr>
          <w:spacing w:val="-3"/>
          <w:sz w:val="32"/>
          <w:szCs w:val="32"/>
        </w:rPr>
        <w:t>日，</w:t>
      </w:r>
      <w:r>
        <w:rPr>
          <w:rFonts w:hint="eastAsia"/>
          <w:spacing w:val="-3"/>
          <w:sz w:val="32"/>
          <w:szCs w:val="32"/>
          <w:lang w:val="en-US" w:eastAsia="zh-CN"/>
        </w:rPr>
        <w:t>由陕西省市场监督管理局组织，</w:t>
      </w:r>
      <w:r>
        <w:rPr>
          <w:spacing w:val="-3"/>
          <w:sz w:val="32"/>
          <w:szCs w:val="32"/>
        </w:rPr>
        <w:t>在</w:t>
      </w:r>
      <w:r>
        <w:rPr>
          <w:rFonts w:hint="eastAsia"/>
          <w:spacing w:val="-3"/>
          <w:sz w:val="32"/>
          <w:szCs w:val="32"/>
          <w:lang w:val="en-US" w:eastAsia="zh-CN"/>
        </w:rPr>
        <w:t>西安市</w:t>
      </w:r>
      <w:r>
        <w:rPr>
          <w:spacing w:val="-3"/>
          <w:sz w:val="32"/>
          <w:szCs w:val="32"/>
        </w:rPr>
        <w:t>召开了标准</w:t>
      </w:r>
      <w:r>
        <w:rPr>
          <w:spacing w:val="-4"/>
          <w:sz w:val="32"/>
          <w:szCs w:val="32"/>
        </w:rPr>
        <w:t>立项论证会，与会</w:t>
      </w:r>
      <w:r>
        <w:rPr>
          <w:spacing w:val="12"/>
          <w:sz w:val="32"/>
          <w:szCs w:val="32"/>
        </w:rPr>
        <w:t>专家听取了</w:t>
      </w:r>
      <w:r>
        <w:rPr>
          <w:rFonts w:hint="eastAsia"/>
          <w:spacing w:val="12"/>
          <w:sz w:val="32"/>
          <w:szCs w:val="32"/>
          <w:lang w:eastAsia="zh-CN"/>
        </w:rPr>
        <w:t>标准起草工作组</w:t>
      </w:r>
      <w:r>
        <w:rPr>
          <w:rFonts w:hint="eastAsia"/>
          <w:spacing w:val="12"/>
          <w:sz w:val="32"/>
          <w:szCs w:val="32"/>
          <w:lang w:val="en-US" w:eastAsia="zh-CN"/>
        </w:rPr>
        <w:t>的</w:t>
      </w:r>
      <w:r>
        <w:rPr>
          <w:spacing w:val="12"/>
          <w:sz w:val="32"/>
          <w:szCs w:val="32"/>
        </w:rPr>
        <w:t>介绍，对制定标准的必要性、可行性、协调性、预期效益等方面予以充分肯定同</w:t>
      </w:r>
      <w:r>
        <w:rPr>
          <w:spacing w:val="4"/>
          <w:sz w:val="32"/>
          <w:szCs w:val="32"/>
        </w:rPr>
        <w:t>意立项</w:t>
      </w:r>
      <w:r>
        <w:rPr>
          <w:rFonts w:hint="eastAsia"/>
          <w:spacing w:val="4"/>
          <w:sz w:val="32"/>
          <w:szCs w:val="32"/>
          <w:lang w:eastAsia="zh-CN"/>
        </w:rPr>
        <w:t>。</w:t>
      </w:r>
      <w:r>
        <w:rPr>
          <w:rFonts w:hint="eastAsia"/>
          <w:spacing w:val="4"/>
          <w:sz w:val="32"/>
          <w:szCs w:val="32"/>
          <w:lang w:val="en-US" w:eastAsia="zh-CN"/>
        </w:rPr>
        <w:t>2023年5</w:t>
      </w:r>
      <w:r>
        <w:rPr>
          <w:spacing w:val="4"/>
          <w:sz w:val="32"/>
          <w:szCs w:val="32"/>
        </w:rPr>
        <w:t>月</w:t>
      </w:r>
      <w:r>
        <w:rPr>
          <w:rFonts w:hint="eastAsia"/>
          <w:spacing w:val="4"/>
          <w:sz w:val="32"/>
          <w:szCs w:val="32"/>
          <w:lang w:val="en-US" w:eastAsia="zh-CN"/>
        </w:rPr>
        <w:t>10</w:t>
      </w:r>
      <w:r>
        <w:rPr>
          <w:spacing w:val="4"/>
          <w:sz w:val="32"/>
          <w:szCs w:val="32"/>
        </w:rPr>
        <w:t>日，</w:t>
      </w:r>
      <w:r>
        <w:rPr>
          <w:rFonts w:hint="eastAsia"/>
          <w:spacing w:val="4"/>
          <w:sz w:val="32"/>
          <w:szCs w:val="32"/>
          <w:lang w:eastAsia="zh-CN"/>
        </w:rPr>
        <w:t>陕西省</w:t>
      </w:r>
      <w:r>
        <w:rPr>
          <w:spacing w:val="4"/>
          <w:sz w:val="32"/>
          <w:szCs w:val="32"/>
        </w:rPr>
        <w:t>市场监督管理局下达立项计划，</w:t>
      </w:r>
      <w:r>
        <w:rPr>
          <w:spacing w:val="3"/>
          <w:sz w:val="32"/>
          <w:szCs w:val="32"/>
        </w:rPr>
        <w:t>标准成</w:t>
      </w:r>
      <w:r>
        <w:rPr>
          <w:sz w:val="32"/>
          <w:szCs w:val="32"/>
        </w:rPr>
        <w:t>功立项。</w:t>
      </w:r>
    </w:p>
    <w:p w14:paraId="7CF8307F">
      <w:pPr>
        <w:keepNext w:val="0"/>
        <w:keepLines w:val="0"/>
        <w:pageBreakBefore w:val="0"/>
        <w:widowControl/>
        <w:kinsoku w:val="0"/>
        <w:wordWrap/>
        <w:overflowPunct/>
        <w:topLinePunct w:val="0"/>
        <w:autoSpaceDE w:val="0"/>
        <w:autoSpaceDN w:val="0"/>
        <w:bidi w:val="0"/>
        <w:adjustRightInd/>
        <w:snapToGrid/>
        <w:spacing w:line="560" w:lineRule="exact"/>
        <w:ind w:left="0" w:right="0" w:firstLine="655" w:firstLineChars="200"/>
        <w:textAlignment w:val="baseline"/>
        <w:outlineLvl w:val="2"/>
        <w:rPr>
          <w:rFonts w:hint="default" w:ascii="楷体" w:hAnsi="楷体" w:eastAsia="楷体" w:cs="楷体"/>
          <w:sz w:val="32"/>
          <w:szCs w:val="32"/>
          <w:lang w:val="en-US" w:eastAsia="zh-CN"/>
        </w:rPr>
      </w:pPr>
      <w:r>
        <w:rPr>
          <w:rFonts w:ascii="楷体" w:hAnsi="楷体" w:eastAsia="楷体" w:cs="楷体"/>
          <w:b/>
          <w:bCs/>
          <w:spacing w:val="3"/>
          <w:sz w:val="32"/>
          <w:szCs w:val="32"/>
        </w:rPr>
        <w:t>（</w:t>
      </w:r>
      <w:r>
        <w:rPr>
          <w:rFonts w:hint="eastAsia" w:ascii="楷体" w:hAnsi="楷体" w:eastAsia="楷体" w:cs="楷体"/>
          <w:b/>
          <w:bCs/>
          <w:spacing w:val="3"/>
          <w:sz w:val="32"/>
          <w:szCs w:val="32"/>
          <w:lang w:val="en-US" w:eastAsia="zh-CN"/>
        </w:rPr>
        <w:t>五</w:t>
      </w:r>
      <w:r>
        <w:rPr>
          <w:rFonts w:ascii="楷体" w:hAnsi="楷体" w:eastAsia="楷体" w:cs="楷体"/>
          <w:b/>
          <w:bCs/>
          <w:spacing w:val="3"/>
          <w:sz w:val="32"/>
          <w:szCs w:val="32"/>
        </w:rPr>
        <w:t>）</w:t>
      </w:r>
      <w:r>
        <w:rPr>
          <w:rFonts w:hint="eastAsia" w:ascii="楷体" w:hAnsi="楷体" w:eastAsia="楷体" w:cs="楷体"/>
          <w:b/>
          <w:bCs/>
          <w:spacing w:val="3"/>
          <w:sz w:val="32"/>
          <w:szCs w:val="32"/>
          <w:lang w:val="en-US" w:eastAsia="zh-CN"/>
        </w:rPr>
        <w:t>标注起草工作组成员及任务分工</w:t>
      </w:r>
    </w:p>
    <w:p w14:paraId="0F7051EC">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rFonts w:hint="eastAsia"/>
          <w:spacing w:val="4"/>
          <w:sz w:val="32"/>
          <w:szCs w:val="32"/>
          <w:lang w:val="en-US" w:eastAsia="zh-CN"/>
        </w:rPr>
      </w:pPr>
      <w:r>
        <w:rPr>
          <w:rFonts w:hint="eastAsia"/>
          <w:spacing w:val="4"/>
          <w:sz w:val="32"/>
          <w:szCs w:val="32"/>
          <w:lang w:val="en-US" w:eastAsia="zh-CN"/>
        </w:rPr>
        <w:t>标准起草组成员及分工（略）。</w:t>
      </w:r>
    </w:p>
    <w:p w14:paraId="066A3DAD">
      <w:pPr>
        <w:keepNext w:val="0"/>
        <w:keepLines w:val="0"/>
        <w:pageBreakBefore w:val="0"/>
        <w:widowControl/>
        <w:kinsoku w:val="0"/>
        <w:wordWrap/>
        <w:overflowPunct/>
        <w:topLinePunct w:val="0"/>
        <w:autoSpaceDE w:val="0"/>
        <w:autoSpaceDN w:val="0"/>
        <w:bidi w:val="0"/>
        <w:adjustRightInd/>
        <w:snapToGrid/>
        <w:spacing w:line="560" w:lineRule="exact"/>
        <w:ind w:right="0"/>
        <w:textAlignment w:val="baseline"/>
        <w:rPr>
          <w:rFonts w:ascii="黑体" w:hAnsi="黑体" w:eastAsia="黑体" w:cs="黑体"/>
          <w:sz w:val="32"/>
          <w:szCs w:val="32"/>
        </w:rPr>
      </w:pPr>
      <w:r>
        <w:rPr>
          <w:rFonts w:hint="eastAsia" w:ascii="黑体" w:hAnsi="黑体" w:eastAsia="黑体" w:cs="黑体"/>
          <w:spacing w:val="8"/>
          <w:sz w:val="32"/>
          <w:szCs w:val="32"/>
          <w:lang w:val="en-US" w:eastAsia="zh-CN"/>
        </w:rPr>
        <w:t>二</w:t>
      </w:r>
      <w:r>
        <w:rPr>
          <w:rFonts w:ascii="黑体" w:hAnsi="黑体" w:eastAsia="黑体" w:cs="黑体"/>
          <w:spacing w:val="8"/>
          <w:sz w:val="32"/>
          <w:szCs w:val="32"/>
        </w:rPr>
        <w:t>、标准编制原则和标准主要内容</w:t>
      </w:r>
    </w:p>
    <w:p w14:paraId="74F09EB0">
      <w:pPr>
        <w:keepNext w:val="0"/>
        <w:keepLines w:val="0"/>
        <w:pageBreakBefore w:val="0"/>
        <w:widowControl/>
        <w:kinsoku w:val="0"/>
        <w:wordWrap/>
        <w:overflowPunct/>
        <w:topLinePunct w:val="0"/>
        <w:autoSpaceDE w:val="0"/>
        <w:autoSpaceDN w:val="0"/>
        <w:bidi w:val="0"/>
        <w:adjustRightInd/>
        <w:snapToGrid/>
        <w:spacing w:line="560" w:lineRule="exact"/>
        <w:ind w:left="0" w:right="0" w:firstLine="655" w:firstLineChars="200"/>
        <w:textAlignment w:val="baseline"/>
        <w:outlineLvl w:val="2"/>
        <w:rPr>
          <w:rFonts w:ascii="楷体" w:hAnsi="楷体" w:eastAsia="楷体" w:cs="楷体"/>
          <w:sz w:val="32"/>
          <w:szCs w:val="32"/>
        </w:rPr>
      </w:pPr>
      <w:r>
        <w:rPr>
          <w:rFonts w:ascii="楷体" w:hAnsi="楷体" w:eastAsia="楷体" w:cs="楷体"/>
          <w:b/>
          <w:bCs/>
          <w:spacing w:val="3"/>
          <w:sz w:val="32"/>
          <w:szCs w:val="32"/>
        </w:rPr>
        <w:t>（一）标准编制原则</w:t>
      </w:r>
    </w:p>
    <w:p w14:paraId="440023F9">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0" w:firstLineChars="200"/>
        <w:jc w:val="both"/>
        <w:textAlignment w:val="baseline"/>
        <w:rPr>
          <w:sz w:val="32"/>
          <w:szCs w:val="32"/>
        </w:rPr>
      </w:pPr>
      <w:r>
        <w:rPr>
          <w:spacing w:val="5"/>
          <w:sz w:val="32"/>
          <w:szCs w:val="32"/>
        </w:rPr>
        <w:t>根据</w:t>
      </w:r>
      <w:r>
        <w:rPr>
          <w:sz w:val="32"/>
          <w:szCs w:val="32"/>
        </w:rPr>
        <w:t>GB</w:t>
      </w:r>
      <w:r>
        <w:rPr>
          <w:spacing w:val="5"/>
          <w:sz w:val="32"/>
          <w:szCs w:val="32"/>
        </w:rPr>
        <w:t>/T1.1—2020《标准化工作导则第1部分：标准的</w:t>
      </w:r>
      <w:r>
        <w:rPr>
          <w:spacing w:val="12"/>
          <w:sz w:val="32"/>
          <w:szCs w:val="32"/>
        </w:rPr>
        <w:t>结构和编写原则》的规定，本标准编制严格遵循统一性、科学</w:t>
      </w:r>
      <w:r>
        <w:rPr>
          <w:spacing w:val="5"/>
          <w:sz w:val="32"/>
          <w:szCs w:val="32"/>
        </w:rPr>
        <w:t>性、实用性原则：</w:t>
      </w:r>
    </w:p>
    <w:p w14:paraId="78ECF9D1">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5" w:firstLineChars="200"/>
        <w:jc w:val="both"/>
        <w:textAlignment w:val="baseline"/>
        <w:rPr>
          <w:sz w:val="32"/>
          <w:szCs w:val="32"/>
        </w:rPr>
      </w:pPr>
      <w:r>
        <w:rPr>
          <w:b/>
          <w:bCs/>
          <w:spacing w:val="3"/>
          <w:sz w:val="32"/>
          <w:szCs w:val="32"/>
        </w:rPr>
        <w:t>1.统一性原则。</w:t>
      </w:r>
      <w:r>
        <w:rPr>
          <w:spacing w:val="3"/>
          <w:sz w:val="32"/>
          <w:szCs w:val="32"/>
        </w:rPr>
        <w:t>本标准文本编制结构统一</w:t>
      </w:r>
      <w:r>
        <w:rPr>
          <w:spacing w:val="2"/>
          <w:sz w:val="32"/>
          <w:szCs w:val="32"/>
        </w:rPr>
        <w:t>，即标准中的章、</w:t>
      </w:r>
      <w:r>
        <w:rPr>
          <w:spacing w:val="14"/>
          <w:sz w:val="32"/>
          <w:szCs w:val="32"/>
        </w:rPr>
        <w:t>条、段等层次的排列结构统一；文体统一，即</w:t>
      </w:r>
      <w:r>
        <w:rPr>
          <w:spacing w:val="13"/>
          <w:sz w:val="32"/>
          <w:szCs w:val="32"/>
        </w:rPr>
        <w:t>标准中的术语、</w:t>
      </w:r>
      <w:r>
        <w:rPr>
          <w:spacing w:val="7"/>
          <w:sz w:val="32"/>
          <w:szCs w:val="32"/>
        </w:rPr>
        <w:t>图、</w:t>
      </w:r>
      <w:r>
        <w:rPr>
          <w:rFonts w:hint="eastAsia"/>
          <w:spacing w:val="7"/>
          <w:sz w:val="32"/>
          <w:szCs w:val="32"/>
          <w:lang w:val="en-US" w:eastAsia="zh-CN"/>
        </w:rPr>
        <w:t>表、</w:t>
      </w:r>
      <w:r>
        <w:rPr>
          <w:spacing w:val="7"/>
          <w:sz w:val="32"/>
          <w:szCs w:val="32"/>
        </w:rPr>
        <w:t>符号等要素的编写表述统一。</w:t>
      </w:r>
    </w:p>
    <w:p w14:paraId="797BCDB4">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87" w:firstLineChars="200"/>
        <w:textAlignment w:val="baseline"/>
        <w:rPr>
          <w:sz w:val="32"/>
          <w:szCs w:val="32"/>
        </w:rPr>
      </w:pPr>
      <w:r>
        <w:rPr>
          <w:b/>
          <w:bCs/>
          <w:spacing w:val="11"/>
          <w:sz w:val="32"/>
          <w:szCs w:val="32"/>
        </w:rPr>
        <w:t>2.科学性原则。</w:t>
      </w:r>
      <w:r>
        <w:rPr>
          <w:spacing w:val="11"/>
          <w:sz w:val="32"/>
          <w:szCs w:val="32"/>
        </w:rPr>
        <w:t>运用标准化原理和方法，根据电梯</w:t>
      </w:r>
      <w:r>
        <w:rPr>
          <w:rFonts w:hint="eastAsia"/>
          <w:spacing w:val="11"/>
          <w:sz w:val="32"/>
          <w:szCs w:val="32"/>
          <w:lang w:val="en-US" w:eastAsia="zh-CN"/>
        </w:rPr>
        <w:t>使用标志和标识</w:t>
      </w:r>
      <w:r>
        <w:rPr>
          <w:spacing w:val="8"/>
          <w:sz w:val="32"/>
          <w:szCs w:val="32"/>
        </w:rPr>
        <w:t>管理所涉及的方面，确定标准整体框架及主要技术内容。</w:t>
      </w:r>
    </w:p>
    <w:p w14:paraId="39D86C19">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87" w:firstLineChars="200"/>
        <w:textAlignment w:val="baseline"/>
        <w:rPr>
          <w:sz w:val="32"/>
          <w:szCs w:val="32"/>
        </w:rPr>
      </w:pPr>
      <w:r>
        <w:rPr>
          <w:b/>
          <w:bCs/>
          <w:spacing w:val="11"/>
          <w:sz w:val="32"/>
          <w:szCs w:val="32"/>
        </w:rPr>
        <w:t>3.实用性原则。</w:t>
      </w:r>
      <w:r>
        <w:rPr>
          <w:spacing w:val="11"/>
          <w:sz w:val="32"/>
          <w:szCs w:val="32"/>
        </w:rPr>
        <w:t>本标准紧密围绕</w:t>
      </w:r>
      <w:r>
        <w:rPr>
          <w:rFonts w:hint="eastAsia"/>
          <w:spacing w:val="-1"/>
          <w:sz w:val="32"/>
          <w:szCs w:val="32"/>
          <w:lang w:eastAsia="zh-CN"/>
        </w:rPr>
        <w:t>客运索道作业人员考核管理</w:t>
      </w:r>
      <w:r>
        <w:rPr>
          <w:spacing w:val="11"/>
          <w:sz w:val="32"/>
          <w:szCs w:val="32"/>
        </w:rPr>
        <w:t>相关</w:t>
      </w:r>
      <w:r>
        <w:rPr>
          <w:spacing w:val="12"/>
          <w:sz w:val="32"/>
          <w:szCs w:val="32"/>
        </w:rPr>
        <w:t>要求，考虑了</w:t>
      </w:r>
      <w:r>
        <w:rPr>
          <w:rFonts w:hint="eastAsia"/>
          <w:spacing w:val="12"/>
          <w:sz w:val="32"/>
          <w:szCs w:val="32"/>
          <w:lang w:val="en-US" w:eastAsia="zh-CN"/>
        </w:rPr>
        <w:t>实操和理论考试的</w:t>
      </w:r>
      <w:r>
        <w:rPr>
          <w:spacing w:val="12"/>
          <w:sz w:val="32"/>
          <w:szCs w:val="32"/>
        </w:rPr>
        <w:t>具体内容，考虑了国家法律法规、行业政策及现有国内外标准的要求；通过制定本标准，完善</w:t>
      </w:r>
      <w:r>
        <w:rPr>
          <w:rFonts w:hint="eastAsia"/>
          <w:spacing w:val="12"/>
          <w:sz w:val="32"/>
          <w:szCs w:val="32"/>
          <w:lang w:eastAsia="zh-CN"/>
        </w:rPr>
        <w:t>陕西省</w:t>
      </w:r>
      <w:r>
        <w:rPr>
          <w:rFonts w:hint="eastAsia"/>
          <w:spacing w:val="12"/>
          <w:sz w:val="32"/>
          <w:szCs w:val="32"/>
        </w:rPr>
        <w:t>客运索道作业人员考核</w:t>
      </w:r>
      <w:r>
        <w:rPr>
          <w:sz w:val="32"/>
          <w:szCs w:val="32"/>
        </w:rPr>
        <w:t>管理。</w:t>
      </w:r>
    </w:p>
    <w:p w14:paraId="0FBD9E55">
      <w:pPr>
        <w:keepNext w:val="0"/>
        <w:keepLines w:val="0"/>
        <w:pageBreakBefore w:val="0"/>
        <w:widowControl/>
        <w:kinsoku w:val="0"/>
        <w:wordWrap/>
        <w:overflowPunct/>
        <w:topLinePunct w:val="0"/>
        <w:autoSpaceDE w:val="0"/>
        <w:autoSpaceDN w:val="0"/>
        <w:bidi w:val="0"/>
        <w:adjustRightInd/>
        <w:snapToGrid/>
        <w:spacing w:line="560" w:lineRule="exact"/>
        <w:ind w:left="0" w:right="0" w:firstLine="655" w:firstLineChars="200"/>
        <w:textAlignment w:val="baseline"/>
        <w:outlineLvl w:val="2"/>
        <w:rPr>
          <w:rFonts w:ascii="楷体" w:hAnsi="楷体" w:eastAsia="楷体" w:cs="楷体"/>
          <w:sz w:val="32"/>
          <w:szCs w:val="32"/>
        </w:rPr>
      </w:pPr>
      <w:r>
        <w:rPr>
          <w:rFonts w:ascii="楷体" w:hAnsi="楷体" w:eastAsia="楷体" w:cs="楷体"/>
          <w:b/>
          <w:bCs/>
          <w:spacing w:val="3"/>
          <w:sz w:val="32"/>
          <w:szCs w:val="32"/>
        </w:rPr>
        <w:t>（二）标准编制依据</w:t>
      </w:r>
    </w:p>
    <w:p w14:paraId="16D602DB">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39" w:firstLineChars="200"/>
        <w:jc w:val="both"/>
        <w:textAlignment w:val="baseline"/>
        <w:rPr>
          <w:spacing w:val="5"/>
          <w:sz w:val="32"/>
          <w:szCs w:val="32"/>
        </w:rPr>
      </w:pPr>
      <w:r>
        <w:rPr>
          <w:b/>
          <w:bCs/>
          <w:spacing w:val="-1"/>
          <w:sz w:val="32"/>
          <w:szCs w:val="32"/>
        </w:rPr>
        <w:t>政策及文件依据：</w:t>
      </w:r>
      <w:r>
        <w:rPr>
          <w:spacing w:val="-1"/>
          <w:sz w:val="32"/>
          <w:szCs w:val="32"/>
        </w:rPr>
        <w:t>《</w:t>
      </w:r>
      <w:r>
        <w:rPr>
          <w:rFonts w:hint="eastAsia"/>
          <w:spacing w:val="-1"/>
          <w:sz w:val="32"/>
          <w:szCs w:val="32"/>
          <w:lang w:eastAsia="zh-CN"/>
        </w:rPr>
        <w:t>客运索道作业人员考核管理规范工作</w:t>
      </w:r>
      <w:r>
        <w:rPr>
          <w:spacing w:val="-1"/>
          <w:sz w:val="32"/>
          <w:szCs w:val="32"/>
        </w:rPr>
        <w:t>》内容符合《</w:t>
      </w:r>
      <w:r>
        <w:rPr>
          <w:rFonts w:hint="eastAsia"/>
          <w:spacing w:val="-1"/>
          <w:sz w:val="32"/>
          <w:szCs w:val="32"/>
        </w:rPr>
        <w:t>特种设备作业人员考试机构管理要求（试行）》（市监特设发〔2022〕91号）</w:t>
      </w:r>
      <w:r>
        <w:rPr>
          <w:spacing w:val="-8"/>
          <w:sz w:val="32"/>
          <w:szCs w:val="32"/>
        </w:rPr>
        <w:t>）、《</w:t>
      </w:r>
      <w:r>
        <w:rPr>
          <w:rFonts w:hint="eastAsia"/>
          <w:spacing w:val="-8"/>
          <w:sz w:val="32"/>
          <w:szCs w:val="32"/>
        </w:rPr>
        <w:t>客运索道安全监督管理规定</w:t>
      </w:r>
      <w:r>
        <w:rPr>
          <w:spacing w:val="-6"/>
          <w:sz w:val="32"/>
          <w:szCs w:val="32"/>
        </w:rPr>
        <w:t>》</w:t>
      </w:r>
      <w:r>
        <w:rPr>
          <w:spacing w:val="8"/>
          <w:sz w:val="32"/>
          <w:szCs w:val="32"/>
        </w:rPr>
        <w:t>等法律法规及政策文件要求，符合</w:t>
      </w:r>
      <w:r>
        <w:rPr>
          <w:rFonts w:hint="eastAsia"/>
          <w:spacing w:val="12"/>
          <w:sz w:val="32"/>
          <w:szCs w:val="32"/>
          <w:lang w:eastAsia="zh-CN"/>
        </w:rPr>
        <w:t>《特种设备</w:t>
      </w:r>
      <w:r>
        <w:rPr>
          <w:rFonts w:hint="eastAsia"/>
          <w:spacing w:val="12"/>
          <w:sz w:val="32"/>
          <w:szCs w:val="32"/>
          <w:lang w:val="en-US" w:eastAsia="zh-CN"/>
        </w:rPr>
        <w:t>使用</w:t>
      </w:r>
      <w:r>
        <w:rPr>
          <w:rFonts w:hint="eastAsia"/>
          <w:spacing w:val="12"/>
          <w:sz w:val="32"/>
          <w:szCs w:val="32"/>
          <w:lang w:eastAsia="zh-CN"/>
        </w:rPr>
        <w:t>单位落实质量安全主体责任监督管理规定》</w:t>
      </w:r>
      <w:r>
        <w:rPr>
          <w:spacing w:val="12"/>
          <w:sz w:val="32"/>
          <w:szCs w:val="32"/>
        </w:rPr>
        <w:t>等相关政策文件对于电梯</w:t>
      </w:r>
      <w:r>
        <w:rPr>
          <w:rFonts w:hint="eastAsia"/>
          <w:spacing w:val="12"/>
          <w:sz w:val="32"/>
          <w:szCs w:val="32"/>
          <w:lang w:eastAsia="zh-CN"/>
        </w:rPr>
        <w:t>使用标志和标识</w:t>
      </w:r>
      <w:r>
        <w:rPr>
          <w:spacing w:val="12"/>
          <w:sz w:val="32"/>
          <w:szCs w:val="32"/>
        </w:rPr>
        <w:t>管理的要求；本标准的</w:t>
      </w:r>
      <w:r>
        <w:rPr>
          <w:spacing w:val="6"/>
          <w:sz w:val="32"/>
          <w:szCs w:val="32"/>
        </w:rPr>
        <w:t>编写格式，符合</w:t>
      </w:r>
      <w:r>
        <w:rPr>
          <w:sz w:val="32"/>
          <w:szCs w:val="32"/>
        </w:rPr>
        <w:t>GB</w:t>
      </w:r>
      <w:r>
        <w:rPr>
          <w:spacing w:val="6"/>
          <w:sz w:val="32"/>
          <w:szCs w:val="32"/>
        </w:rPr>
        <w:t>/T1.1-2020《标准化工作导则</w:t>
      </w:r>
      <w:r>
        <w:rPr>
          <w:spacing w:val="5"/>
          <w:sz w:val="32"/>
          <w:szCs w:val="32"/>
        </w:rPr>
        <w:t>第1部分标准的结构和编写》。</w:t>
      </w:r>
    </w:p>
    <w:p w14:paraId="6574EA88">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88" w:firstLineChars="200"/>
        <w:textAlignment w:val="baseline"/>
        <w:rPr>
          <w:sz w:val="32"/>
          <w:szCs w:val="32"/>
        </w:rPr>
      </w:pPr>
      <w:r>
        <w:rPr>
          <w:spacing w:val="12"/>
          <w:sz w:val="32"/>
          <w:szCs w:val="32"/>
        </w:rPr>
        <w:t>本标准的编制符合相关法律法规及政策文件的要求</w:t>
      </w:r>
      <w:r>
        <w:rPr>
          <w:rFonts w:hint="eastAsia"/>
          <w:spacing w:val="12"/>
          <w:sz w:val="32"/>
          <w:szCs w:val="32"/>
          <w:lang w:eastAsia="zh-CN"/>
        </w:rPr>
        <w:t>，</w:t>
      </w:r>
      <w:r>
        <w:rPr>
          <w:spacing w:val="12"/>
          <w:sz w:val="32"/>
          <w:szCs w:val="32"/>
        </w:rPr>
        <w:t>相关</w:t>
      </w:r>
      <w:r>
        <w:rPr>
          <w:spacing w:val="3"/>
          <w:sz w:val="32"/>
          <w:szCs w:val="32"/>
        </w:rPr>
        <w:t>文件如下：</w:t>
      </w:r>
    </w:p>
    <w:p w14:paraId="62A2E1CD">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rFonts w:hint="default"/>
          <w:spacing w:val="4"/>
          <w:sz w:val="32"/>
          <w:szCs w:val="32"/>
          <w:lang w:val="en-US" w:eastAsia="zh-CN"/>
        </w:rPr>
      </w:pPr>
      <w:r>
        <w:rPr>
          <w:rFonts w:hint="eastAsia"/>
          <w:spacing w:val="4"/>
          <w:sz w:val="32"/>
          <w:szCs w:val="32"/>
          <w:lang w:val="en-US" w:eastAsia="zh-CN"/>
        </w:rPr>
        <w:t>1.符合的法律、法规和安全技术规范</w:t>
      </w:r>
    </w:p>
    <w:p w14:paraId="0FE5E466">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spacing w:val="4"/>
          <w:sz w:val="32"/>
          <w:szCs w:val="32"/>
        </w:rPr>
      </w:pPr>
      <w:r>
        <w:rPr>
          <w:rFonts w:hint="eastAsia"/>
          <w:spacing w:val="4"/>
          <w:sz w:val="32"/>
          <w:szCs w:val="32"/>
          <w:lang w:eastAsia="zh-CN"/>
        </w:rPr>
        <w:t>（</w:t>
      </w:r>
      <w:r>
        <w:rPr>
          <w:rFonts w:hint="eastAsia"/>
          <w:spacing w:val="4"/>
          <w:sz w:val="32"/>
          <w:szCs w:val="32"/>
          <w:lang w:val="en-US" w:eastAsia="zh-CN"/>
        </w:rPr>
        <w:t>1</w:t>
      </w:r>
      <w:r>
        <w:rPr>
          <w:rFonts w:hint="eastAsia"/>
          <w:spacing w:val="4"/>
          <w:sz w:val="32"/>
          <w:szCs w:val="32"/>
          <w:lang w:eastAsia="zh-CN"/>
        </w:rPr>
        <w:t>）</w:t>
      </w:r>
      <w:r>
        <w:rPr>
          <w:spacing w:val="4"/>
          <w:sz w:val="32"/>
          <w:szCs w:val="32"/>
        </w:rPr>
        <w:t>《中华人民共和国特种设备安全法》</w:t>
      </w:r>
    </w:p>
    <w:p w14:paraId="116A54C5">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spacing w:val="6"/>
          <w:sz w:val="32"/>
          <w:szCs w:val="32"/>
        </w:rPr>
      </w:pPr>
      <w:r>
        <w:rPr>
          <w:rFonts w:hint="eastAsia"/>
          <w:spacing w:val="4"/>
          <w:sz w:val="32"/>
          <w:szCs w:val="32"/>
          <w:lang w:eastAsia="zh-CN"/>
        </w:rPr>
        <w:t>（</w:t>
      </w:r>
      <w:r>
        <w:rPr>
          <w:rFonts w:hint="eastAsia"/>
          <w:spacing w:val="4"/>
          <w:sz w:val="32"/>
          <w:szCs w:val="32"/>
          <w:lang w:val="en-US" w:eastAsia="zh-CN"/>
        </w:rPr>
        <w:t>2</w:t>
      </w:r>
      <w:r>
        <w:rPr>
          <w:rFonts w:hint="eastAsia"/>
          <w:spacing w:val="4"/>
          <w:sz w:val="32"/>
          <w:szCs w:val="32"/>
          <w:lang w:eastAsia="zh-CN"/>
        </w:rPr>
        <w:t>）</w:t>
      </w:r>
      <w:r>
        <w:rPr>
          <w:spacing w:val="6"/>
          <w:sz w:val="32"/>
          <w:szCs w:val="32"/>
        </w:rPr>
        <w:t>《特种设备安全监察条例》</w:t>
      </w:r>
    </w:p>
    <w:p w14:paraId="70B8085C">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spacing w:val="6"/>
          <w:sz w:val="32"/>
          <w:szCs w:val="32"/>
        </w:rPr>
      </w:pPr>
      <w:r>
        <w:rPr>
          <w:rFonts w:hint="eastAsia"/>
          <w:spacing w:val="4"/>
          <w:sz w:val="32"/>
          <w:szCs w:val="32"/>
          <w:lang w:eastAsia="zh-CN"/>
        </w:rPr>
        <w:t>（</w:t>
      </w:r>
      <w:r>
        <w:rPr>
          <w:rFonts w:hint="eastAsia"/>
          <w:spacing w:val="4"/>
          <w:sz w:val="32"/>
          <w:szCs w:val="32"/>
          <w:lang w:val="en-US" w:eastAsia="zh-CN"/>
        </w:rPr>
        <w:t>3</w:t>
      </w:r>
      <w:r>
        <w:rPr>
          <w:rFonts w:hint="eastAsia"/>
          <w:spacing w:val="4"/>
          <w:sz w:val="32"/>
          <w:szCs w:val="32"/>
          <w:lang w:eastAsia="zh-CN"/>
        </w:rPr>
        <w:t>）</w:t>
      </w:r>
      <w:r>
        <w:rPr>
          <w:rFonts w:hint="eastAsia"/>
          <w:spacing w:val="6"/>
          <w:sz w:val="32"/>
          <w:szCs w:val="32"/>
        </w:rPr>
        <w:t>《特种设备使用单位落实质量安全主体责任监督管理规定》</w:t>
      </w:r>
    </w:p>
    <w:p w14:paraId="2F43EFB5">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spacing w:val="4"/>
          <w:sz w:val="32"/>
          <w:szCs w:val="32"/>
        </w:rPr>
      </w:pPr>
      <w:r>
        <w:rPr>
          <w:rFonts w:hint="eastAsia"/>
          <w:spacing w:val="4"/>
          <w:sz w:val="32"/>
          <w:szCs w:val="32"/>
          <w:lang w:eastAsia="zh-CN"/>
        </w:rPr>
        <w:t>（</w:t>
      </w:r>
      <w:r>
        <w:rPr>
          <w:rFonts w:hint="eastAsia"/>
          <w:spacing w:val="4"/>
          <w:sz w:val="32"/>
          <w:szCs w:val="32"/>
          <w:lang w:val="en-US" w:eastAsia="zh-CN"/>
        </w:rPr>
        <w:t>4</w:t>
      </w:r>
      <w:r>
        <w:rPr>
          <w:rFonts w:hint="eastAsia"/>
          <w:spacing w:val="4"/>
          <w:sz w:val="32"/>
          <w:szCs w:val="32"/>
          <w:lang w:eastAsia="zh-CN"/>
        </w:rPr>
        <w:t>）</w:t>
      </w:r>
      <w:r>
        <w:rPr>
          <w:spacing w:val="4"/>
          <w:sz w:val="32"/>
          <w:szCs w:val="32"/>
        </w:rPr>
        <w:t>《</w:t>
      </w:r>
      <w:r>
        <w:rPr>
          <w:rFonts w:hint="eastAsia"/>
          <w:spacing w:val="4"/>
          <w:sz w:val="32"/>
          <w:szCs w:val="32"/>
          <w:lang w:eastAsia="zh-CN"/>
        </w:rPr>
        <w:t>客运索道安全监督管理规定</w:t>
      </w:r>
      <w:r>
        <w:rPr>
          <w:spacing w:val="4"/>
          <w:sz w:val="32"/>
          <w:szCs w:val="32"/>
        </w:rPr>
        <w:t>》</w:t>
      </w:r>
    </w:p>
    <w:p w14:paraId="62966F53">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spacing w:val="6"/>
          <w:sz w:val="32"/>
          <w:szCs w:val="32"/>
        </w:rPr>
      </w:pPr>
      <w:r>
        <w:rPr>
          <w:rFonts w:hint="eastAsia"/>
          <w:spacing w:val="4"/>
          <w:sz w:val="32"/>
          <w:szCs w:val="32"/>
          <w:lang w:eastAsia="zh-CN"/>
        </w:rPr>
        <w:t>（</w:t>
      </w:r>
      <w:r>
        <w:rPr>
          <w:rFonts w:hint="eastAsia"/>
          <w:spacing w:val="4"/>
          <w:sz w:val="32"/>
          <w:szCs w:val="32"/>
          <w:lang w:val="en-US" w:eastAsia="zh-CN"/>
        </w:rPr>
        <w:t>5</w:t>
      </w:r>
      <w:r>
        <w:rPr>
          <w:rFonts w:hint="eastAsia"/>
          <w:spacing w:val="4"/>
          <w:sz w:val="32"/>
          <w:szCs w:val="32"/>
          <w:lang w:eastAsia="zh-CN"/>
        </w:rPr>
        <w:t>）</w:t>
      </w:r>
      <w:r>
        <w:rPr>
          <w:spacing w:val="6"/>
          <w:sz w:val="32"/>
          <w:szCs w:val="32"/>
        </w:rPr>
        <w:t>《特种设备使用管理规则》</w:t>
      </w:r>
    </w:p>
    <w:p w14:paraId="2D368F9E">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56" w:firstLineChars="200"/>
        <w:textAlignment w:val="baseline"/>
        <w:rPr>
          <w:spacing w:val="7"/>
          <w:sz w:val="32"/>
          <w:szCs w:val="32"/>
        </w:rPr>
      </w:pPr>
      <w:r>
        <w:rPr>
          <w:rFonts w:hint="eastAsia"/>
          <w:spacing w:val="4"/>
          <w:sz w:val="32"/>
          <w:szCs w:val="32"/>
          <w:lang w:eastAsia="zh-CN"/>
        </w:rPr>
        <w:t>（</w:t>
      </w:r>
      <w:r>
        <w:rPr>
          <w:rFonts w:hint="eastAsia"/>
          <w:spacing w:val="4"/>
          <w:sz w:val="32"/>
          <w:szCs w:val="32"/>
          <w:lang w:val="en-US" w:eastAsia="zh-CN"/>
        </w:rPr>
        <w:t>6</w:t>
      </w:r>
      <w:r>
        <w:rPr>
          <w:rFonts w:hint="eastAsia"/>
          <w:spacing w:val="4"/>
          <w:sz w:val="32"/>
          <w:szCs w:val="32"/>
          <w:lang w:eastAsia="zh-CN"/>
        </w:rPr>
        <w:t>）</w:t>
      </w:r>
      <w:r>
        <w:rPr>
          <w:spacing w:val="7"/>
          <w:sz w:val="32"/>
          <w:szCs w:val="32"/>
        </w:rPr>
        <w:t>《</w:t>
      </w:r>
      <w:r>
        <w:rPr>
          <w:rFonts w:hint="eastAsia"/>
          <w:spacing w:val="7"/>
          <w:sz w:val="32"/>
          <w:szCs w:val="32"/>
        </w:rPr>
        <w:t>特种设备作业人员考核规则</w:t>
      </w:r>
      <w:r>
        <w:rPr>
          <w:spacing w:val="7"/>
          <w:sz w:val="32"/>
          <w:szCs w:val="32"/>
        </w:rPr>
        <w:t>》</w:t>
      </w:r>
    </w:p>
    <w:p w14:paraId="63C17B77">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default" w:eastAsia="仿宋"/>
          <w:spacing w:val="7"/>
          <w:sz w:val="32"/>
          <w:szCs w:val="32"/>
          <w:lang w:val="en-US" w:eastAsia="zh-CN"/>
        </w:rPr>
      </w:pPr>
      <w:r>
        <w:rPr>
          <w:rFonts w:hint="eastAsia"/>
          <w:spacing w:val="7"/>
          <w:sz w:val="32"/>
          <w:szCs w:val="32"/>
          <w:lang w:val="en-US" w:eastAsia="zh-CN"/>
        </w:rPr>
        <w:t>2.参考引用的标准</w:t>
      </w:r>
    </w:p>
    <w:p w14:paraId="676A5F0D">
      <w:pPr>
        <w:pStyle w:val="2"/>
        <w:keepNext w:val="0"/>
        <w:keepLines w:val="0"/>
        <w:pageBreakBefore w:val="0"/>
        <w:widowControl/>
        <w:numPr>
          <w:ilvl w:val="0"/>
          <w:numId w:val="0"/>
        </w:numPr>
        <w:kinsoku w:val="0"/>
        <w:wordWrap/>
        <w:overflowPunct/>
        <w:topLinePunct w:val="0"/>
        <w:autoSpaceDE w:val="0"/>
        <w:autoSpaceDN w:val="0"/>
        <w:bidi w:val="0"/>
        <w:adjustRightInd w:val="0"/>
        <w:snapToGrid/>
        <w:spacing w:line="560" w:lineRule="exact"/>
        <w:ind w:leftChars="0" w:right="0" w:rightChars="0" w:firstLine="640" w:firstLineChars="200"/>
        <w:jc w:val="both"/>
        <w:textAlignment w:val="baseline"/>
        <w:rPr>
          <w:rFonts w:hint="eastAsia"/>
          <w:sz w:val="32"/>
          <w:szCs w:val="32"/>
          <w:lang w:eastAsia="zh-CN"/>
        </w:rPr>
      </w:pPr>
      <w:r>
        <w:rPr>
          <w:rFonts w:hint="eastAsia"/>
          <w:sz w:val="32"/>
          <w:szCs w:val="32"/>
          <w:lang w:eastAsia="zh-CN"/>
        </w:rPr>
        <w:t>（</w:t>
      </w:r>
      <w:r>
        <w:rPr>
          <w:rFonts w:hint="eastAsia"/>
          <w:sz w:val="32"/>
          <w:szCs w:val="32"/>
          <w:lang w:val="en-US" w:eastAsia="zh-CN"/>
        </w:rPr>
        <w:t>1</w:t>
      </w:r>
      <w:r>
        <w:rPr>
          <w:rFonts w:hint="eastAsia"/>
          <w:sz w:val="32"/>
          <w:szCs w:val="32"/>
          <w:lang w:eastAsia="zh-CN"/>
        </w:rPr>
        <w:t>）GB/T 12738 索道 术语</w:t>
      </w:r>
    </w:p>
    <w:p w14:paraId="0FF16F8D">
      <w:pPr>
        <w:pStyle w:val="2"/>
        <w:keepNext w:val="0"/>
        <w:keepLines w:val="0"/>
        <w:pageBreakBefore w:val="0"/>
        <w:widowControl/>
        <w:numPr>
          <w:ilvl w:val="0"/>
          <w:numId w:val="0"/>
        </w:numPr>
        <w:kinsoku w:val="0"/>
        <w:wordWrap/>
        <w:overflowPunct/>
        <w:topLinePunct w:val="0"/>
        <w:autoSpaceDE w:val="0"/>
        <w:autoSpaceDN w:val="0"/>
        <w:bidi w:val="0"/>
        <w:adjustRightInd w:val="0"/>
        <w:snapToGrid/>
        <w:spacing w:line="560" w:lineRule="exact"/>
        <w:ind w:leftChars="0" w:right="0" w:rightChars="0" w:firstLine="640" w:firstLineChars="200"/>
        <w:jc w:val="both"/>
        <w:textAlignment w:val="baseline"/>
        <w:rPr>
          <w:rFonts w:hint="eastAsia"/>
          <w:sz w:val="32"/>
          <w:szCs w:val="32"/>
          <w:lang w:eastAsia="zh-CN"/>
        </w:rPr>
      </w:pPr>
      <w:r>
        <w:rPr>
          <w:rFonts w:hint="eastAsia"/>
          <w:sz w:val="32"/>
          <w:szCs w:val="32"/>
          <w:lang w:eastAsia="zh-CN"/>
        </w:rPr>
        <w:t>（</w:t>
      </w:r>
      <w:r>
        <w:rPr>
          <w:rFonts w:hint="eastAsia"/>
          <w:sz w:val="32"/>
          <w:szCs w:val="32"/>
          <w:lang w:val="en-US" w:eastAsia="zh-CN"/>
        </w:rPr>
        <w:t>2</w:t>
      </w:r>
      <w:r>
        <w:rPr>
          <w:rFonts w:hint="eastAsia"/>
          <w:sz w:val="32"/>
          <w:szCs w:val="32"/>
          <w:lang w:eastAsia="zh-CN"/>
        </w:rPr>
        <w:t>）GB/T 24728 客运索道安全服务质量</w:t>
      </w:r>
    </w:p>
    <w:p w14:paraId="53001B8B">
      <w:pPr>
        <w:pStyle w:val="2"/>
        <w:keepNext w:val="0"/>
        <w:keepLines w:val="0"/>
        <w:pageBreakBefore w:val="0"/>
        <w:widowControl/>
        <w:numPr>
          <w:ilvl w:val="0"/>
          <w:numId w:val="0"/>
        </w:numPr>
        <w:kinsoku w:val="0"/>
        <w:wordWrap/>
        <w:overflowPunct/>
        <w:topLinePunct w:val="0"/>
        <w:autoSpaceDE w:val="0"/>
        <w:autoSpaceDN w:val="0"/>
        <w:bidi w:val="0"/>
        <w:adjustRightInd w:val="0"/>
        <w:snapToGrid/>
        <w:spacing w:line="560" w:lineRule="exact"/>
        <w:ind w:leftChars="0" w:right="0" w:rightChars="0" w:firstLine="640" w:firstLineChars="200"/>
        <w:jc w:val="both"/>
        <w:textAlignment w:val="baseline"/>
        <w:rPr>
          <w:rFonts w:hint="eastAsia"/>
          <w:sz w:val="32"/>
          <w:szCs w:val="32"/>
          <w:lang w:eastAsia="zh-CN"/>
        </w:rPr>
      </w:pPr>
      <w:r>
        <w:rPr>
          <w:rFonts w:hint="eastAsia"/>
          <w:sz w:val="32"/>
          <w:szCs w:val="32"/>
          <w:lang w:eastAsia="zh-CN"/>
        </w:rPr>
        <w:t>（</w:t>
      </w:r>
      <w:r>
        <w:rPr>
          <w:rFonts w:hint="eastAsia"/>
          <w:sz w:val="32"/>
          <w:szCs w:val="32"/>
          <w:lang w:val="en-US" w:eastAsia="zh-CN"/>
        </w:rPr>
        <w:t>3</w:t>
      </w:r>
      <w:r>
        <w:rPr>
          <w:rFonts w:hint="eastAsia"/>
          <w:sz w:val="32"/>
          <w:szCs w:val="32"/>
          <w:lang w:eastAsia="zh-CN"/>
        </w:rPr>
        <w:t>）TSG S7001 客运索道监督检验和定期检验规则</w:t>
      </w:r>
    </w:p>
    <w:p w14:paraId="04E5D138">
      <w:pPr>
        <w:pStyle w:val="2"/>
        <w:keepNext w:val="0"/>
        <w:keepLines w:val="0"/>
        <w:pageBreakBefore w:val="0"/>
        <w:widowControl/>
        <w:numPr>
          <w:ilvl w:val="0"/>
          <w:numId w:val="0"/>
        </w:numPr>
        <w:kinsoku w:val="0"/>
        <w:wordWrap/>
        <w:overflowPunct/>
        <w:topLinePunct w:val="0"/>
        <w:autoSpaceDE w:val="0"/>
        <w:autoSpaceDN w:val="0"/>
        <w:bidi w:val="0"/>
        <w:adjustRightInd w:val="0"/>
        <w:snapToGrid/>
        <w:spacing w:line="560" w:lineRule="exact"/>
        <w:ind w:leftChars="0" w:right="0" w:rightChars="0" w:firstLine="640" w:firstLineChars="200"/>
        <w:jc w:val="both"/>
        <w:textAlignment w:val="baseline"/>
        <w:rPr>
          <w:rFonts w:hint="eastAsia"/>
          <w:sz w:val="32"/>
          <w:szCs w:val="32"/>
          <w:lang w:eastAsia="zh-CN"/>
        </w:rPr>
      </w:pPr>
      <w:r>
        <w:rPr>
          <w:rFonts w:hint="eastAsia"/>
          <w:sz w:val="32"/>
          <w:szCs w:val="32"/>
          <w:lang w:eastAsia="zh-CN"/>
        </w:rPr>
        <w:t>（</w:t>
      </w:r>
      <w:r>
        <w:rPr>
          <w:rFonts w:hint="eastAsia"/>
          <w:sz w:val="32"/>
          <w:szCs w:val="32"/>
          <w:lang w:val="en-US" w:eastAsia="zh-CN"/>
        </w:rPr>
        <w:t>4</w:t>
      </w:r>
      <w:r>
        <w:rPr>
          <w:rFonts w:hint="eastAsia"/>
          <w:sz w:val="32"/>
          <w:szCs w:val="32"/>
          <w:lang w:eastAsia="zh-CN"/>
        </w:rPr>
        <w:t>）TSG Z6001 特种设备作业人员考核规则</w:t>
      </w:r>
    </w:p>
    <w:p w14:paraId="409DDA87">
      <w:pPr>
        <w:pStyle w:val="2"/>
        <w:keepNext w:val="0"/>
        <w:keepLines w:val="0"/>
        <w:pageBreakBefore w:val="0"/>
        <w:widowControl/>
        <w:numPr>
          <w:ilvl w:val="0"/>
          <w:numId w:val="0"/>
        </w:numPr>
        <w:kinsoku w:val="0"/>
        <w:wordWrap/>
        <w:overflowPunct/>
        <w:topLinePunct w:val="0"/>
        <w:autoSpaceDE w:val="0"/>
        <w:autoSpaceDN w:val="0"/>
        <w:bidi w:val="0"/>
        <w:adjustRightInd w:val="0"/>
        <w:snapToGrid/>
        <w:spacing w:line="560" w:lineRule="exact"/>
        <w:ind w:leftChars="0" w:right="0" w:rightChars="0" w:firstLine="640" w:firstLineChars="200"/>
        <w:jc w:val="both"/>
        <w:textAlignment w:val="baseline"/>
        <w:rPr>
          <w:rFonts w:hint="eastAsia"/>
          <w:sz w:val="32"/>
          <w:szCs w:val="32"/>
          <w:lang w:eastAsia="zh-CN"/>
        </w:rPr>
      </w:pPr>
      <w:r>
        <w:rPr>
          <w:rFonts w:hint="eastAsia"/>
          <w:sz w:val="32"/>
          <w:szCs w:val="32"/>
          <w:lang w:eastAsia="zh-CN"/>
        </w:rPr>
        <w:t>（</w:t>
      </w:r>
      <w:r>
        <w:rPr>
          <w:rFonts w:hint="eastAsia"/>
          <w:sz w:val="32"/>
          <w:szCs w:val="32"/>
          <w:lang w:val="en-US" w:eastAsia="zh-CN"/>
        </w:rPr>
        <w:t>5</w:t>
      </w:r>
      <w:r>
        <w:rPr>
          <w:rFonts w:hint="eastAsia"/>
          <w:sz w:val="32"/>
          <w:szCs w:val="32"/>
          <w:lang w:eastAsia="zh-CN"/>
        </w:rPr>
        <w:t>）TSG 08 特种设备使用管理规则</w:t>
      </w:r>
    </w:p>
    <w:p w14:paraId="1267D0A0">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560" w:lineRule="exact"/>
        <w:ind w:leftChars="200" w:right="0" w:rightChars="0"/>
        <w:jc w:val="both"/>
        <w:textAlignment w:val="baseline"/>
        <w:rPr>
          <w:rFonts w:ascii="楷体" w:hAnsi="楷体" w:eastAsia="楷体" w:cs="楷体"/>
          <w:sz w:val="32"/>
          <w:szCs w:val="32"/>
        </w:rPr>
      </w:pPr>
      <w:r>
        <w:rPr>
          <w:rFonts w:ascii="楷体" w:hAnsi="楷体" w:eastAsia="楷体" w:cs="楷体"/>
          <w:b/>
          <w:bCs/>
          <w:spacing w:val="4"/>
          <w:sz w:val="32"/>
          <w:szCs w:val="32"/>
        </w:rPr>
        <w:t>（四）标准主要内容</w:t>
      </w:r>
    </w:p>
    <w:p w14:paraId="399D4114">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eastAsia"/>
          <w:spacing w:val="7"/>
          <w:sz w:val="32"/>
          <w:szCs w:val="32"/>
        </w:rPr>
      </w:pPr>
      <w:r>
        <w:rPr>
          <w:rFonts w:hint="eastAsia"/>
          <w:spacing w:val="7"/>
          <w:sz w:val="32"/>
          <w:szCs w:val="32"/>
        </w:rPr>
        <w:t>以下为针对地方标准条款的编制说明，重点阐述条款制定的技术依据、法规要求和实际考量因素：</w:t>
      </w:r>
    </w:p>
    <w:p w14:paraId="6D6E6D76">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eastAsia" w:eastAsia="仿宋"/>
          <w:spacing w:val="7"/>
          <w:sz w:val="32"/>
          <w:szCs w:val="32"/>
          <w:lang w:eastAsia="zh-CN"/>
        </w:rPr>
      </w:pPr>
      <w:r>
        <w:rPr>
          <w:rFonts w:hint="eastAsia"/>
          <w:spacing w:val="7"/>
          <w:sz w:val="32"/>
          <w:szCs w:val="32"/>
          <w:lang w:val="en-US" w:eastAsia="zh-CN"/>
        </w:rPr>
        <w:t>第</w:t>
      </w:r>
      <w:r>
        <w:rPr>
          <w:rFonts w:hint="eastAsia"/>
          <w:spacing w:val="7"/>
          <w:sz w:val="32"/>
          <w:szCs w:val="32"/>
        </w:rPr>
        <w:t>4.1</w:t>
      </w:r>
      <w:r>
        <w:rPr>
          <w:rFonts w:hint="eastAsia"/>
          <w:spacing w:val="7"/>
          <w:sz w:val="32"/>
          <w:szCs w:val="32"/>
          <w:lang w:val="en-US" w:eastAsia="zh-CN"/>
        </w:rPr>
        <w:t>条</w:t>
      </w:r>
      <w:r>
        <w:rPr>
          <w:rFonts w:hint="eastAsia"/>
          <w:spacing w:val="7"/>
          <w:sz w:val="32"/>
          <w:szCs w:val="32"/>
        </w:rPr>
        <w:t>TSG Z6001《特种设备作业人员考核规则》是国家对特种设备作业人员考核的通用规范。本条明确作业人员资格需符合国家统一要求，避免地方标准与上位规范冲突，同时确保全国范围内资格互认。</w:t>
      </w:r>
    </w:p>
    <w:p w14:paraId="33DCC7B4">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eastAsia" w:eastAsia="仿宋"/>
          <w:spacing w:val="7"/>
          <w:sz w:val="32"/>
          <w:szCs w:val="32"/>
          <w:lang w:eastAsia="zh-CN"/>
        </w:rPr>
      </w:pPr>
      <w:r>
        <w:rPr>
          <w:rFonts w:hint="eastAsia"/>
          <w:spacing w:val="7"/>
          <w:sz w:val="32"/>
          <w:szCs w:val="32"/>
          <w:lang w:val="en-US" w:eastAsia="zh-CN"/>
        </w:rPr>
        <w:t>第</w:t>
      </w:r>
      <w:r>
        <w:rPr>
          <w:rFonts w:hint="eastAsia"/>
          <w:spacing w:val="7"/>
          <w:sz w:val="32"/>
          <w:szCs w:val="32"/>
        </w:rPr>
        <w:t>4.2</w:t>
      </w:r>
      <w:r>
        <w:rPr>
          <w:rFonts w:hint="eastAsia"/>
          <w:spacing w:val="7"/>
          <w:sz w:val="32"/>
          <w:szCs w:val="32"/>
          <w:lang w:val="en-US" w:eastAsia="zh-CN"/>
        </w:rPr>
        <w:t>条</w:t>
      </w:r>
      <w:r>
        <w:rPr>
          <w:rFonts w:hint="eastAsia"/>
          <w:spacing w:val="7"/>
          <w:sz w:val="32"/>
          <w:szCs w:val="32"/>
        </w:rPr>
        <w:t>考试机构的资质直接影响考核质量。引用TSG Z6001可避免重复规定。</w:t>
      </w:r>
    </w:p>
    <w:p w14:paraId="63030DD6">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eastAsia" w:eastAsia="仿宋"/>
          <w:spacing w:val="7"/>
          <w:sz w:val="32"/>
          <w:szCs w:val="32"/>
          <w:lang w:eastAsia="zh-CN"/>
        </w:rPr>
      </w:pPr>
      <w:r>
        <w:rPr>
          <w:rFonts w:hint="eastAsia"/>
          <w:spacing w:val="7"/>
          <w:sz w:val="32"/>
          <w:szCs w:val="32"/>
          <w:lang w:val="en-US" w:eastAsia="zh-CN"/>
        </w:rPr>
        <w:t>第</w:t>
      </w:r>
      <w:r>
        <w:rPr>
          <w:rFonts w:hint="eastAsia"/>
          <w:spacing w:val="7"/>
          <w:sz w:val="32"/>
          <w:szCs w:val="32"/>
        </w:rPr>
        <w:t>4.3</w:t>
      </w:r>
      <w:r>
        <w:rPr>
          <w:rFonts w:hint="eastAsia"/>
          <w:spacing w:val="7"/>
          <w:sz w:val="32"/>
          <w:szCs w:val="32"/>
          <w:lang w:val="en-US" w:eastAsia="zh-CN"/>
        </w:rPr>
        <w:t>条</w:t>
      </w:r>
      <w:r>
        <w:rPr>
          <w:rFonts w:hint="eastAsia"/>
          <w:spacing w:val="7"/>
          <w:sz w:val="32"/>
          <w:szCs w:val="32"/>
        </w:rPr>
        <w:t>TSG 08《特种设备使用管理规则》规定了使用单位的安全主体责任。本条强调使用单位需建立人员管理制度，衔接后续第7章的具体要求。</w:t>
      </w:r>
    </w:p>
    <w:p w14:paraId="013FBE49">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eastAsia" w:eastAsia="仿宋"/>
          <w:spacing w:val="7"/>
          <w:sz w:val="32"/>
          <w:szCs w:val="32"/>
          <w:lang w:eastAsia="zh-CN"/>
        </w:rPr>
      </w:pPr>
      <w:r>
        <w:rPr>
          <w:rFonts w:hint="eastAsia"/>
          <w:spacing w:val="7"/>
          <w:sz w:val="32"/>
          <w:szCs w:val="32"/>
          <w:lang w:val="en-US" w:eastAsia="zh-CN"/>
        </w:rPr>
        <w:t>第</w:t>
      </w:r>
      <w:r>
        <w:rPr>
          <w:rFonts w:hint="eastAsia"/>
          <w:spacing w:val="7"/>
          <w:sz w:val="32"/>
          <w:szCs w:val="32"/>
        </w:rPr>
        <w:t>5.1</w:t>
      </w:r>
      <w:r>
        <w:rPr>
          <w:rFonts w:hint="eastAsia"/>
          <w:spacing w:val="7"/>
          <w:sz w:val="32"/>
          <w:szCs w:val="32"/>
          <w:lang w:val="en-US" w:eastAsia="zh-CN"/>
        </w:rPr>
        <w:t>条</w:t>
      </w:r>
      <w:r>
        <w:rPr>
          <w:rFonts w:hint="eastAsia"/>
          <w:spacing w:val="7"/>
          <w:sz w:val="32"/>
          <w:szCs w:val="32"/>
        </w:rPr>
        <w:t>明确“持证上岗”的法律依据（《特种设备安全法》第14条），同时要求“使用单位聘用”是为落实用人单位审核责任，避免“有证无岗”现象。</w:t>
      </w:r>
    </w:p>
    <w:p w14:paraId="326EF165">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eastAsia" w:eastAsia="仿宋"/>
          <w:spacing w:val="7"/>
          <w:sz w:val="32"/>
          <w:szCs w:val="32"/>
          <w:lang w:eastAsia="zh-CN"/>
        </w:rPr>
      </w:pPr>
      <w:r>
        <w:rPr>
          <w:rFonts w:hint="eastAsia"/>
          <w:spacing w:val="7"/>
          <w:sz w:val="32"/>
          <w:szCs w:val="32"/>
          <w:lang w:val="en-US" w:eastAsia="zh-CN"/>
        </w:rPr>
        <w:t>第</w:t>
      </w:r>
      <w:r>
        <w:rPr>
          <w:rFonts w:hint="eastAsia"/>
          <w:spacing w:val="7"/>
          <w:sz w:val="32"/>
          <w:szCs w:val="32"/>
        </w:rPr>
        <w:t>5.2</w:t>
      </w:r>
      <w:r>
        <w:rPr>
          <w:rFonts w:hint="eastAsia"/>
          <w:spacing w:val="7"/>
          <w:sz w:val="32"/>
          <w:szCs w:val="32"/>
          <w:lang w:val="en-US" w:eastAsia="zh-CN"/>
        </w:rPr>
        <w:t>条规定依据</w:t>
      </w:r>
      <w:r>
        <w:rPr>
          <w:rFonts w:hint="eastAsia"/>
          <w:spacing w:val="7"/>
          <w:sz w:val="32"/>
          <w:szCs w:val="32"/>
        </w:rPr>
        <w:t>TSG Z6001</w:t>
      </w:r>
      <w:r>
        <w:rPr>
          <w:rFonts w:hint="eastAsia"/>
          <w:spacing w:val="7"/>
          <w:sz w:val="32"/>
          <w:szCs w:val="32"/>
          <w:lang w:val="en-US" w:eastAsia="zh-CN"/>
        </w:rPr>
        <w:t>第14条和第26条</w:t>
      </w:r>
      <w:r>
        <w:rPr>
          <w:rFonts w:hint="eastAsia"/>
          <w:spacing w:val="7"/>
          <w:sz w:val="32"/>
          <w:szCs w:val="32"/>
        </w:rPr>
        <w:t>。</w:t>
      </w:r>
    </w:p>
    <w:p w14:paraId="4F05C5C2">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eastAsia" w:eastAsia="仿宋"/>
          <w:spacing w:val="7"/>
          <w:sz w:val="32"/>
          <w:szCs w:val="32"/>
          <w:lang w:eastAsia="zh-CN"/>
        </w:rPr>
      </w:pPr>
      <w:r>
        <w:rPr>
          <w:rFonts w:hint="eastAsia"/>
          <w:spacing w:val="7"/>
          <w:sz w:val="32"/>
          <w:szCs w:val="32"/>
          <w:lang w:val="en-US" w:eastAsia="zh-CN"/>
        </w:rPr>
        <w:t>第</w:t>
      </w:r>
      <w:r>
        <w:rPr>
          <w:rFonts w:hint="eastAsia"/>
          <w:spacing w:val="7"/>
          <w:sz w:val="32"/>
          <w:szCs w:val="32"/>
        </w:rPr>
        <w:t>5.3</w:t>
      </w:r>
      <w:r>
        <w:rPr>
          <w:rFonts w:hint="eastAsia"/>
          <w:spacing w:val="7"/>
          <w:sz w:val="32"/>
          <w:szCs w:val="32"/>
          <w:lang w:val="en-US" w:eastAsia="zh-CN"/>
        </w:rPr>
        <w:t>条规定</w:t>
      </w:r>
      <w:r>
        <w:rPr>
          <w:rFonts w:hint="eastAsia"/>
          <w:spacing w:val="7"/>
          <w:sz w:val="32"/>
          <w:szCs w:val="32"/>
        </w:rPr>
        <w:t>学时要求参考《生产经营单位安全培训规定》第13条“每年再培训时间不得少于20学时”，结合索道行业高风险特性加倍设定。</w:t>
      </w:r>
    </w:p>
    <w:p w14:paraId="26B06BA0">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eastAsia" w:eastAsia="仿宋"/>
          <w:spacing w:val="7"/>
          <w:sz w:val="32"/>
          <w:szCs w:val="32"/>
          <w:lang w:eastAsia="zh-CN"/>
        </w:rPr>
      </w:pPr>
      <w:r>
        <w:rPr>
          <w:rFonts w:hint="eastAsia"/>
          <w:spacing w:val="7"/>
          <w:sz w:val="32"/>
          <w:szCs w:val="32"/>
          <w:lang w:val="en-US" w:eastAsia="zh-CN"/>
        </w:rPr>
        <w:t>第</w:t>
      </w:r>
      <w:r>
        <w:rPr>
          <w:rFonts w:hint="eastAsia"/>
          <w:spacing w:val="7"/>
          <w:sz w:val="32"/>
          <w:szCs w:val="32"/>
        </w:rPr>
        <w:t>5.4</w:t>
      </w:r>
      <w:r>
        <w:rPr>
          <w:rFonts w:hint="eastAsia"/>
          <w:spacing w:val="7"/>
          <w:sz w:val="32"/>
          <w:szCs w:val="32"/>
          <w:lang w:val="en-US" w:eastAsia="zh-CN"/>
        </w:rPr>
        <w:t>条</w:t>
      </w:r>
      <w:r>
        <w:rPr>
          <w:rFonts w:hint="eastAsia"/>
          <w:spacing w:val="7"/>
          <w:sz w:val="32"/>
          <w:szCs w:val="32"/>
        </w:rPr>
        <w:t>规定依据TSG Z6001第26条。</w:t>
      </w:r>
    </w:p>
    <w:p w14:paraId="50AF4925">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default"/>
          <w:spacing w:val="7"/>
          <w:sz w:val="32"/>
          <w:szCs w:val="32"/>
          <w:lang w:val="en-US" w:eastAsia="zh-CN"/>
        </w:rPr>
      </w:pPr>
      <w:r>
        <w:rPr>
          <w:rFonts w:hint="eastAsia"/>
          <w:spacing w:val="7"/>
          <w:sz w:val="32"/>
          <w:szCs w:val="32"/>
          <w:lang w:val="en-US" w:eastAsia="zh-CN"/>
        </w:rPr>
        <w:t>第</w:t>
      </w:r>
      <w:r>
        <w:rPr>
          <w:rFonts w:hint="eastAsia"/>
          <w:spacing w:val="7"/>
          <w:sz w:val="32"/>
          <w:szCs w:val="32"/>
        </w:rPr>
        <w:t>6.1</w:t>
      </w:r>
      <w:r>
        <w:rPr>
          <w:rFonts w:hint="eastAsia"/>
          <w:spacing w:val="7"/>
          <w:sz w:val="32"/>
          <w:szCs w:val="32"/>
          <w:lang w:val="en-US" w:eastAsia="zh-CN"/>
        </w:rPr>
        <w:t>.1-6.1.3、</w:t>
      </w:r>
      <w:r>
        <w:rPr>
          <w:rFonts w:hint="eastAsia"/>
          <w:spacing w:val="7"/>
          <w:sz w:val="32"/>
          <w:szCs w:val="32"/>
        </w:rPr>
        <w:t>6.2</w:t>
      </w:r>
      <w:r>
        <w:rPr>
          <w:rFonts w:hint="eastAsia"/>
          <w:spacing w:val="7"/>
          <w:sz w:val="32"/>
          <w:szCs w:val="32"/>
          <w:lang w:val="en-US" w:eastAsia="zh-CN"/>
        </w:rPr>
        <w:t>.1条与《陕西省市场监督管理局关于印发《陕西省特种设备人员考核管理要求》的通知》（陕市监发〔2023〕376号）要求保持一致。</w:t>
      </w:r>
    </w:p>
    <w:p w14:paraId="305FD96F">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eastAsia" w:eastAsia="仿宋"/>
          <w:spacing w:val="7"/>
          <w:sz w:val="32"/>
          <w:szCs w:val="32"/>
          <w:lang w:eastAsia="zh-CN"/>
        </w:rPr>
      </w:pPr>
      <w:r>
        <w:rPr>
          <w:rFonts w:hint="eastAsia"/>
          <w:spacing w:val="7"/>
          <w:sz w:val="32"/>
          <w:szCs w:val="32"/>
          <w:lang w:val="en-US" w:eastAsia="zh-CN"/>
        </w:rPr>
        <w:t>第6.2.2条</w:t>
      </w:r>
      <w:r>
        <w:rPr>
          <w:rFonts w:hint="eastAsia"/>
          <w:spacing w:val="7"/>
          <w:sz w:val="32"/>
          <w:szCs w:val="32"/>
        </w:rPr>
        <w:t>“脱挂式索道”为当前主流技术类型，占比超60%（据中国索道协会2022年数据）；</w:t>
      </w:r>
    </w:p>
    <w:p w14:paraId="7E995A13">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eastAsia" w:eastAsia="仿宋"/>
          <w:spacing w:val="7"/>
          <w:sz w:val="32"/>
          <w:szCs w:val="32"/>
          <w:lang w:eastAsia="zh-CN"/>
        </w:rPr>
      </w:pPr>
      <w:r>
        <w:rPr>
          <w:rFonts w:hint="eastAsia"/>
          <w:spacing w:val="7"/>
          <w:sz w:val="32"/>
          <w:szCs w:val="32"/>
          <w:lang w:val="en-US" w:eastAsia="zh-CN"/>
        </w:rPr>
        <w:t>第</w:t>
      </w:r>
      <w:r>
        <w:rPr>
          <w:rFonts w:hint="eastAsia"/>
          <w:spacing w:val="7"/>
          <w:sz w:val="32"/>
          <w:szCs w:val="32"/>
        </w:rPr>
        <w:t>7.8</w:t>
      </w:r>
      <w:r>
        <w:rPr>
          <w:rFonts w:hint="eastAsia"/>
          <w:spacing w:val="7"/>
          <w:sz w:val="32"/>
          <w:szCs w:val="32"/>
          <w:lang w:val="en-US" w:eastAsia="zh-CN"/>
        </w:rPr>
        <w:t>条与</w:t>
      </w:r>
      <w:r>
        <w:rPr>
          <w:rFonts w:hint="eastAsia"/>
          <w:spacing w:val="7"/>
          <w:sz w:val="32"/>
          <w:szCs w:val="32"/>
        </w:rPr>
        <w:t>《生产经营单位安全培训规定》</w:t>
      </w:r>
      <w:r>
        <w:rPr>
          <w:rFonts w:hint="eastAsia"/>
          <w:spacing w:val="7"/>
          <w:sz w:val="32"/>
          <w:szCs w:val="32"/>
          <w:lang w:val="en-US" w:eastAsia="zh-CN"/>
        </w:rPr>
        <w:t>第13条保持一致</w:t>
      </w:r>
      <w:r>
        <w:rPr>
          <w:rFonts w:hint="eastAsia"/>
          <w:spacing w:val="7"/>
          <w:sz w:val="32"/>
          <w:szCs w:val="32"/>
        </w:rPr>
        <w:t>。</w:t>
      </w:r>
    </w:p>
    <w:p w14:paraId="50264F28">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eastAsia"/>
          <w:spacing w:val="7"/>
          <w:sz w:val="32"/>
          <w:szCs w:val="32"/>
          <w:lang w:val="en-US" w:eastAsia="zh-CN"/>
        </w:rPr>
      </w:pPr>
      <w:r>
        <w:rPr>
          <w:rFonts w:hint="eastAsia"/>
          <w:spacing w:val="7"/>
          <w:sz w:val="32"/>
          <w:szCs w:val="32"/>
          <w:lang w:val="en-US" w:eastAsia="zh-CN"/>
        </w:rPr>
        <w:t>附录A中列出的设备为综合考虑</w:t>
      </w:r>
      <w:r>
        <w:rPr>
          <w:rFonts w:hint="eastAsia"/>
          <w:spacing w:val="7"/>
          <w:sz w:val="32"/>
          <w:szCs w:val="32"/>
        </w:rPr>
        <w:t>TSG Z6001</w:t>
      </w:r>
      <w:r>
        <w:rPr>
          <w:rFonts w:hint="eastAsia"/>
          <w:spacing w:val="7"/>
          <w:sz w:val="32"/>
          <w:szCs w:val="32"/>
          <w:lang w:val="en-US" w:eastAsia="zh-CN"/>
        </w:rPr>
        <w:t>附录kb和附录kd的要求并结合实际工作中应知应会的内容进行了规定。</w:t>
      </w:r>
    </w:p>
    <w:p w14:paraId="2E85AE58">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eastAsia"/>
          <w:spacing w:val="7"/>
          <w:sz w:val="32"/>
          <w:szCs w:val="32"/>
          <w:lang w:val="en-US" w:eastAsia="zh-CN"/>
        </w:rPr>
      </w:pPr>
      <w:r>
        <w:rPr>
          <w:rFonts w:hint="eastAsia"/>
          <w:spacing w:val="7"/>
          <w:sz w:val="32"/>
          <w:szCs w:val="32"/>
          <w:lang w:val="en-US" w:eastAsia="zh-CN"/>
        </w:rPr>
        <w:t>附录B中的内容是对</w:t>
      </w:r>
      <w:r>
        <w:rPr>
          <w:rFonts w:hint="eastAsia"/>
          <w:spacing w:val="7"/>
          <w:sz w:val="32"/>
          <w:szCs w:val="32"/>
        </w:rPr>
        <w:t>TSG Z6001</w:t>
      </w:r>
      <w:r>
        <w:rPr>
          <w:rFonts w:hint="eastAsia"/>
          <w:spacing w:val="7"/>
          <w:sz w:val="32"/>
          <w:szCs w:val="32"/>
          <w:lang w:val="en-US" w:eastAsia="zh-CN"/>
        </w:rPr>
        <w:t>附录kb和附录kd的扩展，综合考虑了实操考试的时间长度、各个部分的重要程度进行了分数的划分。</w:t>
      </w:r>
    </w:p>
    <w:p w14:paraId="35CA75CA">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68" w:firstLineChars="200"/>
        <w:textAlignment w:val="baseline"/>
        <w:rPr>
          <w:rFonts w:hint="default"/>
          <w:spacing w:val="7"/>
          <w:sz w:val="32"/>
          <w:szCs w:val="32"/>
          <w:lang w:val="en-US" w:eastAsia="zh-CN"/>
        </w:rPr>
      </w:pPr>
      <w:r>
        <w:rPr>
          <w:rFonts w:hint="eastAsia"/>
          <w:spacing w:val="7"/>
          <w:sz w:val="32"/>
          <w:szCs w:val="32"/>
          <w:lang w:val="en-US" w:eastAsia="zh-CN"/>
        </w:rPr>
        <w:t>附录C的内容综合考虑了</w:t>
      </w:r>
      <w:r>
        <w:rPr>
          <w:rFonts w:hint="eastAsia"/>
          <w:spacing w:val="7"/>
          <w:sz w:val="32"/>
          <w:szCs w:val="32"/>
        </w:rPr>
        <w:t>TSG Z6001</w:t>
      </w:r>
      <w:r>
        <w:rPr>
          <w:rFonts w:hint="eastAsia"/>
          <w:spacing w:val="7"/>
          <w:sz w:val="32"/>
          <w:szCs w:val="32"/>
          <w:lang w:val="en-US" w:eastAsia="zh-CN"/>
        </w:rPr>
        <w:t>附录ka和附录kc，结合作业人员工作特点制定。</w:t>
      </w:r>
    </w:p>
    <w:p w14:paraId="28612B59">
      <w:pPr>
        <w:keepNext/>
        <w:keepLines w:val="0"/>
        <w:pageBreakBefore w:val="0"/>
        <w:widowControl w:val="0"/>
        <w:numPr>
          <w:ilvl w:val="0"/>
          <w:numId w:val="1"/>
        </w:numPr>
        <w:kinsoku w:val="0"/>
        <w:wordWrap/>
        <w:overflowPunct/>
        <w:topLinePunct w:val="0"/>
        <w:autoSpaceDE w:val="0"/>
        <w:autoSpaceDN w:val="0"/>
        <w:bidi w:val="0"/>
        <w:adjustRightInd/>
        <w:snapToGrid/>
        <w:spacing w:line="560" w:lineRule="exact"/>
        <w:ind w:right="0" w:rightChars="0"/>
        <w:textAlignment w:val="baseline"/>
        <w:rPr>
          <w:rFonts w:hint="eastAsia" w:ascii="黑体" w:hAnsi="黑体" w:eastAsia="黑体" w:cs="黑体"/>
          <w:spacing w:val="12"/>
          <w:sz w:val="32"/>
          <w:szCs w:val="32"/>
          <w:lang w:val="en-US" w:eastAsia="zh-CN"/>
        </w:rPr>
      </w:pPr>
      <w:r>
        <w:rPr>
          <w:rFonts w:hint="eastAsia" w:ascii="黑体" w:hAnsi="黑体" w:eastAsia="黑体" w:cs="黑体"/>
          <w:spacing w:val="12"/>
          <w:sz w:val="32"/>
          <w:szCs w:val="32"/>
          <w:lang w:val="en-US" w:eastAsia="zh-CN"/>
        </w:rPr>
        <w:t>实证研究</w:t>
      </w:r>
    </w:p>
    <w:p w14:paraId="0EEC57F8">
      <w:pPr>
        <w:keepNext/>
        <w:keepLines w:val="0"/>
        <w:pageBreakBefore w:val="0"/>
        <w:widowControl w:val="0"/>
        <w:numPr>
          <w:ilvl w:val="0"/>
          <w:numId w:val="0"/>
        </w:numPr>
        <w:kinsoku w:val="0"/>
        <w:wordWrap/>
        <w:overflowPunct/>
        <w:topLinePunct w:val="0"/>
        <w:autoSpaceDE w:val="0"/>
        <w:autoSpaceDN w:val="0"/>
        <w:bidi w:val="0"/>
        <w:adjustRightInd/>
        <w:snapToGrid/>
        <w:spacing w:line="560" w:lineRule="exact"/>
        <w:ind w:leftChars="0" w:right="0" w:rightChars="0" w:firstLine="600" w:firstLineChars="200"/>
        <w:textAlignment w:val="baseline"/>
        <w:rPr>
          <w:rFonts w:ascii="仿宋" w:hAnsi="仿宋" w:eastAsia="仿宋" w:cs="仿宋"/>
          <w:snapToGrid w:val="0"/>
          <w:color w:val="000000"/>
          <w:spacing w:val="-10"/>
          <w:kern w:val="0"/>
          <w:sz w:val="32"/>
          <w:szCs w:val="32"/>
          <w:lang w:val="en-US" w:eastAsia="en-US" w:bidi="ar-SA"/>
        </w:rPr>
      </w:pPr>
      <w:r>
        <w:rPr>
          <w:rFonts w:ascii="仿宋" w:hAnsi="仿宋" w:eastAsia="仿宋" w:cs="仿宋"/>
          <w:snapToGrid w:val="0"/>
          <w:color w:val="000000"/>
          <w:spacing w:val="-10"/>
          <w:kern w:val="0"/>
          <w:sz w:val="32"/>
          <w:szCs w:val="32"/>
          <w:lang w:val="en-US" w:eastAsia="en-US" w:bidi="ar-SA"/>
        </w:rPr>
        <w:t>无。</w:t>
      </w:r>
    </w:p>
    <w:p w14:paraId="3992DE3C">
      <w:pPr>
        <w:keepNext/>
        <w:keepLines w:val="0"/>
        <w:pageBreakBefore w:val="0"/>
        <w:widowControl w:val="0"/>
        <w:numPr>
          <w:ilvl w:val="0"/>
          <w:numId w:val="1"/>
        </w:numPr>
        <w:kinsoku w:val="0"/>
        <w:wordWrap/>
        <w:overflowPunct/>
        <w:topLinePunct w:val="0"/>
        <w:autoSpaceDE w:val="0"/>
        <w:autoSpaceDN w:val="0"/>
        <w:bidi w:val="0"/>
        <w:adjustRightInd/>
        <w:snapToGrid/>
        <w:spacing w:line="560" w:lineRule="exact"/>
        <w:ind w:right="0" w:rightChars="0"/>
        <w:textAlignment w:val="baseline"/>
        <w:rPr>
          <w:rFonts w:hint="eastAsia" w:ascii="黑体" w:hAnsi="黑体" w:eastAsia="黑体" w:cs="黑体"/>
          <w:spacing w:val="12"/>
          <w:sz w:val="32"/>
          <w:szCs w:val="32"/>
          <w:lang w:val="en-US" w:eastAsia="zh-CN"/>
        </w:rPr>
      </w:pPr>
      <w:r>
        <w:rPr>
          <w:rFonts w:hint="eastAsia" w:ascii="黑体" w:hAnsi="黑体" w:eastAsia="黑体" w:cs="黑体"/>
          <w:spacing w:val="12"/>
          <w:sz w:val="32"/>
          <w:szCs w:val="32"/>
          <w:lang w:val="en-US" w:eastAsia="zh-CN"/>
        </w:rPr>
        <w:t>知识产权说明</w:t>
      </w:r>
    </w:p>
    <w:p w14:paraId="7054D94D">
      <w:pPr>
        <w:keepNext/>
        <w:keepLines w:val="0"/>
        <w:pageBreakBefore w:val="0"/>
        <w:widowControl w:val="0"/>
        <w:numPr>
          <w:ilvl w:val="0"/>
          <w:numId w:val="0"/>
        </w:numPr>
        <w:kinsoku w:val="0"/>
        <w:wordWrap/>
        <w:overflowPunct/>
        <w:topLinePunct w:val="0"/>
        <w:autoSpaceDE w:val="0"/>
        <w:autoSpaceDN w:val="0"/>
        <w:bidi w:val="0"/>
        <w:adjustRightInd/>
        <w:snapToGrid/>
        <w:spacing w:line="560" w:lineRule="exact"/>
        <w:ind w:leftChars="0" w:right="0" w:rightChars="0" w:firstLine="600" w:firstLineChars="200"/>
        <w:textAlignment w:val="baseline"/>
        <w:rPr>
          <w:rFonts w:ascii="仿宋" w:hAnsi="仿宋" w:eastAsia="仿宋" w:cs="仿宋"/>
          <w:snapToGrid w:val="0"/>
          <w:color w:val="000000"/>
          <w:spacing w:val="-10"/>
          <w:kern w:val="0"/>
          <w:sz w:val="32"/>
          <w:szCs w:val="32"/>
          <w:lang w:val="en-US" w:eastAsia="en-US" w:bidi="ar-SA"/>
        </w:rPr>
      </w:pPr>
      <w:r>
        <w:rPr>
          <w:rFonts w:ascii="仿宋" w:hAnsi="仿宋" w:eastAsia="仿宋" w:cs="仿宋"/>
          <w:snapToGrid w:val="0"/>
          <w:color w:val="000000"/>
          <w:spacing w:val="-10"/>
          <w:kern w:val="0"/>
          <w:sz w:val="32"/>
          <w:szCs w:val="32"/>
          <w:lang w:val="en-US" w:eastAsia="en-US" w:bidi="ar-SA"/>
        </w:rPr>
        <w:t>无。</w:t>
      </w:r>
    </w:p>
    <w:p w14:paraId="090B9C99">
      <w:pPr>
        <w:keepNext/>
        <w:keepLines w:val="0"/>
        <w:pageBreakBefore w:val="0"/>
        <w:widowControl w:val="0"/>
        <w:numPr>
          <w:ilvl w:val="0"/>
          <w:numId w:val="1"/>
        </w:numPr>
        <w:kinsoku w:val="0"/>
        <w:wordWrap/>
        <w:overflowPunct/>
        <w:topLinePunct w:val="0"/>
        <w:autoSpaceDE w:val="0"/>
        <w:autoSpaceDN w:val="0"/>
        <w:bidi w:val="0"/>
        <w:adjustRightInd/>
        <w:snapToGrid/>
        <w:spacing w:line="560" w:lineRule="exact"/>
        <w:ind w:right="0" w:rightChars="0"/>
        <w:textAlignment w:val="baseline"/>
        <w:rPr>
          <w:rFonts w:hint="default" w:ascii="黑体" w:hAnsi="黑体" w:eastAsia="黑体" w:cs="黑体"/>
          <w:spacing w:val="12"/>
          <w:sz w:val="32"/>
          <w:szCs w:val="32"/>
          <w:lang w:val="en-US" w:eastAsia="zh-CN"/>
        </w:rPr>
      </w:pPr>
      <w:r>
        <w:rPr>
          <w:rFonts w:hint="eastAsia" w:ascii="黑体" w:hAnsi="黑体" w:eastAsia="黑体" w:cs="黑体"/>
          <w:spacing w:val="12"/>
          <w:sz w:val="32"/>
          <w:szCs w:val="32"/>
          <w:lang w:val="en-US" w:eastAsia="zh-CN"/>
        </w:rPr>
        <w:t>采标情况</w:t>
      </w:r>
    </w:p>
    <w:p w14:paraId="50444B52">
      <w:pPr>
        <w:keepNext/>
        <w:keepLines w:val="0"/>
        <w:pageBreakBefore w:val="0"/>
        <w:widowControl w:val="0"/>
        <w:numPr>
          <w:ilvl w:val="0"/>
          <w:numId w:val="0"/>
        </w:numPr>
        <w:kinsoku w:val="0"/>
        <w:wordWrap/>
        <w:overflowPunct/>
        <w:topLinePunct w:val="0"/>
        <w:autoSpaceDE w:val="0"/>
        <w:autoSpaceDN w:val="0"/>
        <w:bidi w:val="0"/>
        <w:adjustRightInd/>
        <w:snapToGrid/>
        <w:spacing w:line="560" w:lineRule="exact"/>
        <w:ind w:leftChars="0" w:right="0" w:rightChars="0" w:firstLine="600" w:firstLineChars="200"/>
        <w:textAlignment w:val="baseline"/>
        <w:rPr>
          <w:rFonts w:ascii="仿宋" w:hAnsi="仿宋" w:eastAsia="仿宋" w:cs="仿宋"/>
          <w:snapToGrid w:val="0"/>
          <w:color w:val="000000"/>
          <w:spacing w:val="-10"/>
          <w:kern w:val="0"/>
          <w:sz w:val="32"/>
          <w:szCs w:val="32"/>
          <w:lang w:val="en-US" w:eastAsia="en-US" w:bidi="ar-SA"/>
        </w:rPr>
      </w:pPr>
      <w:r>
        <w:rPr>
          <w:rFonts w:ascii="仿宋" w:hAnsi="仿宋" w:eastAsia="仿宋" w:cs="仿宋"/>
          <w:snapToGrid w:val="0"/>
          <w:color w:val="000000"/>
          <w:spacing w:val="-10"/>
          <w:kern w:val="0"/>
          <w:sz w:val="32"/>
          <w:szCs w:val="32"/>
          <w:lang w:val="en-US" w:eastAsia="en-US" w:bidi="ar-SA"/>
        </w:rPr>
        <w:t>无。</w:t>
      </w:r>
    </w:p>
    <w:p w14:paraId="6612391B">
      <w:pPr>
        <w:keepNext/>
        <w:keepLines w:val="0"/>
        <w:pageBreakBefore w:val="0"/>
        <w:widowControl w:val="0"/>
        <w:numPr>
          <w:ilvl w:val="0"/>
          <w:numId w:val="1"/>
        </w:numPr>
        <w:kinsoku w:val="0"/>
        <w:wordWrap/>
        <w:overflowPunct/>
        <w:topLinePunct w:val="0"/>
        <w:autoSpaceDE w:val="0"/>
        <w:autoSpaceDN w:val="0"/>
        <w:bidi w:val="0"/>
        <w:adjustRightInd/>
        <w:snapToGrid/>
        <w:spacing w:line="560" w:lineRule="exact"/>
        <w:ind w:left="0" w:leftChars="0" w:right="0" w:firstLine="0" w:firstLineChars="0"/>
        <w:textAlignment w:val="baseline"/>
        <w:rPr>
          <w:sz w:val="32"/>
          <w:szCs w:val="32"/>
        </w:rPr>
      </w:pPr>
      <w:r>
        <w:rPr>
          <w:rFonts w:ascii="黑体" w:hAnsi="黑体" w:eastAsia="黑体" w:cs="黑体"/>
          <w:spacing w:val="8"/>
          <w:sz w:val="32"/>
          <w:szCs w:val="32"/>
        </w:rPr>
        <w:t>重大意见分歧的处理依据和结果</w:t>
      </w:r>
    </w:p>
    <w:p w14:paraId="72B834EF">
      <w:pPr>
        <w:keepNext/>
        <w:keepLines w:val="0"/>
        <w:pageBreakBefore w:val="0"/>
        <w:widowControl w:val="0"/>
        <w:numPr>
          <w:ilvl w:val="0"/>
          <w:numId w:val="0"/>
        </w:numPr>
        <w:kinsoku w:val="0"/>
        <w:wordWrap/>
        <w:overflowPunct/>
        <w:topLinePunct w:val="0"/>
        <w:autoSpaceDE w:val="0"/>
        <w:autoSpaceDN w:val="0"/>
        <w:bidi w:val="0"/>
        <w:adjustRightInd/>
        <w:snapToGrid/>
        <w:spacing w:line="560" w:lineRule="exact"/>
        <w:ind w:leftChars="0" w:right="0" w:rightChars="0" w:firstLine="688" w:firstLineChars="200"/>
        <w:textAlignment w:val="baseline"/>
        <w:rPr>
          <w:rFonts w:hint="eastAsia" w:ascii="仿宋" w:hAnsi="仿宋" w:eastAsia="仿宋" w:cs="仿宋"/>
          <w:spacing w:val="12"/>
          <w:kern w:val="2"/>
          <w:sz w:val="32"/>
          <w:szCs w:val="32"/>
          <w:lang w:val="en-US" w:eastAsia="en-US" w:bidi="ar-SA"/>
        </w:rPr>
      </w:pPr>
      <w:r>
        <w:rPr>
          <w:rFonts w:hint="eastAsia" w:ascii="仿宋" w:hAnsi="仿宋" w:eastAsia="仿宋" w:cs="仿宋"/>
          <w:spacing w:val="12"/>
          <w:kern w:val="2"/>
          <w:sz w:val="32"/>
          <w:szCs w:val="32"/>
          <w:lang w:val="en-US" w:eastAsia="en-US" w:bidi="ar-SA"/>
        </w:rPr>
        <w:t>本标准在编写过程中征求了各相关部门和标准化专家的意见与建议，并对所提出的问题及时沟通交流，无重大意见分歧。</w:t>
      </w:r>
    </w:p>
    <w:p w14:paraId="4E52F316">
      <w:pPr>
        <w:keepNext w:val="0"/>
        <w:keepLines w:val="0"/>
        <w:pageBreakBefore w:val="0"/>
        <w:widowControl/>
        <w:kinsoku w:val="0"/>
        <w:wordWrap/>
        <w:overflowPunct/>
        <w:topLinePunct w:val="0"/>
        <w:autoSpaceDE w:val="0"/>
        <w:autoSpaceDN w:val="0"/>
        <w:bidi w:val="0"/>
        <w:adjustRightInd/>
        <w:snapToGrid/>
        <w:spacing w:line="560" w:lineRule="exact"/>
        <w:ind w:right="0"/>
        <w:textAlignment w:val="baseline"/>
        <w:rPr>
          <w:rFonts w:ascii="黑体" w:hAnsi="黑体" w:eastAsia="黑体" w:cs="黑体"/>
          <w:sz w:val="32"/>
          <w:szCs w:val="32"/>
        </w:rPr>
      </w:pPr>
      <w:r>
        <w:rPr>
          <w:rFonts w:hint="eastAsia" w:ascii="黑体" w:hAnsi="黑体" w:eastAsia="黑体" w:cs="黑体"/>
          <w:spacing w:val="9"/>
          <w:sz w:val="32"/>
          <w:szCs w:val="32"/>
          <w:lang w:val="en-US" w:eastAsia="zh-CN"/>
        </w:rPr>
        <w:t>七、</w:t>
      </w:r>
      <w:r>
        <w:rPr>
          <w:rFonts w:ascii="黑体" w:hAnsi="黑体" w:eastAsia="黑体" w:cs="黑体"/>
          <w:spacing w:val="9"/>
          <w:sz w:val="32"/>
          <w:szCs w:val="32"/>
        </w:rPr>
        <w:t>预期效果及贯彻实施标准规范的要求、措施</w:t>
      </w:r>
      <w:r>
        <w:rPr>
          <w:rFonts w:ascii="黑体" w:hAnsi="黑体" w:eastAsia="黑体" w:cs="黑体"/>
          <w:spacing w:val="8"/>
          <w:sz w:val="32"/>
          <w:szCs w:val="32"/>
        </w:rPr>
        <w:t>等建议</w:t>
      </w:r>
    </w:p>
    <w:p w14:paraId="5DFAB59E">
      <w:pPr>
        <w:keepNext w:val="0"/>
        <w:keepLines w:val="0"/>
        <w:pageBreakBefore w:val="0"/>
        <w:widowControl/>
        <w:kinsoku w:val="0"/>
        <w:wordWrap/>
        <w:overflowPunct/>
        <w:topLinePunct w:val="0"/>
        <w:autoSpaceDE w:val="0"/>
        <w:autoSpaceDN w:val="0"/>
        <w:bidi w:val="0"/>
        <w:adjustRightInd/>
        <w:snapToGrid/>
        <w:spacing w:line="560" w:lineRule="exact"/>
        <w:ind w:left="0" w:right="0" w:firstLine="651" w:firstLineChars="200"/>
        <w:textAlignment w:val="baseline"/>
        <w:outlineLvl w:val="2"/>
        <w:rPr>
          <w:rFonts w:ascii="楷体" w:hAnsi="楷体" w:eastAsia="楷体" w:cs="楷体"/>
          <w:sz w:val="32"/>
          <w:szCs w:val="32"/>
        </w:rPr>
      </w:pPr>
      <w:r>
        <w:rPr>
          <w:rFonts w:ascii="楷体" w:hAnsi="楷体" w:eastAsia="楷体" w:cs="楷体"/>
          <w:b/>
          <w:bCs/>
          <w:spacing w:val="2"/>
          <w:sz w:val="32"/>
          <w:szCs w:val="32"/>
        </w:rPr>
        <w:t>（一）预期效果</w:t>
      </w:r>
    </w:p>
    <w:p w14:paraId="386D01D1">
      <w:pPr>
        <w:pStyle w:val="2"/>
        <w:keepNext w:val="0"/>
        <w:keepLines w:val="0"/>
        <w:pageBreakBefore w:val="0"/>
        <w:widowControl/>
        <w:kinsoku w:val="0"/>
        <w:wordWrap w:val="0"/>
        <w:overflowPunct/>
        <w:topLinePunct w:val="0"/>
        <w:autoSpaceDE w:val="0"/>
        <w:autoSpaceDN w:val="0"/>
        <w:bidi w:val="0"/>
        <w:adjustRightInd/>
        <w:snapToGrid/>
        <w:spacing w:line="560" w:lineRule="exact"/>
        <w:ind w:left="0" w:right="0" w:firstLine="688" w:firstLineChars="200"/>
        <w:jc w:val="both"/>
        <w:textAlignment w:val="baseline"/>
        <w:rPr>
          <w:spacing w:val="8"/>
          <w:sz w:val="32"/>
          <w:szCs w:val="32"/>
        </w:rPr>
      </w:pPr>
      <w:r>
        <w:rPr>
          <w:spacing w:val="12"/>
          <w:sz w:val="32"/>
          <w:szCs w:val="32"/>
        </w:rPr>
        <w:t>本文件是围绕</w:t>
      </w:r>
      <w:r>
        <w:rPr>
          <w:rFonts w:hint="eastAsia"/>
          <w:spacing w:val="10"/>
          <w:sz w:val="32"/>
          <w:szCs w:val="32"/>
          <w:lang w:eastAsia="zh-CN"/>
        </w:rPr>
        <w:t>客运索道作业人员考核</w:t>
      </w:r>
      <w:r>
        <w:rPr>
          <w:spacing w:val="12"/>
          <w:sz w:val="32"/>
          <w:szCs w:val="32"/>
        </w:rPr>
        <w:t>，对</w:t>
      </w:r>
      <w:r>
        <w:rPr>
          <w:rFonts w:hint="eastAsia"/>
          <w:spacing w:val="12"/>
          <w:sz w:val="32"/>
          <w:szCs w:val="32"/>
        </w:rPr>
        <w:t>客运索道作业人员考核管理中作业人员、考试机构、使用单位、监督管理的</w:t>
      </w:r>
      <w:r>
        <w:rPr>
          <w:spacing w:val="12"/>
          <w:sz w:val="32"/>
          <w:szCs w:val="32"/>
        </w:rPr>
        <w:t>进行了规范，</w:t>
      </w:r>
      <w:r>
        <w:rPr>
          <w:rFonts w:hint="eastAsia"/>
          <w:spacing w:val="12"/>
          <w:sz w:val="32"/>
          <w:szCs w:val="32"/>
          <w:lang w:val="en-US" w:eastAsia="zh-CN"/>
        </w:rPr>
        <w:t>有利于提升我省考试机构、使用单位整体管理水平，规范作业人员考核和日常管理，最终实现索道作业人员整体素质的提高，提升索道运营安全水平</w:t>
      </w:r>
      <w:r>
        <w:rPr>
          <w:spacing w:val="8"/>
          <w:sz w:val="32"/>
          <w:szCs w:val="32"/>
        </w:rPr>
        <w:t>。</w:t>
      </w:r>
    </w:p>
    <w:p w14:paraId="093C58D8">
      <w:pPr>
        <w:keepNext w:val="0"/>
        <w:keepLines w:val="0"/>
        <w:pageBreakBefore w:val="0"/>
        <w:widowControl/>
        <w:kinsoku w:val="0"/>
        <w:wordWrap w:val="0"/>
        <w:overflowPunct/>
        <w:topLinePunct w:val="0"/>
        <w:autoSpaceDE w:val="0"/>
        <w:autoSpaceDN w:val="0"/>
        <w:bidi w:val="0"/>
        <w:adjustRightInd/>
        <w:snapToGrid/>
        <w:spacing w:line="560" w:lineRule="exact"/>
        <w:ind w:left="0" w:right="0" w:firstLine="667" w:firstLineChars="200"/>
        <w:textAlignment w:val="baseline"/>
        <w:outlineLvl w:val="2"/>
        <w:rPr>
          <w:rFonts w:ascii="楷体" w:hAnsi="楷体" w:eastAsia="楷体" w:cs="楷体"/>
          <w:sz w:val="32"/>
          <w:szCs w:val="32"/>
        </w:rPr>
      </w:pPr>
      <w:r>
        <w:rPr>
          <w:rFonts w:ascii="楷体" w:hAnsi="楷体" w:eastAsia="楷体" w:cs="楷体"/>
          <w:b/>
          <w:bCs/>
          <w:spacing w:val="6"/>
          <w:sz w:val="32"/>
          <w:szCs w:val="32"/>
        </w:rPr>
        <w:t>（二）贯彻实施标准规范的要求、措施等建议</w:t>
      </w:r>
    </w:p>
    <w:p w14:paraId="2FF9067F">
      <w:pPr>
        <w:pStyle w:val="2"/>
        <w:keepNext w:val="0"/>
        <w:keepLines w:val="0"/>
        <w:pageBreakBefore w:val="0"/>
        <w:widowControl/>
        <w:kinsoku w:val="0"/>
        <w:wordWrap w:val="0"/>
        <w:overflowPunct/>
        <w:topLinePunct w:val="0"/>
        <w:autoSpaceDE w:val="0"/>
        <w:autoSpaceDN w:val="0"/>
        <w:bidi w:val="0"/>
        <w:adjustRightInd/>
        <w:snapToGrid/>
        <w:spacing w:line="560" w:lineRule="exact"/>
        <w:ind w:left="0" w:right="0" w:firstLine="680" w:firstLineChars="200"/>
        <w:textAlignment w:val="baseline"/>
        <w:rPr>
          <w:rFonts w:hint="eastAsia"/>
          <w:spacing w:val="12"/>
          <w:sz w:val="32"/>
          <w:szCs w:val="32"/>
          <w:lang w:val="en-US" w:eastAsia="zh-CN"/>
        </w:rPr>
      </w:pPr>
      <w:r>
        <w:rPr>
          <w:rFonts w:hint="eastAsia"/>
          <w:spacing w:val="10"/>
          <w:sz w:val="32"/>
          <w:szCs w:val="32"/>
          <w:lang w:val="en-US" w:eastAsia="zh-CN"/>
        </w:rPr>
        <w:t>按照</w:t>
      </w:r>
      <w:r>
        <w:rPr>
          <w:spacing w:val="10"/>
          <w:sz w:val="32"/>
          <w:szCs w:val="32"/>
        </w:rPr>
        <w:t>《</w:t>
      </w:r>
      <w:r>
        <w:rPr>
          <w:rFonts w:hint="eastAsia"/>
          <w:spacing w:val="10"/>
          <w:sz w:val="32"/>
          <w:szCs w:val="32"/>
          <w:lang w:eastAsia="zh-CN"/>
        </w:rPr>
        <w:t>客运索道作业人员考核管理规范工作</w:t>
      </w:r>
      <w:r>
        <w:rPr>
          <w:spacing w:val="10"/>
          <w:sz w:val="32"/>
          <w:szCs w:val="32"/>
        </w:rPr>
        <w:t>》</w:t>
      </w:r>
      <w:r>
        <w:rPr>
          <w:rFonts w:hint="eastAsia"/>
          <w:spacing w:val="10"/>
          <w:sz w:val="32"/>
          <w:szCs w:val="32"/>
          <w:lang w:val="en-US" w:eastAsia="zh-CN"/>
        </w:rPr>
        <w:t>地方标准要求</w:t>
      </w:r>
      <w:r>
        <w:rPr>
          <w:spacing w:val="10"/>
          <w:sz w:val="32"/>
          <w:szCs w:val="32"/>
        </w:rPr>
        <w:t>，</w:t>
      </w:r>
      <w:r>
        <w:rPr>
          <w:rFonts w:hint="eastAsia"/>
          <w:spacing w:val="10"/>
          <w:sz w:val="32"/>
          <w:szCs w:val="32"/>
          <w:lang w:val="en-US" w:eastAsia="zh-CN"/>
        </w:rPr>
        <w:t>推动</w:t>
      </w:r>
      <w:r>
        <w:rPr>
          <w:rFonts w:hint="eastAsia"/>
          <w:spacing w:val="12"/>
          <w:sz w:val="32"/>
          <w:szCs w:val="32"/>
          <w:lang w:eastAsia="zh-CN"/>
        </w:rPr>
        <w:t>陕西省</w:t>
      </w:r>
      <w:r>
        <w:rPr>
          <w:rFonts w:hint="eastAsia"/>
          <w:spacing w:val="10"/>
          <w:sz w:val="32"/>
          <w:szCs w:val="32"/>
          <w:lang w:eastAsia="zh-CN"/>
        </w:rPr>
        <w:t>客运索道作业人员</w:t>
      </w:r>
      <w:r>
        <w:rPr>
          <w:spacing w:val="12"/>
          <w:sz w:val="32"/>
          <w:szCs w:val="32"/>
        </w:rPr>
        <w:t>管理工作</w:t>
      </w:r>
      <w:r>
        <w:rPr>
          <w:rFonts w:hint="eastAsia"/>
          <w:spacing w:val="12"/>
          <w:sz w:val="32"/>
          <w:szCs w:val="32"/>
          <w:lang w:eastAsia="zh-CN"/>
        </w:rPr>
        <w:t>，</w:t>
      </w:r>
      <w:r>
        <w:rPr>
          <w:rFonts w:hint="eastAsia"/>
          <w:spacing w:val="12"/>
          <w:sz w:val="32"/>
          <w:szCs w:val="32"/>
          <w:lang w:val="en-US" w:eastAsia="zh-CN"/>
        </w:rPr>
        <w:t>组织省内大中型使用单位宣贯，确保标准落实到位，以达到最终实现特种设备安全的目的。</w:t>
      </w:r>
    </w:p>
    <w:p w14:paraId="73FD0301">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560" w:lineRule="exact"/>
        <w:ind w:right="0" w:rightChars="0"/>
        <w:textAlignment w:val="baseline"/>
        <w:rPr>
          <w:rFonts w:ascii="黑体" w:hAnsi="黑体" w:eastAsia="黑体" w:cs="黑体"/>
          <w:spacing w:val="8"/>
          <w:sz w:val="32"/>
          <w:szCs w:val="32"/>
        </w:rPr>
      </w:pPr>
      <w:r>
        <w:rPr>
          <w:rFonts w:hint="eastAsia" w:ascii="黑体" w:hAnsi="黑体" w:eastAsia="黑体" w:cs="黑体"/>
          <w:spacing w:val="8"/>
          <w:sz w:val="32"/>
          <w:szCs w:val="32"/>
          <w:lang w:val="en-US" w:eastAsia="zh-CN"/>
        </w:rPr>
        <w:t>八、</w:t>
      </w:r>
      <w:r>
        <w:rPr>
          <w:rFonts w:ascii="黑体" w:hAnsi="黑体" w:eastAsia="黑体" w:cs="黑体"/>
          <w:spacing w:val="8"/>
          <w:sz w:val="32"/>
          <w:szCs w:val="32"/>
        </w:rPr>
        <w:t>其他应当说明的事项</w:t>
      </w:r>
    </w:p>
    <w:p w14:paraId="149551FB">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560" w:lineRule="exact"/>
        <w:ind w:leftChars="0" w:right="0" w:rightChars="0" w:firstLine="608" w:firstLineChars="200"/>
        <w:textAlignment w:val="baseline"/>
        <w:rPr>
          <w:spacing w:val="-8"/>
          <w:sz w:val="32"/>
          <w:szCs w:val="32"/>
        </w:rPr>
      </w:pPr>
      <w:r>
        <w:rPr>
          <w:spacing w:val="-8"/>
          <w:sz w:val="32"/>
          <w:szCs w:val="32"/>
        </w:rPr>
        <w:t>无。</w:t>
      </w:r>
    </w:p>
    <w:p w14:paraId="0E8AD44D">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jc w:val="center"/>
        <w:textAlignment w:val="baseline"/>
        <w:rPr>
          <w:rFonts w:hint="eastAsia"/>
          <w:spacing w:val="8"/>
          <w:sz w:val="32"/>
          <w:szCs w:val="32"/>
          <w:lang w:val="en-US" w:eastAsia="zh-CN"/>
        </w:rPr>
      </w:pPr>
    </w:p>
    <w:p w14:paraId="188927D5">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jc w:val="center"/>
        <w:textAlignment w:val="baseline"/>
        <w:rPr>
          <w:rFonts w:hint="eastAsia" w:ascii="宋体" w:hAnsi="宋体" w:eastAsia="宋体" w:cs="宋体"/>
          <w:spacing w:val="8"/>
          <w:sz w:val="32"/>
          <w:szCs w:val="32"/>
        </w:rPr>
      </w:pPr>
      <w:r>
        <w:rPr>
          <w:rFonts w:hint="eastAsia" w:ascii="宋体" w:hAnsi="宋体" w:eastAsia="宋体" w:cs="宋体"/>
          <w:spacing w:val="8"/>
          <w:sz w:val="32"/>
          <w:szCs w:val="32"/>
        </w:rPr>
        <w:t>《</w:t>
      </w:r>
      <w:r>
        <w:rPr>
          <w:rFonts w:hint="eastAsia" w:ascii="宋体" w:hAnsi="宋体" w:eastAsia="宋体" w:cs="宋体"/>
          <w:spacing w:val="8"/>
          <w:sz w:val="32"/>
          <w:szCs w:val="32"/>
          <w:lang w:eastAsia="zh-CN"/>
        </w:rPr>
        <w:t>客运索道作业人员考核管理规范工作</w:t>
      </w:r>
      <w:r>
        <w:rPr>
          <w:rFonts w:hint="eastAsia" w:ascii="宋体" w:hAnsi="宋体" w:eastAsia="宋体" w:cs="宋体"/>
          <w:spacing w:val="8"/>
          <w:sz w:val="32"/>
          <w:szCs w:val="32"/>
        </w:rPr>
        <w:t>》</w:t>
      </w:r>
    </w:p>
    <w:p w14:paraId="1B0C4924">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672" w:firstLineChars="200"/>
        <w:jc w:val="center"/>
        <w:textAlignment w:val="baseline"/>
        <w:rPr>
          <w:rFonts w:hint="eastAsia" w:ascii="宋体" w:hAnsi="宋体" w:eastAsia="宋体" w:cs="宋体"/>
          <w:spacing w:val="8"/>
          <w:sz w:val="32"/>
          <w:szCs w:val="32"/>
          <w:lang w:eastAsia="zh-CN"/>
        </w:rPr>
      </w:pPr>
      <w:bookmarkStart w:id="0" w:name="_GoBack"/>
      <w:bookmarkEnd w:id="0"/>
      <w:r>
        <w:rPr>
          <w:rFonts w:hint="eastAsia" w:ascii="宋体" w:hAnsi="宋体" w:eastAsia="宋体" w:cs="宋体"/>
          <w:spacing w:val="8"/>
          <w:sz w:val="32"/>
          <w:szCs w:val="32"/>
          <w:lang w:eastAsia="zh-CN"/>
        </w:rPr>
        <w:t>标准起草组</w:t>
      </w:r>
    </w:p>
    <w:p w14:paraId="668D29A9">
      <w:pPr>
        <w:pStyle w:val="2"/>
        <w:keepNext w:val="0"/>
        <w:keepLines w:val="0"/>
        <w:pageBreakBefore w:val="0"/>
        <w:widowControl/>
        <w:kinsoku w:val="0"/>
        <w:wordWrap/>
        <w:overflowPunct/>
        <w:topLinePunct w:val="0"/>
        <w:autoSpaceDE w:val="0"/>
        <w:autoSpaceDN w:val="0"/>
        <w:bidi w:val="0"/>
        <w:adjustRightInd/>
        <w:snapToGrid/>
        <w:spacing w:line="560" w:lineRule="exact"/>
        <w:ind w:left="0" w:right="0" w:firstLine="576" w:firstLineChars="200"/>
        <w:jc w:val="center"/>
        <w:textAlignment w:val="baseline"/>
        <w:rPr>
          <w:rFonts w:hint="eastAsia" w:ascii="宋体" w:hAnsi="宋体" w:eastAsia="宋体" w:cs="宋体"/>
          <w:sz w:val="32"/>
          <w:szCs w:val="32"/>
        </w:rPr>
      </w:pPr>
      <w:r>
        <w:rPr>
          <w:rFonts w:hint="eastAsia" w:ascii="宋体" w:hAnsi="宋体" w:eastAsia="宋体" w:cs="宋体"/>
          <w:spacing w:val="-16"/>
          <w:sz w:val="32"/>
          <w:szCs w:val="32"/>
        </w:rPr>
        <w:t>202</w:t>
      </w:r>
      <w:r>
        <w:rPr>
          <w:rFonts w:hint="eastAsia" w:ascii="宋体" w:hAnsi="宋体" w:eastAsia="宋体" w:cs="宋体"/>
          <w:spacing w:val="-16"/>
          <w:sz w:val="32"/>
          <w:szCs w:val="32"/>
          <w:lang w:val="en-US" w:eastAsia="zh-CN"/>
        </w:rPr>
        <w:t>5</w:t>
      </w:r>
      <w:r>
        <w:rPr>
          <w:rFonts w:hint="eastAsia" w:ascii="宋体" w:hAnsi="宋体" w:eastAsia="宋体" w:cs="宋体"/>
          <w:spacing w:val="-16"/>
          <w:sz w:val="32"/>
          <w:szCs w:val="32"/>
        </w:rPr>
        <w:t>年</w:t>
      </w:r>
      <w:r>
        <w:rPr>
          <w:rFonts w:hint="eastAsia" w:ascii="宋体" w:hAnsi="宋体" w:eastAsia="宋体" w:cs="宋体"/>
          <w:spacing w:val="-16"/>
          <w:sz w:val="32"/>
          <w:szCs w:val="32"/>
          <w:lang w:val="en-US" w:eastAsia="zh-CN"/>
        </w:rPr>
        <w:t>03</w:t>
      </w:r>
      <w:r>
        <w:rPr>
          <w:rFonts w:hint="eastAsia" w:ascii="宋体" w:hAnsi="宋体" w:eastAsia="宋体" w:cs="宋体"/>
          <w:spacing w:val="-16"/>
          <w:sz w:val="32"/>
          <w:szCs w:val="32"/>
        </w:rPr>
        <w:t>月</w:t>
      </w:r>
      <w:r>
        <w:rPr>
          <w:rFonts w:hint="eastAsia" w:ascii="宋体" w:hAnsi="宋体" w:eastAsia="宋体" w:cs="宋体"/>
          <w:spacing w:val="-16"/>
          <w:sz w:val="32"/>
          <w:szCs w:val="32"/>
          <w:lang w:val="en-US" w:eastAsia="zh-CN"/>
        </w:rPr>
        <w:t>03</w:t>
      </w:r>
      <w:r>
        <w:rPr>
          <w:rFonts w:hint="eastAsia" w:ascii="宋体" w:hAnsi="宋体" w:eastAsia="宋体" w:cs="宋体"/>
          <w:spacing w:val="-16"/>
          <w:sz w:val="32"/>
          <w:szCs w:val="32"/>
        </w:rPr>
        <w:t>日</w:t>
      </w:r>
    </w:p>
    <w:p w14:paraId="1DC33C7D"/>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AC99FA7-6015-482A-88C3-1B983C5868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1B839D16-75EC-447F-97AB-AB0C40307388}"/>
  </w:font>
  <w:font w:name="仿宋">
    <w:panose1 w:val="02010609060101010101"/>
    <w:charset w:val="86"/>
    <w:family w:val="auto"/>
    <w:pitch w:val="default"/>
    <w:sig w:usb0="800002BF" w:usb1="38CF7CFA" w:usb2="00000016" w:usb3="00000000" w:csb0="00040001" w:csb1="00000000"/>
    <w:embedRegular r:id="rId3" w:fontKey="{A8D2C56F-0BBE-45CD-BF04-9B0EA6900AE4}"/>
  </w:font>
  <w:font w:name="方正公文小标宋">
    <w:panose1 w:val="02000500000000000000"/>
    <w:charset w:val="86"/>
    <w:family w:val="auto"/>
    <w:pitch w:val="default"/>
    <w:sig w:usb0="A00002BF" w:usb1="38CF7CFA" w:usb2="00000016" w:usb3="00000000" w:csb0="00040001" w:csb1="00000000"/>
    <w:embedRegular r:id="rId4" w:fontKey="{CB749B79-8022-42E7-BCBD-04FFDF6FA10C}"/>
  </w:font>
  <w:font w:name="楷体">
    <w:panose1 w:val="02010609060101010101"/>
    <w:charset w:val="86"/>
    <w:family w:val="auto"/>
    <w:pitch w:val="default"/>
    <w:sig w:usb0="800002BF" w:usb1="38CF7CFA" w:usb2="00000016" w:usb3="00000000" w:csb0="00040001" w:csb1="00000000"/>
    <w:embedRegular r:id="rId5" w:fontKey="{E2657EB3-F819-4D9F-A6CE-AE08A0F66A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5822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F29E0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BF29E0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31E80F"/>
    <w:multiLevelType w:val="singleLevel"/>
    <w:tmpl w:val="D431E80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097626"/>
    <w:rsid w:val="06996916"/>
    <w:rsid w:val="13421B62"/>
    <w:rsid w:val="1ACB4681"/>
    <w:rsid w:val="1AF018C1"/>
    <w:rsid w:val="1B444488"/>
    <w:rsid w:val="1C9E0364"/>
    <w:rsid w:val="1E047C3F"/>
    <w:rsid w:val="22E542B8"/>
    <w:rsid w:val="26E42026"/>
    <w:rsid w:val="29763EBB"/>
    <w:rsid w:val="2FEE50F3"/>
    <w:rsid w:val="33FD604E"/>
    <w:rsid w:val="40097626"/>
    <w:rsid w:val="41986C6D"/>
    <w:rsid w:val="44B042CE"/>
    <w:rsid w:val="4C0B2731"/>
    <w:rsid w:val="4D244E84"/>
    <w:rsid w:val="4E460862"/>
    <w:rsid w:val="52554706"/>
    <w:rsid w:val="53E932F1"/>
    <w:rsid w:val="59314548"/>
    <w:rsid w:val="5A971D60"/>
    <w:rsid w:val="5AF71A94"/>
    <w:rsid w:val="61991D10"/>
    <w:rsid w:val="633B16F7"/>
    <w:rsid w:val="644C7B14"/>
    <w:rsid w:val="6712451C"/>
    <w:rsid w:val="6B635558"/>
    <w:rsid w:val="6BF342FE"/>
    <w:rsid w:val="788860C0"/>
    <w:rsid w:val="7A1716B3"/>
    <w:rsid w:val="7E043909"/>
    <w:rsid w:val="7F655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3152</Words>
  <Characters>3388</Characters>
  <Lines>0</Lines>
  <Paragraphs>0</Paragraphs>
  <TotalTime>12</TotalTime>
  <ScaleCrop>false</ScaleCrop>
  <LinksUpToDate>false</LinksUpToDate>
  <CharactersWithSpaces>3407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2025-01-15T07:41:00Z</dcterms:created>
  <dc:creator>宁静致远</dc:creator>
  <cp:lastModifiedBy>宁静致远</cp:lastModifiedBy>
  <dcterms:modified xsi:type="dcterms:W3CDTF">2025-03-03T08:12:06Z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94290C5472B04962A8825733F6A2E812_13</vt:lpwstr>
  </property>
  <property fmtid="{D5CDD505-2E9C-101B-9397-08002B2CF9AE}" pid="4" name="KSOTemplateDocerSaveRecord">
    <vt:lpwstr>eyJoZGlkIjoiM2QxZDgzYjM1MTgwOWY2OWI4Y2QxNzI2MDE5MDRhMmYiLCJ1c2VySWQiOiI3NjEwOTQ5NDIifQ==</vt:lpwstr>
  </property>
</Properties>
</file>