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3685E">
      <w:pPr>
        <w:keepNext w:val="0"/>
        <w:keepLines w:val="0"/>
        <w:pageBreakBefore w:val="0"/>
        <w:widowControl/>
        <w:kinsoku w:val="0"/>
        <w:wordWrap/>
        <w:overflowPunct/>
        <w:topLinePunct w:val="0"/>
        <w:autoSpaceDE w:val="0"/>
        <w:autoSpaceDN w:val="0"/>
        <w:bidi w:val="0"/>
        <w:adjustRightInd/>
        <w:snapToGrid/>
        <w:spacing w:line="560" w:lineRule="exact"/>
        <w:ind w:left="0" w:right="0" w:firstLine="0" w:firstLineChars="0"/>
        <w:jc w:val="center"/>
        <w:textAlignment w:val="baseline"/>
        <w:outlineLvl w:val="0"/>
        <w:rPr>
          <w:rFonts w:ascii="方正小标宋简体" w:hAnsi="方正小标宋简体" w:eastAsia="方正小标宋简体" w:cs="方正小标宋简体"/>
          <w:b/>
          <w:bCs/>
          <w:spacing w:val="8"/>
          <w:sz w:val="43"/>
          <w:szCs w:val="43"/>
        </w:rPr>
      </w:pPr>
      <w:r>
        <w:rPr>
          <w:rFonts w:hint="eastAsia" w:ascii="方正小标宋简体" w:hAnsi="方正小标宋简体" w:eastAsia="方正小标宋简体" w:cs="方正小标宋简体"/>
          <w:b/>
          <w:bCs/>
          <w:spacing w:val="8"/>
          <w:sz w:val="43"/>
          <w:szCs w:val="43"/>
          <w:lang w:eastAsia="zh-CN"/>
        </w:rPr>
        <w:t>陕西省</w:t>
      </w:r>
      <w:r>
        <w:rPr>
          <w:rFonts w:ascii="方正小标宋简体" w:hAnsi="方正小标宋简体" w:eastAsia="方正小标宋简体" w:cs="方正小标宋简体"/>
          <w:b/>
          <w:bCs/>
          <w:spacing w:val="8"/>
          <w:sz w:val="43"/>
          <w:szCs w:val="43"/>
        </w:rPr>
        <w:t>地方标准</w:t>
      </w:r>
    </w:p>
    <w:p w14:paraId="7671103D">
      <w:pPr>
        <w:keepNext w:val="0"/>
        <w:keepLines w:val="0"/>
        <w:pageBreakBefore w:val="0"/>
        <w:widowControl/>
        <w:kinsoku w:val="0"/>
        <w:wordWrap/>
        <w:overflowPunct/>
        <w:topLinePunct w:val="0"/>
        <w:autoSpaceDE w:val="0"/>
        <w:autoSpaceDN w:val="0"/>
        <w:bidi w:val="0"/>
        <w:adjustRightInd/>
        <w:snapToGrid/>
        <w:spacing w:line="560" w:lineRule="exact"/>
        <w:ind w:left="0" w:right="0" w:firstLine="0" w:firstLineChars="0"/>
        <w:jc w:val="center"/>
        <w:textAlignment w:val="baseline"/>
        <w:outlineLvl w:val="0"/>
        <w:rPr>
          <w:rFonts w:ascii="方正小标宋简体" w:hAnsi="方正小标宋简体" w:eastAsia="方正小标宋简体" w:cs="方正小标宋简体"/>
          <w:b/>
          <w:bCs/>
          <w:spacing w:val="8"/>
          <w:sz w:val="43"/>
          <w:szCs w:val="43"/>
        </w:rPr>
      </w:pPr>
      <w:r>
        <w:rPr>
          <w:rFonts w:ascii="方正小标宋简体" w:hAnsi="方正小标宋简体" w:eastAsia="方正小标宋简体" w:cs="方正小标宋简体"/>
          <w:b/>
          <w:bCs/>
          <w:spacing w:val="10"/>
          <w:sz w:val="43"/>
          <w:szCs w:val="43"/>
        </w:rPr>
        <w:t>《</w:t>
      </w:r>
      <w:r>
        <w:rPr>
          <w:rFonts w:hint="eastAsia" w:ascii="方正小标宋简体" w:hAnsi="方正小标宋简体" w:eastAsia="方正小标宋简体" w:cs="方正小标宋简体"/>
          <w:b/>
          <w:bCs/>
          <w:spacing w:val="10"/>
          <w:sz w:val="43"/>
          <w:szCs w:val="43"/>
          <w:lang w:eastAsia="zh-CN"/>
        </w:rPr>
        <w:t>客运索道使用单位运营安全管理规范</w:t>
      </w:r>
      <w:r>
        <w:rPr>
          <w:rFonts w:ascii="方正小标宋简体" w:hAnsi="方正小标宋简体" w:eastAsia="方正小标宋简体" w:cs="方正小标宋简体"/>
          <w:b/>
          <w:bCs/>
          <w:spacing w:val="10"/>
          <w:sz w:val="43"/>
          <w:szCs w:val="43"/>
        </w:rPr>
        <w:t>》</w:t>
      </w:r>
      <w:r>
        <w:rPr>
          <w:rFonts w:ascii="方正小标宋简体" w:hAnsi="方正小标宋简体" w:eastAsia="方正小标宋简体" w:cs="方正小标宋简体"/>
          <w:b/>
          <w:bCs/>
          <w:spacing w:val="8"/>
          <w:sz w:val="43"/>
          <w:szCs w:val="43"/>
        </w:rPr>
        <w:t>（</w:t>
      </w:r>
      <w:r>
        <w:rPr>
          <w:rFonts w:hint="eastAsia" w:ascii="方正小标宋简体" w:hAnsi="方正小标宋简体" w:eastAsia="方正小标宋简体" w:cs="方正小标宋简体"/>
          <w:b/>
          <w:bCs/>
          <w:spacing w:val="8"/>
          <w:sz w:val="43"/>
          <w:szCs w:val="43"/>
          <w:lang w:val="en-US" w:eastAsia="zh-CN"/>
        </w:rPr>
        <w:t>征求意见稿</w:t>
      </w:r>
      <w:r>
        <w:rPr>
          <w:rFonts w:ascii="方正小标宋简体" w:hAnsi="方正小标宋简体" w:eastAsia="方正小标宋简体" w:cs="方正小标宋简体"/>
          <w:b/>
          <w:bCs/>
          <w:spacing w:val="8"/>
          <w:sz w:val="43"/>
          <w:szCs w:val="43"/>
        </w:rPr>
        <w:t>）编制说明</w:t>
      </w:r>
    </w:p>
    <w:p w14:paraId="3E2D6C39">
      <w:pPr>
        <w:keepNext w:val="0"/>
        <w:keepLines w:val="0"/>
        <w:pageBreakBefore w:val="0"/>
        <w:widowControl/>
        <w:kinsoku w:val="0"/>
        <w:wordWrap/>
        <w:overflowPunct/>
        <w:topLinePunct w:val="0"/>
        <w:autoSpaceDE w:val="0"/>
        <w:autoSpaceDN w:val="0"/>
        <w:bidi w:val="0"/>
        <w:adjustRightInd/>
        <w:snapToGrid/>
        <w:spacing w:line="560" w:lineRule="exact"/>
        <w:ind w:right="0"/>
        <w:textAlignment w:val="baseline"/>
        <w:rPr>
          <w:rFonts w:hint="eastAsia" w:ascii="黑体" w:hAnsi="黑体" w:eastAsia="黑体" w:cs="黑体"/>
          <w:sz w:val="32"/>
          <w:szCs w:val="32"/>
          <w:lang w:eastAsia="zh-CN"/>
        </w:rPr>
      </w:pPr>
      <w:r>
        <w:rPr>
          <w:rFonts w:hint="eastAsia" w:ascii="黑体" w:hAnsi="黑体" w:eastAsia="黑体" w:cs="黑体"/>
          <w:spacing w:val="7"/>
          <w:sz w:val="32"/>
          <w:szCs w:val="32"/>
          <w:lang w:val="en-US" w:eastAsia="zh-CN"/>
        </w:rPr>
        <w:t>一</w:t>
      </w:r>
      <w:r>
        <w:rPr>
          <w:rFonts w:ascii="黑体" w:hAnsi="黑体" w:eastAsia="黑体" w:cs="黑体"/>
          <w:spacing w:val="7"/>
          <w:sz w:val="32"/>
          <w:szCs w:val="32"/>
        </w:rPr>
        <w:t>、工作</w:t>
      </w:r>
      <w:r>
        <w:rPr>
          <w:rFonts w:hint="eastAsia" w:ascii="黑体" w:hAnsi="黑体" w:eastAsia="黑体" w:cs="黑体"/>
          <w:spacing w:val="7"/>
          <w:sz w:val="32"/>
          <w:szCs w:val="32"/>
          <w:lang w:val="en-US" w:eastAsia="zh-CN"/>
        </w:rPr>
        <w:t>概况</w:t>
      </w:r>
    </w:p>
    <w:p w14:paraId="321FBE89">
      <w:pPr>
        <w:keepNext w:val="0"/>
        <w:keepLines w:val="0"/>
        <w:pageBreakBefore w:val="0"/>
        <w:widowControl/>
        <w:kinsoku w:val="0"/>
        <w:wordWrap/>
        <w:overflowPunct/>
        <w:topLinePunct w:val="0"/>
        <w:autoSpaceDE w:val="0"/>
        <w:autoSpaceDN w:val="0"/>
        <w:bidi w:val="0"/>
        <w:adjustRightInd/>
        <w:snapToGrid/>
        <w:spacing w:line="560" w:lineRule="exact"/>
        <w:ind w:left="0" w:right="0" w:firstLine="651" w:firstLineChars="200"/>
        <w:textAlignment w:val="baseline"/>
        <w:outlineLvl w:val="2"/>
        <w:rPr>
          <w:rFonts w:ascii="楷体" w:hAnsi="楷体" w:eastAsia="楷体" w:cs="楷体"/>
          <w:sz w:val="32"/>
          <w:szCs w:val="32"/>
        </w:rPr>
      </w:pPr>
      <w:r>
        <w:rPr>
          <w:rFonts w:ascii="楷体" w:hAnsi="楷体" w:eastAsia="楷体" w:cs="楷体"/>
          <w:b/>
          <w:bCs/>
          <w:spacing w:val="2"/>
          <w:sz w:val="32"/>
          <w:szCs w:val="32"/>
        </w:rPr>
        <w:t>（一）任务来源</w:t>
      </w:r>
    </w:p>
    <w:p w14:paraId="427D62B3">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spacing w:val="3"/>
          <w:sz w:val="32"/>
          <w:szCs w:val="32"/>
          <w:lang w:val="en-US" w:eastAsia="zh-CN"/>
        </w:rPr>
      </w:pPr>
      <w:r>
        <w:rPr>
          <w:rFonts w:hint="eastAsia"/>
          <w:spacing w:val="8"/>
          <w:sz w:val="32"/>
          <w:szCs w:val="32"/>
          <w:lang w:val="en-US" w:eastAsia="zh-CN"/>
        </w:rPr>
        <w:t>标准编制任务来源于</w:t>
      </w:r>
      <w:r>
        <w:rPr>
          <w:spacing w:val="8"/>
          <w:sz w:val="32"/>
          <w:szCs w:val="32"/>
        </w:rPr>
        <w:t>《</w:t>
      </w:r>
      <w:r>
        <w:rPr>
          <w:rFonts w:hint="eastAsia"/>
          <w:spacing w:val="8"/>
          <w:sz w:val="32"/>
          <w:szCs w:val="32"/>
        </w:rPr>
        <w:t>陕西省市场监督管理局关于下达2023年度陕西省地方标准制修订项目计划的通知</w:t>
      </w:r>
      <w:r>
        <w:rPr>
          <w:spacing w:val="7"/>
          <w:sz w:val="32"/>
          <w:szCs w:val="32"/>
        </w:rPr>
        <w:t>》</w:t>
      </w:r>
      <w:r>
        <w:rPr>
          <w:spacing w:val="3"/>
          <w:sz w:val="32"/>
          <w:szCs w:val="32"/>
        </w:rPr>
        <w:t>（</w:t>
      </w:r>
      <w:r>
        <w:rPr>
          <w:rFonts w:hint="eastAsia"/>
          <w:spacing w:val="3"/>
          <w:sz w:val="32"/>
          <w:szCs w:val="32"/>
        </w:rPr>
        <w:t>陕市监函</w:t>
      </w:r>
      <w:r>
        <w:rPr>
          <w:rFonts w:hint="eastAsia"/>
          <w:spacing w:val="3"/>
          <w:sz w:val="32"/>
          <w:szCs w:val="32"/>
          <w:lang w:eastAsia="zh-CN"/>
        </w:rPr>
        <w:t>〔2023〕410号</w:t>
      </w:r>
      <w:r>
        <w:rPr>
          <w:spacing w:val="3"/>
          <w:sz w:val="32"/>
          <w:szCs w:val="32"/>
        </w:rPr>
        <w:t>）</w:t>
      </w:r>
      <w:r>
        <w:rPr>
          <w:rFonts w:hint="eastAsia"/>
          <w:spacing w:val="3"/>
          <w:sz w:val="32"/>
          <w:szCs w:val="32"/>
          <w:lang w:eastAsia="zh-CN"/>
        </w:rPr>
        <w:t>，</w:t>
      </w:r>
      <w:r>
        <w:rPr>
          <w:rFonts w:hint="eastAsia"/>
          <w:spacing w:val="3"/>
          <w:sz w:val="32"/>
          <w:szCs w:val="32"/>
          <w:lang w:val="en-US" w:eastAsia="zh-CN"/>
        </w:rPr>
        <w:t>项目编号：SDBXM220-2023。</w:t>
      </w:r>
    </w:p>
    <w:p w14:paraId="5EBCE5E2">
      <w:pPr>
        <w:keepNext w:val="0"/>
        <w:keepLines w:val="0"/>
        <w:pageBreakBefore w:val="0"/>
        <w:widowControl/>
        <w:kinsoku w:val="0"/>
        <w:wordWrap/>
        <w:overflowPunct/>
        <w:topLinePunct w:val="0"/>
        <w:autoSpaceDE w:val="0"/>
        <w:autoSpaceDN w:val="0"/>
        <w:bidi w:val="0"/>
        <w:adjustRightInd/>
        <w:snapToGrid/>
        <w:spacing w:line="560" w:lineRule="exact"/>
        <w:ind w:left="0" w:right="0" w:firstLine="651" w:firstLineChars="200"/>
        <w:textAlignment w:val="baseline"/>
        <w:outlineLvl w:val="2"/>
        <w:rPr>
          <w:rFonts w:hint="eastAsia" w:ascii="楷体" w:hAnsi="楷体" w:eastAsia="楷体" w:cs="楷体"/>
          <w:b/>
          <w:bCs/>
          <w:spacing w:val="2"/>
          <w:sz w:val="32"/>
          <w:szCs w:val="32"/>
          <w:lang w:val="en-US" w:eastAsia="zh-CN"/>
        </w:rPr>
      </w:pPr>
      <w:r>
        <w:rPr>
          <w:rFonts w:hint="eastAsia" w:ascii="楷体" w:hAnsi="楷体" w:eastAsia="楷体" w:cs="楷体"/>
          <w:b/>
          <w:bCs/>
          <w:spacing w:val="2"/>
          <w:sz w:val="32"/>
          <w:szCs w:val="32"/>
          <w:lang w:val="en-US" w:eastAsia="zh-CN"/>
        </w:rPr>
        <w:t>（二）目的意义</w:t>
      </w:r>
    </w:p>
    <w:p w14:paraId="75D0FA89">
      <w:pPr>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ascii="仿宋" w:hAnsi="仿宋" w:eastAsia="仿宋" w:cs="仿宋"/>
          <w:snapToGrid w:val="0"/>
          <w:color w:val="000000"/>
          <w:spacing w:val="8"/>
          <w:kern w:val="0"/>
          <w:sz w:val="32"/>
          <w:szCs w:val="32"/>
          <w:lang w:val="en-US" w:eastAsia="zh-CN" w:bidi="ar-SA"/>
        </w:rPr>
      </w:pPr>
      <w:r>
        <w:rPr>
          <w:rFonts w:hint="eastAsia" w:ascii="仿宋" w:hAnsi="仿宋" w:eastAsia="仿宋" w:cs="仿宋"/>
          <w:snapToGrid w:val="0"/>
          <w:color w:val="000000"/>
          <w:spacing w:val="8"/>
          <w:kern w:val="0"/>
          <w:sz w:val="32"/>
          <w:szCs w:val="32"/>
          <w:lang w:val="en-US" w:eastAsia="zh-CN" w:bidi="ar-SA"/>
        </w:rPr>
        <w:t>安全生产是关乎人民群众生命财产的大事，推进企业安全生产管理规范，是党中央、国务院高度重视和大力加强安全生产工作的一项战略举措。2021年修订的《中华人民共和国安全生产法》进一步完善、强化和落实了生产经营单位的主体责任。加大了生产经营单位对安全规范管理、安全风险管控与隐患排查、从业人员职业健康的管理力度。这就使得强化企业安全生产和安全管理成为一项基础性、长期性、前瞻性、根本性的工作。需要持之以恒、始终坚持、常抓不懈。</w:t>
      </w:r>
    </w:p>
    <w:p w14:paraId="53273972">
      <w:pPr>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ascii="仿宋" w:hAnsi="仿宋" w:eastAsia="仿宋" w:cs="仿宋"/>
          <w:snapToGrid w:val="0"/>
          <w:color w:val="000000"/>
          <w:spacing w:val="8"/>
          <w:kern w:val="0"/>
          <w:sz w:val="32"/>
          <w:szCs w:val="32"/>
          <w:lang w:val="en-US" w:eastAsia="zh-CN" w:bidi="ar-SA"/>
        </w:rPr>
      </w:pPr>
      <w:r>
        <w:rPr>
          <w:rFonts w:hint="eastAsia" w:ascii="仿宋" w:hAnsi="仿宋" w:eastAsia="仿宋" w:cs="仿宋"/>
          <w:snapToGrid w:val="0"/>
          <w:color w:val="000000"/>
          <w:spacing w:val="8"/>
          <w:kern w:val="0"/>
          <w:sz w:val="32"/>
          <w:szCs w:val="32"/>
          <w:lang w:val="en-US" w:eastAsia="zh-CN" w:bidi="ar-SA"/>
        </w:rPr>
        <w:t>客运索道作为特种设备之一，近年来随着国家旅游行业的蓬勃发展以及受2022冬奥会影响，客运索道数量急剧攀增。截至2022年底，我国客运索道数量增加至1180条（含雪场滑雪索道）。我省目前现有索道38条，从业人员950余人。随着近几年客运索道设备的持续老化，客运索道的安全管理形势严峻，特别是2023年《市场监管总局关于近期大型游乐实施和客运索事件情况的通报》（国市监特发〔2023〕6号）文件，为我省客运索道使用单位的安全管理敲响了警钟，如何建立客运索道安全管理体系，全方位指导客运索道使用单位开展现场安全管理，是当前我们迫切需要解决的重要问题。</w:t>
      </w:r>
    </w:p>
    <w:p w14:paraId="0D370BD4">
      <w:pPr>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ascii="仿宋" w:hAnsi="仿宋" w:eastAsia="仿宋" w:cs="仿宋"/>
          <w:snapToGrid w:val="0"/>
          <w:color w:val="000000"/>
          <w:spacing w:val="8"/>
          <w:kern w:val="0"/>
          <w:sz w:val="32"/>
          <w:szCs w:val="32"/>
          <w:lang w:val="en-US" w:eastAsia="zh-CN" w:bidi="ar-SA"/>
        </w:rPr>
      </w:pPr>
      <w:r>
        <w:rPr>
          <w:rFonts w:hint="eastAsia" w:ascii="仿宋" w:hAnsi="仿宋" w:eastAsia="仿宋" w:cs="仿宋"/>
          <w:snapToGrid w:val="0"/>
          <w:color w:val="000000"/>
          <w:spacing w:val="8"/>
          <w:kern w:val="0"/>
          <w:sz w:val="32"/>
          <w:szCs w:val="32"/>
          <w:lang w:val="en-US" w:eastAsia="zh-CN" w:bidi="ar-SA"/>
        </w:rPr>
        <w:t>目前，国内现有的国家标准中，《客运架空索道安全规范》（GB12352-2018）全面从设备管理方面作出了相关的规定和要求，对客运索道使用单位安全机构设置、安全人员配置以及运营现场安全管理、安全风险管控及隐患排查未作出明确、详细的规定。《客运索道安全服务质量》（GB/T 24728-2009）从法律法规、应急预案、治安秩序、服务组织等方面作了相应规定，但对客运索道使用单位现场管理以及职业健康等方面未进行相关要求。本次制定的《客运索道使用单位安全管理规范》结合了最新的《特种设备使用单位落实安全主体责任监督管理规定》（总局74号令）的相关文件精神，首次提出了客运索道使用单位在安全人员配置中设置“安全总监”及“安全员”配置，并首次明确了不同客运索道类型中安全管理人员和作业人员的最低配置。同时对客运索道使用单位在安全管理过程中的机构设置、安全人员配置、安全制度管理、设备设施管理、职业健康、安全风险管控及安全隐患排查、应急管理、持续改进等8个方面进行了规定。进一步完善我省客运索道使用单位在日常运营过程中的各项安全管理要求。对后期提高我省客运索道安全管理水平，推动、指导我省客运索道使用单位建立健全安全管理长效机制起到了积极的作用。</w:t>
      </w:r>
    </w:p>
    <w:p w14:paraId="70677BB9">
      <w:pPr>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ascii="仿宋" w:hAnsi="仿宋" w:eastAsia="仿宋" w:cs="仿宋"/>
          <w:snapToGrid w:val="0"/>
          <w:color w:val="000000"/>
          <w:spacing w:val="8"/>
          <w:kern w:val="0"/>
          <w:sz w:val="32"/>
          <w:szCs w:val="32"/>
          <w:lang w:val="en-US" w:eastAsia="zh-CN" w:bidi="ar-SA"/>
        </w:rPr>
      </w:pPr>
      <w:r>
        <w:rPr>
          <w:rFonts w:hint="eastAsia" w:ascii="仿宋" w:hAnsi="仿宋" w:eastAsia="仿宋" w:cs="仿宋"/>
          <w:snapToGrid w:val="0"/>
          <w:color w:val="000000"/>
          <w:spacing w:val="8"/>
          <w:kern w:val="0"/>
          <w:sz w:val="32"/>
          <w:szCs w:val="32"/>
          <w:lang w:val="en-US" w:eastAsia="zh-CN" w:bidi="ar-SA"/>
        </w:rPr>
        <w:t xml:space="preserve">目前，我省暂时没有对客运索道使用单位如何建立安全管理规范、构建安全体系进行规范。同时，我省客运索道使用单位对此又有强烈的需求。为此，制定本管理规范能够进一步完善我省客运索道使用单位在日常运营过程中的各项安全管理要求，细化各项安全管理规范，全面构建起我省客运索道使用单位的安全管理体系。对后期深化和强化我省客运索道运营企业落实安全生产责任，提高我省客运索道安全管理水平有着十分重要的意义和必要性。 </w:t>
      </w:r>
    </w:p>
    <w:p w14:paraId="72191BE9">
      <w:pPr>
        <w:keepNext w:val="0"/>
        <w:keepLines w:val="0"/>
        <w:pageBreakBefore w:val="0"/>
        <w:widowControl/>
        <w:kinsoku w:val="0"/>
        <w:wordWrap/>
        <w:overflowPunct/>
        <w:topLinePunct w:val="0"/>
        <w:autoSpaceDE w:val="0"/>
        <w:autoSpaceDN w:val="0"/>
        <w:bidi w:val="0"/>
        <w:adjustRightInd/>
        <w:snapToGrid/>
        <w:spacing w:line="560" w:lineRule="exact"/>
        <w:ind w:left="0" w:right="0" w:firstLine="663" w:firstLineChars="200"/>
        <w:textAlignment w:val="baseline"/>
        <w:outlineLvl w:val="2"/>
        <w:rPr>
          <w:rFonts w:ascii="楷体" w:hAnsi="楷体" w:eastAsia="楷体" w:cs="楷体"/>
          <w:sz w:val="32"/>
          <w:szCs w:val="32"/>
        </w:rPr>
      </w:pPr>
      <w:r>
        <w:rPr>
          <w:rFonts w:ascii="楷体" w:hAnsi="楷体" w:eastAsia="楷体" w:cs="楷体"/>
          <w:b/>
          <w:bCs/>
          <w:spacing w:val="5"/>
          <w:sz w:val="32"/>
          <w:szCs w:val="32"/>
        </w:rPr>
        <w:t>（</w:t>
      </w:r>
      <w:r>
        <w:rPr>
          <w:rFonts w:hint="eastAsia" w:ascii="楷体" w:hAnsi="楷体" w:eastAsia="楷体" w:cs="楷体"/>
          <w:b/>
          <w:bCs/>
          <w:spacing w:val="5"/>
          <w:sz w:val="32"/>
          <w:szCs w:val="32"/>
          <w:lang w:val="en-US" w:eastAsia="zh-CN"/>
        </w:rPr>
        <w:t>三</w:t>
      </w:r>
      <w:r>
        <w:rPr>
          <w:rFonts w:ascii="楷体" w:hAnsi="楷体" w:eastAsia="楷体" w:cs="楷体"/>
          <w:b/>
          <w:bCs/>
          <w:spacing w:val="5"/>
          <w:sz w:val="32"/>
          <w:szCs w:val="32"/>
        </w:rPr>
        <w:t>）</w:t>
      </w:r>
      <w:r>
        <w:rPr>
          <w:rFonts w:hint="eastAsia" w:ascii="楷体" w:hAnsi="楷体" w:eastAsia="楷体" w:cs="楷体"/>
          <w:b/>
          <w:bCs/>
          <w:spacing w:val="5"/>
          <w:sz w:val="32"/>
          <w:szCs w:val="32"/>
          <w:lang w:val="en-US" w:eastAsia="zh-CN"/>
        </w:rPr>
        <w:t>主导</w:t>
      </w:r>
      <w:r>
        <w:rPr>
          <w:rFonts w:ascii="楷体" w:hAnsi="楷体" w:eastAsia="楷体" w:cs="楷体"/>
          <w:b/>
          <w:bCs/>
          <w:spacing w:val="5"/>
          <w:sz w:val="32"/>
          <w:szCs w:val="32"/>
        </w:rPr>
        <w:t>单位</w:t>
      </w:r>
    </w:p>
    <w:p w14:paraId="2D3A88ED">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eastAsia="仿宋"/>
          <w:spacing w:val="8"/>
          <w:sz w:val="32"/>
          <w:szCs w:val="32"/>
          <w:lang w:eastAsia="zh-CN"/>
        </w:rPr>
      </w:pPr>
      <w:r>
        <w:rPr>
          <w:spacing w:val="8"/>
          <w:sz w:val="32"/>
          <w:szCs w:val="32"/>
        </w:rPr>
        <w:t>本标准</w:t>
      </w:r>
      <w:r>
        <w:rPr>
          <w:rFonts w:hint="eastAsia"/>
          <w:spacing w:val="8"/>
          <w:sz w:val="32"/>
          <w:szCs w:val="32"/>
          <w:lang w:val="en-US" w:eastAsia="zh-CN"/>
        </w:rPr>
        <w:t>主导单位为陕西骏景索道投资建设有限公司，参与单位有陕西省特种设备检验检测研究院、陕西太华旅游索道公路有限公司、陕西太白山索道管理有限公司、陕西骏景索道运营管理有限公司。</w:t>
      </w:r>
    </w:p>
    <w:p w14:paraId="7853C0E0">
      <w:pPr>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2"/>
        <w:rPr>
          <w:rFonts w:ascii="楷体" w:hAnsi="楷体" w:eastAsia="楷体" w:cs="楷体"/>
          <w:sz w:val="32"/>
          <w:szCs w:val="32"/>
        </w:rPr>
      </w:pPr>
      <w:r>
        <w:rPr>
          <w:rFonts w:ascii="楷体" w:hAnsi="楷体" w:eastAsia="楷体" w:cs="楷体"/>
          <w:b/>
          <w:bCs/>
          <w:spacing w:val="3"/>
          <w:sz w:val="32"/>
          <w:szCs w:val="32"/>
        </w:rPr>
        <w:t>（</w:t>
      </w:r>
      <w:r>
        <w:rPr>
          <w:rFonts w:hint="eastAsia" w:ascii="楷体" w:hAnsi="楷体" w:eastAsia="楷体" w:cs="楷体"/>
          <w:b/>
          <w:bCs/>
          <w:spacing w:val="3"/>
          <w:sz w:val="32"/>
          <w:szCs w:val="32"/>
          <w:lang w:val="en-US" w:eastAsia="zh-CN"/>
        </w:rPr>
        <w:t>四</w:t>
      </w:r>
      <w:r>
        <w:rPr>
          <w:rFonts w:ascii="楷体" w:hAnsi="楷体" w:eastAsia="楷体" w:cs="楷体"/>
          <w:b/>
          <w:bCs/>
          <w:spacing w:val="3"/>
          <w:sz w:val="32"/>
          <w:szCs w:val="32"/>
        </w:rPr>
        <w:t>）主要工作过程</w:t>
      </w:r>
    </w:p>
    <w:p w14:paraId="3479DF9A">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43" w:firstLineChars="200"/>
        <w:textAlignment w:val="baseline"/>
        <w:outlineLvl w:val="3"/>
        <w:rPr>
          <w:sz w:val="32"/>
          <w:szCs w:val="32"/>
        </w:rPr>
      </w:pPr>
      <w:r>
        <w:rPr>
          <w:b/>
          <w:bCs/>
          <w:sz w:val="32"/>
          <w:szCs w:val="32"/>
        </w:rPr>
        <w:t>1.预研阶段</w:t>
      </w:r>
    </w:p>
    <w:p w14:paraId="3ECFC276">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2" w:firstLineChars="200"/>
        <w:textAlignment w:val="baseline"/>
        <w:rPr>
          <w:sz w:val="32"/>
          <w:szCs w:val="32"/>
        </w:rPr>
      </w:pPr>
      <w:r>
        <w:rPr>
          <w:spacing w:val="3"/>
          <w:sz w:val="32"/>
          <w:szCs w:val="32"/>
        </w:rPr>
        <w:t>2023年</w:t>
      </w:r>
      <w:r>
        <w:rPr>
          <w:rFonts w:hint="eastAsia"/>
          <w:spacing w:val="3"/>
          <w:sz w:val="32"/>
          <w:szCs w:val="32"/>
          <w:lang w:val="en-US" w:eastAsia="zh-CN"/>
        </w:rPr>
        <w:t>1</w:t>
      </w:r>
      <w:r>
        <w:rPr>
          <w:spacing w:val="3"/>
          <w:sz w:val="32"/>
          <w:szCs w:val="32"/>
        </w:rPr>
        <w:t>-</w:t>
      </w:r>
      <w:r>
        <w:rPr>
          <w:rFonts w:hint="eastAsia"/>
          <w:spacing w:val="3"/>
          <w:sz w:val="32"/>
          <w:szCs w:val="32"/>
          <w:lang w:val="en-US" w:eastAsia="zh-CN"/>
        </w:rPr>
        <w:t>4</w:t>
      </w:r>
      <w:r>
        <w:rPr>
          <w:spacing w:val="3"/>
          <w:sz w:val="32"/>
          <w:szCs w:val="32"/>
        </w:rPr>
        <w:t>月，由</w:t>
      </w:r>
      <w:r>
        <w:rPr>
          <w:rFonts w:hint="eastAsia"/>
          <w:spacing w:val="3"/>
          <w:sz w:val="32"/>
          <w:szCs w:val="32"/>
          <w:lang w:eastAsia="zh-CN"/>
        </w:rPr>
        <w:t>陕西省</w:t>
      </w:r>
      <w:r>
        <w:rPr>
          <w:spacing w:val="3"/>
          <w:sz w:val="32"/>
          <w:szCs w:val="32"/>
        </w:rPr>
        <w:t>特种设备检测科学研究院牵头，</w:t>
      </w:r>
      <w:r>
        <w:rPr>
          <w:spacing w:val="12"/>
          <w:sz w:val="32"/>
          <w:szCs w:val="32"/>
        </w:rPr>
        <w:t>联合</w:t>
      </w:r>
      <w:r>
        <w:rPr>
          <w:rFonts w:hint="eastAsia"/>
          <w:spacing w:val="12"/>
          <w:sz w:val="32"/>
          <w:szCs w:val="32"/>
          <w:lang w:val="en-US" w:eastAsia="zh-CN"/>
        </w:rPr>
        <w:t>标准参编单位</w:t>
      </w:r>
      <w:r>
        <w:rPr>
          <w:spacing w:val="12"/>
          <w:sz w:val="32"/>
          <w:szCs w:val="32"/>
        </w:rPr>
        <w:t>组成</w:t>
      </w:r>
      <w:r>
        <w:rPr>
          <w:rFonts w:hint="eastAsia"/>
          <w:spacing w:val="12"/>
          <w:sz w:val="32"/>
          <w:szCs w:val="32"/>
          <w:lang w:eastAsia="zh-CN"/>
        </w:rPr>
        <w:t>标准起草工作组</w:t>
      </w:r>
      <w:r>
        <w:rPr>
          <w:spacing w:val="12"/>
          <w:sz w:val="32"/>
          <w:szCs w:val="32"/>
        </w:rPr>
        <w:t>，初步讨论明确标准制定方向，明确责任分工。</w:t>
      </w:r>
      <w:r>
        <w:rPr>
          <w:rFonts w:hint="eastAsia"/>
          <w:spacing w:val="12"/>
          <w:sz w:val="32"/>
          <w:szCs w:val="32"/>
          <w:lang w:eastAsia="zh-CN"/>
        </w:rPr>
        <w:t>标准起草工作组</w:t>
      </w:r>
      <w:r>
        <w:rPr>
          <w:spacing w:val="12"/>
          <w:sz w:val="32"/>
          <w:szCs w:val="32"/>
        </w:rPr>
        <w:t>搜集相关资料，在</w:t>
      </w:r>
      <w:r>
        <w:rPr>
          <w:rFonts w:hint="eastAsia"/>
          <w:spacing w:val="12"/>
          <w:sz w:val="32"/>
          <w:szCs w:val="32"/>
          <w:lang w:val="en-US" w:eastAsia="zh-CN"/>
        </w:rPr>
        <w:t>陕西省市场监督管理局特种设备安全监察局的</w:t>
      </w:r>
      <w:r>
        <w:rPr>
          <w:spacing w:val="12"/>
          <w:sz w:val="32"/>
          <w:szCs w:val="32"/>
        </w:rPr>
        <w:t>指导下，根据</w:t>
      </w:r>
      <w:r>
        <w:rPr>
          <w:rFonts w:hint="eastAsia"/>
          <w:spacing w:val="12"/>
          <w:sz w:val="32"/>
          <w:szCs w:val="32"/>
          <w:lang w:eastAsia="zh-CN"/>
        </w:rPr>
        <w:t>客运索道作业人员考核管理工作</w:t>
      </w:r>
      <w:r>
        <w:rPr>
          <w:spacing w:val="12"/>
          <w:sz w:val="32"/>
          <w:szCs w:val="32"/>
        </w:rPr>
        <w:t>现状，形成标准草案和立项</w:t>
      </w:r>
      <w:r>
        <w:rPr>
          <w:rFonts w:hint="eastAsia"/>
          <w:spacing w:val="12"/>
          <w:sz w:val="32"/>
          <w:szCs w:val="32"/>
          <w:lang w:val="en-US" w:eastAsia="zh-CN"/>
        </w:rPr>
        <w:t>申请书</w:t>
      </w:r>
      <w:r>
        <w:rPr>
          <w:spacing w:val="-7"/>
          <w:sz w:val="32"/>
          <w:szCs w:val="32"/>
        </w:rPr>
        <w:t>。</w:t>
      </w:r>
    </w:p>
    <w:p w14:paraId="1FAD2BC0">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3"/>
        <w:rPr>
          <w:sz w:val="32"/>
          <w:szCs w:val="32"/>
        </w:rPr>
      </w:pPr>
      <w:r>
        <w:rPr>
          <w:b/>
          <w:bCs/>
          <w:spacing w:val="3"/>
          <w:sz w:val="32"/>
          <w:szCs w:val="32"/>
        </w:rPr>
        <w:t>2.标准立项</w:t>
      </w:r>
    </w:p>
    <w:p w14:paraId="1893BA5F">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28" w:firstLineChars="200"/>
        <w:textAlignment w:val="baseline"/>
        <w:rPr>
          <w:sz w:val="32"/>
          <w:szCs w:val="32"/>
        </w:rPr>
      </w:pPr>
      <w:r>
        <w:rPr>
          <w:spacing w:val="-3"/>
          <w:sz w:val="32"/>
          <w:szCs w:val="32"/>
        </w:rPr>
        <w:t>2023年</w:t>
      </w:r>
      <w:r>
        <w:rPr>
          <w:rFonts w:hint="eastAsia"/>
          <w:spacing w:val="-3"/>
          <w:sz w:val="32"/>
          <w:szCs w:val="32"/>
          <w:lang w:val="en-US" w:eastAsia="zh-CN"/>
        </w:rPr>
        <w:t>4</w:t>
      </w:r>
      <w:r>
        <w:rPr>
          <w:spacing w:val="-3"/>
          <w:sz w:val="32"/>
          <w:szCs w:val="32"/>
        </w:rPr>
        <w:t>月</w:t>
      </w:r>
      <w:r>
        <w:rPr>
          <w:rFonts w:hint="eastAsia"/>
          <w:spacing w:val="-3"/>
          <w:sz w:val="32"/>
          <w:szCs w:val="32"/>
          <w:lang w:val="en-US" w:eastAsia="zh-CN"/>
        </w:rPr>
        <w:t>26</w:t>
      </w:r>
      <w:r>
        <w:rPr>
          <w:spacing w:val="-3"/>
          <w:sz w:val="32"/>
          <w:szCs w:val="32"/>
        </w:rPr>
        <w:t>日，</w:t>
      </w:r>
      <w:r>
        <w:rPr>
          <w:rFonts w:hint="eastAsia"/>
          <w:spacing w:val="-3"/>
          <w:sz w:val="32"/>
          <w:szCs w:val="32"/>
          <w:lang w:val="en-US" w:eastAsia="zh-CN"/>
        </w:rPr>
        <w:t>由陕西省市场监督管理局组织，</w:t>
      </w:r>
      <w:r>
        <w:rPr>
          <w:spacing w:val="-3"/>
          <w:sz w:val="32"/>
          <w:szCs w:val="32"/>
        </w:rPr>
        <w:t>在</w:t>
      </w:r>
      <w:r>
        <w:rPr>
          <w:rFonts w:hint="eastAsia"/>
          <w:spacing w:val="-3"/>
          <w:sz w:val="32"/>
          <w:szCs w:val="32"/>
          <w:lang w:val="en-US" w:eastAsia="zh-CN"/>
        </w:rPr>
        <w:t>西安市</w:t>
      </w:r>
      <w:r>
        <w:rPr>
          <w:spacing w:val="-3"/>
          <w:sz w:val="32"/>
          <w:szCs w:val="32"/>
        </w:rPr>
        <w:t>召开了标准</w:t>
      </w:r>
      <w:r>
        <w:rPr>
          <w:spacing w:val="-4"/>
          <w:sz w:val="32"/>
          <w:szCs w:val="32"/>
        </w:rPr>
        <w:t>立项论证会，与会</w:t>
      </w:r>
      <w:r>
        <w:rPr>
          <w:spacing w:val="12"/>
          <w:sz w:val="32"/>
          <w:szCs w:val="32"/>
        </w:rPr>
        <w:t>专家听取了</w:t>
      </w:r>
      <w:r>
        <w:rPr>
          <w:rFonts w:hint="eastAsia"/>
          <w:spacing w:val="12"/>
          <w:sz w:val="32"/>
          <w:szCs w:val="32"/>
          <w:lang w:eastAsia="zh-CN"/>
        </w:rPr>
        <w:t>标准起草工作组</w:t>
      </w:r>
      <w:r>
        <w:rPr>
          <w:rFonts w:hint="eastAsia"/>
          <w:spacing w:val="12"/>
          <w:sz w:val="32"/>
          <w:szCs w:val="32"/>
          <w:lang w:val="en-US" w:eastAsia="zh-CN"/>
        </w:rPr>
        <w:t>的</w:t>
      </w:r>
      <w:r>
        <w:rPr>
          <w:spacing w:val="12"/>
          <w:sz w:val="32"/>
          <w:szCs w:val="32"/>
        </w:rPr>
        <w:t>介绍，对制定标准的必要性、可行性、协调性、预期效益等方面予以充分肯定同</w:t>
      </w:r>
      <w:r>
        <w:rPr>
          <w:spacing w:val="4"/>
          <w:sz w:val="32"/>
          <w:szCs w:val="32"/>
        </w:rPr>
        <w:t>意立项</w:t>
      </w:r>
      <w:r>
        <w:rPr>
          <w:rFonts w:hint="eastAsia"/>
          <w:spacing w:val="4"/>
          <w:sz w:val="32"/>
          <w:szCs w:val="32"/>
          <w:lang w:eastAsia="zh-CN"/>
        </w:rPr>
        <w:t>。</w:t>
      </w:r>
      <w:r>
        <w:rPr>
          <w:rFonts w:hint="eastAsia"/>
          <w:spacing w:val="4"/>
          <w:sz w:val="32"/>
          <w:szCs w:val="32"/>
          <w:lang w:val="en-US" w:eastAsia="zh-CN"/>
        </w:rPr>
        <w:t>2023年5</w:t>
      </w:r>
      <w:r>
        <w:rPr>
          <w:spacing w:val="4"/>
          <w:sz w:val="32"/>
          <w:szCs w:val="32"/>
        </w:rPr>
        <w:t>月</w:t>
      </w:r>
      <w:r>
        <w:rPr>
          <w:rFonts w:hint="eastAsia"/>
          <w:spacing w:val="4"/>
          <w:sz w:val="32"/>
          <w:szCs w:val="32"/>
          <w:lang w:val="en-US" w:eastAsia="zh-CN"/>
        </w:rPr>
        <w:t>10</w:t>
      </w:r>
      <w:r>
        <w:rPr>
          <w:spacing w:val="4"/>
          <w:sz w:val="32"/>
          <w:szCs w:val="32"/>
        </w:rPr>
        <w:t>日，</w:t>
      </w:r>
      <w:r>
        <w:rPr>
          <w:rFonts w:hint="eastAsia"/>
          <w:spacing w:val="4"/>
          <w:sz w:val="32"/>
          <w:szCs w:val="32"/>
          <w:lang w:eastAsia="zh-CN"/>
        </w:rPr>
        <w:t>陕西省</w:t>
      </w:r>
      <w:r>
        <w:rPr>
          <w:spacing w:val="4"/>
          <w:sz w:val="32"/>
          <w:szCs w:val="32"/>
        </w:rPr>
        <w:t>市场监督管理局下达立项计划，</w:t>
      </w:r>
      <w:r>
        <w:rPr>
          <w:spacing w:val="3"/>
          <w:sz w:val="32"/>
          <w:szCs w:val="32"/>
        </w:rPr>
        <w:t>标准成</w:t>
      </w:r>
      <w:r>
        <w:rPr>
          <w:sz w:val="32"/>
          <w:szCs w:val="32"/>
        </w:rPr>
        <w:t>功立项。</w:t>
      </w:r>
    </w:p>
    <w:p w14:paraId="7CF8307F">
      <w:pPr>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2"/>
        <w:rPr>
          <w:rFonts w:hint="default" w:ascii="楷体" w:hAnsi="楷体" w:eastAsia="楷体" w:cs="楷体"/>
          <w:sz w:val="32"/>
          <w:szCs w:val="32"/>
          <w:lang w:val="en-US" w:eastAsia="zh-CN"/>
        </w:rPr>
      </w:pPr>
      <w:r>
        <w:rPr>
          <w:rFonts w:ascii="楷体" w:hAnsi="楷体" w:eastAsia="楷体" w:cs="楷体"/>
          <w:b/>
          <w:bCs/>
          <w:spacing w:val="3"/>
          <w:sz w:val="32"/>
          <w:szCs w:val="32"/>
        </w:rPr>
        <w:t>（</w:t>
      </w:r>
      <w:r>
        <w:rPr>
          <w:rFonts w:hint="eastAsia" w:ascii="楷体" w:hAnsi="楷体" w:eastAsia="楷体" w:cs="楷体"/>
          <w:b/>
          <w:bCs/>
          <w:spacing w:val="3"/>
          <w:sz w:val="32"/>
          <w:szCs w:val="32"/>
          <w:lang w:val="en-US" w:eastAsia="zh-CN"/>
        </w:rPr>
        <w:t>五</w:t>
      </w:r>
      <w:r>
        <w:rPr>
          <w:rFonts w:ascii="楷体" w:hAnsi="楷体" w:eastAsia="楷体" w:cs="楷体"/>
          <w:b/>
          <w:bCs/>
          <w:spacing w:val="3"/>
          <w:sz w:val="32"/>
          <w:szCs w:val="32"/>
        </w:rPr>
        <w:t>）</w:t>
      </w:r>
      <w:r>
        <w:rPr>
          <w:rFonts w:hint="eastAsia" w:ascii="楷体" w:hAnsi="楷体" w:eastAsia="楷体" w:cs="楷体"/>
          <w:b/>
          <w:bCs/>
          <w:spacing w:val="3"/>
          <w:sz w:val="32"/>
          <w:szCs w:val="32"/>
          <w:lang w:val="en-US" w:eastAsia="zh-CN"/>
        </w:rPr>
        <w:t>标注起草工作组成员及任务分工</w:t>
      </w:r>
    </w:p>
    <w:p w14:paraId="79C33B6F">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rFonts w:hint="default"/>
          <w:spacing w:val="4"/>
          <w:sz w:val="32"/>
          <w:szCs w:val="32"/>
          <w:lang w:val="en-US" w:eastAsia="zh-CN"/>
        </w:rPr>
      </w:pPr>
      <w:r>
        <w:rPr>
          <w:rFonts w:hint="eastAsia"/>
          <w:spacing w:val="4"/>
          <w:sz w:val="32"/>
          <w:szCs w:val="32"/>
          <w:lang w:val="en-US" w:eastAsia="zh-CN"/>
        </w:rPr>
        <w:t>标准起草组成员及分工：（略）</w:t>
      </w:r>
    </w:p>
    <w:p w14:paraId="066A3DAD">
      <w:pPr>
        <w:keepNext w:val="0"/>
        <w:keepLines w:val="0"/>
        <w:pageBreakBefore w:val="0"/>
        <w:widowControl/>
        <w:kinsoku w:val="0"/>
        <w:wordWrap/>
        <w:overflowPunct/>
        <w:topLinePunct w:val="0"/>
        <w:autoSpaceDE w:val="0"/>
        <w:autoSpaceDN w:val="0"/>
        <w:bidi w:val="0"/>
        <w:adjustRightInd/>
        <w:snapToGrid/>
        <w:spacing w:line="560" w:lineRule="exact"/>
        <w:ind w:right="0"/>
        <w:textAlignment w:val="baseline"/>
        <w:rPr>
          <w:rFonts w:ascii="黑体" w:hAnsi="黑体" w:eastAsia="黑体" w:cs="黑体"/>
          <w:sz w:val="32"/>
          <w:szCs w:val="32"/>
        </w:rPr>
      </w:pPr>
      <w:r>
        <w:rPr>
          <w:rFonts w:hint="eastAsia" w:ascii="黑体" w:hAnsi="黑体" w:eastAsia="黑体" w:cs="黑体"/>
          <w:spacing w:val="8"/>
          <w:sz w:val="32"/>
          <w:szCs w:val="32"/>
          <w:lang w:val="en-US" w:eastAsia="zh-CN"/>
        </w:rPr>
        <w:t>二</w:t>
      </w:r>
      <w:r>
        <w:rPr>
          <w:rFonts w:ascii="黑体" w:hAnsi="黑体" w:eastAsia="黑体" w:cs="黑体"/>
          <w:spacing w:val="8"/>
          <w:sz w:val="32"/>
          <w:szCs w:val="32"/>
        </w:rPr>
        <w:t>、标准编制原则和标准主要内容</w:t>
      </w:r>
    </w:p>
    <w:p w14:paraId="74F09EB0">
      <w:pPr>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2"/>
        <w:rPr>
          <w:rFonts w:ascii="楷体" w:hAnsi="楷体" w:eastAsia="楷体" w:cs="楷体"/>
          <w:sz w:val="32"/>
          <w:szCs w:val="32"/>
        </w:rPr>
      </w:pPr>
      <w:r>
        <w:rPr>
          <w:rFonts w:ascii="楷体" w:hAnsi="楷体" w:eastAsia="楷体" w:cs="楷体"/>
          <w:b/>
          <w:bCs/>
          <w:spacing w:val="3"/>
          <w:sz w:val="32"/>
          <w:szCs w:val="32"/>
        </w:rPr>
        <w:t>（一）标准编制原则</w:t>
      </w:r>
    </w:p>
    <w:p w14:paraId="440023F9">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sz w:val="32"/>
          <w:szCs w:val="32"/>
        </w:rPr>
      </w:pPr>
      <w:r>
        <w:rPr>
          <w:spacing w:val="5"/>
          <w:sz w:val="32"/>
          <w:szCs w:val="32"/>
        </w:rPr>
        <w:t>根据</w:t>
      </w:r>
      <w:r>
        <w:rPr>
          <w:sz w:val="32"/>
          <w:szCs w:val="32"/>
        </w:rPr>
        <w:t>GB</w:t>
      </w:r>
      <w:r>
        <w:rPr>
          <w:spacing w:val="5"/>
          <w:sz w:val="32"/>
          <w:szCs w:val="32"/>
        </w:rPr>
        <w:t>/T1.1—2020《标准化工作导则第1部分：标准的</w:t>
      </w:r>
      <w:r>
        <w:rPr>
          <w:spacing w:val="12"/>
          <w:sz w:val="32"/>
          <w:szCs w:val="32"/>
        </w:rPr>
        <w:t>结构和编写原则》的规定，本标准编制严格遵循统一性、科学</w:t>
      </w:r>
      <w:r>
        <w:rPr>
          <w:spacing w:val="5"/>
          <w:sz w:val="32"/>
          <w:szCs w:val="32"/>
        </w:rPr>
        <w:t>性、实用性原则：</w:t>
      </w:r>
    </w:p>
    <w:p w14:paraId="78ECF9D1">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jc w:val="both"/>
        <w:textAlignment w:val="baseline"/>
        <w:rPr>
          <w:sz w:val="32"/>
          <w:szCs w:val="32"/>
        </w:rPr>
      </w:pPr>
      <w:r>
        <w:rPr>
          <w:b/>
          <w:bCs/>
          <w:spacing w:val="3"/>
          <w:sz w:val="32"/>
          <w:szCs w:val="32"/>
        </w:rPr>
        <w:t>1.统一性原则。</w:t>
      </w:r>
      <w:r>
        <w:rPr>
          <w:spacing w:val="3"/>
          <w:sz w:val="32"/>
          <w:szCs w:val="32"/>
        </w:rPr>
        <w:t>本标准文本编制结构统一</w:t>
      </w:r>
      <w:r>
        <w:rPr>
          <w:spacing w:val="2"/>
          <w:sz w:val="32"/>
          <w:szCs w:val="32"/>
        </w:rPr>
        <w:t>，即标准中的章、</w:t>
      </w:r>
      <w:r>
        <w:rPr>
          <w:spacing w:val="14"/>
          <w:sz w:val="32"/>
          <w:szCs w:val="32"/>
        </w:rPr>
        <w:t>条、段等层次的排列结构统一；文体统一，即</w:t>
      </w:r>
      <w:r>
        <w:rPr>
          <w:spacing w:val="13"/>
          <w:sz w:val="32"/>
          <w:szCs w:val="32"/>
        </w:rPr>
        <w:t>标准中的术语、</w:t>
      </w:r>
      <w:r>
        <w:rPr>
          <w:spacing w:val="7"/>
          <w:sz w:val="32"/>
          <w:szCs w:val="32"/>
        </w:rPr>
        <w:t>图、</w:t>
      </w:r>
      <w:r>
        <w:rPr>
          <w:rFonts w:hint="eastAsia"/>
          <w:spacing w:val="7"/>
          <w:sz w:val="32"/>
          <w:szCs w:val="32"/>
          <w:lang w:val="en-US" w:eastAsia="zh-CN"/>
        </w:rPr>
        <w:t>表、</w:t>
      </w:r>
      <w:r>
        <w:rPr>
          <w:spacing w:val="7"/>
          <w:sz w:val="32"/>
          <w:szCs w:val="32"/>
        </w:rPr>
        <w:t>符号等要素的编写表述统一。</w:t>
      </w:r>
    </w:p>
    <w:p w14:paraId="797BCDB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87" w:firstLineChars="200"/>
        <w:textAlignment w:val="baseline"/>
        <w:rPr>
          <w:sz w:val="32"/>
          <w:szCs w:val="32"/>
        </w:rPr>
      </w:pPr>
      <w:r>
        <w:rPr>
          <w:b/>
          <w:bCs/>
          <w:spacing w:val="11"/>
          <w:sz w:val="32"/>
          <w:szCs w:val="32"/>
        </w:rPr>
        <w:t>2.科学性原则。</w:t>
      </w:r>
      <w:r>
        <w:rPr>
          <w:spacing w:val="11"/>
          <w:sz w:val="32"/>
          <w:szCs w:val="32"/>
        </w:rPr>
        <w:t>运用标准化原理和方法，根据</w:t>
      </w:r>
      <w:r>
        <w:rPr>
          <w:rFonts w:hint="eastAsia"/>
          <w:spacing w:val="12"/>
          <w:sz w:val="32"/>
          <w:szCs w:val="32"/>
          <w:lang w:eastAsia="zh-CN"/>
        </w:rPr>
        <w:t>客运索道作业人员考核管理</w:t>
      </w:r>
      <w:r>
        <w:rPr>
          <w:spacing w:val="8"/>
          <w:sz w:val="32"/>
          <w:szCs w:val="32"/>
        </w:rPr>
        <w:t>所涉及的</w:t>
      </w:r>
      <w:r>
        <w:rPr>
          <w:rFonts w:hint="eastAsia"/>
          <w:spacing w:val="8"/>
          <w:sz w:val="32"/>
          <w:szCs w:val="32"/>
          <w:lang w:val="en-US" w:eastAsia="zh-CN"/>
        </w:rPr>
        <w:t>各个</w:t>
      </w:r>
      <w:r>
        <w:rPr>
          <w:spacing w:val="8"/>
          <w:sz w:val="32"/>
          <w:szCs w:val="32"/>
        </w:rPr>
        <w:t>方面，确定标准整体框架及主要技术内容。</w:t>
      </w:r>
    </w:p>
    <w:p w14:paraId="39D86C19">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87" w:firstLineChars="200"/>
        <w:textAlignment w:val="baseline"/>
        <w:rPr>
          <w:sz w:val="32"/>
          <w:szCs w:val="32"/>
          <w:highlight w:val="none"/>
        </w:rPr>
      </w:pPr>
      <w:r>
        <w:rPr>
          <w:b/>
          <w:bCs/>
          <w:spacing w:val="11"/>
          <w:sz w:val="32"/>
          <w:szCs w:val="32"/>
          <w:highlight w:val="none"/>
        </w:rPr>
        <w:t>3.实用性原则。</w:t>
      </w:r>
      <w:r>
        <w:rPr>
          <w:spacing w:val="11"/>
          <w:sz w:val="32"/>
          <w:szCs w:val="32"/>
          <w:highlight w:val="none"/>
        </w:rPr>
        <w:t>本标准紧密围绕</w:t>
      </w:r>
      <w:r>
        <w:rPr>
          <w:rFonts w:hint="eastAsia"/>
          <w:spacing w:val="12"/>
          <w:sz w:val="32"/>
          <w:szCs w:val="32"/>
          <w:highlight w:val="none"/>
          <w:lang w:eastAsia="zh-CN"/>
        </w:rPr>
        <w:t>客运索道</w:t>
      </w:r>
      <w:r>
        <w:rPr>
          <w:rFonts w:hint="eastAsia"/>
          <w:spacing w:val="12"/>
          <w:sz w:val="32"/>
          <w:szCs w:val="32"/>
          <w:highlight w:val="none"/>
          <w:lang w:val="en-US" w:eastAsia="zh-CN"/>
        </w:rPr>
        <w:t>使用单位</w:t>
      </w:r>
      <w:r>
        <w:rPr>
          <w:spacing w:val="11"/>
          <w:sz w:val="32"/>
          <w:szCs w:val="32"/>
          <w:highlight w:val="none"/>
        </w:rPr>
        <w:t>相关</w:t>
      </w:r>
      <w:r>
        <w:rPr>
          <w:spacing w:val="12"/>
          <w:sz w:val="32"/>
          <w:szCs w:val="32"/>
          <w:highlight w:val="none"/>
        </w:rPr>
        <w:t>要求，考虑了</w:t>
      </w:r>
      <w:r>
        <w:rPr>
          <w:rFonts w:hint="eastAsia"/>
          <w:spacing w:val="12"/>
          <w:sz w:val="32"/>
          <w:szCs w:val="32"/>
          <w:highlight w:val="none"/>
          <w:lang w:val="en-US" w:eastAsia="zh-CN"/>
        </w:rPr>
        <w:t>软件条件、硬件条件等</w:t>
      </w:r>
      <w:r>
        <w:rPr>
          <w:spacing w:val="12"/>
          <w:sz w:val="32"/>
          <w:szCs w:val="32"/>
          <w:highlight w:val="none"/>
        </w:rPr>
        <w:t>具体内容；考虑了国家法律法规、行业政策及现有国内外标准的要求；通过制定本标准，完善</w:t>
      </w:r>
      <w:r>
        <w:rPr>
          <w:rFonts w:hint="eastAsia"/>
          <w:spacing w:val="12"/>
          <w:sz w:val="32"/>
          <w:szCs w:val="32"/>
          <w:highlight w:val="none"/>
          <w:lang w:eastAsia="zh-CN"/>
        </w:rPr>
        <w:t>客运索道使用单位运营安全管理</w:t>
      </w:r>
      <w:r>
        <w:rPr>
          <w:rFonts w:hint="eastAsia"/>
          <w:spacing w:val="12"/>
          <w:sz w:val="32"/>
          <w:szCs w:val="32"/>
          <w:highlight w:val="none"/>
          <w:lang w:val="en-US" w:eastAsia="zh-CN"/>
        </w:rPr>
        <w:t>规范</w:t>
      </w:r>
      <w:r>
        <w:rPr>
          <w:sz w:val="32"/>
          <w:szCs w:val="32"/>
          <w:highlight w:val="none"/>
        </w:rPr>
        <w:t>。</w:t>
      </w:r>
    </w:p>
    <w:p w14:paraId="0FBD9E55">
      <w:pPr>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2"/>
        <w:rPr>
          <w:rFonts w:ascii="楷体" w:hAnsi="楷体" w:eastAsia="楷体" w:cs="楷体"/>
          <w:sz w:val="32"/>
          <w:szCs w:val="32"/>
        </w:rPr>
      </w:pPr>
      <w:r>
        <w:rPr>
          <w:rFonts w:ascii="楷体" w:hAnsi="楷体" w:eastAsia="楷体" w:cs="楷体"/>
          <w:b/>
          <w:bCs/>
          <w:spacing w:val="3"/>
          <w:sz w:val="32"/>
          <w:szCs w:val="32"/>
        </w:rPr>
        <w:t>（二）标准编制依据</w:t>
      </w:r>
    </w:p>
    <w:p w14:paraId="16D602DB">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39" w:firstLineChars="200"/>
        <w:jc w:val="both"/>
        <w:textAlignment w:val="baseline"/>
        <w:rPr>
          <w:spacing w:val="5"/>
          <w:sz w:val="32"/>
          <w:szCs w:val="32"/>
        </w:rPr>
      </w:pPr>
      <w:r>
        <w:rPr>
          <w:b/>
          <w:bCs/>
          <w:spacing w:val="-1"/>
          <w:sz w:val="32"/>
          <w:szCs w:val="32"/>
        </w:rPr>
        <w:t>政策及文件依据：</w:t>
      </w:r>
      <w:r>
        <w:rPr>
          <w:spacing w:val="-1"/>
          <w:sz w:val="32"/>
          <w:szCs w:val="32"/>
        </w:rPr>
        <w:t>《</w:t>
      </w:r>
      <w:r>
        <w:rPr>
          <w:rFonts w:hint="eastAsia"/>
          <w:spacing w:val="-1"/>
          <w:sz w:val="32"/>
          <w:szCs w:val="32"/>
          <w:lang w:eastAsia="zh-CN"/>
        </w:rPr>
        <w:t>客运索道使用单位运营安全管理规范</w:t>
      </w:r>
      <w:r>
        <w:rPr>
          <w:spacing w:val="-1"/>
          <w:sz w:val="32"/>
          <w:szCs w:val="32"/>
        </w:rPr>
        <w:t>》内容符合</w:t>
      </w:r>
      <w:r>
        <w:rPr>
          <w:rFonts w:hint="eastAsia" w:ascii="仿宋" w:hAnsi="仿宋" w:eastAsia="仿宋" w:cs="仿宋"/>
          <w:snapToGrid w:val="0"/>
          <w:color w:val="000000"/>
          <w:spacing w:val="8"/>
          <w:kern w:val="0"/>
          <w:sz w:val="32"/>
          <w:szCs w:val="32"/>
          <w:lang w:val="en-US" w:eastAsia="zh-CN" w:bidi="ar-SA"/>
        </w:rPr>
        <w:t>《客运索道安全服务质量》（GB/T 24728-2009）</w:t>
      </w:r>
      <w:r>
        <w:rPr>
          <w:rFonts w:hint="eastAsia" w:cs="仿宋"/>
          <w:snapToGrid w:val="0"/>
          <w:color w:val="000000"/>
          <w:spacing w:val="8"/>
          <w:kern w:val="0"/>
          <w:sz w:val="32"/>
          <w:szCs w:val="32"/>
          <w:lang w:val="en-US" w:eastAsia="zh-CN" w:bidi="ar-SA"/>
        </w:rPr>
        <w:t>、</w:t>
      </w:r>
      <w:r>
        <w:rPr>
          <w:rFonts w:hint="eastAsia" w:ascii="仿宋" w:hAnsi="仿宋" w:eastAsia="仿宋" w:cs="仿宋"/>
          <w:snapToGrid w:val="0"/>
          <w:color w:val="000000"/>
          <w:spacing w:val="8"/>
          <w:kern w:val="0"/>
          <w:sz w:val="32"/>
          <w:szCs w:val="32"/>
          <w:lang w:val="en-US" w:eastAsia="zh-CN" w:bidi="ar-SA"/>
        </w:rPr>
        <w:t>《客运架空索道安全规范》（GB12352-2018）</w:t>
      </w:r>
      <w:r>
        <w:rPr>
          <w:spacing w:val="8"/>
          <w:sz w:val="32"/>
          <w:szCs w:val="32"/>
        </w:rPr>
        <w:t>等</w:t>
      </w:r>
      <w:r>
        <w:rPr>
          <w:rFonts w:hint="eastAsia"/>
          <w:spacing w:val="8"/>
          <w:sz w:val="32"/>
          <w:szCs w:val="32"/>
          <w:lang w:val="en-US" w:eastAsia="zh-CN"/>
        </w:rPr>
        <w:t>标准</w:t>
      </w:r>
      <w:r>
        <w:rPr>
          <w:spacing w:val="8"/>
          <w:sz w:val="32"/>
          <w:szCs w:val="32"/>
        </w:rPr>
        <w:t>要求，符合</w:t>
      </w:r>
      <w:r>
        <w:rPr>
          <w:rFonts w:hint="eastAsia"/>
          <w:spacing w:val="12"/>
          <w:sz w:val="32"/>
          <w:szCs w:val="32"/>
          <w:lang w:eastAsia="zh-CN"/>
        </w:rPr>
        <w:t>《特种设备</w:t>
      </w:r>
      <w:r>
        <w:rPr>
          <w:rFonts w:hint="eastAsia"/>
          <w:spacing w:val="12"/>
          <w:sz w:val="32"/>
          <w:szCs w:val="32"/>
          <w:lang w:val="en-US" w:eastAsia="zh-CN"/>
        </w:rPr>
        <w:t>使用</w:t>
      </w:r>
      <w:r>
        <w:rPr>
          <w:rFonts w:hint="eastAsia"/>
          <w:spacing w:val="12"/>
          <w:sz w:val="32"/>
          <w:szCs w:val="32"/>
          <w:lang w:eastAsia="zh-CN"/>
        </w:rPr>
        <w:t>单位落实质量安全主体责任监督管理规定》</w:t>
      </w:r>
      <w:r>
        <w:rPr>
          <w:spacing w:val="12"/>
          <w:sz w:val="32"/>
          <w:szCs w:val="32"/>
        </w:rPr>
        <w:t>等相关政策文件对于</w:t>
      </w:r>
      <w:r>
        <w:rPr>
          <w:rFonts w:hint="eastAsia"/>
          <w:spacing w:val="-1"/>
          <w:sz w:val="32"/>
          <w:szCs w:val="32"/>
          <w:lang w:eastAsia="zh-CN"/>
        </w:rPr>
        <w:t>客运索道使用单位运营安全</w:t>
      </w:r>
      <w:r>
        <w:rPr>
          <w:spacing w:val="12"/>
          <w:sz w:val="32"/>
          <w:szCs w:val="32"/>
        </w:rPr>
        <w:t>的要求；本标准的</w:t>
      </w:r>
      <w:r>
        <w:rPr>
          <w:spacing w:val="6"/>
          <w:sz w:val="32"/>
          <w:szCs w:val="32"/>
        </w:rPr>
        <w:t>编写格式，符合</w:t>
      </w:r>
      <w:r>
        <w:rPr>
          <w:sz w:val="32"/>
          <w:szCs w:val="32"/>
        </w:rPr>
        <w:t>GB</w:t>
      </w:r>
      <w:r>
        <w:rPr>
          <w:spacing w:val="6"/>
          <w:sz w:val="32"/>
          <w:szCs w:val="32"/>
        </w:rPr>
        <w:t>/T1.1-2020《标准化工作导则</w:t>
      </w:r>
      <w:r>
        <w:rPr>
          <w:spacing w:val="5"/>
          <w:sz w:val="32"/>
          <w:szCs w:val="32"/>
        </w:rPr>
        <w:t>第1部分标准的结构和编写》。</w:t>
      </w:r>
    </w:p>
    <w:p w14:paraId="6574EA88">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88" w:firstLineChars="200"/>
        <w:textAlignment w:val="baseline"/>
        <w:rPr>
          <w:sz w:val="32"/>
          <w:szCs w:val="32"/>
        </w:rPr>
      </w:pPr>
      <w:r>
        <w:rPr>
          <w:spacing w:val="12"/>
          <w:sz w:val="32"/>
          <w:szCs w:val="32"/>
        </w:rPr>
        <w:t>本标准的编制符合相关法律法规及政策文件的要求</w:t>
      </w:r>
      <w:r>
        <w:rPr>
          <w:rFonts w:hint="eastAsia"/>
          <w:spacing w:val="12"/>
          <w:sz w:val="32"/>
          <w:szCs w:val="32"/>
          <w:lang w:eastAsia="zh-CN"/>
        </w:rPr>
        <w:t>，</w:t>
      </w:r>
      <w:r>
        <w:rPr>
          <w:spacing w:val="12"/>
          <w:sz w:val="32"/>
          <w:szCs w:val="32"/>
        </w:rPr>
        <w:t>相关</w:t>
      </w:r>
      <w:r>
        <w:rPr>
          <w:spacing w:val="3"/>
          <w:sz w:val="32"/>
          <w:szCs w:val="32"/>
        </w:rPr>
        <w:t>文件如下：</w:t>
      </w:r>
    </w:p>
    <w:p w14:paraId="62A2E1CD">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rFonts w:hint="default"/>
          <w:spacing w:val="4"/>
          <w:sz w:val="32"/>
          <w:szCs w:val="32"/>
          <w:lang w:val="en-US" w:eastAsia="zh-CN"/>
        </w:rPr>
      </w:pPr>
      <w:r>
        <w:rPr>
          <w:rFonts w:hint="eastAsia"/>
          <w:spacing w:val="4"/>
          <w:sz w:val="32"/>
          <w:szCs w:val="32"/>
          <w:lang w:val="en-US" w:eastAsia="zh-CN"/>
        </w:rPr>
        <w:t>1.符合的法律、法规和安全技术规范</w:t>
      </w:r>
    </w:p>
    <w:p w14:paraId="0FE5E466">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4"/>
          <w:sz w:val="32"/>
          <w:szCs w:val="32"/>
        </w:rPr>
      </w:pPr>
      <w:r>
        <w:rPr>
          <w:rFonts w:hint="eastAsia"/>
          <w:spacing w:val="4"/>
          <w:sz w:val="32"/>
          <w:szCs w:val="32"/>
          <w:lang w:eastAsia="zh-CN"/>
        </w:rPr>
        <w:t>（</w:t>
      </w:r>
      <w:r>
        <w:rPr>
          <w:rFonts w:hint="eastAsia"/>
          <w:spacing w:val="4"/>
          <w:sz w:val="32"/>
          <w:szCs w:val="32"/>
          <w:lang w:val="en-US" w:eastAsia="zh-CN"/>
        </w:rPr>
        <w:t>1</w:t>
      </w:r>
      <w:r>
        <w:rPr>
          <w:rFonts w:hint="eastAsia"/>
          <w:spacing w:val="4"/>
          <w:sz w:val="32"/>
          <w:szCs w:val="32"/>
          <w:lang w:eastAsia="zh-CN"/>
        </w:rPr>
        <w:t>）</w:t>
      </w:r>
      <w:r>
        <w:rPr>
          <w:spacing w:val="4"/>
          <w:sz w:val="32"/>
          <w:szCs w:val="32"/>
        </w:rPr>
        <w:t>《中华人民共和国特种设备安全法》</w:t>
      </w:r>
    </w:p>
    <w:p w14:paraId="116A54C5">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6"/>
          <w:sz w:val="32"/>
          <w:szCs w:val="32"/>
        </w:rPr>
      </w:pPr>
      <w:r>
        <w:rPr>
          <w:rFonts w:hint="eastAsia"/>
          <w:spacing w:val="4"/>
          <w:sz w:val="32"/>
          <w:szCs w:val="32"/>
          <w:lang w:eastAsia="zh-CN"/>
        </w:rPr>
        <w:t>（</w:t>
      </w:r>
      <w:r>
        <w:rPr>
          <w:rFonts w:hint="eastAsia"/>
          <w:spacing w:val="4"/>
          <w:sz w:val="32"/>
          <w:szCs w:val="32"/>
          <w:lang w:val="en-US" w:eastAsia="zh-CN"/>
        </w:rPr>
        <w:t>2</w:t>
      </w:r>
      <w:r>
        <w:rPr>
          <w:rFonts w:hint="eastAsia"/>
          <w:spacing w:val="4"/>
          <w:sz w:val="32"/>
          <w:szCs w:val="32"/>
          <w:lang w:eastAsia="zh-CN"/>
        </w:rPr>
        <w:t>）</w:t>
      </w:r>
      <w:r>
        <w:rPr>
          <w:spacing w:val="6"/>
          <w:sz w:val="32"/>
          <w:szCs w:val="32"/>
        </w:rPr>
        <w:t>《特种设备安全监察条例》</w:t>
      </w:r>
    </w:p>
    <w:p w14:paraId="70B8085C">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6"/>
          <w:sz w:val="32"/>
          <w:szCs w:val="32"/>
        </w:rPr>
      </w:pPr>
      <w:r>
        <w:rPr>
          <w:rFonts w:hint="eastAsia"/>
          <w:spacing w:val="4"/>
          <w:sz w:val="32"/>
          <w:szCs w:val="32"/>
          <w:lang w:eastAsia="zh-CN"/>
        </w:rPr>
        <w:t>（</w:t>
      </w:r>
      <w:r>
        <w:rPr>
          <w:rFonts w:hint="eastAsia"/>
          <w:spacing w:val="4"/>
          <w:sz w:val="32"/>
          <w:szCs w:val="32"/>
          <w:lang w:val="en-US" w:eastAsia="zh-CN"/>
        </w:rPr>
        <w:t>3</w:t>
      </w:r>
      <w:r>
        <w:rPr>
          <w:rFonts w:hint="eastAsia"/>
          <w:spacing w:val="4"/>
          <w:sz w:val="32"/>
          <w:szCs w:val="32"/>
          <w:lang w:eastAsia="zh-CN"/>
        </w:rPr>
        <w:t>）</w:t>
      </w:r>
      <w:r>
        <w:rPr>
          <w:rFonts w:hint="eastAsia"/>
          <w:spacing w:val="6"/>
          <w:sz w:val="32"/>
          <w:szCs w:val="32"/>
        </w:rPr>
        <w:t>《特种设备使用单位落实质量安全主体责任监督管理规定》</w:t>
      </w:r>
    </w:p>
    <w:p w14:paraId="2F43EFB5">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4"/>
          <w:sz w:val="32"/>
          <w:szCs w:val="32"/>
        </w:rPr>
      </w:pPr>
      <w:r>
        <w:rPr>
          <w:rFonts w:hint="eastAsia"/>
          <w:spacing w:val="4"/>
          <w:sz w:val="32"/>
          <w:szCs w:val="32"/>
          <w:lang w:eastAsia="zh-CN"/>
        </w:rPr>
        <w:t>（</w:t>
      </w:r>
      <w:r>
        <w:rPr>
          <w:rFonts w:hint="eastAsia"/>
          <w:spacing w:val="4"/>
          <w:sz w:val="32"/>
          <w:szCs w:val="32"/>
          <w:lang w:val="en-US" w:eastAsia="zh-CN"/>
        </w:rPr>
        <w:t>4</w:t>
      </w:r>
      <w:r>
        <w:rPr>
          <w:rFonts w:hint="eastAsia"/>
          <w:spacing w:val="4"/>
          <w:sz w:val="32"/>
          <w:szCs w:val="32"/>
          <w:lang w:eastAsia="zh-CN"/>
        </w:rPr>
        <w:t>）</w:t>
      </w:r>
      <w:r>
        <w:rPr>
          <w:spacing w:val="4"/>
          <w:sz w:val="32"/>
          <w:szCs w:val="32"/>
        </w:rPr>
        <w:t>《</w:t>
      </w:r>
      <w:r>
        <w:rPr>
          <w:rFonts w:hint="eastAsia"/>
          <w:spacing w:val="4"/>
          <w:sz w:val="32"/>
          <w:szCs w:val="32"/>
          <w:lang w:eastAsia="zh-CN"/>
        </w:rPr>
        <w:t>特种设备作业人员考核规则</w:t>
      </w:r>
      <w:r>
        <w:rPr>
          <w:spacing w:val="4"/>
          <w:sz w:val="32"/>
          <w:szCs w:val="32"/>
        </w:rPr>
        <w:t>》</w:t>
      </w:r>
    </w:p>
    <w:p w14:paraId="62966F53">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6"/>
          <w:sz w:val="32"/>
          <w:szCs w:val="32"/>
        </w:rPr>
      </w:pPr>
      <w:r>
        <w:rPr>
          <w:rFonts w:hint="eastAsia"/>
          <w:spacing w:val="4"/>
          <w:sz w:val="32"/>
          <w:szCs w:val="32"/>
          <w:lang w:eastAsia="zh-CN"/>
        </w:rPr>
        <w:t>（</w:t>
      </w:r>
      <w:r>
        <w:rPr>
          <w:rFonts w:hint="eastAsia"/>
          <w:spacing w:val="4"/>
          <w:sz w:val="32"/>
          <w:szCs w:val="32"/>
          <w:lang w:val="en-US" w:eastAsia="zh-CN"/>
        </w:rPr>
        <w:t>5</w:t>
      </w:r>
      <w:r>
        <w:rPr>
          <w:rFonts w:hint="eastAsia"/>
          <w:spacing w:val="4"/>
          <w:sz w:val="32"/>
          <w:szCs w:val="32"/>
          <w:lang w:eastAsia="zh-CN"/>
        </w:rPr>
        <w:t>）</w:t>
      </w:r>
      <w:r>
        <w:rPr>
          <w:spacing w:val="6"/>
          <w:sz w:val="32"/>
          <w:szCs w:val="32"/>
        </w:rPr>
        <w:t>《特种设备使用管理规则》</w:t>
      </w:r>
    </w:p>
    <w:p w14:paraId="63C17B77">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default" w:eastAsia="仿宋"/>
          <w:spacing w:val="7"/>
          <w:sz w:val="32"/>
          <w:szCs w:val="32"/>
          <w:lang w:val="en-US" w:eastAsia="zh-CN"/>
        </w:rPr>
      </w:pPr>
      <w:r>
        <w:rPr>
          <w:rFonts w:hint="eastAsia"/>
          <w:spacing w:val="7"/>
          <w:sz w:val="32"/>
          <w:szCs w:val="32"/>
          <w:lang w:val="en-US" w:eastAsia="zh-CN"/>
        </w:rPr>
        <w:t>2.参考引用的标准</w:t>
      </w:r>
    </w:p>
    <w:p w14:paraId="076CC46E">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1</w:t>
      </w:r>
      <w:r>
        <w:rPr>
          <w:rFonts w:hint="eastAsia"/>
          <w:sz w:val="32"/>
          <w:szCs w:val="32"/>
          <w:lang w:eastAsia="zh-CN"/>
        </w:rPr>
        <w:t>）GB/T 12738 索道 术语</w:t>
      </w:r>
    </w:p>
    <w:p w14:paraId="7A846B98">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2</w:t>
      </w:r>
      <w:r>
        <w:rPr>
          <w:rFonts w:hint="eastAsia"/>
          <w:sz w:val="32"/>
          <w:szCs w:val="32"/>
          <w:lang w:eastAsia="zh-CN"/>
        </w:rPr>
        <w:t>）GB/T 24728 客运索道安全服务质量</w:t>
      </w:r>
    </w:p>
    <w:p w14:paraId="0E4A3D14">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）TSG S7001 客运索道监督检验和定期检验规则</w:t>
      </w:r>
    </w:p>
    <w:p w14:paraId="4248716F">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4</w:t>
      </w:r>
      <w:r>
        <w:rPr>
          <w:rFonts w:hint="eastAsia"/>
          <w:sz w:val="32"/>
          <w:szCs w:val="32"/>
          <w:lang w:eastAsia="zh-CN"/>
        </w:rPr>
        <w:t>）TSG Z6001 特种设备作业人员考核规则</w:t>
      </w:r>
    </w:p>
    <w:p w14:paraId="6FE1EA30">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5</w:t>
      </w:r>
      <w:r>
        <w:rPr>
          <w:rFonts w:hint="eastAsia"/>
          <w:sz w:val="32"/>
          <w:szCs w:val="32"/>
          <w:lang w:eastAsia="zh-CN"/>
        </w:rPr>
        <w:t>）TSG 08 特种设备使用管理规则</w:t>
      </w:r>
    </w:p>
    <w:p w14:paraId="1267D0A0">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leftChars="200" w:right="0" w:rightChars="0"/>
        <w:jc w:val="both"/>
        <w:textAlignment w:val="baseline"/>
        <w:rPr>
          <w:rFonts w:ascii="楷体" w:hAnsi="楷体" w:eastAsia="楷体" w:cs="楷体"/>
          <w:b/>
          <w:bCs/>
          <w:spacing w:val="4"/>
          <w:sz w:val="32"/>
          <w:szCs w:val="32"/>
        </w:rPr>
      </w:pPr>
      <w:r>
        <w:rPr>
          <w:rFonts w:ascii="楷体" w:hAnsi="楷体" w:eastAsia="楷体" w:cs="楷体"/>
          <w:b/>
          <w:bCs/>
          <w:spacing w:val="4"/>
          <w:sz w:val="32"/>
          <w:szCs w:val="32"/>
        </w:rPr>
        <w:t>（四）标准主要内容</w:t>
      </w:r>
    </w:p>
    <w:p w14:paraId="399D411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en-US"/>
        </w:rPr>
      </w:pPr>
      <w:r>
        <w:rPr>
          <w:rFonts w:hint="eastAsia"/>
          <w:spacing w:val="5"/>
          <w:sz w:val="32"/>
          <w:szCs w:val="32"/>
          <w:lang w:val="en-US" w:eastAsia="en-US"/>
        </w:rPr>
        <w:t>以下为针对地方标准条款的编制说明，重点阐述条款制定的技术依据、法规要求和实际考量因素：</w:t>
      </w:r>
    </w:p>
    <w:p w14:paraId="129AE36C">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default"/>
          <w:spacing w:val="5"/>
          <w:sz w:val="32"/>
          <w:szCs w:val="32"/>
          <w:lang w:val="en-US" w:eastAsia="zh-CN"/>
        </w:rPr>
      </w:pPr>
      <w:r>
        <w:rPr>
          <w:rFonts w:hint="eastAsia"/>
          <w:spacing w:val="5"/>
          <w:sz w:val="32"/>
          <w:szCs w:val="32"/>
          <w:lang w:val="en-US" w:eastAsia="zh-CN"/>
        </w:rPr>
        <w:t>第</w:t>
      </w:r>
      <w:r>
        <w:rPr>
          <w:rFonts w:hint="eastAsia"/>
          <w:spacing w:val="5"/>
          <w:sz w:val="32"/>
          <w:szCs w:val="32"/>
          <w:lang w:val="en-US" w:eastAsia="en-US"/>
        </w:rPr>
        <w:t>4.1</w:t>
      </w:r>
      <w:r>
        <w:rPr>
          <w:rFonts w:hint="eastAsia"/>
          <w:spacing w:val="5"/>
          <w:sz w:val="32"/>
          <w:szCs w:val="32"/>
          <w:lang w:val="en-US" w:eastAsia="zh-CN"/>
        </w:rPr>
        <w:t>.1条与GB/T 33000-2016《企业安全生产标准化基本规范》5.1.2.1 机构设置一致。企业应落实安全生产组织领导机构，成立安全生产委员会，并应按照有关规定设置安全生产和职业卫生管理机构，或配备相应的专职或兼职安全生产和职业卫生管理人员，按照有关规定配备注册安全工程师，建立健全从管理机构到基层班组的管理网络</w:t>
      </w:r>
      <w:r>
        <w:rPr>
          <w:rFonts w:hint="default"/>
          <w:spacing w:val="5"/>
          <w:sz w:val="32"/>
          <w:szCs w:val="32"/>
          <w:lang w:val="en-US" w:eastAsia="zh-CN"/>
        </w:rPr>
        <w:t>。</w:t>
      </w:r>
    </w:p>
    <w:p w14:paraId="1804A187">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w:t>
      </w:r>
      <w:r>
        <w:rPr>
          <w:rFonts w:hint="eastAsia"/>
          <w:spacing w:val="5"/>
          <w:sz w:val="32"/>
          <w:szCs w:val="32"/>
          <w:lang w:val="en-US" w:eastAsia="en-US"/>
        </w:rPr>
        <w:t>4.</w:t>
      </w:r>
      <w:r>
        <w:rPr>
          <w:rFonts w:hint="eastAsia"/>
          <w:spacing w:val="5"/>
          <w:sz w:val="32"/>
          <w:szCs w:val="32"/>
          <w:lang w:val="en-US" w:eastAsia="zh-CN"/>
        </w:rPr>
        <w:t>1.2条是市场监管总局74号令《特种设备使用单位落实使用安全主体责任监督管理规定》第一百一十二条：客运索道使用单位应当建立客运索道安全月调度制度。客运索道使用单位主要负责人要每月至少听取一次客运索道安全总监管理工作情况汇报，对当月客运索道安全日常管理、风险隐患排查治理等情况进行总结，对下个月重点工作作出调度安排，形成《每月客运索道安全调度会议纪要》。</w:t>
      </w:r>
    </w:p>
    <w:p w14:paraId="63030DD6">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w:t>
      </w:r>
      <w:r>
        <w:rPr>
          <w:rFonts w:hint="eastAsia"/>
          <w:spacing w:val="5"/>
          <w:sz w:val="32"/>
          <w:szCs w:val="32"/>
          <w:lang w:val="en-US" w:eastAsia="en-US"/>
        </w:rPr>
        <w:t>4.</w:t>
      </w:r>
      <w:r>
        <w:rPr>
          <w:rFonts w:hint="eastAsia"/>
          <w:spacing w:val="5"/>
          <w:sz w:val="32"/>
          <w:szCs w:val="32"/>
          <w:lang w:val="en-US" w:eastAsia="zh-CN"/>
        </w:rPr>
        <w:t>2条是在执行《特种设备使用单位落实使用安全主体责任监督管理规定》的规定下，按照索道行业实际管理特殊需求细化了作业人员的配置，以满足保障索道运行安全的基本需求。</w:t>
      </w:r>
    </w:p>
    <w:p w14:paraId="6DACDCD9">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第4.3条是与GB/T 33000-2016《企业安全生产标准化基本规范》中的要求相一致。GB/T 33000-2016《企业安全生产标准化基本规范》5.1.2.2主要负责人及管理层职责，企业主要负责人全面负责安全生产和职业卫生工作，并履行相应责任和义务。分管负责人应对各自职责范围内的安全生产和职业卫生工作负责。各级管理人员应按照安全生产和职业卫生责任制的相关要求，履行其安全生产和职业卫生职责。</w:t>
      </w:r>
    </w:p>
    <w:p w14:paraId="31FACEE1">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第4.4.1条是细化了GB/T 33000-2016《企业安全生产标准化基本规范》要求，增加每年不少于24学时要求，符合客运索道实际培训考核要求。</w:t>
      </w:r>
    </w:p>
    <w:p w14:paraId="736FDB01">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第5条制度化管理与GB/T 33000-2016《企业安全生产标准化基本规范》要求保持一致。</w:t>
      </w:r>
    </w:p>
    <w:p w14:paraId="15EA25E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default"/>
          <w:spacing w:val="5"/>
          <w:sz w:val="32"/>
          <w:szCs w:val="32"/>
          <w:lang w:val="en-US" w:eastAsia="zh-CN"/>
        </w:rPr>
      </w:pPr>
      <w:r>
        <w:rPr>
          <w:rFonts w:hint="eastAsia"/>
          <w:spacing w:val="5"/>
          <w:sz w:val="32"/>
          <w:szCs w:val="32"/>
          <w:lang w:val="en-US" w:eastAsia="zh-CN"/>
        </w:rPr>
        <w:t>第6条设备设施基本要求是根据TSG S7001-2013内容结合客运索道使用现场实际情况进行了梳理和内容细化，在具体实施过程中操作性更强。</w:t>
      </w:r>
    </w:p>
    <w:p w14:paraId="4C061DDC">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第6.1.3条与《公共安全视频图像信息系统管理条例》（自2025年4月1日起施行）第十七条一致，公共安全视频系统收集的视频图像信息应当保存不少于30日。</w:t>
      </w:r>
    </w:p>
    <w:p w14:paraId="4909E502">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default"/>
          <w:spacing w:val="5"/>
          <w:sz w:val="32"/>
          <w:szCs w:val="32"/>
          <w:lang w:val="en-US" w:eastAsia="zh-CN"/>
        </w:rPr>
      </w:pPr>
      <w:r>
        <w:rPr>
          <w:rFonts w:hint="eastAsia"/>
          <w:spacing w:val="5"/>
          <w:sz w:val="32"/>
          <w:szCs w:val="32"/>
          <w:lang w:val="en-US" w:eastAsia="zh-CN"/>
        </w:rPr>
        <w:t>第6.1.7条与GB/T 24728-2009《客运索道安全服务质量》保持一致的同时进一步明确索道区域道路、站台地面，包含救援通道区域道路，都应采用防滑设计或采用防滑替代措施，降低救援通道区域道路摔倒风险。</w:t>
      </w:r>
    </w:p>
    <w:p w14:paraId="2F3B6512">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第6.2.1条要求根据TSG 08-2017《特种设备使用管理规则》第2.7.3条的要求执行，并将试运行纳入管理制度在索道运行过程中统一执行。</w:t>
      </w:r>
    </w:p>
    <w:p w14:paraId="6515C8DB">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default"/>
          <w:spacing w:val="5"/>
          <w:sz w:val="32"/>
          <w:szCs w:val="32"/>
          <w:lang w:val="en-US" w:eastAsia="zh-CN"/>
        </w:rPr>
      </w:pPr>
      <w:r>
        <w:rPr>
          <w:rFonts w:hint="eastAsia"/>
          <w:spacing w:val="5"/>
          <w:sz w:val="32"/>
          <w:szCs w:val="32"/>
          <w:lang w:val="en-US" w:eastAsia="zh-CN"/>
        </w:rPr>
        <w:t>6.2.2与GB/T 33000-2016《企业安全生产标准化基本规范》5.4.1.3保持一致。</w:t>
      </w:r>
    </w:p>
    <w:p w14:paraId="6B57DEB9">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第6.4条要求与GB/T 33000-2016《企业安全生产标准化基本规范》5.4.4条要求保持一致。</w:t>
      </w:r>
    </w:p>
    <w:p w14:paraId="3080D1A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第6.5条依据市场监管总局《2025年特种设备安全监察工作要点》第十九条以及省局智慧监管平台要求，结合索道企业实际情况对要求进行了细化。</w:t>
      </w:r>
    </w:p>
    <w:p w14:paraId="154CE397">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第7.1.5条与GB/T 33000-2016《企业安全生产标准化基本规范》保持一致，进一步明确客运索道职业健康基本要求。</w:t>
      </w:r>
    </w:p>
    <w:p w14:paraId="144A80EC">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第8.2.3条与GB/T 33000-2016《企业安全生产标准化基本规范》保持一致，针对客运索道行业特点进一步明确自然灾害形成的重大危险源进行全面辨识，对重大危险源监控系统明确了组成内容的技术措施和管理措施。</w:t>
      </w:r>
    </w:p>
    <w:p w14:paraId="03AE5B21">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第9.1.3条与GB/T 33000-2016《企业安全生产标准化基本规范》保持一致，针对客运索道行业特点进一步明确应当根据当地实际情况，与其他索道使用单位及消防、医疗等相关应急救援力量签订协议建立应急联动机制。</w:t>
      </w:r>
    </w:p>
    <w:p w14:paraId="736EBCE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第9.2.1条与GB/T 33000-2016《企业安全生产标准化基本规范》保持一致，针对客运索道行业特点进一步明确制定符合 GB/T33942《特种设备事故应急预案编制导则》规定的应急预案。</w:t>
      </w:r>
    </w:p>
    <w:p w14:paraId="2CB97EFD">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rFonts w:hint="eastAsia"/>
          <w:spacing w:val="5"/>
          <w:sz w:val="32"/>
          <w:szCs w:val="32"/>
          <w:lang w:val="en-US" w:eastAsia="zh-CN"/>
        </w:rPr>
      </w:pPr>
      <w:r>
        <w:rPr>
          <w:rFonts w:hint="eastAsia"/>
          <w:spacing w:val="5"/>
          <w:sz w:val="32"/>
          <w:szCs w:val="32"/>
          <w:lang w:val="en-US" w:eastAsia="zh-CN"/>
        </w:rPr>
        <w:t>第9.3.1条与GB/T33942《特种设备事故应急预案编制导则》保持一致。“识别单位特种设备存在的风险因素，确定各类特种设备可能发生的事故类型和后果，进行风险分析和评价，作为应急预案编制的依据。”对某一种或者多种类型生产安全事故，每年制定年度应急救援演练计划，编制演练方案。</w:t>
      </w:r>
    </w:p>
    <w:p w14:paraId="28612B59">
      <w:pPr>
        <w:keepNext w:val="0"/>
        <w:keepLines w:val="0"/>
        <w:pageBreakBefore w:val="0"/>
        <w:widowControl/>
        <w:numPr>
          <w:ilvl w:val="0"/>
          <w:numId w:val="2"/>
        </w:numPr>
        <w:kinsoku w:val="0"/>
        <w:wordWrap/>
        <w:overflowPunct/>
        <w:topLinePunct w:val="0"/>
        <w:autoSpaceDE w:val="0"/>
        <w:autoSpaceDN w:val="0"/>
        <w:bidi w:val="0"/>
        <w:adjustRightInd/>
        <w:snapToGrid/>
        <w:spacing w:line="560" w:lineRule="exact"/>
        <w:ind w:right="0" w:rightChars="0"/>
        <w:textAlignment w:val="baseline"/>
        <w:rPr>
          <w:rFonts w:hint="eastAsia" w:ascii="黑体" w:hAnsi="黑体" w:eastAsia="黑体" w:cs="黑体"/>
          <w:spacing w:val="12"/>
          <w:sz w:val="32"/>
          <w:szCs w:val="32"/>
          <w:lang w:val="en-US" w:eastAsia="zh-CN"/>
        </w:rPr>
      </w:pPr>
      <w:r>
        <w:rPr>
          <w:rFonts w:hint="eastAsia" w:ascii="黑体" w:hAnsi="黑体" w:eastAsia="黑体" w:cs="黑体"/>
          <w:spacing w:val="12"/>
          <w:sz w:val="32"/>
          <w:szCs w:val="32"/>
          <w:lang w:val="en-US" w:eastAsia="zh-CN"/>
        </w:rPr>
        <w:t>实证研究</w:t>
      </w:r>
    </w:p>
    <w:p w14:paraId="0EEC57F8">
      <w:pPr>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leftChars="0" w:right="0" w:rightChars="0" w:firstLine="600" w:firstLineChars="200"/>
        <w:textAlignment w:val="baseline"/>
        <w:rPr>
          <w:rFonts w:ascii="仿宋" w:hAnsi="仿宋" w:eastAsia="仿宋" w:cs="仿宋"/>
          <w:snapToGrid w:val="0"/>
          <w:color w:val="000000"/>
          <w:spacing w:val="-10"/>
          <w:kern w:val="0"/>
          <w:sz w:val="32"/>
          <w:szCs w:val="32"/>
          <w:lang w:val="en-US" w:eastAsia="en-US" w:bidi="ar-SA"/>
        </w:rPr>
      </w:pPr>
      <w:r>
        <w:rPr>
          <w:rFonts w:ascii="仿宋" w:hAnsi="仿宋" w:eastAsia="仿宋" w:cs="仿宋"/>
          <w:snapToGrid w:val="0"/>
          <w:color w:val="000000"/>
          <w:spacing w:val="-10"/>
          <w:kern w:val="0"/>
          <w:sz w:val="32"/>
          <w:szCs w:val="32"/>
          <w:lang w:val="en-US" w:eastAsia="en-US" w:bidi="ar-SA"/>
        </w:rPr>
        <w:t>无。</w:t>
      </w:r>
    </w:p>
    <w:p w14:paraId="3992DE3C">
      <w:pPr>
        <w:keepNext w:val="0"/>
        <w:keepLines w:val="0"/>
        <w:pageBreakBefore w:val="0"/>
        <w:widowControl/>
        <w:numPr>
          <w:ilvl w:val="0"/>
          <w:numId w:val="2"/>
        </w:numPr>
        <w:kinsoku w:val="0"/>
        <w:wordWrap/>
        <w:overflowPunct/>
        <w:topLinePunct w:val="0"/>
        <w:autoSpaceDE w:val="0"/>
        <w:autoSpaceDN w:val="0"/>
        <w:bidi w:val="0"/>
        <w:adjustRightInd/>
        <w:snapToGrid/>
        <w:spacing w:line="560" w:lineRule="exact"/>
        <w:ind w:right="0" w:rightChars="0"/>
        <w:textAlignment w:val="baseline"/>
        <w:rPr>
          <w:rFonts w:hint="eastAsia" w:ascii="黑体" w:hAnsi="黑体" w:eastAsia="黑体" w:cs="黑体"/>
          <w:spacing w:val="12"/>
          <w:sz w:val="32"/>
          <w:szCs w:val="32"/>
          <w:lang w:val="en-US" w:eastAsia="zh-CN"/>
        </w:rPr>
      </w:pPr>
      <w:r>
        <w:rPr>
          <w:rFonts w:hint="eastAsia" w:ascii="黑体" w:hAnsi="黑体" w:eastAsia="黑体" w:cs="黑体"/>
          <w:spacing w:val="12"/>
          <w:sz w:val="32"/>
          <w:szCs w:val="32"/>
          <w:lang w:val="en-US" w:eastAsia="zh-CN"/>
        </w:rPr>
        <w:t>知识产权说明</w:t>
      </w:r>
    </w:p>
    <w:p w14:paraId="7054D94D">
      <w:pPr>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leftChars="0" w:right="0" w:rightChars="0" w:firstLine="600" w:firstLineChars="200"/>
        <w:textAlignment w:val="baseline"/>
        <w:rPr>
          <w:rFonts w:ascii="仿宋" w:hAnsi="仿宋" w:eastAsia="仿宋" w:cs="仿宋"/>
          <w:snapToGrid w:val="0"/>
          <w:color w:val="000000"/>
          <w:spacing w:val="-10"/>
          <w:kern w:val="0"/>
          <w:sz w:val="32"/>
          <w:szCs w:val="32"/>
          <w:lang w:val="en-US" w:eastAsia="en-US" w:bidi="ar-SA"/>
        </w:rPr>
      </w:pPr>
      <w:r>
        <w:rPr>
          <w:rFonts w:ascii="仿宋" w:hAnsi="仿宋" w:eastAsia="仿宋" w:cs="仿宋"/>
          <w:snapToGrid w:val="0"/>
          <w:color w:val="000000"/>
          <w:spacing w:val="-10"/>
          <w:kern w:val="0"/>
          <w:sz w:val="32"/>
          <w:szCs w:val="32"/>
          <w:lang w:val="en-US" w:eastAsia="en-US" w:bidi="ar-SA"/>
        </w:rPr>
        <w:t>无。</w:t>
      </w:r>
    </w:p>
    <w:p w14:paraId="090B9C99">
      <w:pPr>
        <w:keepNext w:val="0"/>
        <w:keepLines w:val="0"/>
        <w:pageBreakBefore w:val="0"/>
        <w:widowControl/>
        <w:numPr>
          <w:ilvl w:val="0"/>
          <w:numId w:val="2"/>
        </w:numPr>
        <w:kinsoku w:val="0"/>
        <w:wordWrap/>
        <w:overflowPunct/>
        <w:topLinePunct w:val="0"/>
        <w:autoSpaceDE w:val="0"/>
        <w:autoSpaceDN w:val="0"/>
        <w:bidi w:val="0"/>
        <w:adjustRightInd/>
        <w:snapToGrid/>
        <w:spacing w:line="560" w:lineRule="exact"/>
        <w:ind w:right="0" w:rightChars="0"/>
        <w:textAlignment w:val="baseline"/>
        <w:rPr>
          <w:rFonts w:hint="default" w:ascii="黑体" w:hAnsi="黑体" w:eastAsia="黑体" w:cs="黑体"/>
          <w:spacing w:val="12"/>
          <w:sz w:val="32"/>
          <w:szCs w:val="32"/>
          <w:lang w:val="en-US" w:eastAsia="zh-CN"/>
        </w:rPr>
      </w:pPr>
      <w:r>
        <w:rPr>
          <w:rFonts w:hint="eastAsia" w:ascii="黑体" w:hAnsi="黑体" w:eastAsia="黑体" w:cs="黑体"/>
          <w:spacing w:val="12"/>
          <w:sz w:val="32"/>
          <w:szCs w:val="32"/>
          <w:lang w:val="en-US" w:eastAsia="zh-CN"/>
        </w:rPr>
        <w:t>采标情况</w:t>
      </w:r>
    </w:p>
    <w:p w14:paraId="095831E6">
      <w:pPr>
        <w:keepNext w:val="0"/>
        <w:keepLines w:val="0"/>
        <w:pageBreakBefore w:val="0"/>
        <w:widowControl/>
        <w:kinsoku w:val="0"/>
        <w:wordWrap/>
        <w:overflowPunct/>
        <w:topLinePunct w:val="0"/>
        <w:autoSpaceDE w:val="0"/>
        <w:autoSpaceDN w:val="0"/>
        <w:bidi w:val="0"/>
        <w:adjustRightInd/>
        <w:snapToGrid/>
        <w:spacing w:line="560" w:lineRule="exact"/>
        <w:ind w:right="0" w:firstLine="660" w:firstLineChars="200"/>
        <w:textAlignment w:val="baseline"/>
        <w:rPr>
          <w:rFonts w:hint="eastAsia" w:ascii="仿宋" w:hAnsi="仿宋" w:eastAsia="仿宋" w:cs="仿宋"/>
          <w:snapToGrid w:val="0"/>
          <w:color w:val="000000"/>
          <w:spacing w:val="5"/>
          <w:kern w:val="0"/>
          <w:sz w:val="32"/>
          <w:szCs w:val="32"/>
          <w:lang w:val="en-US" w:eastAsia="zh-CN" w:bidi="ar-SA"/>
        </w:rPr>
      </w:pPr>
      <w:r>
        <w:rPr>
          <w:rFonts w:hint="eastAsia" w:ascii="仿宋" w:hAnsi="仿宋" w:eastAsia="仿宋" w:cs="仿宋"/>
          <w:snapToGrid w:val="0"/>
          <w:color w:val="000000"/>
          <w:spacing w:val="5"/>
          <w:kern w:val="0"/>
          <w:sz w:val="32"/>
          <w:szCs w:val="32"/>
          <w:lang w:val="en-US" w:eastAsia="zh-CN" w:bidi="ar-SA"/>
        </w:rPr>
        <w:t>无。</w:t>
      </w:r>
    </w:p>
    <w:p w14:paraId="5251876A">
      <w:pPr>
        <w:keepNext w:val="0"/>
        <w:keepLines w:val="0"/>
        <w:pageBreakBefore w:val="0"/>
        <w:widowControl/>
        <w:kinsoku w:val="0"/>
        <w:wordWrap/>
        <w:overflowPunct/>
        <w:topLinePunct w:val="0"/>
        <w:autoSpaceDE w:val="0"/>
        <w:autoSpaceDN w:val="0"/>
        <w:bidi w:val="0"/>
        <w:adjustRightInd/>
        <w:snapToGrid/>
        <w:spacing w:line="560" w:lineRule="exact"/>
        <w:ind w:right="0"/>
        <w:textAlignment w:val="baseline"/>
        <w:rPr>
          <w:rFonts w:ascii="黑体" w:hAnsi="黑体" w:eastAsia="黑体" w:cs="黑体"/>
          <w:sz w:val="32"/>
          <w:szCs w:val="32"/>
        </w:rPr>
      </w:pPr>
      <w:r>
        <w:rPr>
          <w:rFonts w:hint="eastAsia" w:ascii="黑体" w:hAnsi="黑体" w:eastAsia="黑体" w:cs="黑体"/>
          <w:spacing w:val="8"/>
          <w:sz w:val="32"/>
          <w:szCs w:val="32"/>
          <w:lang w:val="en-US" w:eastAsia="zh-CN"/>
        </w:rPr>
        <w:t>六、</w:t>
      </w:r>
      <w:r>
        <w:rPr>
          <w:rFonts w:ascii="黑体" w:hAnsi="黑体" w:eastAsia="黑体" w:cs="黑体"/>
          <w:spacing w:val="8"/>
          <w:sz w:val="32"/>
          <w:szCs w:val="32"/>
        </w:rPr>
        <w:t>重大意见分歧的处理依据和结果</w:t>
      </w:r>
    </w:p>
    <w:p w14:paraId="72B834EF">
      <w:pPr>
        <w:pStyle w:val="2"/>
        <w:keepNext w:val="0"/>
        <w:keepLines w:val="0"/>
        <w:pageBreakBefore w:val="0"/>
        <w:widowControl/>
        <w:kinsoku w:val="0"/>
        <w:wordWrap w:val="0"/>
        <w:overflowPunct/>
        <w:topLinePunct w:val="0"/>
        <w:autoSpaceDE w:val="0"/>
        <w:autoSpaceDN w:val="0"/>
        <w:bidi w:val="0"/>
        <w:adjustRightInd/>
        <w:snapToGrid/>
        <w:spacing w:line="560" w:lineRule="exact"/>
        <w:ind w:left="0" w:right="0" w:firstLine="688" w:firstLineChars="200"/>
        <w:textAlignment w:val="baseline"/>
        <w:rPr>
          <w:sz w:val="32"/>
          <w:szCs w:val="32"/>
        </w:rPr>
      </w:pPr>
      <w:r>
        <w:rPr>
          <w:spacing w:val="12"/>
          <w:sz w:val="32"/>
          <w:szCs w:val="32"/>
        </w:rPr>
        <w:t>本标准在编写过程中征求了各相关部门和标准化专家的意</w:t>
      </w:r>
      <w:r>
        <w:rPr>
          <w:spacing w:val="5"/>
          <w:sz w:val="32"/>
          <w:szCs w:val="32"/>
        </w:rPr>
        <w:t>见与建议，并对所提出的问题及时沟通交流，无重大意见分歧。</w:t>
      </w:r>
    </w:p>
    <w:p w14:paraId="4E52F316">
      <w:pPr>
        <w:keepNext w:val="0"/>
        <w:keepLines w:val="0"/>
        <w:pageBreakBefore w:val="0"/>
        <w:widowControl/>
        <w:kinsoku w:val="0"/>
        <w:wordWrap/>
        <w:overflowPunct/>
        <w:topLinePunct w:val="0"/>
        <w:autoSpaceDE w:val="0"/>
        <w:autoSpaceDN w:val="0"/>
        <w:bidi w:val="0"/>
        <w:adjustRightInd/>
        <w:snapToGrid/>
        <w:spacing w:line="560" w:lineRule="exact"/>
        <w:ind w:right="0"/>
        <w:textAlignment w:val="baseline"/>
        <w:rPr>
          <w:rFonts w:ascii="黑体" w:hAnsi="黑体" w:eastAsia="黑体" w:cs="黑体"/>
          <w:sz w:val="32"/>
          <w:szCs w:val="32"/>
        </w:rPr>
      </w:pPr>
      <w:r>
        <w:rPr>
          <w:rFonts w:hint="eastAsia" w:ascii="黑体" w:hAnsi="黑体" w:eastAsia="黑体" w:cs="黑体"/>
          <w:spacing w:val="9"/>
          <w:sz w:val="32"/>
          <w:szCs w:val="32"/>
          <w:lang w:val="en-US" w:eastAsia="zh-CN"/>
        </w:rPr>
        <w:t>七、</w:t>
      </w:r>
      <w:r>
        <w:rPr>
          <w:rFonts w:ascii="黑体" w:hAnsi="黑体" w:eastAsia="黑体" w:cs="黑体"/>
          <w:spacing w:val="9"/>
          <w:sz w:val="32"/>
          <w:szCs w:val="32"/>
        </w:rPr>
        <w:t>预期效果及贯彻实施标准规范的要求、措施</w:t>
      </w:r>
      <w:r>
        <w:rPr>
          <w:rFonts w:ascii="黑体" w:hAnsi="黑体" w:eastAsia="黑体" w:cs="黑体"/>
          <w:spacing w:val="8"/>
          <w:sz w:val="32"/>
          <w:szCs w:val="32"/>
        </w:rPr>
        <w:t>等建议</w:t>
      </w:r>
    </w:p>
    <w:p w14:paraId="5DFAB59E">
      <w:pPr>
        <w:keepNext w:val="0"/>
        <w:keepLines w:val="0"/>
        <w:pageBreakBefore w:val="0"/>
        <w:widowControl/>
        <w:kinsoku w:val="0"/>
        <w:wordWrap/>
        <w:overflowPunct/>
        <w:topLinePunct w:val="0"/>
        <w:autoSpaceDE w:val="0"/>
        <w:autoSpaceDN w:val="0"/>
        <w:bidi w:val="0"/>
        <w:adjustRightInd/>
        <w:snapToGrid/>
        <w:spacing w:line="560" w:lineRule="exact"/>
        <w:ind w:left="0" w:right="0" w:firstLine="651" w:firstLineChars="200"/>
        <w:textAlignment w:val="baseline"/>
        <w:outlineLvl w:val="2"/>
        <w:rPr>
          <w:rFonts w:ascii="楷体" w:hAnsi="楷体" w:eastAsia="楷体" w:cs="楷体"/>
          <w:sz w:val="32"/>
          <w:szCs w:val="32"/>
        </w:rPr>
      </w:pPr>
      <w:r>
        <w:rPr>
          <w:rFonts w:ascii="楷体" w:hAnsi="楷体" w:eastAsia="楷体" w:cs="楷体"/>
          <w:b/>
          <w:bCs/>
          <w:spacing w:val="2"/>
          <w:sz w:val="32"/>
          <w:szCs w:val="32"/>
        </w:rPr>
        <w:t>（一）预期效果</w:t>
      </w:r>
    </w:p>
    <w:p w14:paraId="386D01D1">
      <w:pPr>
        <w:pStyle w:val="2"/>
        <w:keepNext w:val="0"/>
        <w:keepLines w:val="0"/>
        <w:pageBreakBefore w:val="0"/>
        <w:widowControl/>
        <w:kinsoku w:val="0"/>
        <w:wordWrap w:val="0"/>
        <w:overflowPunct/>
        <w:topLinePunct w:val="0"/>
        <w:autoSpaceDE w:val="0"/>
        <w:autoSpaceDN w:val="0"/>
        <w:bidi w:val="0"/>
        <w:adjustRightInd/>
        <w:snapToGrid/>
        <w:spacing w:line="560" w:lineRule="exact"/>
        <w:ind w:left="0" w:right="0" w:firstLine="688" w:firstLineChars="200"/>
        <w:jc w:val="both"/>
        <w:textAlignment w:val="baseline"/>
        <w:rPr>
          <w:spacing w:val="8"/>
          <w:sz w:val="32"/>
          <w:szCs w:val="32"/>
        </w:rPr>
      </w:pPr>
      <w:r>
        <w:rPr>
          <w:spacing w:val="12"/>
          <w:sz w:val="32"/>
          <w:szCs w:val="32"/>
        </w:rPr>
        <w:t>本文件是围绕</w:t>
      </w:r>
      <w:r>
        <w:rPr>
          <w:rFonts w:hint="eastAsia"/>
          <w:spacing w:val="12"/>
          <w:sz w:val="32"/>
          <w:szCs w:val="32"/>
        </w:rPr>
        <w:t>客运索道使用单位运营安全管理</w:t>
      </w:r>
      <w:r>
        <w:rPr>
          <w:rFonts w:hint="eastAsia"/>
          <w:spacing w:val="12"/>
          <w:sz w:val="32"/>
          <w:szCs w:val="32"/>
          <w:lang w:val="en-US" w:eastAsia="zh-CN"/>
        </w:rPr>
        <w:t>的各种要求进行优化，</w:t>
      </w:r>
      <w:r>
        <w:rPr>
          <w:spacing w:val="8"/>
          <w:sz w:val="32"/>
          <w:szCs w:val="32"/>
        </w:rPr>
        <w:t>为</w:t>
      </w:r>
      <w:r>
        <w:rPr>
          <w:rFonts w:hint="eastAsia"/>
          <w:spacing w:val="12"/>
          <w:sz w:val="32"/>
          <w:szCs w:val="32"/>
        </w:rPr>
        <w:t>客运索道使用单位</w:t>
      </w:r>
      <w:r>
        <w:rPr>
          <w:rFonts w:hint="eastAsia"/>
          <w:spacing w:val="8"/>
          <w:sz w:val="32"/>
          <w:szCs w:val="32"/>
          <w:lang w:val="en-US" w:eastAsia="zh-CN"/>
        </w:rPr>
        <w:t>规范化运营</w:t>
      </w:r>
      <w:r>
        <w:rPr>
          <w:spacing w:val="8"/>
          <w:sz w:val="32"/>
          <w:szCs w:val="32"/>
        </w:rPr>
        <w:t>提供正确指导。</w:t>
      </w:r>
    </w:p>
    <w:p w14:paraId="093C58D8">
      <w:pPr>
        <w:keepNext w:val="0"/>
        <w:keepLines w:val="0"/>
        <w:pageBreakBefore w:val="0"/>
        <w:widowControl/>
        <w:kinsoku w:val="0"/>
        <w:wordWrap w:val="0"/>
        <w:overflowPunct/>
        <w:topLinePunct w:val="0"/>
        <w:autoSpaceDE w:val="0"/>
        <w:autoSpaceDN w:val="0"/>
        <w:bidi w:val="0"/>
        <w:adjustRightInd/>
        <w:snapToGrid/>
        <w:spacing w:line="560" w:lineRule="exact"/>
        <w:ind w:left="0" w:right="0" w:firstLine="667" w:firstLineChars="200"/>
        <w:textAlignment w:val="baseline"/>
        <w:outlineLvl w:val="2"/>
        <w:rPr>
          <w:rFonts w:ascii="楷体" w:hAnsi="楷体" w:eastAsia="楷体" w:cs="楷体"/>
          <w:sz w:val="32"/>
          <w:szCs w:val="32"/>
        </w:rPr>
      </w:pPr>
      <w:r>
        <w:rPr>
          <w:rFonts w:ascii="楷体" w:hAnsi="楷体" w:eastAsia="楷体" w:cs="楷体"/>
          <w:b/>
          <w:bCs/>
          <w:spacing w:val="6"/>
          <w:sz w:val="32"/>
          <w:szCs w:val="32"/>
        </w:rPr>
        <w:t>（二）贯彻实施标准规范的要求、措施等建议</w:t>
      </w:r>
    </w:p>
    <w:p w14:paraId="2FF9067F">
      <w:pPr>
        <w:pStyle w:val="2"/>
        <w:keepNext w:val="0"/>
        <w:keepLines w:val="0"/>
        <w:pageBreakBefore w:val="0"/>
        <w:widowControl/>
        <w:kinsoku w:val="0"/>
        <w:wordWrap w:val="0"/>
        <w:overflowPunct/>
        <w:topLinePunct w:val="0"/>
        <w:autoSpaceDE w:val="0"/>
        <w:autoSpaceDN w:val="0"/>
        <w:bidi w:val="0"/>
        <w:adjustRightInd/>
        <w:snapToGrid/>
        <w:spacing w:line="560" w:lineRule="exact"/>
        <w:ind w:left="0" w:right="0" w:firstLine="680" w:firstLineChars="200"/>
        <w:textAlignment w:val="baseline"/>
        <w:rPr>
          <w:rFonts w:hint="eastAsia"/>
          <w:spacing w:val="12"/>
          <w:sz w:val="32"/>
          <w:szCs w:val="32"/>
          <w:lang w:val="en-US" w:eastAsia="zh-CN"/>
        </w:rPr>
      </w:pPr>
      <w:r>
        <w:rPr>
          <w:rFonts w:hint="eastAsia"/>
          <w:spacing w:val="10"/>
          <w:sz w:val="32"/>
          <w:szCs w:val="32"/>
          <w:lang w:val="en-US" w:eastAsia="zh-CN"/>
        </w:rPr>
        <w:t>按照</w:t>
      </w:r>
      <w:r>
        <w:rPr>
          <w:spacing w:val="10"/>
          <w:sz w:val="32"/>
          <w:szCs w:val="32"/>
        </w:rPr>
        <w:t>《</w:t>
      </w:r>
      <w:r>
        <w:rPr>
          <w:rFonts w:hint="eastAsia"/>
          <w:spacing w:val="10"/>
          <w:sz w:val="32"/>
          <w:szCs w:val="32"/>
          <w:lang w:eastAsia="zh-CN"/>
        </w:rPr>
        <w:t>客运索道使用单位运营安全管理规范</w:t>
      </w:r>
      <w:r>
        <w:rPr>
          <w:spacing w:val="10"/>
          <w:sz w:val="32"/>
          <w:szCs w:val="32"/>
        </w:rPr>
        <w:t>》</w:t>
      </w:r>
      <w:r>
        <w:rPr>
          <w:rFonts w:hint="eastAsia"/>
          <w:spacing w:val="10"/>
          <w:sz w:val="32"/>
          <w:szCs w:val="32"/>
          <w:lang w:val="en-US" w:eastAsia="zh-CN"/>
        </w:rPr>
        <w:t>地方标准要求</w:t>
      </w:r>
      <w:r>
        <w:rPr>
          <w:spacing w:val="10"/>
          <w:sz w:val="32"/>
          <w:szCs w:val="32"/>
        </w:rPr>
        <w:t>，</w:t>
      </w:r>
      <w:r>
        <w:rPr>
          <w:rFonts w:hint="eastAsia"/>
          <w:spacing w:val="10"/>
          <w:sz w:val="32"/>
          <w:szCs w:val="32"/>
          <w:lang w:val="en-US" w:eastAsia="zh-CN"/>
        </w:rPr>
        <w:t>推动</w:t>
      </w:r>
      <w:r>
        <w:rPr>
          <w:rFonts w:hint="eastAsia"/>
          <w:spacing w:val="12"/>
          <w:sz w:val="32"/>
          <w:szCs w:val="32"/>
          <w:lang w:eastAsia="zh-CN"/>
        </w:rPr>
        <w:t>陕西省</w:t>
      </w:r>
      <w:r>
        <w:rPr>
          <w:spacing w:val="12"/>
          <w:sz w:val="32"/>
          <w:szCs w:val="32"/>
        </w:rPr>
        <w:t>范围内</w:t>
      </w:r>
      <w:r>
        <w:rPr>
          <w:rFonts w:hint="eastAsia"/>
          <w:spacing w:val="10"/>
          <w:sz w:val="32"/>
          <w:szCs w:val="32"/>
          <w:lang w:eastAsia="zh-CN"/>
        </w:rPr>
        <w:t>客运索道使用单位</w:t>
      </w:r>
      <w:r>
        <w:rPr>
          <w:spacing w:val="12"/>
          <w:sz w:val="32"/>
          <w:szCs w:val="32"/>
        </w:rPr>
        <w:t>管理工作</w:t>
      </w:r>
      <w:r>
        <w:rPr>
          <w:rFonts w:hint="eastAsia"/>
          <w:spacing w:val="12"/>
          <w:sz w:val="32"/>
          <w:szCs w:val="32"/>
          <w:lang w:eastAsia="zh-CN"/>
        </w:rPr>
        <w:t>，</w:t>
      </w:r>
      <w:r>
        <w:rPr>
          <w:rFonts w:hint="eastAsia"/>
          <w:spacing w:val="12"/>
          <w:sz w:val="32"/>
          <w:szCs w:val="32"/>
          <w:lang w:val="en-US" w:eastAsia="zh-CN"/>
        </w:rPr>
        <w:t>组织省内大中型使用单位宣贯，确保标准落实到位，以达到最终实现特种设备安全的目的。</w:t>
      </w:r>
    </w:p>
    <w:p w14:paraId="73FD0301">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right="0" w:rightChars="0"/>
        <w:textAlignment w:val="baseline"/>
        <w:rPr>
          <w:rFonts w:ascii="黑体" w:hAnsi="黑体" w:eastAsia="黑体" w:cs="黑体"/>
          <w:spacing w:val="8"/>
          <w:sz w:val="32"/>
          <w:szCs w:val="32"/>
        </w:rPr>
      </w:pPr>
      <w:r>
        <w:rPr>
          <w:rFonts w:hint="eastAsia" w:ascii="黑体" w:hAnsi="黑体" w:eastAsia="黑体" w:cs="黑体"/>
          <w:spacing w:val="8"/>
          <w:sz w:val="32"/>
          <w:szCs w:val="32"/>
          <w:lang w:val="en-US" w:eastAsia="zh-CN"/>
        </w:rPr>
        <w:t>八、</w:t>
      </w:r>
      <w:r>
        <w:rPr>
          <w:rFonts w:ascii="黑体" w:hAnsi="黑体" w:eastAsia="黑体" w:cs="黑体"/>
          <w:spacing w:val="8"/>
          <w:sz w:val="32"/>
          <w:szCs w:val="32"/>
        </w:rPr>
        <w:t>其他应当说明的事项</w:t>
      </w:r>
    </w:p>
    <w:p w14:paraId="149551FB">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leftChars="0" w:right="0" w:rightChars="0" w:firstLine="608" w:firstLineChars="200"/>
        <w:textAlignment w:val="baseline"/>
        <w:rPr>
          <w:spacing w:val="-8"/>
          <w:sz w:val="32"/>
          <w:szCs w:val="32"/>
        </w:rPr>
      </w:pPr>
      <w:r>
        <w:rPr>
          <w:spacing w:val="-8"/>
          <w:sz w:val="32"/>
          <w:szCs w:val="32"/>
        </w:rPr>
        <w:t>无。</w:t>
      </w:r>
    </w:p>
    <w:p w14:paraId="0E8AD44D">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jc w:val="center"/>
        <w:textAlignment w:val="baseline"/>
        <w:rPr>
          <w:rFonts w:hint="eastAsia"/>
          <w:spacing w:val="8"/>
          <w:sz w:val="32"/>
          <w:szCs w:val="32"/>
          <w:lang w:val="en-US" w:eastAsia="zh-CN"/>
        </w:rPr>
      </w:pPr>
      <w:r>
        <w:rPr>
          <w:rFonts w:hint="eastAsia"/>
          <w:spacing w:val="8"/>
          <w:sz w:val="32"/>
          <w:szCs w:val="32"/>
          <w:lang w:val="en-US" w:eastAsia="zh-CN"/>
        </w:rPr>
        <w:t xml:space="preserve">         </w:t>
      </w:r>
    </w:p>
    <w:p w14:paraId="581B5C75">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jc w:val="center"/>
        <w:textAlignment w:val="baseline"/>
        <w:rPr>
          <w:rFonts w:hint="eastAsia" w:ascii="宋体" w:hAnsi="宋体" w:eastAsia="宋体" w:cs="宋体"/>
          <w:spacing w:val="8"/>
          <w:sz w:val="32"/>
          <w:szCs w:val="32"/>
        </w:rPr>
      </w:pPr>
      <w:r>
        <w:rPr>
          <w:rFonts w:hint="eastAsia"/>
          <w:spacing w:val="8"/>
          <w:sz w:val="32"/>
          <w:szCs w:val="32"/>
          <w:lang w:val="en-US" w:eastAsia="zh-CN"/>
        </w:rPr>
        <w:t xml:space="preserve">          </w:t>
      </w:r>
      <w:r>
        <w:rPr>
          <w:rFonts w:hint="eastAsia" w:ascii="宋体" w:hAnsi="宋体" w:eastAsia="宋体" w:cs="宋体"/>
          <w:spacing w:val="8"/>
          <w:sz w:val="32"/>
          <w:szCs w:val="32"/>
        </w:rPr>
        <w:t>《</w:t>
      </w:r>
      <w:r>
        <w:rPr>
          <w:rFonts w:hint="eastAsia" w:ascii="宋体" w:hAnsi="宋体" w:eastAsia="宋体" w:cs="宋体"/>
          <w:spacing w:val="8"/>
          <w:sz w:val="32"/>
          <w:szCs w:val="32"/>
          <w:lang w:eastAsia="zh-CN"/>
        </w:rPr>
        <w:t>客运索道使用单位运营安全管理规范</w:t>
      </w:r>
      <w:r>
        <w:rPr>
          <w:rFonts w:hint="eastAsia" w:ascii="宋体" w:hAnsi="宋体" w:eastAsia="宋体" w:cs="宋体"/>
          <w:spacing w:val="8"/>
          <w:sz w:val="32"/>
          <w:szCs w:val="32"/>
        </w:rPr>
        <w:t>》</w:t>
      </w:r>
    </w:p>
    <w:p w14:paraId="1B0C492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jc w:val="center"/>
        <w:textAlignment w:val="baseline"/>
        <w:rPr>
          <w:rFonts w:hint="eastAsia" w:ascii="宋体" w:hAnsi="宋体" w:eastAsia="宋体" w:cs="宋体"/>
          <w:spacing w:val="8"/>
          <w:sz w:val="32"/>
          <w:szCs w:val="32"/>
          <w:lang w:eastAsia="zh-CN"/>
        </w:rPr>
      </w:pPr>
      <w:r>
        <w:rPr>
          <w:rFonts w:hint="eastAsia" w:ascii="宋体" w:hAnsi="宋体" w:eastAsia="宋体" w:cs="宋体"/>
          <w:spacing w:val="8"/>
          <w:sz w:val="32"/>
          <w:szCs w:val="32"/>
          <w:lang w:val="en-US" w:eastAsia="zh-CN"/>
        </w:rPr>
        <w:t xml:space="preserve">         </w:t>
      </w:r>
      <w:r>
        <w:rPr>
          <w:rFonts w:hint="eastAsia" w:ascii="宋体" w:hAnsi="宋体" w:eastAsia="宋体" w:cs="宋体"/>
          <w:spacing w:val="8"/>
          <w:sz w:val="32"/>
          <w:szCs w:val="32"/>
          <w:lang w:eastAsia="zh-CN"/>
        </w:rPr>
        <w:t>标准起草组</w:t>
      </w:r>
    </w:p>
    <w:p w14:paraId="668D29A9">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576" w:firstLineChars="200"/>
        <w:jc w:val="center"/>
        <w:textAlignment w:val="baseline"/>
        <w:rPr>
          <w:rFonts w:hint="eastAsia" w:ascii="宋体" w:hAnsi="宋体" w:eastAsia="宋体" w:cs="宋体"/>
          <w:sz w:val="32"/>
          <w:szCs w:val="32"/>
        </w:rPr>
      </w:pPr>
      <w:r>
        <w:rPr>
          <w:rFonts w:hint="eastAsia" w:ascii="宋体" w:hAnsi="宋体" w:eastAsia="宋体" w:cs="宋体"/>
          <w:spacing w:val="-16"/>
          <w:sz w:val="32"/>
          <w:szCs w:val="32"/>
          <w:lang w:val="en-US" w:eastAsia="zh-CN"/>
        </w:rPr>
        <w:t xml:space="preserve">               </w:t>
      </w:r>
      <w:r>
        <w:rPr>
          <w:rFonts w:hint="eastAsia" w:ascii="宋体" w:hAnsi="宋体" w:eastAsia="宋体" w:cs="宋体"/>
          <w:spacing w:val="-16"/>
          <w:sz w:val="32"/>
          <w:szCs w:val="32"/>
        </w:rPr>
        <w:t>202</w:t>
      </w:r>
      <w:r>
        <w:rPr>
          <w:rFonts w:hint="eastAsia" w:ascii="宋体" w:hAnsi="宋体" w:eastAsia="宋体" w:cs="宋体"/>
          <w:spacing w:val="-16"/>
          <w:sz w:val="32"/>
          <w:szCs w:val="32"/>
          <w:lang w:val="en-US" w:eastAsia="zh-CN"/>
        </w:rPr>
        <w:t>5</w:t>
      </w:r>
      <w:r>
        <w:rPr>
          <w:rFonts w:hint="eastAsia" w:ascii="宋体" w:hAnsi="宋体" w:eastAsia="宋体" w:cs="宋体"/>
          <w:spacing w:val="-16"/>
          <w:sz w:val="32"/>
          <w:szCs w:val="32"/>
        </w:rPr>
        <w:t>年</w:t>
      </w:r>
      <w:r>
        <w:rPr>
          <w:rFonts w:hint="eastAsia" w:ascii="宋体" w:hAnsi="宋体" w:eastAsia="宋体" w:cs="宋体"/>
          <w:spacing w:val="-16"/>
          <w:sz w:val="32"/>
          <w:szCs w:val="32"/>
          <w:lang w:val="en-US" w:eastAsia="zh-CN"/>
        </w:rPr>
        <w:t>03</w:t>
      </w:r>
      <w:r>
        <w:rPr>
          <w:rFonts w:hint="eastAsia" w:ascii="宋体" w:hAnsi="宋体" w:eastAsia="宋体" w:cs="宋体"/>
          <w:spacing w:val="-16"/>
          <w:sz w:val="32"/>
          <w:szCs w:val="32"/>
        </w:rPr>
        <w:t>月</w:t>
      </w:r>
      <w:r>
        <w:rPr>
          <w:rFonts w:hint="eastAsia" w:ascii="宋体" w:hAnsi="宋体" w:eastAsia="宋体" w:cs="宋体"/>
          <w:spacing w:val="-16"/>
          <w:sz w:val="32"/>
          <w:szCs w:val="32"/>
          <w:lang w:val="en-US" w:eastAsia="zh-CN"/>
        </w:rPr>
        <w:t>03</w:t>
      </w:r>
      <w:bookmarkStart w:id="0" w:name="_GoBack"/>
      <w:bookmarkEnd w:id="0"/>
      <w:r>
        <w:rPr>
          <w:rFonts w:hint="eastAsia" w:ascii="宋体" w:hAnsi="宋体" w:eastAsia="宋体" w:cs="宋体"/>
          <w:spacing w:val="-16"/>
          <w:sz w:val="32"/>
          <w:szCs w:val="32"/>
        </w:rPr>
        <w:t>日</w:t>
      </w:r>
    </w:p>
    <w:p w14:paraId="50869318"/>
    <w:sectPr>
      <w:footerReference r:id="rId5" w:type="default"/>
      <w:pgSz w:w="11906" w:h="16839"/>
      <w:pgMar w:top="1431" w:right="1498" w:bottom="1175" w:left="1596" w:header="0" w:footer="987"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912C2">
    <w:pPr>
      <w:spacing w:line="175" w:lineRule="auto"/>
      <w:ind w:left="4"/>
      <w:rPr>
        <w:rFonts w:ascii="等线" w:hAnsi="等线" w:eastAsia="等线" w:cs="等线"/>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D7E0B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D7E0B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31E80F"/>
    <w:multiLevelType w:val="singleLevel"/>
    <w:tmpl w:val="D431E80F"/>
    <w:lvl w:ilvl="0" w:tentative="0">
      <w:start w:val="3"/>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1353"/>
    <w:rsid w:val="0D7F1353"/>
    <w:rsid w:val="111161CF"/>
    <w:rsid w:val="1CD97A95"/>
    <w:rsid w:val="1FAB460F"/>
    <w:rsid w:val="1FE8583F"/>
    <w:rsid w:val="32920AD5"/>
    <w:rsid w:val="35677D6B"/>
    <w:rsid w:val="3E5500EC"/>
    <w:rsid w:val="4D123D00"/>
    <w:rsid w:val="4EB26E94"/>
    <w:rsid w:val="4F6C0472"/>
    <w:rsid w:val="578D5546"/>
    <w:rsid w:val="5B3E42C0"/>
    <w:rsid w:val="668877CC"/>
    <w:rsid w:val="6E846DAD"/>
    <w:rsid w:val="707E43CA"/>
    <w:rsid w:val="70B825D8"/>
    <w:rsid w:val="71991402"/>
    <w:rsid w:val="71B50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一级条标题"/>
    <w:next w:val="7"/>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8">
    <w:name w:val="二级无"/>
    <w:basedOn w:val="9"/>
    <w:qFormat/>
    <w:uiPriority w:val="0"/>
    <w:pPr>
      <w:spacing w:before="0" w:beforeLines="0" w:after="0" w:afterLines="0"/>
    </w:pPr>
    <w:rPr>
      <w:rFonts w:ascii="宋体" w:eastAsia="宋体"/>
    </w:rPr>
  </w:style>
  <w:style w:type="paragraph" w:customStyle="1" w:styleId="9">
    <w:name w:val="二级条标题"/>
    <w:basedOn w:val="6"/>
    <w:next w:val="7"/>
    <w:qFormat/>
    <w:uiPriority w:val="0"/>
    <w:pPr>
      <w:numPr>
        <w:ilvl w:val="2"/>
        <w:numId w:val="1"/>
      </w:numPr>
      <w:spacing w:before="50" w:after="50"/>
      <w:outlineLvl w:val="3"/>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4181</Words>
  <Characters>4613</Characters>
  <Lines>0</Lines>
  <Paragraphs>0</Paragraphs>
  <TotalTime>204</TotalTime>
  <ScaleCrop>false</ScaleCrop>
  <LinksUpToDate>false</LinksUpToDate>
  <CharactersWithSpaces>4686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2025-01-16T03:21:00Z</dcterms:created>
  <dc:creator>宁静致远</dc:creator>
  <cp:lastModifiedBy>宁静致远</cp:lastModifiedBy>
  <dcterms:modified xsi:type="dcterms:W3CDTF">2025-03-03T08:00:11Z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86761D44F34448458AB9C3B592839623_13</vt:lpwstr>
  </property>
  <property fmtid="{D5CDD505-2E9C-101B-9397-08002B2CF9AE}" pid="4" name="KSOTemplateDocerSaveRecord">
    <vt:lpwstr>eyJoZGlkIjoiM2QxZDgzYjM1MTgwOWY2OWI4Y2QxNzI2MDE5MDRhMmYiLCJ1c2VySWQiOiI3NjEwOTQ5NDIifQ==</vt:lpwstr>
  </property>
</Properties>
</file>