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BAA0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C332983">
            <w:pPr>
              <w:pStyle w:val="18"/>
              <w:framePr w:wrap="notBeside" w:vAnchor="page" w:hAnchor="page" w:x="1372" w:y="568"/>
              <w:tabs>
                <w:tab w:val="clear" w:pos="4153"/>
                <w:tab w:val="clear" w:pos="8306"/>
              </w:tabs>
              <w:spacing w:line="240" w:lineRule="auto"/>
              <w:jc w:val="left"/>
              <w:rPr>
                <w:rFonts w:ascii="黑体" w:hAnsi="黑体" w:eastAsia="黑体"/>
                <w:color w:val="auto"/>
                <w:sz w:val="21"/>
                <w:szCs w:val="21"/>
              </w:rPr>
            </w:pPr>
            <w:r>
              <w:rPr>
                <w:rFonts w:ascii="Times New Roman" w:hAnsi="Times New Roman" w:eastAsia="黑体"/>
                <w:color w:val="auto"/>
                <w:sz w:val="21"/>
                <w:szCs w:val="21"/>
              </w:rPr>
              <w:t>ICS</w:t>
            </w:r>
            <w:r>
              <w:rPr>
                <w:rFonts w:ascii="黑体" w:hAnsi="黑体" w:eastAsia="黑体"/>
                <w:color w:val="auto"/>
                <w:sz w:val="21"/>
                <w:szCs w:val="21"/>
              </w:rPr>
              <w:t xml:space="preserve">  </w:t>
            </w:r>
          </w:p>
        </w:tc>
        <w:tc>
          <w:tcPr>
            <w:tcW w:w="8855" w:type="dxa"/>
          </w:tcPr>
          <w:p w14:paraId="61CC74CF">
            <w:pPr>
              <w:pStyle w:val="18"/>
              <w:framePr w:wrap="notBeside" w:vAnchor="page" w:hAnchor="page" w:x="1372" w:y="568"/>
              <w:tabs>
                <w:tab w:val="clear" w:pos="4153"/>
                <w:tab w:val="clear" w:pos="8306"/>
              </w:tabs>
              <w:spacing w:line="240" w:lineRule="auto"/>
              <w:jc w:val="both"/>
              <w:rPr>
                <w:rFonts w:ascii="黑体" w:hAnsi="黑体" w:eastAsia="黑体"/>
                <w:color w:val="auto"/>
                <w:sz w:val="21"/>
                <w:szCs w:val="21"/>
              </w:rPr>
            </w:pPr>
            <w:r>
              <w:rPr>
                <w:rFonts w:ascii="黑体" w:hAnsi="黑体" w:eastAsia="黑体"/>
                <w:color w:val="auto"/>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25.040.01</w:t>
            </w:r>
            <w:r>
              <w:rPr>
                <w:rFonts w:ascii="黑体" w:hAnsi="黑体" w:eastAsia="黑体"/>
                <w:color w:val="auto"/>
                <w:sz w:val="21"/>
                <w:szCs w:val="21"/>
              </w:rPr>
              <w:fldChar w:fldCharType="end"/>
            </w:r>
            <w:bookmarkEnd w:id="0"/>
          </w:p>
        </w:tc>
      </w:tr>
      <w:tr w14:paraId="51A04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5FFB80">
            <w:pPr>
              <w:pStyle w:val="18"/>
              <w:framePr w:wrap="notBeside" w:vAnchor="page" w:hAnchor="page" w:x="1372" w:y="568"/>
              <w:tabs>
                <w:tab w:val="clear" w:pos="4153"/>
                <w:tab w:val="clear" w:pos="8306"/>
              </w:tabs>
              <w:spacing w:before="40" w:line="240" w:lineRule="auto"/>
              <w:jc w:val="left"/>
              <w:rPr>
                <w:rFonts w:ascii="黑体" w:hAnsi="黑体" w:eastAsia="黑体"/>
                <w:color w:val="auto"/>
                <w:sz w:val="21"/>
                <w:szCs w:val="21"/>
              </w:rPr>
            </w:pPr>
            <w:r>
              <w:rPr>
                <w:rFonts w:ascii="Times New Roman" w:hAnsi="Times New Roman" w:eastAsia="黑体"/>
                <w:color w:val="auto"/>
                <w:sz w:val="21"/>
                <w:szCs w:val="21"/>
              </w:rPr>
              <w:t xml:space="preserve">CCS </w:t>
            </w:r>
            <w:r>
              <w:rPr>
                <w:rFonts w:ascii="黑体" w:hAnsi="黑体" w:eastAsia="黑体"/>
                <w:color w:val="auto"/>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52A2FEB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E4044FB">
                  <w:pPr>
                    <w:pStyle w:val="49"/>
                    <w:framePr w:wrap="notBeside" w:vAnchor="page" w:hAnchor="page" w:x="1372" w:y="568"/>
                    <w:ind w:left="420" w:right="624"/>
                    <w:rPr>
                      <w:rFonts w:hint="default" w:ascii="宋体" w:hAnsi="宋体" w:eastAsia="宋体"/>
                      <w:color w:val="auto"/>
                      <w:sz w:val="28"/>
                      <w:szCs w:val="28"/>
                      <w:lang w:val="en-US" w:eastAsia="zh-CN"/>
                    </w:rPr>
                  </w:pPr>
                  <w:r>
                    <w:rPr>
                      <w:color w:val="auto"/>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color w:val="auto"/>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auto"/>
                      <w:sz w:val="21"/>
                      <w:szCs w:val="21"/>
                    </w:rPr>
                    <w:t xml:space="preserve"> </w:t>
                  </w:r>
                  <w:r>
                    <w:rPr>
                      <w:rFonts w:hint="eastAsia"/>
                      <w:color w:val="auto"/>
                      <w:lang w:val="en-US" w:eastAsia="zh-CN"/>
                    </w:rPr>
                    <w:t>CS</w:t>
                  </w:r>
                </w:p>
              </w:tc>
            </w:tr>
          </w:tbl>
          <w:p w14:paraId="52138348">
            <w:pPr>
              <w:pStyle w:val="18"/>
              <w:framePr w:wrap="notBeside" w:vAnchor="page" w:hAnchor="page" w:x="1372" w:y="568"/>
              <w:tabs>
                <w:tab w:val="clear" w:pos="4153"/>
                <w:tab w:val="clear" w:pos="8306"/>
              </w:tabs>
              <w:spacing w:before="40" w:line="240" w:lineRule="auto"/>
              <w:jc w:val="left"/>
              <w:rPr>
                <w:rFonts w:ascii="黑体" w:hAnsi="黑体" w:eastAsia="黑体"/>
                <w:color w:val="auto"/>
                <w:sz w:val="21"/>
                <w:szCs w:val="21"/>
              </w:rPr>
            </w:pPr>
            <w:r>
              <w:rPr>
                <w:rFonts w:ascii="黑体" w:hAnsi="黑体" w:eastAsia="黑体"/>
                <w:color w:val="auto"/>
                <w:sz w:val="21"/>
                <w:szCs w:val="21"/>
              </w:rPr>
              <w:fldChar w:fldCharType="begin">
                <w:ffData>
                  <w:name w:val="CSDN"/>
                  <w:enabled/>
                  <w:calcOnExit w:val="0"/>
                  <w:textInput>
                    <w:default w:val="点击此处添加CCS号"/>
                  </w:textInput>
                </w:ffData>
              </w:fldChar>
            </w:r>
            <w:bookmarkStart w:id="1" w:name="CSDN"/>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J 28</w:t>
            </w:r>
            <w:r>
              <w:rPr>
                <w:rFonts w:ascii="黑体" w:hAnsi="黑体" w:eastAsia="黑体"/>
                <w:color w:val="auto"/>
                <w:sz w:val="21"/>
                <w:szCs w:val="21"/>
              </w:rPr>
              <w:fldChar w:fldCharType="end"/>
            </w:r>
            <w:bookmarkEnd w:id="1"/>
          </w:p>
        </w:tc>
      </w:tr>
    </w:tbl>
    <w:p w14:paraId="0DBE9AE3">
      <w:pPr>
        <w:pStyle w:val="50"/>
        <w:framePr w:w="9639" w:h="624" w:hRule="exact" w:hSpace="181" w:vSpace="181" w:wrap="around" w:hAnchor="page" w:x="1305" w:y="2269"/>
        <w:rPr>
          <w:rFonts w:ascii="黑体" w:hAnsi="黑体" w:eastAsia="黑体"/>
          <w:b w:val="0"/>
          <w:bCs w:val="0"/>
          <w:color w:val="auto"/>
          <w:w w:val="100"/>
          <w:sz w:val="48"/>
          <w:szCs w:val="48"/>
        </w:rPr>
      </w:pPr>
      <w:bookmarkStart w:id="2" w:name="_Hlk26473981"/>
      <w:r>
        <w:rPr>
          <w:rFonts w:hint="eastAsia" w:ascii="黑体" w:eastAsia="黑体"/>
          <w:b w:val="0"/>
          <w:color w:val="auto"/>
          <w:w w:val="100"/>
          <w:sz w:val="48"/>
          <w:lang w:val="en-US" w:eastAsia="zh-CN"/>
        </w:rPr>
        <w:t>中国商品学会</w:t>
      </w:r>
      <w:r>
        <w:rPr>
          <w:rFonts w:hint="eastAsia" w:ascii="黑体" w:eastAsia="黑体"/>
          <w:b w:val="0"/>
          <w:color w:val="auto"/>
          <w:w w:val="100"/>
          <w:sz w:val="48"/>
        </w:rPr>
        <w:t>团体</w:t>
      </w:r>
      <w:r>
        <w:rPr>
          <w:rFonts w:hint="eastAsia" w:ascii="黑体" w:hAnsi="黑体" w:eastAsia="黑体"/>
          <w:b w:val="0"/>
          <w:bCs w:val="0"/>
          <w:color w:val="auto"/>
          <w:w w:val="100"/>
          <w:sz w:val="48"/>
          <w:szCs w:val="48"/>
        </w:rPr>
        <w:t>标准</w:t>
      </w:r>
    </w:p>
    <w:bookmarkEnd w:id="2"/>
    <w:p w14:paraId="6448A585">
      <w:pPr>
        <w:pStyle w:val="195"/>
        <w:rPr>
          <w:color w:val="auto"/>
        </w:rPr>
      </w:pPr>
      <w:r>
        <w:rPr>
          <w:color w:val="auto"/>
        </w:rPr>
        <w:t>T/</w:t>
      </w:r>
      <w:r>
        <w:rPr>
          <w:rFonts w:hint="eastAsia"/>
          <w:color w:val="auto"/>
          <w:lang w:val="en-US" w:eastAsia="zh-CN"/>
        </w:rPr>
        <w:t>CS</w:t>
      </w:r>
      <w:r>
        <w:rPr>
          <w:color w:val="auto"/>
        </w:rPr>
        <w:t xml:space="preserve"> </w:t>
      </w:r>
      <w:r>
        <w:rPr>
          <w:color w:val="auto"/>
        </w:rPr>
        <w:fldChar w:fldCharType="begin">
          <w:ffData>
            <w:name w:val="NSTD_CODE_F"/>
            <w:enabled/>
            <w:calcOnExit w:val="0"/>
            <w:textInput>
              <w:default w:val="XXXX"/>
            </w:textInput>
          </w:ffData>
        </w:fldChar>
      </w:r>
      <w:bookmarkStart w:id="3" w:name="NSTD_CODE_F"/>
      <w:r>
        <w:rPr>
          <w:color w:val="auto"/>
        </w:rPr>
        <w:instrText xml:space="preserve"> FORMTEXT </w:instrText>
      </w:r>
      <w:r>
        <w:rPr>
          <w:color w:val="auto"/>
        </w:rPr>
        <w:fldChar w:fldCharType="separate"/>
      </w:r>
      <w:r>
        <w:rPr>
          <w:color w:val="auto"/>
        </w:rPr>
        <w:t>XXXX</w:t>
      </w:r>
      <w:r>
        <w:rPr>
          <w:color w:val="auto"/>
        </w:rPr>
        <w:fldChar w:fldCharType="end"/>
      </w:r>
      <w:bookmarkEnd w:id="3"/>
      <w:r>
        <w:rPr>
          <w:rFonts w:hAnsi="黑体"/>
          <w:color w:val="auto"/>
        </w:rPr>
        <w:t>—</w:t>
      </w:r>
      <w:r>
        <w:rPr>
          <w:color w:val="auto"/>
        </w:rPr>
        <w:fldChar w:fldCharType="begin">
          <w:ffData>
            <w:name w:val="NSTD_CODE_B"/>
            <w:enabled/>
            <w:calcOnExit w:val="0"/>
            <w:textInput>
              <w:default w:val="XXXX"/>
            </w:textInput>
          </w:ffData>
        </w:fldChar>
      </w:r>
      <w:bookmarkStart w:id="4" w:name="NSTD_CODE_B"/>
      <w:r>
        <w:rPr>
          <w:color w:val="auto"/>
        </w:rPr>
        <w:instrText xml:space="preserve"> FORMTEXT </w:instrText>
      </w:r>
      <w:r>
        <w:rPr>
          <w:color w:val="auto"/>
        </w:rPr>
        <w:fldChar w:fldCharType="separate"/>
      </w:r>
      <w:r>
        <w:rPr>
          <w:color w:val="auto"/>
        </w:rPr>
        <w:t>XXXX</w:t>
      </w:r>
      <w:r>
        <w:rPr>
          <w:color w:val="auto"/>
        </w:rPr>
        <w:fldChar w:fldCharType="end"/>
      </w:r>
      <w:bookmarkEnd w:id="4"/>
    </w:p>
    <w:p w14:paraId="5202BBDA">
      <w:pPr>
        <w:pStyle w:val="196"/>
        <w:rPr>
          <w:rFonts w:hAnsi="黑体"/>
          <w:color w:val="auto"/>
        </w:rPr>
      </w:pPr>
      <w:r>
        <w:rPr>
          <w:rFonts w:hAnsi="黑体"/>
          <w:color w:val="auto"/>
        </w:rPr>
        <w:fldChar w:fldCharType="begin">
          <w:ffData>
            <w:name w:val="OSTD_CODE"/>
            <w:enabled/>
            <w:calcOnExit w:val="0"/>
            <w:textInput/>
          </w:ffData>
        </w:fldChar>
      </w:r>
      <w:bookmarkStart w:id="5" w:name="OSTD_CODE"/>
      <w:r>
        <w:rPr>
          <w:rFonts w:hAnsi="黑体"/>
          <w:color w:val="auto"/>
        </w:rPr>
        <w:instrText xml:space="preserve"> FORMTEXT </w:instrText>
      </w:r>
      <w:r>
        <w:rPr>
          <w:rFonts w:hAnsi="黑体"/>
          <w:color w:val="auto"/>
        </w:rPr>
        <w:fldChar w:fldCharType="separate"/>
      </w:r>
      <w:r>
        <w:rPr>
          <w:rFonts w:hAnsi="黑体"/>
          <w:color w:val="auto"/>
        </w:rPr>
        <w:t>     </w:t>
      </w:r>
      <w:r>
        <w:rPr>
          <w:rFonts w:hAnsi="黑体"/>
          <w:color w:val="auto"/>
        </w:rPr>
        <w:fldChar w:fldCharType="end"/>
      </w:r>
      <w:bookmarkEnd w:id="5"/>
    </w:p>
    <w:p w14:paraId="4DED808C">
      <w:pPr>
        <w:spacing w:line="240" w:lineRule="auto"/>
        <w:rPr>
          <w:rFonts w:ascii="黑体" w:hAnsi="黑体" w:eastAsia="黑体"/>
          <w:color w:val="auto"/>
          <w:kern w:val="0"/>
          <w:sz w:val="10"/>
          <w:szCs w:val="10"/>
        </w:rPr>
      </w:pPr>
      <w:r>
        <w:rPr>
          <w:rFonts w:ascii="黑体" w:hAnsi="黑体" w:eastAsia="黑体"/>
          <w:color w:val="auto"/>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B695958">
      <w:pPr>
        <w:pStyle w:val="50"/>
        <w:framePr w:w="9639" w:h="6976" w:hRule="exact" w:hSpace="0" w:vSpace="0" w:wrap="around" w:hAnchor="page" w:y="6408"/>
        <w:jc w:val="center"/>
        <w:rPr>
          <w:rFonts w:ascii="黑体" w:hAnsi="黑体" w:eastAsia="黑体"/>
          <w:b w:val="0"/>
          <w:bCs w:val="0"/>
          <w:color w:val="auto"/>
          <w:w w:val="100"/>
        </w:rPr>
      </w:pPr>
    </w:p>
    <w:p w14:paraId="039560AF">
      <w:pPr>
        <w:pStyle w:val="197"/>
        <w:framePr w:h="6974" w:hRule="exact" w:wrap="around" w:x="1419" w:anchorLock="1"/>
        <w:rPr>
          <w:color w:val="auto"/>
        </w:rPr>
      </w:pPr>
      <w:r>
        <w:rPr>
          <w:color w:val="auto"/>
        </w:rPr>
        <w:fldChar w:fldCharType="begin">
          <w:ffData>
            <w:name w:val="CSTD_NAME"/>
            <w:enabled/>
            <w:calcOnExit w:val="0"/>
            <w:textInput>
              <w:default w:val="点击此处添加标准名称"/>
            </w:textInput>
          </w:ffData>
        </w:fldChar>
      </w:r>
      <w:bookmarkStart w:id="6" w:name="CSTD_NAME"/>
      <w:r>
        <w:rPr>
          <w:color w:val="auto"/>
        </w:rPr>
        <w:instrText xml:space="preserve"> FORMTEXT </w:instrText>
      </w:r>
      <w:r>
        <w:rPr>
          <w:color w:val="auto"/>
        </w:rPr>
        <w:fldChar w:fldCharType="separate"/>
      </w:r>
      <w:r>
        <w:rPr>
          <w:color w:val="auto"/>
        </w:rPr>
        <w:t>智能物流传输系统规范</w:t>
      </w:r>
      <w:r>
        <w:rPr>
          <w:color w:val="auto"/>
        </w:rPr>
        <w:fldChar w:fldCharType="end"/>
      </w:r>
      <w:bookmarkEnd w:id="6"/>
    </w:p>
    <w:p w14:paraId="14AAD9A4">
      <w:pPr>
        <w:framePr w:w="9639" w:h="6974" w:hRule="exact" w:wrap="around" w:vAnchor="page" w:hAnchor="page" w:x="1419" w:y="6408" w:anchorLock="1"/>
        <w:ind w:left="-1418"/>
        <w:rPr>
          <w:color w:val="auto"/>
        </w:rPr>
      </w:pPr>
    </w:p>
    <w:p w14:paraId="796C27AA">
      <w:pPr>
        <w:pStyle w:val="125"/>
        <w:framePr w:w="9639" w:h="6974" w:hRule="exact" w:wrap="around" w:vAnchor="page" w:hAnchor="page" w:x="1419" w:y="6408" w:anchorLock="1"/>
        <w:textAlignment w:val="bottom"/>
        <w:rPr>
          <w:rFonts w:eastAsia="黑体"/>
          <w:color w:val="auto"/>
          <w:szCs w:val="28"/>
        </w:rPr>
      </w:pPr>
      <w:r>
        <w:rPr>
          <w:rFonts w:eastAsia="黑体"/>
          <w:color w:val="auto"/>
          <w:szCs w:val="28"/>
        </w:rPr>
        <w:fldChar w:fldCharType="begin">
          <w:ffData>
            <w:name w:val="ESTD_NAME"/>
            <w:enabled/>
            <w:calcOnExit w:val="0"/>
            <w:textInput>
              <w:default w:val="点击此处添加标准名称的英文译名"/>
            </w:textInput>
          </w:ffData>
        </w:fldChar>
      </w:r>
      <w:bookmarkStart w:id="7" w:name="ESTD_NAME"/>
      <w:r>
        <w:rPr>
          <w:rFonts w:eastAsia="黑体"/>
          <w:color w:val="auto"/>
          <w:szCs w:val="28"/>
        </w:rPr>
        <w:instrText xml:space="preserve"> FORMTEXT </w:instrText>
      </w:r>
      <w:r>
        <w:rPr>
          <w:rFonts w:eastAsia="黑体"/>
          <w:color w:val="auto"/>
          <w:szCs w:val="28"/>
        </w:rPr>
        <w:fldChar w:fldCharType="separate"/>
      </w:r>
      <w:r>
        <w:rPr>
          <w:rFonts w:eastAsia="黑体"/>
          <w:color w:val="auto"/>
          <w:szCs w:val="28"/>
        </w:rPr>
        <w:t>Specifications for intelligent logistics transmission systems</w:t>
      </w:r>
      <w:r>
        <w:rPr>
          <w:rFonts w:eastAsia="黑体"/>
          <w:color w:val="auto"/>
          <w:szCs w:val="28"/>
        </w:rPr>
        <w:fldChar w:fldCharType="end"/>
      </w:r>
      <w:bookmarkEnd w:id="7"/>
    </w:p>
    <w:p w14:paraId="453AA2B6">
      <w:pPr>
        <w:framePr w:w="9639" w:h="6974" w:hRule="exact" w:wrap="around" w:vAnchor="page" w:hAnchor="page" w:x="1419" w:y="6408" w:anchorLock="1"/>
        <w:spacing w:line="760" w:lineRule="exact"/>
        <w:ind w:left="-1418"/>
        <w:rPr>
          <w:color w:val="auto"/>
        </w:rPr>
      </w:pPr>
    </w:p>
    <w:p w14:paraId="758106FE">
      <w:pPr>
        <w:pStyle w:val="125"/>
        <w:framePr w:w="9639" w:h="6974" w:hRule="exact" w:wrap="around" w:vAnchor="page" w:hAnchor="page" w:x="1419" w:y="6408" w:anchorLock="1"/>
        <w:textAlignment w:val="bottom"/>
        <w:rPr>
          <w:rFonts w:eastAsia="黑体"/>
          <w:color w:val="auto"/>
          <w:szCs w:val="28"/>
        </w:rPr>
      </w:pPr>
    </w:p>
    <w:p w14:paraId="71F6272C">
      <w:pPr>
        <w:pStyle w:val="125"/>
        <w:framePr w:w="9639" w:h="6974" w:hRule="exact" w:wrap="around" w:vAnchor="page" w:hAnchor="page" w:x="1419" w:y="6408" w:anchorLock="1"/>
        <w:spacing w:before="440" w:after="160"/>
        <w:textAlignment w:val="bottom"/>
        <w:rPr>
          <w:rFonts w:hint="default" w:eastAsia="宋体"/>
          <w:color w:val="auto"/>
          <w:sz w:val="24"/>
          <w:szCs w:val="28"/>
          <w:lang w:val="en-US" w:eastAsia="zh-CN"/>
        </w:rPr>
      </w:pPr>
      <w:r>
        <w:rPr>
          <w:rFonts w:hint="eastAsia"/>
          <w:color w:val="auto"/>
          <w:sz w:val="24"/>
          <w:szCs w:val="28"/>
          <w:lang w:val="en-US" w:eastAsia="zh-CN"/>
        </w:rPr>
        <w:t>征求意见稿</w:t>
      </w:r>
    </w:p>
    <w:p w14:paraId="0B49A837">
      <w:pPr>
        <w:pStyle w:val="125"/>
        <w:framePr w:w="9639" w:h="6974" w:hRule="exact" w:wrap="around" w:vAnchor="page" w:hAnchor="page" w:x="1419" w:y="6408" w:anchorLock="1"/>
        <w:spacing w:before="180" w:line="240" w:lineRule="atLeast"/>
        <w:textAlignment w:val="bottom"/>
        <w:rPr>
          <w:color w:val="auto"/>
          <w:sz w:val="21"/>
          <w:szCs w:val="28"/>
        </w:rPr>
      </w:pPr>
    </w:p>
    <w:p w14:paraId="23C708BE">
      <w:pPr>
        <w:pStyle w:val="125"/>
        <w:framePr w:w="9639" w:h="6974" w:hRule="exact" w:wrap="around" w:vAnchor="page" w:hAnchor="page" w:x="1419" w:y="6408" w:anchorLock="1"/>
        <w:spacing w:before="720" w:beforeLines="300" w:after="72" w:afterLines="30" w:line="240" w:lineRule="auto"/>
        <w:textAlignment w:val="bottom"/>
        <w:rPr>
          <w:b/>
          <w:color w:val="auto"/>
          <w:sz w:val="21"/>
          <w:szCs w:val="28"/>
        </w:rPr>
      </w:pPr>
    </w:p>
    <w:p w14:paraId="25A734CC">
      <w:pPr>
        <w:pStyle w:val="193"/>
        <w:framePr w:wrap="around" w:y="14176"/>
        <w:rPr>
          <w:color w:val="auto"/>
        </w:rPr>
      </w:pPr>
      <w:r>
        <w:rPr>
          <w:rFonts w:ascii="黑体"/>
          <w:color w:val="auto"/>
        </w:rPr>
        <w:fldChar w:fldCharType="begin">
          <w:ffData>
            <w:name w:val="PLSH_DATE_Y"/>
            <w:enabled/>
            <w:calcOnExit w:val="0"/>
            <w:textInput>
              <w:default w:val="XXXX"/>
              <w:maxLength w:val="4"/>
            </w:textInput>
          </w:ffData>
        </w:fldChar>
      </w:r>
      <w:bookmarkStart w:id="8" w:name="PLSH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8"/>
      <w:r>
        <w:rPr>
          <w:color w:val="auto"/>
        </w:rPr>
        <w:t xml:space="preserve"> </w:t>
      </w:r>
      <w:r>
        <w:rPr>
          <w:rFonts w:ascii="黑体"/>
          <w:color w:val="auto"/>
        </w:rPr>
        <w:t>-</w:t>
      </w:r>
      <w:r>
        <w:rPr>
          <w:color w:val="auto"/>
        </w:rPr>
        <w:t xml:space="preserve"> </w:t>
      </w:r>
      <w:r>
        <w:rPr>
          <w:rFonts w:ascii="黑体"/>
          <w:color w:val="auto"/>
        </w:rPr>
        <w:fldChar w:fldCharType="begin">
          <w:ffData>
            <w:name w:val="PLSH_DATE_M"/>
            <w:enabled/>
            <w:calcOnExit w:val="0"/>
            <w:textInput>
              <w:default w:val="XX"/>
              <w:maxLength w:val="2"/>
            </w:textInput>
          </w:ffData>
        </w:fldChar>
      </w:r>
      <w:bookmarkStart w:id="9" w:name="PLSH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9"/>
      <w:r>
        <w:rPr>
          <w:color w:val="auto"/>
        </w:rPr>
        <w:t xml:space="preserve"> </w:t>
      </w:r>
      <w:r>
        <w:rPr>
          <w:rFonts w:ascii="黑体"/>
          <w:color w:val="auto"/>
        </w:rPr>
        <w:t>-</w:t>
      </w:r>
      <w:r>
        <w:rPr>
          <w:color w:val="auto"/>
        </w:rPr>
        <w:t xml:space="preserve"> </w:t>
      </w:r>
      <w:r>
        <w:rPr>
          <w:rFonts w:ascii="黑体"/>
          <w:color w:val="auto"/>
        </w:rPr>
        <w:fldChar w:fldCharType="begin">
          <w:ffData>
            <w:name w:val="PLSH_DATE_D"/>
            <w:enabled/>
            <w:calcOnExit w:val="0"/>
            <w:textInput>
              <w:default w:val="XX"/>
              <w:maxLength w:val="2"/>
            </w:textInput>
          </w:ffData>
        </w:fldChar>
      </w:r>
      <w:bookmarkStart w:id="10" w:name="PLSH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0"/>
      <w:r>
        <w:rPr>
          <w:rFonts w:hint="eastAsia"/>
          <w:color w:val="auto"/>
        </w:rPr>
        <w:t>发布</w:t>
      </w:r>
    </w:p>
    <w:p w14:paraId="1AA12C6F">
      <w:pPr>
        <w:pStyle w:val="194"/>
        <w:framePr w:wrap="around" w:y="14176"/>
        <w:rPr>
          <w:color w:val="auto"/>
        </w:rPr>
      </w:pPr>
      <w:r>
        <w:rPr>
          <w:rFonts w:ascii="黑体"/>
          <w:color w:val="auto"/>
        </w:rPr>
        <w:fldChar w:fldCharType="begin">
          <w:ffData>
            <w:name w:val="CROT_DATE_Y"/>
            <w:enabled/>
            <w:calcOnExit w:val="0"/>
            <w:textInput>
              <w:default w:val="XXXX"/>
              <w:maxLength w:val="4"/>
            </w:textInput>
          </w:ffData>
        </w:fldChar>
      </w:r>
      <w:bookmarkStart w:id="11" w:name="CROT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1"/>
      <w:r>
        <w:rPr>
          <w:color w:val="auto"/>
        </w:rPr>
        <w:t xml:space="preserve"> </w:t>
      </w:r>
      <w:r>
        <w:rPr>
          <w:rFonts w:ascii="黑体"/>
          <w:color w:val="auto"/>
        </w:rPr>
        <w:t>-</w:t>
      </w:r>
      <w:r>
        <w:rPr>
          <w:color w:val="auto"/>
        </w:rPr>
        <w:t xml:space="preserve"> </w:t>
      </w:r>
      <w:r>
        <w:rPr>
          <w:rFonts w:ascii="黑体"/>
          <w:color w:val="auto"/>
        </w:rPr>
        <w:fldChar w:fldCharType="begin">
          <w:ffData>
            <w:name w:val="CROT_DATE_M"/>
            <w:enabled/>
            <w:calcOnExit w:val="0"/>
            <w:textInput>
              <w:default w:val="XX"/>
              <w:maxLength w:val="2"/>
            </w:textInput>
          </w:ffData>
        </w:fldChar>
      </w:r>
      <w:bookmarkStart w:id="12" w:name="CROT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2"/>
      <w:r>
        <w:rPr>
          <w:color w:val="auto"/>
        </w:rPr>
        <w:t xml:space="preserve"> </w:t>
      </w:r>
      <w:r>
        <w:rPr>
          <w:rFonts w:ascii="黑体"/>
          <w:color w:val="auto"/>
        </w:rPr>
        <w:t>-</w:t>
      </w:r>
      <w:r>
        <w:rPr>
          <w:color w:val="auto"/>
        </w:rPr>
        <w:t xml:space="preserve"> </w:t>
      </w:r>
      <w:r>
        <w:rPr>
          <w:rFonts w:ascii="黑体"/>
          <w:color w:val="auto"/>
        </w:rPr>
        <w:fldChar w:fldCharType="begin">
          <w:ffData>
            <w:name w:val="CROT_DATE_D"/>
            <w:enabled/>
            <w:calcOnExit w:val="0"/>
            <w:textInput>
              <w:default w:val="XX"/>
              <w:maxLength w:val="2"/>
            </w:textInput>
          </w:ffData>
        </w:fldChar>
      </w:r>
      <w:bookmarkStart w:id="13" w:name="CROT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3"/>
      <w:r>
        <w:rPr>
          <w:rFonts w:hint="eastAsia"/>
          <w:color w:val="auto"/>
        </w:rPr>
        <w:t>实施</w:t>
      </w:r>
    </w:p>
    <w:p w14:paraId="34326C40">
      <w:pPr>
        <w:pStyle w:val="151"/>
        <w:framePr w:h="584" w:hRule="exact" w:hSpace="181" w:vSpace="181" w:wrap="around" w:y="14800"/>
        <w:rPr>
          <w:rFonts w:hAnsi="黑体"/>
          <w:color w:val="auto"/>
        </w:rPr>
      </w:pPr>
      <w:r>
        <w:rPr>
          <w:rFonts w:hint="eastAsia" w:hAnsi="黑体"/>
          <w:color w:val="auto"/>
          <w:w w:val="100"/>
          <w:sz w:val="28"/>
          <w:lang w:val="en-US" w:eastAsia="zh-CN"/>
        </w:rPr>
        <w:t>XXX协会</w:t>
      </w:r>
      <w:r>
        <w:rPr>
          <w:rFonts w:ascii="Times New Roman"/>
          <w:color w:val="auto"/>
          <w:w w:val="100"/>
          <w:sz w:val="28"/>
        </w:rPr>
        <w:t>  </w:t>
      </w:r>
      <w:r>
        <w:rPr>
          <w:rStyle w:val="229"/>
          <w:rFonts w:hint="eastAsia" w:hAnsi="黑体"/>
          <w:color w:val="auto"/>
          <w:position w:val="0"/>
        </w:rPr>
        <w:t>发</w:t>
      </w:r>
      <w:r>
        <w:rPr>
          <w:rStyle w:val="229"/>
          <w:rFonts w:hint="eastAsia" w:hAnsi="黑体"/>
          <w:color w:val="auto"/>
          <w:spacing w:val="0"/>
          <w:position w:val="0"/>
        </w:rPr>
        <w:t>布</w:t>
      </w:r>
    </w:p>
    <w:p w14:paraId="2EF18808">
      <w:pPr>
        <w:rPr>
          <w:rFonts w:ascii="宋体" w:hAnsi="宋体"/>
          <w:color w:val="auto"/>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color w:val="auto"/>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FC6233D">
      <w:pPr>
        <w:pStyle w:val="89"/>
        <w:spacing w:before="900" w:after="360"/>
        <w:rPr>
          <w:color w:val="auto"/>
        </w:rPr>
      </w:pPr>
      <w:bookmarkStart w:id="14" w:name="BookMark2"/>
      <w:r>
        <w:rPr>
          <w:color w:val="auto"/>
          <w:spacing w:val="320"/>
        </w:rPr>
        <w:t>前</w:t>
      </w:r>
      <w:r>
        <w:rPr>
          <w:color w:val="auto"/>
        </w:rPr>
        <w:t>言</w:t>
      </w:r>
    </w:p>
    <w:p w14:paraId="3F42942E">
      <w:pPr>
        <w:pStyle w:val="56"/>
        <w:ind w:firstLine="420"/>
        <w:rPr>
          <w:color w:val="auto"/>
        </w:rPr>
      </w:pPr>
      <w:r>
        <w:rPr>
          <w:rFonts w:hint="eastAsia"/>
          <w:color w:val="auto"/>
        </w:rPr>
        <w:t>本文件按照GB/T 1.1—2020《标准化工作导则  第1部分：标准化文件的结构和起草规则》的规定起草。</w:t>
      </w:r>
    </w:p>
    <w:p w14:paraId="40B431FD">
      <w:pPr>
        <w:pStyle w:val="56"/>
        <w:ind w:firstLine="420"/>
        <w:rPr>
          <w:color w:val="auto"/>
        </w:rPr>
      </w:pPr>
      <w:r>
        <w:rPr>
          <w:rFonts w:hint="eastAsia"/>
          <w:color w:val="auto"/>
        </w:rPr>
        <w:t>请注意本文件的某些内容可能涉及专利。本文件的发布机构不承担识别专利的责任。</w:t>
      </w:r>
    </w:p>
    <w:p w14:paraId="783B8B50">
      <w:pPr>
        <w:pStyle w:val="56"/>
        <w:ind w:firstLine="420"/>
        <w:rPr>
          <w:color w:val="auto"/>
        </w:rPr>
      </w:pPr>
      <w:r>
        <w:rPr>
          <w:rFonts w:hint="eastAsia"/>
          <w:color w:val="auto"/>
        </w:rPr>
        <w:t>本文件由浙江湖州物装综合体管理服务有限责任公司提出。</w:t>
      </w:r>
    </w:p>
    <w:p w14:paraId="1F5C7DC4">
      <w:pPr>
        <w:pStyle w:val="56"/>
        <w:ind w:firstLine="420"/>
        <w:rPr>
          <w:color w:val="auto"/>
        </w:rPr>
      </w:pPr>
      <w:r>
        <w:rPr>
          <w:rFonts w:hint="eastAsia"/>
          <w:color w:val="auto"/>
        </w:rPr>
        <w:t>本文件由</w:t>
      </w:r>
      <w:r>
        <w:rPr>
          <w:rFonts w:hint="eastAsia"/>
          <w:color w:val="auto"/>
          <w:lang w:val="en-US" w:eastAsia="zh-CN"/>
        </w:rPr>
        <w:t>中国商品学会</w:t>
      </w:r>
      <w:bookmarkStart w:id="38" w:name="_GoBack"/>
      <w:bookmarkEnd w:id="38"/>
      <w:r>
        <w:rPr>
          <w:rFonts w:hint="eastAsia"/>
          <w:color w:val="auto"/>
        </w:rPr>
        <w:t>归口。</w:t>
      </w:r>
    </w:p>
    <w:p w14:paraId="3A518BDD">
      <w:pPr>
        <w:pStyle w:val="56"/>
        <w:ind w:firstLine="420"/>
        <w:rPr>
          <w:rFonts w:hint="eastAsia" w:eastAsia="宋体"/>
          <w:color w:val="auto"/>
          <w:lang w:val="en-US" w:eastAsia="zh-CN"/>
        </w:rPr>
      </w:pPr>
      <w:r>
        <w:rPr>
          <w:rFonts w:hint="eastAsia"/>
          <w:color w:val="auto"/>
        </w:rPr>
        <w:t>本文件起草单位：浙江湖州物装综合体管理服务有限责任公司</w:t>
      </w:r>
      <w:r>
        <w:rPr>
          <w:rFonts w:hint="eastAsia"/>
          <w:color w:val="auto"/>
          <w:lang w:eastAsia="zh-CN"/>
        </w:rPr>
        <w:t>、</w:t>
      </w:r>
      <w:r>
        <w:rPr>
          <w:rFonts w:hint="eastAsia"/>
          <w:color w:val="auto"/>
          <w:lang w:val="en-US" w:eastAsia="zh-CN"/>
        </w:rPr>
        <w:t>XXX</w:t>
      </w:r>
      <w:r>
        <w:rPr>
          <w:rFonts w:hint="eastAsia"/>
          <w:color w:val="auto"/>
          <w:lang w:eastAsia="zh-CN"/>
        </w:rPr>
        <w:t>、</w:t>
      </w:r>
      <w:r>
        <w:rPr>
          <w:rFonts w:hint="eastAsia"/>
          <w:color w:val="auto"/>
          <w:lang w:val="en-US" w:eastAsia="zh-CN"/>
        </w:rPr>
        <w:t>XXX</w:t>
      </w:r>
      <w:r>
        <w:rPr>
          <w:rFonts w:hint="eastAsia"/>
          <w:color w:val="auto"/>
          <w:lang w:eastAsia="zh-CN"/>
        </w:rPr>
        <w:t>。</w:t>
      </w:r>
    </w:p>
    <w:p w14:paraId="656F77F2">
      <w:pPr>
        <w:pStyle w:val="56"/>
        <w:ind w:firstLine="420"/>
        <w:rPr>
          <w:rFonts w:hint="eastAsia" w:eastAsia="宋体"/>
          <w:color w:val="auto"/>
          <w:lang w:eastAsia="zh-CN"/>
        </w:rPr>
      </w:pPr>
      <w:r>
        <w:rPr>
          <w:rFonts w:hint="eastAsia"/>
          <w:color w:val="auto"/>
        </w:rPr>
        <w:t>本文件主要起草人：</w:t>
      </w:r>
      <w:r>
        <w:rPr>
          <w:rFonts w:hint="eastAsia"/>
          <w:color w:val="auto"/>
          <w:lang w:val="en-US" w:eastAsia="zh-CN"/>
        </w:rPr>
        <w:t>XXX</w:t>
      </w:r>
      <w:r>
        <w:rPr>
          <w:rFonts w:hint="eastAsia"/>
          <w:color w:val="auto"/>
          <w:lang w:eastAsia="zh-CN"/>
        </w:rPr>
        <w:t>、</w:t>
      </w:r>
      <w:r>
        <w:rPr>
          <w:rFonts w:hint="eastAsia"/>
          <w:color w:val="auto"/>
          <w:lang w:val="en-US" w:eastAsia="zh-CN"/>
        </w:rPr>
        <w:t>XXX</w:t>
      </w:r>
      <w:r>
        <w:rPr>
          <w:rFonts w:hint="eastAsia"/>
          <w:color w:val="auto"/>
          <w:lang w:eastAsia="zh-CN"/>
        </w:rPr>
        <w:t>、</w:t>
      </w:r>
      <w:r>
        <w:rPr>
          <w:rFonts w:hint="eastAsia"/>
          <w:color w:val="auto"/>
          <w:lang w:val="en-US" w:eastAsia="zh-CN"/>
        </w:rPr>
        <w:t>XXX</w:t>
      </w:r>
      <w:r>
        <w:rPr>
          <w:rFonts w:hint="eastAsia"/>
          <w:color w:val="auto"/>
          <w:lang w:eastAsia="zh-CN"/>
        </w:rPr>
        <w:t>。</w:t>
      </w:r>
    </w:p>
    <w:p w14:paraId="005976E1">
      <w:pPr>
        <w:pStyle w:val="56"/>
        <w:ind w:firstLine="420"/>
        <w:rPr>
          <w:color w:val="auto"/>
        </w:rPr>
      </w:pPr>
    </w:p>
    <w:p w14:paraId="7FE59AF8">
      <w:pPr>
        <w:pStyle w:val="56"/>
        <w:ind w:firstLine="420"/>
        <w:rPr>
          <w:color w:val="auto"/>
        </w:rPr>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p>
    <w:bookmarkEnd w:id="14"/>
    <w:p w14:paraId="3A130175">
      <w:pPr>
        <w:spacing w:line="20" w:lineRule="exact"/>
        <w:jc w:val="center"/>
        <w:rPr>
          <w:rFonts w:ascii="黑体" w:hAnsi="黑体" w:eastAsia="黑体"/>
          <w:color w:val="auto"/>
          <w:sz w:val="32"/>
          <w:szCs w:val="32"/>
        </w:rPr>
      </w:pPr>
      <w:bookmarkStart w:id="15" w:name="BookMark4"/>
    </w:p>
    <w:p w14:paraId="062BBF43">
      <w:pPr>
        <w:spacing w:line="20" w:lineRule="exact"/>
        <w:jc w:val="center"/>
        <w:rPr>
          <w:rFonts w:ascii="黑体" w:hAnsi="黑体" w:eastAsia="黑体"/>
          <w:color w:val="auto"/>
          <w:sz w:val="32"/>
          <w:szCs w:val="32"/>
        </w:rPr>
      </w:pPr>
    </w:p>
    <w:sdt>
      <w:sdtPr>
        <w:rPr>
          <w:color w:val="auto"/>
        </w:rPr>
        <w:tag w:val="NEW_STAND_NAME"/>
        <w:id w:val="595910757"/>
        <w:lock w:val="sdtLocked"/>
        <w:placeholder>
          <w:docPart w:val="E3B0DCD5032845089BC283149F35BE2A"/>
        </w:placeholder>
      </w:sdtPr>
      <w:sdtEndPr>
        <w:rPr>
          <w:color w:val="auto"/>
        </w:rPr>
      </w:sdtEndPr>
      <w:sdtContent>
        <w:p w14:paraId="575511C1">
          <w:pPr>
            <w:pStyle w:val="177"/>
            <w:spacing w:before="2" w:beforeLines="1" w:after="528" w:afterLines="220"/>
            <w:rPr>
              <w:color w:val="auto"/>
            </w:rPr>
          </w:pPr>
          <w:bookmarkStart w:id="16" w:name="NEW_STAND_NAME"/>
          <w:r>
            <w:rPr>
              <w:rFonts w:hint="eastAsia"/>
              <w:color w:val="auto"/>
            </w:rPr>
            <w:t>智能物流传输系统规范</w:t>
          </w:r>
        </w:p>
      </w:sdtContent>
    </w:sdt>
    <w:bookmarkEnd w:id="16"/>
    <w:p w14:paraId="7596FD97">
      <w:pPr>
        <w:pStyle w:val="104"/>
        <w:spacing w:before="240" w:after="240"/>
        <w:rPr>
          <w:color w:val="auto"/>
        </w:rPr>
      </w:pPr>
      <w:bookmarkStart w:id="17" w:name="_Toc24884218"/>
      <w:bookmarkStart w:id="18" w:name="_Toc26986771"/>
      <w:bookmarkStart w:id="19" w:name="_Toc17233325"/>
      <w:bookmarkStart w:id="20" w:name="_Toc26648465"/>
      <w:bookmarkStart w:id="21" w:name="_Toc24884211"/>
      <w:bookmarkStart w:id="22" w:name="_Toc26718930"/>
      <w:bookmarkStart w:id="23" w:name="_Toc26986530"/>
      <w:bookmarkStart w:id="24" w:name="_Toc17233333"/>
      <w:bookmarkStart w:id="25" w:name="_Toc97192964"/>
      <w:r>
        <w:rPr>
          <w:rFonts w:hint="eastAsia"/>
          <w:color w:val="auto"/>
        </w:rPr>
        <w:t>范围</w:t>
      </w:r>
      <w:bookmarkEnd w:id="17"/>
      <w:bookmarkEnd w:id="18"/>
      <w:bookmarkEnd w:id="19"/>
      <w:bookmarkEnd w:id="20"/>
      <w:bookmarkEnd w:id="21"/>
      <w:bookmarkEnd w:id="22"/>
      <w:bookmarkEnd w:id="23"/>
      <w:bookmarkEnd w:id="24"/>
      <w:bookmarkEnd w:id="25"/>
    </w:p>
    <w:p w14:paraId="28F121E4">
      <w:pPr>
        <w:pStyle w:val="56"/>
        <w:ind w:firstLine="420"/>
        <w:rPr>
          <w:color w:val="auto"/>
        </w:rPr>
      </w:pPr>
      <w:bookmarkStart w:id="26" w:name="_Toc17233326"/>
      <w:bookmarkStart w:id="27" w:name="_Toc26648466"/>
      <w:bookmarkStart w:id="28" w:name="_Toc24884212"/>
      <w:bookmarkStart w:id="29" w:name="_Toc24884219"/>
      <w:bookmarkStart w:id="30" w:name="_Toc17233334"/>
      <w:r>
        <w:rPr>
          <w:rFonts w:hint="eastAsia"/>
          <w:color w:val="auto"/>
        </w:rPr>
        <w:t>本文件规定了智能物流传输系统（以下简称“系统”）的系统构成、技术要求、试验方法、判定规则、标志、包装、运输和贮存的内容。</w:t>
      </w:r>
    </w:p>
    <w:p w14:paraId="45ADFA8D">
      <w:pPr>
        <w:pStyle w:val="56"/>
        <w:ind w:firstLine="420"/>
        <w:rPr>
          <w:color w:val="auto"/>
        </w:rPr>
      </w:pPr>
      <w:r>
        <w:rPr>
          <w:rFonts w:hint="eastAsia"/>
          <w:color w:val="auto"/>
        </w:rPr>
        <w:t>本文件适用于具备箱体、传动柱结构，利用角度定位装置与货物存放装置，实现货物中转运输的智能物流传输系统。</w:t>
      </w:r>
    </w:p>
    <w:p w14:paraId="4DD22EED">
      <w:pPr>
        <w:pStyle w:val="104"/>
        <w:spacing w:before="240" w:after="240"/>
        <w:rPr>
          <w:color w:val="auto"/>
        </w:rPr>
      </w:pPr>
      <w:bookmarkStart w:id="31" w:name="_Toc26986531"/>
      <w:bookmarkStart w:id="32" w:name="_Toc97192965"/>
      <w:bookmarkStart w:id="33" w:name="_Toc26718931"/>
      <w:bookmarkStart w:id="34" w:name="_Toc26986772"/>
      <w:r>
        <w:rPr>
          <w:rFonts w:hint="eastAsia"/>
          <w:color w:val="auto"/>
        </w:rPr>
        <w:t>规范性引用文件</w:t>
      </w:r>
      <w:bookmarkEnd w:id="26"/>
      <w:bookmarkEnd w:id="27"/>
      <w:bookmarkEnd w:id="28"/>
      <w:bookmarkEnd w:id="29"/>
      <w:bookmarkEnd w:id="30"/>
      <w:bookmarkEnd w:id="31"/>
      <w:bookmarkEnd w:id="32"/>
      <w:bookmarkEnd w:id="33"/>
      <w:bookmarkEnd w:id="34"/>
    </w:p>
    <w:sdt>
      <w:sdtPr>
        <w:rPr>
          <w:rFonts w:hint="eastAsia"/>
          <w:color w:val="auto"/>
        </w:rPr>
        <w:id w:val="715848253"/>
        <w:placeholder>
          <w:docPart w:val="56EC0AA4041C4070A96D5D1EA78BF5F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135F1729">
          <w:pPr>
            <w:pStyle w:val="56"/>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51416A5">
      <w:pPr>
        <w:pStyle w:val="56"/>
        <w:ind w:firstLine="420"/>
        <w:rPr>
          <w:color w:val="auto"/>
        </w:rPr>
      </w:pPr>
      <w:r>
        <w:rPr>
          <w:rFonts w:hint="eastAsia"/>
          <w:color w:val="auto"/>
        </w:rPr>
        <w:t>GB/T 699-2015  优质碳素结构钢</w:t>
      </w:r>
    </w:p>
    <w:p w14:paraId="1B50651E">
      <w:pPr>
        <w:pStyle w:val="56"/>
        <w:ind w:firstLine="420"/>
        <w:rPr>
          <w:color w:val="auto"/>
        </w:rPr>
      </w:pPr>
      <w:r>
        <w:rPr>
          <w:rFonts w:hint="eastAsia"/>
          <w:color w:val="auto"/>
        </w:rPr>
        <w:t>GB/T 700-2006  碳素结构钢</w:t>
      </w:r>
    </w:p>
    <w:p w14:paraId="68320D69">
      <w:pPr>
        <w:pStyle w:val="56"/>
        <w:ind w:firstLine="420"/>
        <w:rPr>
          <w:color w:val="auto"/>
        </w:rPr>
      </w:pPr>
      <w:r>
        <w:rPr>
          <w:rFonts w:hint="eastAsia"/>
          <w:color w:val="auto"/>
        </w:rPr>
        <w:t>GB 2894</w:t>
      </w:r>
      <w:r>
        <w:rPr>
          <w:rFonts w:hint="eastAsia"/>
          <w:color w:val="auto"/>
        </w:rPr>
        <w:tab/>
      </w:r>
      <w:r>
        <w:rPr>
          <w:rFonts w:hint="eastAsia"/>
          <w:color w:val="auto"/>
        </w:rPr>
        <w:tab/>
      </w:r>
      <w:r>
        <w:rPr>
          <w:rFonts w:hint="eastAsia"/>
          <w:color w:val="auto"/>
        </w:rPr>
        <w:t>安全标志及其使用导则</w:t>
      </w:r>
    </w:p>
    <w:p w14:paraId="0377F3F2">
      <w:pPr>
        <w:pStyle w:val="56"/>
        <w:ind w:firstLine="420"/>
        <w:rPr>
          <w:color w:val="auto"/>
        </w:rPr>
      </w:pPr>
      <w:r>
        <w:rPr>
          <w:rFonts w:hint="eastAsia"/>
          <w:color w:val="auto"/>
        </w:rPr>
        <w:t>GB/T 3098.1  紧固件机械性能 螺栓、螺钉和螺柱</w:t>
      </w:r>
    </w:p>
    <w:p w14:paraId="480E2D8F">
      <w:pPr>
        <w:pStyle w:val="56"/>
        <w:ind w:firstLine="420"/>
        <w:rPr>
          <w:color w:val="auto"/>
        </w:rPr>
      </w:pPr>
      <w:r>
        <w:rPr>
          <w:rFonts w:hint="eastAsia"/>
          <w:color w:val="auto"/>
        </w:rPr>
        <w:t>GB/T 3098.2  紧固件机械性能 螺母</w:t>
      </w:r>
    </w:p>
    <w:p w14:paraId="18F10B7D">
      <w:pPr>
        <w:pStyle w:val="56"/>
        <w:ind w:firstLine="420"/>
        <w:rPr>
          <w:color w:val="auto"/>
        </w:rPr>
      </w:pPr>
      <w:r>
        <w:rPr>
          <w:rFonts w:hint="eastAsia"/>
          <w:color w:val="auto"/>
        </w:rPr>
        <w:t>GB/T 4208-2017  外壳防护等级（IP代码）</w:t>
      </w:r>
    </w:p>
    <w:p w14:paraId="3514EDAE">
      <w:pPr>
        <w:pStyle w:val="56"/>
        <w:ind w:firstLine="420"/>
        <w:rPr>
          <w:color w:val="auto"/>
        </w:rPr>
      </w:pPr>
      <w:r>
        <w:rPr>
          <w:rFonts w:hint="eastAsia"/>
          <w:color w:val="auto"/>
        </w:rPr>
        <w:t>GB/T 5226.1 机械电气安全 机械电气设备 第1部分:通用技术条件</w:t>
      </w:r>
    </w:p>
    <w:p w14:paraId="0CBA0AE3">
      <w:pPr>
        <w:pStyle w:val="56"/>
        <w:ind w:firstLine="420"/>
        <w:rPr>
          <w:color w:val="auto"/>
        </w:rPr>
      </w:pPr>
      <w:r>
        <w:rPr>
          <w:rFonts w:hint="eastAsia"/>
          <w:color w:val="auto"/>
        </w:rPr>
        <w:t>GB/T 9969  工业产品使用说明书 总则</w:t>
      </w:r>
    </w:p>
    <w:p w14:paraId="584058D1">
      <w:pPr>
        <w:pStyle w:val="56"/>
        <w:ind w:firstLine="420"/>
        <w:rPr>
          <w:color w:val="auto"/>
        </w:rPr>
      </w:pPr>
      <w:r>
        <w:rPr>
          <w:rFonts w:hint="eastAsia"/>
          <w:color w:val="auto"/>
        </w:rPr>
        <w:t>GB/T 13306  标牌</w:t>
      </w:r>
    </w:p>
    <w:p w14:paraId="379C262A">
      <w:pPr>
        <w:pStyle w:val="56"/>
        <w:ind w:firstLine="420"/>
        <w:rPr>
          <w:color w:val="auto"/>
        </w:rPr>
      </w:pPr>
      <w:r>
        <w:rPr>
          <w:rFonts w:hint="eastAsia"/>
          <w:color w:val="auto"/>
        </w:rPr>
        <w:t>GB/T 13384-2008  机电产品包装通用技术条件</w:t>
      </w:r>
    </w:p>
    <w:p w14:paraId="776C58A2">
      <w:pPr>
        <w:pStyle w:val="56"/>
        <w:ind w:firstLine="420"/>
        <w:rPr>
          <w:color w:val="auto"/>
        </w:rPr>
      </w:pPr>
      <w:r>
        <w:rPr>
          <w:rFonts w:hint="eastAsia"/>
          <w:color w:val="auto"/>
        </w:rPr>
        <w:t>GB/T 17421.5-2015  机床检验通则 第5部分：噪声发射的确定</w:t>
      </w:r>
    </w:p>
    <w:p w14:paraId="3781B25F">
      <w:pPr>
        <w:pStyle w:val="56"/>
        <w:ind w:firstLine="420"/>
        <w:rPr>
          <w:color w:val="auto"/>
        </w:rPr>
      </w:pPr>
      <w:r>
        <w:rPr>
          <w:rFonts w:hint="eastAsia"/>
          <w:color w:val="auto"/>
        </w:rPr>
        <w:t>GB/T 26220  工业自动化系统与集成 机床数值控制 数控系统通用技术条件</w:t>
      </w:r>
    </w:p>
    <w:p w14:paraId="05A4C826">
      <w:pPr>
        <w:pStyle w:val="56"/>
        <w:ind w:firstLine="420"/>
        <w:rPr>
          <w:color w:val="auto"/>
        </w:rPr>
      </w:pPr>
      <w:r>
        <w:rPr>
          <w:rFonts w:hint="eastAsia"/>
          <w:color w:val="auto"/>
        </w:rPr>
        <w:t>GB 28526  机械电气安全 安全相关电气、电子和可编程电子控制系统的功能安全</w:t>
      </w:r>
    </w:p>
    <w:p w14:paraId="642D57FC">
      <w:pPr>
        <w:pStyle w:val="56"/>
        <w:ind w:firstLine="420"/>
        <w:rPr>
          <w:color w:val="auto"/>
        </w:rPr>
      </w:pPr>
      <w:r>
        <w:rPr>
          <w:rFonts w:hint="eastAsia"/>
          <w:color w:val="auto"/>
        </w:rPr>
        <w:t>GB/T 35486-2017  物流仓储配送中心螺旋箱式输送机技术规范</w:t>
      </w:r>
    </w:p>
    <w:p w14:paraId="287E3910">
      <w:pPr>
        <w:pStyle w:val="56"/>
        <w:ind w:firstLine="420"/>
        <w:rPr>
          <w:color w:val="auto"/>
        </w:rPr>
      </w:pPr>
      <w:r>
        <w:rPr>
          <w:rFonts w:hint="eastAsia"/>
          <w:color w:val="auto"/>
        </w:rPr>
        <w:t>GB/T 38177-2019  数控加工生产线 柔性制造系统</w:t>
      </w:r>
    </w:p>
    <w:p w14:paraId="4492FD8C">
      <w:pPr>
        <w:pStyle w:val="56"/>
        <w:ind w:firstLine="420"/>
        <w:rPr>
          <w:color w:val="auto"/>
        </w:rPr>
      </w:pPr>
      <w:r>
        <w:rPr>
          <w:rFonts w:hint="eastAsia"/>
          <w:color w:val="auto"/>
        </w:rPr>
        <w:t>GB/T 39004-2020</w:t>
      </w:r>
      <w:r>
        <w:rPr>
          <w:rFonts w:hint="eastAsia"/>
          <w:color w:val="auto"/>
        </w:rPr>
        <w:tab/>
      </w:r>
      <w:r>
        <w:rPr>
          <w:rFonts w:hint="eastAsia"/>
          <w:color w:val="auto"/>
        </w:rPr>
        <w:tab/>
      </w:r>
      <w:r>
        <w:rPr>
          <w:rFonts w:hint="eastAsia"/>
          <w:color w:val="auto"/>
        </w:rPr>
        <w:t>工业机器人电磁兼容设计规范</w:t>
      </w:r>
    </w:p>
    <w:p w14:paraId="5615BC0D">
      <w:pPr>
        <w:pStyle w:val="56"/>
        <w:ind w:firstLine="420"/>
        <w:rPr>
          <w:color w:val="auto"/>
        </w:rPr>
      </w:pPr>
      <w:r>
        <w:rPr>
          <w:rFonts w:hint="eastAsia"/>
          <w:color w:val="auto"/>
        </w:rPr>
        <w:t>GB/T 39334.2  机械产品制造过程数字化仿真 第2部分：生产线规划和布局仿真要求</w:t>
      </w:r>
    </w:p>
    <w:p w14:paraId="42084A4C">
      <w:pPr>
        <w:pStyle w:val="56"/>
        <w:ind w:firstLine="420"/>
        <w:rPr>
          <w:color w:val="auto"/>
        </w:rPr>
      </w:pPr>
      <w:r>
        <w:rPr>
          <w:rFonts w:hint="eastAsia"/>
          <w:color w:val="auto"/>
        </w:rPr>
        <w:t>JB/T 14403-2022  智能化轨道物流传输系统</w:t>
      </w:r>
    </w:p>
    <w:p w14:paraId="53172D9C">
      <w:pPr>
        <w:pStyle w:val="104"/>
        <w:spacing w:before="240" w:after="240"/>
        <w:rPr>
          <w:color w:val="auto"/>
        </w:rPr>
      </w:pPr>
      <w:bookmarkStart w:id="35" w:name="_Toc97192966"/>
      <w:r>
        <w:rPr>
          <w:rFonts w:hint="eastAsia"/>
          <w:color w:val="auto"/>
          <w:szCs w:val="21"/>
        </w:rPr>
        <w:t>术语和定义</w:t>
      </w:r>
      <w:bookmarkEnd w:id="35"/>
    </w:p>
    <w:sdt>
      <w:sdtPr>
        <w:rPr>
          <w:color w:val="auto"/>
        </w:rPr>
        <w:id w:val="-1909835108"/>
        <w:placeholder>
          <w:docPart w:val="EAF844F5239044378963083767721F4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3B3D9802">
          <w:pPr>
            <w:pStyle w:val="56"/>
            <w:ind w:firstLine="420"/>
            <w:rPr>
              <w:color w:val="auto"/>
            </w:rPr>
          </w:pPr>
          <w:bookmarkStart w:id="36" w:name="_Toc26986532"/>
          <w:bookmarkEnd w:id="36"/>
          <w:r>
            <w:rPr>
              <w:color w:val="auto"/>
            </w:rPr>
            <w:t>JB/T 14403-2022界定的以及下列术语和定义适用于本文件。</w:t>
          </w:r>
        </w:p>
      </w:sdtContent>
    </w:sdt>
    <w:p w14:paraId="4A35B58B">
      <w:pPr>
        <w:pStyle w:val="223"/>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智能物流传输系统 </w:t>
      </w:r>
      <w:r>
        <w:rPr>
          <w:rFonts w:ascii="黑体" w:hAnsi="黑体" w:eastAsia="黑体"/>
          <w:color w:val="auto"/>
        </w:rPr>
        <w:t>intelligent logistics transmission systems</w:t>
      </w:r>
    </w:p>
    <w:p w14:paraId="44FD5281">
      <w:pPr>
        <w:pStyle w:val="56"/>
        <w:ind w:firstLine="420"/>
        <w:rPr>
          <w:color w:val="auto"/>
        </w:rPr>
      </w:pPr>
      <w:r>
        <w:rPr>
          <w:rFonts w:hint="eastAsia"/>
          <w:color w:val="auto"/>
        </w:rPr>
        <w:t>指由箱体、传动柱、角度定位装置、货物存放装置等部件组成，能够依据物流流程需求，自动选择货物运送方向，将货物精准转运至不同传送带的自动化物流输送设备集合。</w:t>
      </w:r>
    </w:p>
    <w:p w14:paraId="38FD3297">
      <w:pPr>
        <w:pStyle w:val="223"/>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角度定位装置angle positioning device</w:t>
      </w:r>
    </w:p>
    <w:p w14:paraId="4552E72B">
      <w:pPr>
        <w:pStyle w:val="56"/>
        <w:ind w:firstLine="420"/>
        <w:rPr>
          <w:color w:val="auto"/>
        </w:rPr>
      </w:pPr>
      <w:r>
        <w:rPr>
          <w:rFonts w:hint="eastAsia"/>
          <w:color w:val="auto"/>
        </w:rPr>
        <w:t>由卡块、凹槽环、弹簧等元件构成，用于精准控制传动柱转动后的停止位置，确保货物能按预定角度中转运输。</w:t>
      </w:r>
    </w:p>
    <w:p w14:paraId="187B4154">
      <w:pPr>
        <w:pStyle w:val="104"/>
        <w:spacing w:before="240" w:after="240"/>
        <w:rPr>
          <w:color w:val="auto"/>
        </w:rPr>
      </w:pPr>
      <w:r>
        <w:rPr>
          <w:rFonts w:hint="eastAsia"/>
          <w:color w:val="auto"/>
        </w:rPr>
        <w:t>系统构成</w:t>
      </w:r>
    </w:p>
    <w:p w14:paraId="443ECABE">
      <w:pPr>
        <w:pStyle w:val="105"/>
        <w:spacing w:before="120" w:after="120"/>
        <w:rPr>
          <w:color w:val="auto"/>
        </w:rPr>
      </w:pPr>
      <w:r>
        <w:rPr>
          <w:rFonts w:hint="eastAsia"/>
          <w:color w:val="auto"/>
        </w:rPr>
        <w:t>结构</w:t>
      </w:r>
    </w:p>
    <w:p w14:paraId="1691B946">
      <w:pPr>
        <w:pStyle w:val="56"/>
        <w:ind w:firstLine="420"/>
        <w:rPr>
          <w:color w:val="auto"/>
        </w:rPr>
      </w:pPr>
      <w:r>
        <w:rPr>
          <w:rFonts w:hint="eastAsia"/>
          <w:color w:val="auto"/>
        </w:rPr>
        <w:t>通过角度定位装置、液压缸和货物存放装置的配合，使货物状态更加稳定，通过检测设备或人工对货物进行检测，将货物运送到不同的传送带表面，使货物可以被运送到不同传送带表面进行继续运送，保证货物的运送效果。智能物流传输系统结构示意图如图1所示。</w:t>
      </w:r>
    </w:p>
    <w:p w14:paraId="4BC3A6A6">
      <w:pPr>
        <w:pStyle w:val="114"/>
        <w:numPr>
          <w:ilvl w:val="0"/>
          <w:numId w:val="0"/>
        </w:numPr>
        <w:spacing w:before="120" w:after="120"/>
        <w:ind w:leftChars="0"/>
        <w:jc w:val="center"/>
        <w:rPr>
          <w:color w:val="auto"/>
        </w:rPr>
      </w:pPr>
      <w:r>
        <w:rPr>
          <w:color w:val="auto"/>
        </w:rPr>
        <w:drawing>
          <wp:inline distT="0" distB="0" distL="0" distR="0">
            <wp:extent cx="3161665" cy="2879725"/>
            <wp:effectExtent l="0" t="0" r="8255" b="635"/>
            <wp:docPr id="17512041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204167" name="图片 1"/>
                    <pic:cNvPicPr>
                      <a:picLocks noChangeAspect="1"/>
                    </pic:cNvPicPr>
                  </pic:nvPicPr>
                  <pic:blipFill>
                    <a:blip r:embed="rId20"/>
                    <a:stretch>
                      <a:fillRect/>
                    </a:stretch>
                  </pic:blipFill>
                  <pic:spPr>
                    <a:xfrm>
                      <a:off x="0" y="0"/>
                      <a:ext cx="3161665" cy="2879725"/>
                    </a:xfrm>
                    <a:prstGeom prst="rect">
                      <a:avLst/>
                    </a:prstGeom>
                  </pic:spPr>
                </pic:pic>
              </a:graphicData>
            </a:graphic>
          </wp:inline>
        </w:drawing>
      </w:r>
    </w:p>
    <w:p w14:paraId="49138F7D">
      <w:pPr>
        <w:pStyle w:val="114"/>
        <w:spacing w:before="120" w:after="120"/>
        <w:rPr>
          <w:color w:val="auto"/>
        </w:rPr>
      </w:pPr>
      <w:r>
        <w:rPr>
          <w:rFonts w:hint="eastAsia"/>
          <w:color w:val="auto"/>
        </w:rPr>
        <w:t>智能物流传输系统结构示意图</w:t>
      </w:r>
    </w:p>
    <w:p w14:paraId="4B85EBC9">
      <w:pPr>
        <w:pStyle w:val="56"/>
        <w:ind w:firstLine="420"/>
        <w:rPr>
          <w:color w:val="auto"/>
        </w:rPr>
      </w:pPr>
      <w:r>
        <w:rPr>
          <w:rFonts w:hint="eastAsia"/>
          <w:color w:val="auto"/>
        </w:rPr>
        <w:t>标引序号说明：</w:t>
      </w:r>
    </w:p>
    <w:p w14:paraId="27AE07B8">
      <w:pPr>
        <w:pStyle w:val="56"/>
        <w:numPr>
          <w:ilvl w:val="0"/>
          <w:numId w:val="32"/>
        </w:numPr>
        <w:ind w:firstLineChars="0"/>
        <w:rPr>
          <w:color w:val="auto"/>
        </w:rPr>
      </w:pPr>
      <w:r>
        <w:rPr>
          <w:rFonts w:hint="eastAsia"/>
          <w:color w:val="auto"/>
        </w:rPr>
        <w:t>箱体；</w:t>
      </w:r>
    </w:p>
    <w:p w14:paraId="787FA6CC">
      <w:pPr>
        <w:pStyle w:val="56"/>
        <w:numPr>
          <w:ilvl w:val="0"/>
          <w:numId w:val="32"/>
        </w:numPr>
        <w:ind w:firstLineChars="0"/>
        <w:rPr>
          <w:color w:val="auto"/>
        </w:rPr>
      </w:pPr>
      <w:r>
        <w:rPr>
          <w:rFonts w:hint="eastAsia"/>
          <w:color w:val="auto"/>
        </w:rPr>
        <w:t>角度定位装置；</w:t>
      </w:r>
    </w:p>
    <w:p w14:paraId="12727EB3">
      <w:pPr>
        <w:pStyle w:val="56"/>
        <w:numPr>
          <w:ilvl w:val="0"/>
          <w:numId w:val="32"/>
        </w:numPr>
        <w:ind w:firstLineChars="0"/>
        <w:rPr>
          <w:color w:val="auto"/>
        </w:rPr>
      </w:pPr>
      <w:r>
        <w:rPr>
          <w:rFonts w:hint="eastAsia"/>
          <w:color w:val="auto"/>
        </w:rPr>
        <w:t>短杆；</w:t>
      </w:r>
    </w:p>
    <w:p w14:paraId="6155D851">
      <w:pPr>
        <w:pStyle w:val="56"/>
        <w:numPr>
          <w:ilvl w:val="0"/>
          <w:numId w:val="32"/>
        </w:numPr>
        <w:ind w:firstLineChars="0"/>
        <w:rPr>
          <w:color w:val="auto"/>
        </w:rPr>
      </w:pPr>
      <w:r>
        <w:rPr>
          <w:rFonts w:hint="eastAsia"/>
          <w:color w:val="auto"/>
        </w:rPr>
        <w:t>凹槽环；</w:t>
      </w:r>
    </w:p>
    <w:p w14:paraId="168A4CF6">
      <w:pPr>
        <w:pStyle w:val="56"/>
        <w:numPr>
          <w:ilvl w:val="0"/>
          <w:numId w:val="32"/>
        </w:numPr>
        <w:ind w:firstLineChars="0"/>
        <w:rPr>
          <w:color w:val="auto"/>
        </w:rPr>
      </w:pPr>
      <w:r>
        <w:rPr>
          <w:rFonts w:hint="eastAsia"/>
          <w:color w:val="auto"/>
        </w:rPr>
        <w:t>第二电机；</w:t>
      </w:r>
    </w:p>
    <w:p w14:paraId="5452A0C7">
      <w:pPr>
        <w:pStyle w:val="56"/>
        <w:numPr>
          <w:ilvl w:val="0"/>
          <w:numId w:val="32"/>
        </w:numPr>
        <w:ind w:firstLineChars="0"/>
        <w:rPr>
          <w:color w:val="auto"/>
        </w:rPr>
      </w:pPr>
      <w:r>
        <w:rPr>
          <w:rFonts w:hint="eastAsia"/>
          <w:color w:val="auto"/>
        </w:rPr>
        <w:t>安装板；</w:t>
      </w:r>
    </w:p>
    <w:p w14:paraId="22D33338">
      <w:pPr>
        <w:pStyle w:val="56"/>
        <w:numPr>
          <w:ilvl w:val="0"/>
          <w:numId w:val="32"/>
        </w:numPr>
        <w:ind w:firstLineChars="0"/>
        <w:rPr>
          <w:color w:val="auto"/>
        </w:rPr>
      </w:pPr>
      <w:r>
        <w:rPr>
          <w:rFonts w:hint="eastAsia"/>
          <w:color w:val="auto"/>
        </w:rPr>
        <w:t>滚轮；</w:t>
      </w:r>
    </w:p>
    <w:p w14:paraId="678C90E3">
      <w:pPr>
        <w:pStyle w:val="56"/>
        <w:numPr>
          <w:ilvl w:val="0"/>
          <w:numId w:val="32"/>
        </w:numPr>
        <w:ind w:firstLineChars="0"/>
        <w:rPr>
          <w:color w:val="auto"/>
        </w:rPr>
      </w:pPr>
      <w:r>
        <w:rPr>
          <w:rFonts w:hint="eastAsia"/>
          <w:color w:val="auto"/>
        </w:rPr>
        <w:t>转动箱；</w:t>
      </w:r>
    </w:p>
    <w:p w14:paraId="5A035B67">
      <w:pPr>
        <w:pStyle w:val="56"/>
        <w:numPr>
          <w:ilvl w:val="0"/>
          <w:numId w:val="32"/>
        </w:numPr>
        <w:ind w:firstLineChars="0"/>
        <w:rPr>
          <w:color w:val="auto"/>
        </w:rPr>
      </w:pPr>
      <w:r>
        <w:rPr>
          <w:rFonts w:hint="eastAsia"/>
          <w:color w:val="auto"/>
        </w:rPr>
        <w:t>货物存放装置；</w:t>
      </w:r>
    </w:p>
    <w:p w14:paraId="07C945A8">
      <w:pPr>
        <w:pStyle w:val="56"/>
        <w:numPr>
          <w:ilvl w:val="0"/>
          <w:numId w:val="32"/>
        </w:numPr>
        <w:ind w:firstLineChars="0"/>
        <w:rPr>
          <w:color w:val="auto"/>
        </w:rPr>
      </w:pPr>
      <w:r>
        <w:rPr>
          <w:rFonts w:hint="eastAsia"/>
          <w:color w:val="auto"/>
        </w:rPr>
        <w:t>直杆；</w:t>
      </w:r>
    </w:p>
    <w:p w14:paraId="6E68FC14">
      <w:pPr>
        <w:pStyle w:val="56"/>
        <w:numPr>
          <w:ilvl w:val="0"/>
          <w:numId w:val="32"/>
        </w:numPr>
        <w:ind w:firstLineChars="0"/>
        <w:rPr>
          <w:color w:val="auto"/>
        </w:rPr>
      </w:pPr>
      <w:r>
        <w:rPr>
          <w:rFonts w:hint="eastAsia"/>
          <w:color w:val="auto"/>
        </w:rPr>
        <w:t>竖杆；</w:t>
      </w:r>
    </w:p>
    <w:p w14:paraId="6C436A35">
      <w:pPr>
        <w:pStyle w:val="56"/>
        <w:numPr>
          <w:ilvl w:val="0"/>
          <w:numId w:val="32"/>
        </w:numPr>
        <w:ind w:firstLineChars="0"/>
        <w:rPr>
          <w:color w:val="auto"/>
        </w:rPr>
      </w:pPr>
      <w:r>
        <w:rPr>
          <w:rFonts w:hint="eastAsia"/>
          <w:color w:val="auto"/>
        </w:rPr>
        <w:t>第四电机；</w:t>
      </w:r>
    </w:p>
    <w:p w14:paraId="7665FA37">
      <w:pPr>
        <w:pStyle w:val="56"/>
        <w:numPr>
          <w:ilvl w:val="0"/>
          <w:numId w:val="32"/>
        </w:numPr>
        <w:ind w:firstLineChars="0"/>
        <w:rPr>
          <w:color w:val="auto"/>
        </w:rPr>
      </w:pPr>
      <w:r>
        <w:rPr>
          <w:rFonts w:hint="eastAsia"/>
          <w:color w:val="auto"/>
        </w:rPr>
        <w:t>橫杆；</w:t>
      </w:r>
    </w:p>
    <w:p w14:paraId="3694DB9D">
      <w:pPr>
        <w:pStyle w:val="56"/>
        <w:numPr>
          <w:ilvl w:val="0"/>
          <w:numId w:val="32"/>
        </w:numPr>
        <w:ind w:firstLineChars="0"/>
        <w:rPr>
          <w:color w:val="auto"/>
        </w:rPr>
      </w:pPr>
      <w:r>
        <w:rPr>
          <w:rFonts w:hint="eastAsia"/>
          <w:color w:val="auto"/>
        </w:rPr>
        <w:t>固定箱；</w:t>
      </w:r>
    </w:p>
    <w:p w14:paraId="65AFF86B">
      <w:pPr>
        <w:pStyle w:val="56"/>
        <w:numPr>
          <w:ilvl w:val="0"/>
          <w:numId w:val="32"/>
        </w:numPr>
        <w:ind w:firstLineChars="0"/>
        <w:rPr>
          <w:color w:val="auto"/>
        </w:rPr>
      </w:pPr>
      <w:r>
        <w:rPr>
          <w:rFonts w:hint="eastAsia"/>
          <w:color w:val="auto"/>
        </w:rPr>
        <w:t>第一斜杆；</w:t>
      </w:r>
    </w:p>
    <w:p w14:paraId="5B5C48B7">
      <w:pPr>
        <w:pStyle w:val="56"/>
        <w:numPr>
          <w:ilvl w:val="0"/>
          <w:numId w:val="32"/>
        </w:numPr>
        <w:ind w:firstLineChars="0"/>
        <w:rPr>
          <w:color w:val="auto"/>
        </w:rPr>
      </w:pPr>
      <w:r>
        <w:rPr>
          <w:rFonts w:hint="eastAsia"/>
          <w:color w:val="auto"/>
        </w:rPr>
        <w:t>支撑板；</w:t>
      </w:r>
    </w:p>
    <w:p w14:paraId="62A4E234">
      <w:pPr>
        <w:pStyle w:val="56"/>
        <w:numPr>
          <w:ilvl w:val="0"/>
          <w:numId w:val="32"/>
        </w:numPr>
        <w:ind w:firstLineChars="0"/>
        <w:rPr>
          <w:color w:val="auto"/>
        </w:rPr>
      </w:pPr>
      <w:r>
        <w:rPr>
          <w:rFonts w:hint="eastAsia"/>
          <w:color w:val="auto"/>
        </w:rPr>
        <w:t>网板；</w:t>
      </w:r>
    </w:p>
    <w:p w14:paraId="19E9482C">
      <w:pPr>
        <w:pStyle w:val="56"/>
        <w:numPr>
          <w:ilvl w:val="0"/>
          <w:numId w:val="32"/>
        </w:numPr>
        <w:ind w:firstLineChars="0"/>
        <w:rPr>
          <w:color w:val="auto"/>
        </w:rPr>
      </w:pPr>
      <w:r>
        <w:rPr>
          <w:rFonts w:hint="eastAsia"/>
          <w:color w:val="auto"/>
        </w:rPr>
        <w:t>传动柱。</w:t>
      </w:r>
    </w:p>
    <w:p w14:paraId="281FE455">
      <w:pPr>
        <w:pStyle w:val="105"/>
        <w:spacing w:before="120" w:after="120"/>
        <w:rPr>
          <w:color w:val="auto"/>
        </w:rPr>
      </w:pPr>
      <w:r>
        <w:rPr>
          <w:rFonts w:hint="eastAsia"/>
          <w:color w:val="auto"/>
        </w:rPr>
        <w:t>工作条件</w:t>
      </w:r>
    </w:p>
    <w:p w14:paraId="4539B758">
      <w:pPr>
        <w:pStyle w:val="56"/>
        <w:ind w:firstLine="420"/>
        <w:rPr>
          <w:color w:val="auto"/>
        </w:rPr>
      </w:pPr>
      <w:r>
        <w:rPr>
          <w:rFonts w:hint="eastAsia"/>
          <w:color w:val="auto"/>
        </w:rPr>
        <w:t>智能物流传输系统的正常工作条件为：</w:t>
      </w:r>
    </w:p>
    <w:p w14:paraId="52483173">
      <w:pPr>
        <w:pStyle w:val="132"/>
        <w:rPr>
          <w:color w:val="auto"/>
        </w:rPr>
      </w:pPr>
      <w:r>
        <w:rPr>
          <w:rFonts w:hint="eastAsia"/>
          <w:color w:val="auto"/>
        </w:rPr>
        <w:t>工作温度：-20 ℃～4 0℃；</w:t>
      </w:r>
    </w:p>
    <w:p w14:paraId="4858F053">
      <w:pPr>
        <w:pStyle w:val="132"/>
        <w:rPr>
          <w:color w:val="auto"/>
        </w:rPr>
      </w:pPr>
      <w:r>
        <w:rPr>
          <w:rFonts w:hint="eastAsia"/>
          <w:color w:val="auto"/>
        </w:rPr>
        <w:t>湿度范围：相对湿度≤90 %；</w:t>
      </w:r>
    </w:p>
    <w:p w14:paraId="4B728D7D">
      <w:pPr>
        <w:pStyle w:val="132"/>
        <w:rPr>
          <w:color w:val="auto"/>
        </w:rPr>
      </w:pPr>
      <w:r>
        <w:rPr>
          <w:rFonts w:hint="eastAsia"/>
          <w:color w:val="auto"/>
        </w:rPr>
        <w:t>电源：AC 220V/50Hz。</w:t>
      </w:r>
    </w:p>
    <w:p w14:paraId="7F3413C4">
      <w:pPr>
        <w:pStyle w:val="105"/>
        <w:spacing w:before="120" w:after="120"/>
        <w:rPr>
          <w:color w:val="auto"/>
        </w:rPr>
      </w:pPr>
      <w:r>
        <w:rPr>
          <w:rFonts w:hint="eastAsia"/>
          <w:color w:val="auto"/>
        </w:rPr>
        <w:t>基本参数</w:t>
      </w:r>
    </w:p>
    <w:p w14:paraId="4ADAA07F">
      <w:pPr>
        <w:pStyle w:val="56"/>
        <w:ind w:firstLine="420"/>
        <w:rPr>
          <w:color w:val="auto"/>
        </w:rPr>
      </w:pPr>
      <w:r>
        <w:rPr>
          <w:rFonts w:hint="eastAsia"/>
          <w:color w:val="auto"/>
        </w:rPr>
        <w:t>系统基本参数如下：</w:t>
      </w:r>
    </w:p>
    <w:p w14:paraId="35980BD9">
      <w:pPr>
        <w:pStyle w:val="132"/>
        <w:rPr>
          <w:color w:val="auto"/>
        </w:rPr>
      </w:pPr>
      <w:r>
        <w:rPr>
          <w:rFonts w:hint="eastAsia"/>
          <w:color w:val="auto"/>
        </w:rPr>
        <w:t>负载能力：</w:t>
      </w:r>
    </w:p>
    <w:p w14:paraId="4A79EB00">
      <w:pPr>
        <w:pStyle w:val="132"/>
        <w:rPr>
          <w:color w:val="auto"/>
        </w:rPr>
      </w:pPr>
      <w:r>
        <w:rPr>
          <w:rFonts w:hint="eastAsia"/>
          <w:color w:val="auto"/>
        </w:rPr>
        <w:t>货物最大运动速度：</w:t>
      </w:r>
    </w:p>
    <w:p w14:paraId="5B090EFB">
      <w:pPr>
        <w:pStyle w:val="132"/>
        <w:rPr>
          <w:color w:val="auto"/>
        </w:rPr>
      </w:pPr>
      <w:r>
        <w:rPr>
          <w:rFonts w:hint="eastAsia"/>
          <w:color w:val="auto"/>
        </w:rPr>
        <w:t>平均货物运行速度：</w:t>
      </w:r>
    </w:p>
    <w:p w14:paraId="205E9C0C">
      <w:pPr>
        <w:pStyle w:val="132"/>
        <w:rPr>
          <w:color w:val="auto"/>
        </w:rPr>
      </w:pPr>
      <w:r>
        <w:rPr>
          <w:rFonts w:hint="eastAsia"/>
          <w:color w:val="auto"/>
        </w:rPr>
        <w:t>定位精度：</w:t>
      </w:r>
    </w:p>
    <w:p w14:paraId="53F343BF">
      <w:pPr>
        <w:pStyle w:val="132"/>
        <w:rPr>
          <w:color w:val="auto"/>
        </w:rPr>
      </w:pPr>
      <w:r>
        <w:rPr>
          <w:rFonts w:hint="eastAsia"/>
          <w:color w:val="auto"/>
        </w:rPr>
        <w:t>货物外形尺寸范围：</w:t>
      </w:r>
    </w:p>
    <w:p w14:paraId="1A42AE8B">
      <w:pPr>
        <w:pStyle w:val="132"/>
        <w:rPr>
          <w:rFonts w:hint="eastAsia"/>
          <w:color w:val="auto"/>
        </w:rPr>
      </w:pPr>
      <w:r>
        <w:rPr>
          <w:rFonts w:hint="eastAsia"/>
          <w:color w:val="auto"/>
        </w:rPr>
        <w:t>（传动柱轴向误差、角度定位等参数如有也可列项）</w:t>
      </w:r>
    </w:p>
    <w:p w14:paraId="1855EE2A">
      <w:pPr>
        <w:pStyle w:val="104"/>
        <w:spacing w:before="240" w:after="240"/>
        <w:rPr>
          <w:color w:val="auto"/>
        </w:rPr>
      </w:pPr>
      <w:r>
        <w:rPr>
          <w:rFonts w:hint="eastAsia"/>
          <w:color w:val="auto"/>
        </w:rPr>
        <w:t>技术要求</w:t>
      </w:r>
    </w:p>
    <w:p w14:paraId="34519E56">
      <w:pPr>
        <w:pStyle w:val="105"/>
        <w:spacing w:before="120" w:after="120"/>
        <w:rPr>
          <w:color w:val="auto"/>
        </w:rPr>
      </w:pPr>
      <w:r>
        <w:rPr>
          <w:rFonts w:hint="eastAsia"/>
          <w:color w:val="auto"/>
        </w:rPr>
        <w:t>外观</w:t>
      </w:r>
    </w:p>
    <w:p w14:paraId="3DDDCDA8">
      <w:pPr>
        <w:pStyle w:val="56"/>
        <w:ind w:firstLine="420"/>
        <w:rPr>
          <w:color w:val="auto"/>
        </w:rPr>
      </w:pPr>
      <w:r>
        <w:rPr>
          <w:rFonts w:hint="eastAsia"/>
          <w:color w:val="auto"/>
        </w:rPr>
        <w:t>箱体、转动箱等外壳表面应平整光滑，无明显划痕、凹坑、锈蚀及毛刺，涂装均匀，色泽一致。</w:t>
      </w:r>
    </w:p>
    <w:p w14:paraId="4DB44942">
      <w:pPr>
        <w:pStyle w:val="105"/>
        <w:spacing w:before="120" w:after="120"/>
        <w:rPr>
          <w:color w:val="auto"/>
        </w:rPr>
      </w:pPr>
      <w:r>
        <w:rPr>
          <w:rFonts w:hint="eastAsia"/>
          <w:color w:val="auto"/>
        </w:rPr>
        <w:t>结构</w:t>
      </w:r>
    </w:p>
    <w:p w14:paraId="5FF52F90">
      <w:pPr>
        <w:pStyle w:val="65"/>
        <w:spacing w:before="120" w:after="120"/>
        <w:rPr>
          <w:color w:val="auto"/>
        </w:rPr>
      </w:pPr>
      <w:r>
        <w:rPr>
          <w:rFonts w:hint="eastAsia"/>
          <w:color w:val="auto"/>
        </w:rPr>
        <w:t>箱体</w:t>
      </w:r>
    </w:p>
    <w:p w14:paraId="5C2E9B73">
      <w:pPr>
        <w:pStyle w:val="164"/>
        <w:rPr>
          <w:color w:val="auto"/>
        </w:rPr>
      </w:pPr>
      <w:r>
        <w:rPr>
          <w:rFonts w:hint="eastAsia"/>
          <w:color w:val="auto"/>
        </w:rPr>
        <w:t>箱体采用整体焊接或拼接工艺时，焊缝需均匀、连续，无气孔、夹渣、未焊透等缺陷，焊接强度满足设计要求。</w:t>
      </w:r>
    </w:p>
    <w:p w14:paraId="030E7973">
      <w:pPr>
        <w:pStyle w:val="164"/>
        <w:rPr>
          <w:color w:val="auto"/>
        </w:rPr>
      </w:pPr>
      <w:r>
        <w:rPr>
          <w:rFonts w:hint="eastAsia"/>
          <w:color w:val="auto"/>
        </w:rPr>
        <w:t>箱体内部宜设置加强筋、隔板等辅助结构，合理分布应力，防止局部变形。</w:t>
      </w:r>
    </w:p>
    <w:p w14:paraId="5D55EF1E">
      <w:pPr>
        <w:pStyle w:val="65"/>
        <w:spacing w:before="120" w:after="120"/>
        <w:rPr>
          <w:color w:val="auto"/>
        </w:rPr>
      </w:pPr>
      <w:r>
        <w:rPr>
          <w:rFonts w:hint="eastAsia"/>
          <w:color w:val="auto"/>
        </w:rPr>
        <w:t>传动柱</w:t>
      </w:r>
    </w:p>
    <w:p w14:paraId="44C33089">
      <w:pPr>
        <w:pStyle w:val="164"/>
        <w:rPr>
          <w:color w:val="auto"/>
        </w:rPr>
      </w:pPr>
      <w:r>
        <w:rPr>
          <w:rFonts w:hint="eastAsia"/>
          <w:color w:val="auto"/>
        </w:rPr>
        <w:t>传动柱应为整体式或多段式精密装配结构，表面硬度均匀，转动平稳、无卡滞。</w:t>
      </w:r>
    </w:p>
    <w:p w14:paraId="1EBF70D4">
      <w:pPr>
        <w:pStyle w:val="164"/>
        <w:rPr>
          <w:color w:val="auto"/>
        </w:rPr>
      </w:pPr>
      <w:r>
        <w:rPr>
          <w:rFonts w:hint="eastAsia"/>
          <w:color w:val="auto"/>
        </w:rPr>
        <w:t>传动柱材料机械性能应不低于GB/T 699-2015表2中牌号45号钢的要求。</w:t>
      </w:r>
    </w:p>
    <w:p w14:paraId="0F29D210">
      <w:pPr>
        <w:pStyle w:val="65"/>
        <w:spacing w:before="120" w:after="120"/>
        <w:rPr>
          <w:color w:val="auto"/>
        </w:rPr>
      </w:pPr>
      <w:r>
        <w:rPr>
          <w:rFonts w:hint="eastAsia"/>
          <w:color w:val="auto"/>
        </w:rPr>
        <w:t>角度定位装置</w:t>
      </w:r>
    </w:p>
    <w:p w14:paraId="526C5E91">
      <w:pPr>
        <w:pStyle w:val="56"/>
        <w:ind w:firstLine="420"/>
        <w:rPr>
          <w:color w:val="auto"/>
        </w:rPr>
      </w:pPr>
      <w:r>
        <w:rPr>
          <w:rFonts w:hint="eastAsia"/>
          <w:color w:val="auto"/>
        </w:rPr>
        <w:t>卡块与凹槽环的配合间隙应≤1</w:t>
      </w:r>
      <w:r>
        <w:rPr>
          <w:rFonts w:hint="eastAsia"/>
          <w:color w:val="auto"/>
        </w:rPr>
        <w:t xml:space="preserve"> </w:t>
      </w:r>
      <w:r>
        <w:rPr>
          <w:rFonts w:hint="eastAsia"/>
          <w:color w:val="auto"/>
        </w:rPr>
        <w:t>mm，保证定位的准确性与可靠性。</w:t>
      </w:r>
    </w:p>
    <w:p w14:paraId="2274C7B4">
      <w:pPr>
        <w:pStyle w:val="65"/>
        <w:spacing w:before="120" w:after="120"/>
        <w:rPr>
          <w:color w:val="auto"/>
        </w:rPr>
      </w:pPr>
      <w:r>
        <w:rPr>
          <w:rFonts w:hint="eastAsia"/>
          <w:color w:val="auto"/>
        </w:rPr>
        <w:t>转动箱与竖杆</w:t>
      </w:r>
    </w:p>
    <w:p w14:paraId="5DDCD581">
      <w:pPr>
        <w:pStyle w:val="56"/>
        <w:ind w:firstLine="420"/>
        <w:rPr>
          <w:color w:val="auto"/>
        </w:rPr>
      </w:pPr>
      <w:r>
        <w:rPr>
          <w:rFonts w:hint="eastAsia"/>
          <w:color w:val="auto"/>
        </w:rPr>
        <w:t>转动箱滑道与竖杆的配合公差严格符合设计标准，滑道内壁顺滑过渡，无锐边、台阶，竖杆在滑道内全程滑动顺畅，无卡顿、歪斜现象。</w:t>
      </w:r>
    </w:p>
    <w:p w14:paraId="135691D2">
      <w:pPr>
        <w:pStyle w:val="105"/>
        <w:spacing w:before="120" w:after="120"/>
        <w:rPr>
          <w:color w:val="auto"/>
        </w:rPr>
      </w:pPr>
      <w:r>
        <w:rPr>
          <w:rFonts w:hint="eastAsia"/>
          <w:color w:val="auto"/>
        </w:rPr>
        <w:t>噪声</w:t>
      </w:r>
    </w:p>
    <w:p w14:paraId="74A2A095">
      <w:pPr>
        <w:pStyle w:val="56"/>
        <w:ind w:firstLine="420"/>
        <w:rPr>
          <w:color w:val="auto"/>
        </w:rPr>
      </w:pPr>
      <w:r>
        <w:rPr>
          <w:rFonts w:hint="eastAsia"/>
          <w:color w:val="auto"/>
        </w:rPr>
        <w:t>传输系统满负载运行时产品的最大噪声应不大于65 dB(A)。</w:t>
      </w:r>
    </w:p>
    <w:p w14:paraId="31ECE3A5">
      <w:pPr>
        <w:pStyle w:val="105"/>
        <w:spacing w:before="120" w:after="120"/>
        <w:rPr>
          <w:color w:val="auto"/>
        </w:rPr>
      </w:pPr>
      <w:r>
        <w:rPr>
          <w:rFonts w:hint="eastAsia"/>
          <w:color w:val="auto"/>
        </w:rPr>
        <w:t>机械结构</w:t>
      </w:r>
    </w:p>
    <w:p w14:paraId="4D77E4DA">
      <w:pPr>
        <w:pStyle w:val="165"/>
        <w:rPr>
          <w:color w:val="auto"/>
        </w:rPr>
      </w:pPr>
      <w:r>
        <w:rPr>
          <w:rFonts w:hint="eastAsia"/>
          <w:color w:val="auto"/>
        </w:rPr>
        <w:t>传输系统的规划和布局应符合的规定。</w:t>
      </w:r>
    </w:p>
    <w:p w14:paraId="568D1B75">
      <w:pPr>
        <w:pStyle w:val="165"/>
        <w:rPr>
          <w:color w:val="auto"/>
        </w:rPr>
      </w:pPr>
      <w:r>
        <w:rPr>
          <w:rFonts w:hint="eastAsia"/>
          <w:color w:val="auto"/>
        </w:rPr>
        <w:t>系统的机械结构应具有足够的强度、刚度和稳定性，能够承受运载单元和货物的重量以及运行过程中的冲击力。</w:t>
      </w:r>
    </w:p>
    <w:p w14:paraId="399471DD">
      <w:pPr>
        <w:pStyle w:val="165"/>
        <w:rPr>
          <w:color w:val="auto"/>
        </w:rPr>
      </w:pPr>
      <w:r>
        <w:rPr>
          <w:rFonts w:hint="eastAsia"/>
          <w:color w:val="auto"/>
        </w:rPr>
        <w:t>紧固螺栓应符合GB/T 3098.1的规定，紧固螺母应符合GB/T 3098.2的规定。</w:t>
      </w:r>
    </w:p>
    <w:p w14:paraId="050B4A55">
      <w:pPr>
        <w:pStyle w:val="165"/>
        <w:rPr>
          <w:color w:val="auto"/>
        </w:rPr>
      </w:pPr>
      <w:r>
        <w:rPr>
          <w:rFonts w:hint="eastAsia"/>
          <w:color w:val="auto"/>
        </w:rPr>
        <w:t>系统材料机械性能应不低于GB/T 700-2006表2中Q235B的规定。</w:t>
      </w:r>
    </w:p>
    <w:p w14:paraId="67C49F02">
      <w:pPr>
        <w:pStyle w:val="105"/>
        <w:spacing w:before="120" w:after="120"/>
        <w:rPr>
          <w:color w:val="auto"/>
        </w:rPr>
      </w:pPr>
      <w:r>
        <w:rPr>
          <w:rFonts w:hint="eastAsia"/>
          <w:color w:val="auto"/>
        </w:rPr>
        <w:t>电气系统</w:t>
      </w:r>
    </w:p>
    <w:p w14:paraId="6C7B1563">
      <w:pPr>
        <w:pStyle w:val="165"/>
        <w:rPr>
          <w:color w:val="auto"/>
        </w:rPr>
      </w:pPr>
      <w:r>
        <w:rPr>
          <w:rFonts w:hint="eastAsia"/>
          <w:color w:val="auto"/>
        </w:rPr>
        <w:t xml:space="preserve">系统应有明显的接地标志，接地电阻不大于4 </w:t>
      </w:r>
      <w:r>
        <w:rPr>
          <w:color w:val="auto"/>
        </w:rPr>
        <w:t>Ω</w:t>
      </w:r>
      <w:r>
        <w:rPr>
          <w:rFonts w:hint="eastAsia"/>
          <w:color w:val="auto"/>
        </w:rPr>
        <w:t>。</w:t>
      </w:r>
    </w:p>
    <w:p w14:paraId="7E6337B5">
      <w:pPr>
        <w:pStyle w:val="165"/>
        <w:rPr>
          <w:color w:val="auto"/>
        </w:rPr>
      </w:pPr>
      <w:r>
        <w:rPr>
          <w:rFonts w:hint="eastAsia"/>
          <w:color w:val="auto"/>
        </w:rPr>
        <w:t>系统具有良好的绝缘性能、接地保护和过载保护等功能。</w:t>
      </w:r>
    </w:p>
    <w:p w14:paraId="311C8F32">
      <w:pPr>
        <w:pStyle w:val="105"/>
        <w:spacing w:before="120" w:after="120"/>
        <w:rPr>
          <w:color w:val="auto"/>
        </w:rPr>
      </w:pPr>
      <w:r>
        <w:rPr>
          <w:rFonts w:hint="eastAsia"/>
          <w:color w:val="auto"/>
        </w:rPr>
        <w:t>控制系统</w:t>
      </w:r>
    </w:p>
    <w:p w14:paraId="3F5D23A6">
      <w:pPr>
        <w:pStyle w:val="56"/>
        <w:ind w:firstLine="420"/>
        <w:rPr>
          <w:color w:val="auto"/>
        </w:rPr>
      </w:pPr>
      <w:r>
        <w:rPr>
          <w:rFonts w:hint="eastAsia"/>
          <w:color w:val="auto"/>
        </w:rPr>
        <w:t>控制系统应具备自动化控制、远程监控、故障诊断和报警等功能，能够实时掌握系统的运行状态和故障信息。</w:t>
      </w:r>
    </w:p>
    <w:p w14:paraId="52B4E29D">
      <w:pPr>
        <w:pStyle w:val="105"/>
        <w:spacing w:before="120" w:after="120"/>
        <w:rPr>
          <w:color w:val="auto"/>
        </w:rPr>
      </w:pPr>
      <w:r>
        <w:rPr>
          <w:rFonts w:hint="eastAsia"/>
          <w:color w:val="auto"/>
        </w:rPr>
        <w:t>通信系统</w:t>
      </w:r>
    </w:p>
    <w:p w14:paraId="732D6BBF">
      <w:pPr>
        <w:pStyle w:val="56"/>
        <w:ind w:firstLine="420"/>
        <w:rPr>
          <w:color w:val="auto"/>
        </w:rPr>
      </w:pPr>
      <w:r>
        <w:rPr>
          <w:rFonts w:hint="eastAsia"/>
          <w:color w:val="auto"/>
        </w:rPr>
        <w:t>系统应符合GB/T 38177-2019中5.6.5条的规定，采用可靠的通信方式，实现各设备之间的数据传输和信息交互。</w:t>
      </w:r>
    </w:p>
    <w:p w14:paraId="31DC6FAC">
      <w:pPr>
        <w:pStyle w:val="105"/>
        <w:spacing w:before="120" w:after="120"/>
        <w:rPr>
          <w:color w:val="auto"/>
        </w:rPr>
      </w:pPr>
      <w:r>
        <w:rPr>
          <w:rFonts w:hint="eastAsia"/>
          <w:color w:val="auto"/>
        </w:rPr>
        <w:t>输送效率</w:t>
      </w:r>
    </w:p>
    <w:p w14:paraId="70D7EBF2">
      <w:pPr>
        <w:pStyle w:val="56"/>
        <w:ind w:firstLine="420"/>
        <w:rPr>
          <w:color w:val="auto"/>
        </w:rPr>
      </w:pPr>
      <w:r>
        <w:rPr>
          <w:rFonts w:hint="eastAsia"/>
          <w:color w:val="auto"/>
        </w:rPr>
        <w:t>系统的输送效率应不低于设计要求，在满载和连续运行的情况下，应能稳定地输送货物。</w:t>
      </w:r>
    </w:p>
    <w:p w14:paraId="67629C41">
      <w:pPr>
        <w:pStyle w:val="105"/>
        <w:spacing w:before="120" w:after="120"/>
        <w:rPr>
          <w:color w:val="auto"/>
        </w:rPr>
      </w:pPr>
      <w:r>
        <w:rPr>
          <w:rFonts w:hint="eastAsia"/>
          <w:color w:val="auto"/>
        </w:rPr>
        <w:t>安全要求</w:t>
      </w:r>
    </w:p>
    <w:p w14:paraId="330BA236">
      <w:pPr>
        <w:pStyle w:val="65"/>
        <w:spacing w:before="120" w:after="120"/>
        <w:rPr>
          <w:color w:val="auto"/>
        </w:rPr>
      </w:pPr>
      <w:r>
        <w:rPr>
          <w:rFonts w:hint="eastAsia"/>
          <w:color w:val="auto"/>
        </w:rPr>
        <w:t>安全防护装置</w:t>
      </w:r>
    </w:p>
    <w:p w14:paraId="4D116432">
      <w:pPr>
        <w:pStyle w:val="164"/>
        <w:rPr>
          <w:color w:val="auto"/>
        </w:rPr>
      </w:pPr>
      <w:r>
        <w:rPr>
          <w:rFonts w:hint="eastAsia"/>
          <w:color w:val="auto"/>
        </w:rPr>
        <w:t>系统应配备必要的安全防护装置，如防护栏、防护门、急停按钮、限位开关等，以防止人员和设备受到伤害。</w:t>
      </w:r>
    </w:p>
    <w:p w14:paraId="4660D353">
      <w:pPr>
        <w:pStyle w:val="164"/>
        <w:rPr>
          <w:color w:val="auto"/>
        </w:rPr>
      </w:pPr>
      <w:r>
        <w:rPr>
          <w:rFonts w:hint="eastAsia"/>
          <w:color w:val="auto"/>
        </w:rPr>
        <w:t>系统设备外壳防护能力应符合GB/T 4208-2017中IP 44等级的规定。</w:t>
      </w:r>
    </w:p>
    <w:p w14:paraId="0E92719F">
      <w:pPr>
        <w:pStyle w:val="164"/>
        <w:rPr>
          <w:color w:val="auto"/>
        </w:rPr>
      </w:pPr>
      <w:r>
        <w:rPr>
          <w:rFonts w:hint="eastAsia"/>
          <w:color w:val="auto"/>
        </w:rPr>
        <w:t>系统安全警示标识应符合GB 2894的规定。</w:t>
      </w:r>
    </w:p>
    <w:p w14:paraId="661E0B5D">
      <w:pPr>
        <w:pStyle w:val="65"/>
        <w:spacing w:before="120" w:after="120"/>
        <w:rPr>
          <w:color w:val="auto"/>
        </w:rPr>
      </w:pPr>
      <w:r>
        <w:rPr>
          <w:rFonts w:hint="eastAsia"/>
          <w:color w:val="auto"/>
        </w:rPr>
        <w:t>电气安全</w:t>
      </w:r>
    </w:p>
    <w:p w14:paraId="2F3DB24C">
      <w:pPr>
        <w:pStyle w:val="164"/>
        <w:rPr>
          <w:color w:val="auto"/>
        </w:rPr>
      </w:pPr>
      <w:r>
        <w:rPr>
          <w:rFonts w:hint="eastAsia"/>
          <w:color w:val="auto"/>
        </w:rPr>
        <w:t>电气设备应接地良好，绝缘电阻应符合相关标准要求，不得出现漏电、短路等电气故障。</w:t>
      </w:r>
    </w:p>
    <w:p w14:paraId="57EFFC30">
      <w:pPr>
        <w:pStyle w:val="164"/>
        <w:rPr>
          <w:color w:val="auto"/>
        </w:rPr>
      </w:pPr>
      <w:r>
        <w:rPr>
          <w:rFonts w:hint="eastAsia"/>
          <w:color w:val="auto"/>
        </w:rPr>
        <w:t>智能控制系统的功能电气安全应符合GB 28526的要求。</w:t>
      </w:r>
    </w:p>
    <w:p w14:paraId="3B42D7F9">
      <w:pPr>
        <w:pStyle w:val="164"/>
        <w:rPr>
          <w:color w:val="auto"/>
        </w:rPr>
      </w:pPr>
      <w:r>
        <w:rPr>
          <w:rFonts w:hint="eastAsia"/>
          <w:color w:val="auto"/>
        </w:rPr>
        <w:t>系统的机械电气设备安全应符合GB/T 5226.1的要求。</w:t>
      </w:r>
    </w:p>
    <w:p w14:paraId="2150B45A">
      <w:pPr>
        <w:pStyle w:val="164"/>
        <w:rPr>
          <w:color w:val="auto"/>
        </w:rPr>
      </w:pPr>
      <w:r>
        <w:rPr>
          <w:rFonts w:hint="eastAsia"/>
          <w:color w:val="auto"/>
        </w:rPr>
        <w:t>生产线电磁兼容应符合GB/T 39004-2020的要求。</w:t>
      </w:r>
    </w:p>
    <w:p w14:paraId="693B5D6B">
      <w:pPr>
        <w:pStyle w:val="65"/>
        <w:spacing w:before="120" w:after="120"/>
        <w:rPr>
          <w:color w:val="auto"/>
        </w:rPr>
      </w:pPr>
      <w:r>
        <w:rPr>
          <w:rFonts w:hint="eastAsia"/>
          <w:color w:val="auto"/>
        </w:rPr>
        <w:t>机械安全</w:t>
      </w:r>
    </w:p>
    <w:p w14:paraId="6CEDE92B">
      <w:pPr>
        <w:pStyle w:val="164"/>
        <w:rPr>
          <w:color w:val="auto"/>
        </w:rPr>
      </w:pPr>
      <w:r>
        <w:rPr>
          <w:rFonts w:hint="eastAsia"/>
          <w:color w:val="auto"/>
        </w:rPr>
        <w:t>机械运动部件应设置防护装置，如皮带输送机的防护网、链条输送机的防护罩等，以防止人员接触到危险部位。</w:t>
      </w:r>
    </w:p>
    <w:p w14:paraId="61145DE0">
      <w:pPr>
        <w:pStyle w:val="164"/>
        <w:rPr>
          <w:color w:val="auto"/>
        </w:rPr>
      </w:pPr>
      <w:r>
        <w:rPr>
          <w:rFonts w:hint="eastAsia"/>
          <w:color w:val="auto"/>
        </w:rPr>
        <w:t>智能物流传输系统应具有高度的可靠性、安全性、可维护性和可扩展性，能够满足长时间连续运行的要求。</w:t>
      </w:r>
    </w:p>
    <w:p w14:paraId="656254CE">
      <w:pPr>
        <w:pStyle w:val="164"/>
        <w:rPr>
          <w:color w:val="auto"/>
        </w:rPr>
      </w:pPr>
      <w:r>
        <w:rPr>
          <w:rFonts w:hint="eastAsia"/>
          <w:color w:val="auto"/>
        </w:rPr>
        <w:t>系统应采用先进的技术和设备，实现自动化、智能化的物流传输和管理，提高物流效率和服务质量。</w:t>
      </w:r>
    </w:p>
    <w:p w14:paraId="3A9FA7B2">
      <w:pPr>
        <w:pStyle w:val="164"/>
        <w:rPr>
          <w:color w:val="auto"/>
        </w:rPr>
      </w:pPr>
      <w:r>
        <w:rPr>
          <w:rFonts w:hint="eastAsia"/>
          <w:color w:val="auto"/>
        </w:rPr>
        <w:t>系统应具备良好的兼容性和开放性，能够与其他物流系统和信息系统进行无缝对接和数据共享。</w:t>
      </w:r>
    </w:p>
    <w:p w14:paraId="26AFE360">
      <w:pPr>
        <w:pStyle w:val="65"/>
        <w:spacing w:before="120" w:after="120"/>
        <w:rPr>
          <w:color w:val="auto"/>
        </w:rPr>
      </w:pPr>
      <w:r>
        <w:rPr>
          <w:rFonts w:hint="eastAsia"/>
          <w:color w:val="auto"/>
        </w:rPr>
        <w:t>运行安全</w:t>
      </w:r>
    </w:p>
    <w:p w14:paraId="0CFF5D5E">
      <w:pPr>
        <w:pStyle w:val="164"/>
        <w:rPr>
          <w:color w:val="auto"/>
        </w:rPr>
      </w:pPr>
      <w:r>
        <w:rPr>
          <w:rFonts w:hint="eastAsia"/>
          <w:color w:val="auto"/>
        </w:rPr>
        <w:t>系统在运行过程中应具备故障自诊断和自动停机功能，当出现故障时，应能及时发出报警信号并停止运行，以确保人员和设备的安全。</w:t>
      </w:r>
    </w:p>
    <w:p w14:paraId="3E3E0C27">
      <w:pPr>
        <w:pStyle w:val="164"/>
        <w:rPr>
          <w:color w:val="auto"/>
        </w:rPr>
      </w:pPr>
      <w:r>
        <w:rPr>
          <w:rFonts w:hint="eastAsia"/>
          <w:color w:val="auto"/>
        </w:rPr>
        <w:t>数控系统应符合应符合GB/T 26220的规定。</w:t>
      </w:r>
    </w:p>
    <w:p w14:paraId="7B732980">
      <w:pPr>
        <w:pStyle w:val="104"/>
        <w:spacing w:before="240" w:after="240"/>
        <w:rPr>
          <w:color w:val="auto"/>
        </w:rPr>
      </w:pPr>
      <w:r>
        <w:rPr>
          <w:rFonts w:hint="eastAsia"/>
          <w:color w:val="auto"/>
        </w:rPr>
        <w:t>试验方法</w:t>
      </w:r>
    </w:p>
    <w:p w14:paraId="7E6A70E3">
      <w:pPr>
        <w:pStyle w:val="105"/>
        <w:spacing w:before="120" w:after="120"/>
        <w:rPr>
          <w:color w:val="auto"/>
        </w:rPr>
      </w:pPr>
      <w:r>
        <w:rPr>
          <w:rFonts w:hint="eastAsia"/>
          <w:color w:val="auto"/>
        </w:rPr>
        <w:t>外观及结构</w:t>
      </w:r>
    </w:p>
    <w:p w14:paraId="118F36A4">
      <w:pPr>
        <w:pStyle w:val="56"/>
        <w:ind w:firstLine="420"/>
        <w:rPr>
          <w:color w:val="auto"/>
        </w:rPr>
      </w:pPr>
      <w:r>
        <w:rPr>
          <w:rFonts w:hint="eastAsia"/>
          <w:color w:val="auto"/>
        </w:rPr>
        <w:t>采用目视、手触的方式检验系统的外观是否整洁、无明显划痕、变形和损坏。</w:t>
      </w:r>
    </w:p>
    <w:p w14:paraId="24648C34">
      <w:pPr>
        <w:pStyle w:val="105"/>
        <w:spacing w:before="120" w:after="120"/>
        <w:rPr>
          <w:color w:val="auto"/>
        </w:rPr>
      </w:pPr>
      <w:r>
        <w:rPr>
          <w:rFonts w:hint="eastAsia"/>
          <w:color w:val="auto"/>
        </w:rPr>
        <w:t>噪声</w:t>
      </w:r>
    </w:p>
    <w:p w14:paraId="7A02E929">
      <w:pPr>
        <w:pStyle w:val="56"/>
        <w:ind w:firstLine="420"/>
        <w:rPr>
          <w:color w:val="auto"/>
        </w:rPr>
      </w:pPr>
      <w:r>
        <w:rPr>
          <w:rFonts w:hint="eastAsia"/>
          <w:color w:val="auto"/>
        </w:rPr>
        <w:t>按GB/T 17421.5-2015规定的方法检验。</w:t>
      </w:r>
    </w:p>
    <w:p w14:paraId="523CBEC4">
      <w:pPr>
        <w:pStyle w:val="105"/>
        <w:spacing w:before="120" w:after="120"/>
        <w:rPr>
          <w:color w:val="auto"/>
        </w:rPr>
      </w:pPr>
      <w:r>
        <w:rPr>
          <w:rFonts w:hint="eastAsia"/>
          <w:color w:val="auto"/>
        </w:rPr>
        <w:t>机械结构</w:t>
      </w:r>
    </w:p>
    <w:p w14:paraId="5EBBC407">
      <w:pPr>
        <w:pStyle w:val="56"/>
        <w:ind w:firstLine="420"/>
        <w:rPr>
          <w:color w:val="auto"/>
        </w:rPr>
      </w:pPr>
      <w:r>
        <w:rPr>
          <w:rFonts w:hint="eastAsia"/>
          <w:color w:val="auto"/>
        </w:rPr>
        <w:t>连续空运转时间2 h后，将预置功能输入并持续满载运行1 h，检查机械结构的运行状态。</w:t>
      </w:r>
    </w:p>
    <w:p w14:paraId="5F7A117D">
      <w:pPr>
        <w:pStyle w:val="105"/>
        <w:spacing w:before="120" w:after="120"/>
        <w:rPr>
          <w:color w:val="auto"/>
        </w:rPr>
      </w:pPr>
      <w:r>
        <w:rPr>
          <w:rFonts w:hint="eastAsia"/>
          <w:color w:val="auto"/>
        </w:rPr>
        <w:t>电气系统</w:t>
      </w:r>
    </w:p>
    <w:p w14:paraId="35FA41A2">
      <w:pPr>
        <w:pStyle w:val="56"/>
        <w:ind w:firstLine="420"/>
        <w:rPr>
          <w:color w:val="auto"/>
        </w:rPr>
      </w:pPr>
      <w:r>
        <w:rPr>
          <w:rFonts w:hint="eastAsia"/>
          <w:color w:val="auto"/>
        </w:rPr>
        <w:t>按GB/T 5226.1-2019中第6章、第7章和第18.3条规定的方法检验。</w:t>
      </w:r>
    </w:p>
    <w:p w14:paraId="28C41C6C">
      <w:pPr>
        <w:pStyle w:val="105"/>
        <w:spacing w:before="120" w:after="120"/>
        <w:rPr>
          <w:color w:val="auto"/>
        </w:rPr>
      </w:pPr>
      <w:r>
        <w:rPr>
          <w:rFonts w:hint="eastAsia"/>
          <w:color w:val="auto"/>
        </w:rPr>
        <w:t>控制系统</w:t>
      </w:r>
    </w:p>
    <w:p w14:paraId="4689DABF">
      <w:pPr>
        <w:pStyle w:val="56"/>
        <w:ind w:firstLine="420"/>
        <w:rPr>
          <w:color w:val="auto"/>
        </w:rPr>
      </w:pPr>
      <w:r>
        <w:rPr>
          <w:rFonts w:hint="eastAsia"/>
          <w:color w:val="auto"/>
        </w:rPr>
        <w:t>连续空运转时间2 h后，将预置功能输入并持续满载运行1 h，检查控制系统设计功能。</w:t>
      </w:r>
    </w:p>
    <w:p w14:paraId="258A8B46">
      <w:pPr>
        <w:pStyle w:val="105"/>
        <w:spacing w:before="120" w:after="120"/>
        <w:rPr>
          <w:color w:val="auto"/>
        </w:rPr>
      </w:pPr>
      <w:r>
        <w:rPr>
          <w:rFonts w:hint="eastAsia"/>
          <w:color w:val="auto"/>
        </w:rPr>
        <w:t>通信系统</w:t>
      </w:r>
    </w:p>
    <w:p w14:paraId="701A8DD4">
      <w:pPr>
        <w:pStyle w:val="56"/>
        <w:ind w:firstLine="420"/>
        <w:rPr>
          <w:color w:val="auto"/>
        </w:rPr>
      </w:pPr>
      <w:r>
        <w:rPr>
          <w:rFonts w:hint="eastAsia"/>
          <w:color w:val="auto"/>
        </w:rPr>
        <w:t>按GB/T 38177-2019中6.6.5条规定的方法检验。</w:t>
      </w:r>
    </w:p>
    <w:p w14:paraId="5E91A96F">
      <w:pPr>
        <w:pStyle w:val="105"/>
        <w:spacing w:before="120" w:after="120"/>
        <w:rPr>
          <w:color w:val="auto"/>
        </w:rPr>
      </w:pPr>
      <w:r>
        <w:rPr>
          <w:rFonts w:hint="eastAsia"/>
          <w:color w:val="auto"/>
        </w:rPr>
        <w:t>输送效率</w:t>
      </w:r>
    </w:p>
    <w:p w14:paraId="4A78924B">
      <w:pPr>
        <w:pStyle w:val="56"/>
        <w:ind w:firstLine="420"/>
        <w:rPr>
          <w:color w:val="auto"/>
        </w:rPr>
      </w:pPr>
      <w:r>
        <w:rPr>
          <w:rFonts w:hint="eastAsia"/>
          <w:color w:val="auto"/>
        </w:rPr>
        <w:t>按GB/T 35486-2017中4.4.1条、4.4.2条规定的方法检验。</w:t>
      </w:r>
    </w:p>
    <w:p w14:paraId="797628A3">
      <w:pPr>
        <w:pStyle w:val="105"/>
        <w:spacing w:before="120" w:after="120"/>
        <w:rPr>
          <w:color w:val="auto"/>
        </w:rPr>
      </w:pPr>
      <w:r>
        <w:rPr>
          <w:rFonts w:hint="eastAsia"/>
          <w:color w:val="auto"/>
        </w:rPr>
        <w:t>安全要求</w:t>
      </w:r>
    </w:p>
    <w:p w14:paraId="783060FF">
      <w:pPr>
        <w:pStyle w:val="56"/>
        <w:ind w:firstLine="420"/>
        <w:rPr>
          <w:color w:val="auto"/>
        </w:rPr>
      </w:pPr>
      <w:r>
        <w:rPr>
          <w:rFonts w:hint="eastAsia"/>
          <w:color w:val="auto"/>
        </w:rPr>
        <w:t>按GB/T 35486-2017中4.6条规定的方法检验。</w:t>
      </w:r>
    </w:p>
    <w:p w14:paraId="1C12404B">
      <w:pPr>
        <w:pStyle w:val="104"/>
        <w:spacing w:before="240" w:after="240"/>
        <w:rPr>
          <w:color w:val="auto"/>
        </w:rPr>
      </w:pPr>
      <w:r>
        <w:rPr>
          <w:rFonts w:hint="eastAsia"/>
          <w:color w:val="auto"/>
        </w:rPr>
        <w:t>判定规则</w:t>
      </w:r>
    </w:p>
    <w:p w14:paraId="0339506C">
      <w:pPr>
        <w:pStyle w:val="105"/>
        <w:spacing w:before="120" w:after="120"/>
        <w:rPr>
          <w:color w:val="auto"/>
        </w:rPr>
      </w:pPr>
      <w:r>
        <w:rPr>
          <w:rFonts w:hint="eastAsia"/>
          <w:color w:val="auto"/>
        </w:rPr>
        <w:t>检验分类</w:t>
      </w:r>
    </w:p>
    <w:p w14:paraId="48CEE42C">
      <w:pPr>
        <w:pStyle w:val="56"/>
        <w:ind w:firstLine="420"/>
        <w:rPr>
          <w:color w:val="auto"/>
        </w:rPr>
      </w:pPr>
      <w:r>
        <w:rPr>
          <w:rFonts w:hint="eastAsia"/>
          <w:color w:val="auto"/>
        </w:rPr>
        <w:t>系统检验分出厂检验和型式检验。</w:t>
      </w:r>
    </w:p>
    <w:p w14:paraId="44145AE1">
      <w:pPr>
        <w:pStyle w:val="105"/>
        <w:spacing w:before="120" w:after="120"/>
        <w:rPr>
          <w:color w:val="auto"/>
        </w:rPr>
      </w:pPr>
      <w:r>
        <w:rPr>
          <w:rFonts w:hint="eastAsia"/>
          <w:color w:val="auto"/>
        </w:rPr>
        <w:t>出厂检验</w:t>
      </w:r>
    </w:p>
    <w:p w14:paraId="5BEF53FC">
      <w:pPr>
        <w:pStyle w:val="56"/>
        <w:ind w:firstLine="420"/>
        <w:rPr>
          <w:color w:val="auto"/>
        </w:rPr>
      </w:pPr>
      <w:r>
        <w:rPr>
          <w:rFonts w:hint="eastAsia"/>
          <w:color w:val="auto"/>
        </w:rPr>
        <w:t>按出厂检验项目逐台检验合格后方能出厂，出厂检验项目为本文件第5章规定的全部项目。</w:t>
      </w:r>
    </w:p>
    <w:p w14:paraId="0775DA1E">
      <w:pPr>
        <w:pStyle w:val="105"/>
        <w:spacing w:before="120" w:after="120"/>
        <w:rPr>
          <w:color w:val="auto"/>
        </w:rPr>
      </w:pPr>
      <w:r>
        <w:rPr>
          <w:rFonts w:hint="eastAsia"/>
          <w:color w:val="auto"/>
        </w:rPr>
        <w:t>型式检验</w:t>
      </w:r>
    </w:p>
    <w:p w14:paraId="4F3D7622">
      <w:pPr>
        <w:pStyle w:val="165"/>
        <w:rPr>
          <w:color w:val="auto"/>
        </w:rPr>
      </w:pPr>
      <w:r>
        <w:rPr>
          <w:rFonts w:hint="eastAsia"/>
          <w:color w:val="auto"/>
        </w:rPr>
        <w:t>具有下列情况之一时，应进行型式检验：</w:t>
      </w:r>
    </w:p>
    <w:p w14:paraId="03E9C9E7">
      <w:pPr>
        <w:pStyle w:val="132"/>
        <w:rPr>
          <w:color w:val="auto"/>
        </w:rPr>
      </w:pPr>
      <w:r>
        <w:rPr>
          <w:rFonts w:hint="eastAsia"/>
          <w:color w:val="auto"/>
        </w:rPr>
        <w:t>正式生产后，如结构、原材料、生产工艺有较大改变，可能影响产品性能时；</w:t>
      </w:r>
    </w:p>
    <w:p w14:paraId="3AF34456">
      <w:pPr>
        <w:pStyle w:val="132"/>
        <w:rPr>
          <w:color w:val="auto"/>
        </w:rPr>
      </w:pPr>
      <w:r>
        <w:rPr>
          <w:rFonts w:hint="eastAsia"/>
          <w:color w:val="auto"/>
        </w:rPr>
        <w:t>停产两年后，恢复生产时；</w:t>
      </w:r>
    </w:p>
    <w:p w14:paraId="21917188">
      <w:pPr>
        <w:pStyle w:val="132"/>
        <w:rPr>
          <w:color w:val="auto"/>
        </w:rPr>
      </w:pPr>
      <w:r>
        <w:rPr>
          <w:rFonts w:hint="eastAsia"/>
          <w:color w:val="auto"/>
        </w:rPr>
        <w:t>出厂检验结果与上次型式检验有较大差异时；</w:t>
      </w:r>
    </w:p>
    <w:p w14:paraId="63BD4386">
      <w:pPr>
        <w:pStyle w:val="132"/>
        <w:rPr>
          <w:color w:val="auto"/>
        </w:rPr>
      </w:pPr>
      <w:r>
        <w:rPr>
          <w:rFonts w:hint="eastAsia"/>
          <w:color w:val="auto"/>
        </w:rPr>
        <w:t>国家质量监督部门提出要求时；</w:t>
      </w:r>
    </w:p>
    <w:p w14:paraId="6ED452B4">
      <w:pPr>
        <w:pStyle w:val="132"/>
        <w:rPr>
          <w:color w:val="auto"/>
        </w:rPr>
      </w:pPr>
      <w:r>
        <w:rPr>
          <w:rFonts w:hint="eastAsia"/>
          <w:color w:val="auto"/>
        </w:rPr>
        <w:t>用户订货合同中要求进行型式检验，并作为产品验收依据时。</w:t>
      </w:r>
    </w:p>
    <w:p w14:paraId="6275BA3A">
      <w:pPr>
        <w:pStyle w:val="165"/>
        <w:rPr>
          <w:color w:val="auto"/>
        </w:rPr>
      </w:pPr>
      <w:r>
        <w:rPr>
          <w:rFonts w:hint="eastAsia"/>
          <w:color w:val="auto"/>
        </w:rPr>
        <w:t>型式检验项目为本文件第5章规定的全部项目。</w:t>
      </w:r>
    </w:p>
    <w:p w14:paraId="59762034">
      <w:pPr>
        <w:pStyle w:val="104"/>
        <w:spacing w:before="240" w:after="240"/>
        <w:rPr>
          <w:color w:val="auto"/>
        </w:rPr>
      </w:pPr>
      <w:r>
        <w:rPr>
          <w:rFonts w:hint="eastAsia"/>
          <w:color w:val="auto"/>
        </w:rPr>
        <w:t>标志、包装、运输和贮存</w:t>
      </w:r>
    </w:p>
    <w:p w14:paraId="23BE62A1">
      <w:pPr>
        <w:pStyle w:val="105"/>
        <w:spacing w:before="120" w:after="120"/>
        <w:rPr>
          <w:color w:val="auto"/>
        </w:rPr>
      </w:pPr>
      <w:r>
        <w:rPr>
          <w:rFonts w:hint="eastAsia"/>
          <w:color w:val="auto"/>
        </w:rPr>
        <w:t>标志</w:t>
      </w:r>
    </w:p>
    <w:p w14:paraId="59DA7801">
      <w:pPr>
        <w:pStyle w:val="165"/>
        <w:rPr>
          <w:color w:val="auto"/>
        </w:rPr>
      </w:pPr>
      <w:r>
        <w:rPr>
          <w:rFonts w:hint="eastAsia"/>
          <w:color w:val="auto"/>
        </w:rPr>
        <w:t>系统外壳的明显处应设置铭牌，铭牌应符合GB/T 13306的规定，并牢固地固定在外壳的明显位置上，铭牌的标注内容应包括：</w:t>
      </w:r>
    </w:p>
    <w:p w14:paraId="2D3A9D13">
      <w:pPr>
        <w:pStyle w:val="132"/>
        <w:rPr>
          <w:color w:val="auto"/>
        </w:rPr>
      </w:pPr>
      <w:r>
        <w:rPr>
          <w:rFonts w:hint="eastAsia"/>
          <w:color w:val="auto"/>
        </w:rPr>
        <w:t>产品名称、型号及执行标准；</w:t>
      </w:r>
    </w:p>
    <w:p w14:paraId="3CA8AC28">
      <w:pPr>
        <w:pStyle w:val="132"/>
        <w:rPr>
          <w:color w:val="auto"/>
        </w:rPr>
      </w:pPr>
      <w:r>
        <w:rPr>
          <w:rFonts w:hint="eastAsia"/>
          <w:color w:val="auto"/>
        </w:rPr>
        <w:t>主要参数；</w:t>
      </w:r>
    </w:p>
    <w:p w14:paraId="2DE15499">
      <w:pPr>
        <w:pStyle w:val="132"/>
        <w:rPr>
          <w:color w:val="auto"/>
        </w:rPr>
      </w:pPr>
      <w:r>
        <w:rPr>
          <w:rFonts w:hint="eastAsia"/>
          <w:color w:val="auto"/>
        </w:rPr>
        <w:t>生产企业及地址；</w:t>
      </w:r>
    </w:p>
    <w:p w14:paraId="387731CC">
      <w:pPr>
        <w:pStyle w:val="132"/>
        <w:rPr>
          <w:color w:val="auto"/>
        </w:rPr>
      </w:pPr>
      <w:r>
        <w:rPr>
          <w:rFonts w:hint="eastAsia"/>
          <w:color w:val="auto"/>
        </w:rPr>
        <w:t>生产日期或批号。</w:t>
      </w:r>
    </w:p>
    <w:p w14:paraId="066D5C7A">
      <w:pPr>
        <w:pStyle w:val="165"/>
        <w:rPr>
          <w:color w:val="auto"/>
        </w:rPr>
      </w:pPr>
      <w:r>
        <w:rPr>
          <w:rFonts w:hint="eastAsia"/>
          <w:color w:val="auto"/>
        </w:rPr>
        <w:t>使用说明书应符合GB/T 9969的规定。</w:t>
      </w:r>
    </w:p>
    <w:p w14:paraId="4FBE2C23">
      <w:pPr>
        <w:pStyle w:val="105"/>
        <w:spacing w:before="120" w:after="120"/>
        <w:rPr>
          <w:color w:val="auto"/>
        </w:rPr>
      </w:pPr>
      <w:r>
        <w:rPr>
          <w:rFonts w:hint="eastAsia"/>
          <w:color w:val="auto"/>
        </w:rPr>
        <w:t>包装</w:t>
      </w:r>
    </w:p>
    <w:p w14:paraId="4DB00A10">
      <w:pPr>
        <w:pStyle w:val="56"/>
        <w:ind w:firstLine="420"/>
        <w:rPr>
          <w:color w:val="auto"/>
        </w:rPr>
      </w:pPr>
      <w:r>
        <w:rPr>
          <w:rFonts w:hint="eastAsia"/>
          <w:color w:val="auto"/>
        </w:rPr>
        <w:t>设备包装应符合GB/T 13384的规定。</w:t>
      </w:r>
    </w:p>
    <w:p w14:paraId="757EEF5C">
      <w:pPr>
        <w:pStyle w:val="105"/>
        <w:spacing w:before="120" w:after="120"/>
        <w:rPr>
          <w:color w:val="auto"/>
        </w:rPr>
      </w:pPr>
      <w:r>
        <w:rPr>
          <w:rFonts w:hint="eastAsia"/>
          <w:color w:val="auto"/>
        </w:rPr>
        <w:t>运输</w:t>
      </w:r>
    </w:p>
    <w:p w14:paraId="21B19DAD">
      <w:pPr>
        <w:pStyle w:val="56"/>
        <w:ind w:firstLine="420"/>
        <w:rPr>
          <w:color w:val="auto"/>
        </w:rPr>
      </w:pPr>
      <w:r>
        <w:rPr>
          <w:rFonts w:hint="eastAsia"/>
          <w:color w:val="auto"/>
        </w:rPr>
        <w:t>运输时应采取可靠的固定措施，运输过程中应采用有效的防晒、防雨措施。</w:t>
      </w:r>
    </w:p>
    <w:p w14:paraId="35FAB610">
      <w:pPr>
        <w:pStyle w:val="105"/>
        <w:spacing w:before="120" w:after="120"/>
        <w:rPr>
          <w:color w:val="auto"/>
        </w:rPr>
      </w:pPr>
      <w:r>
        <w:rPr>
          <w:rFonts w:hint="eastAsia"/>
          <w:color w:val="auto"/>
        </w:rPr>
        <w:t>贮存</w:t>
      </w:r>
    </w:p>
    <w:p w14:paraId="6E2750D6">
      <w:pPr>
        <w:pStyle w:val="56"/>
        <w:ind w:firstLine="420"/>
        <w:rPr>
          <w:color w:val="auto"/>
        </w:rPr>
      </w:pPr>
      <w:r>
        <w:rPr>
          <w:rFonts w:hint="eastAsia"/>
          <w:color w:val="auto"/>
        </w:rPr>
        <w:t>系统应存放在清洁、通风、干燥的场所，并采用有效的防晒、防雨及防腐蚀等措施。</w:t>
      </w:r>
    </w:p>
    <w:bookmarkEnd w:id="15"/>
    <w:p w14:paraId="6E8E88B3">
      <w:pPr>
        <w:pStyle w:val="56"/>
        <w:ind w:firstLine="0" w:firstLineChars="0"/>
        <w:jc w:val="center"/>
        <w:rPr>
          <w:color w:val="auto"/>
        </w:rPr>
      </w:pPr>
      <w:bookmarkStart w:id="37" w:name="BookMark8"/>
      <w:r>
        <w:rPr>
          <w:rFonts w:hint="eastAsia"/>
          <w:color w:val="auto"/>
        </w:rPr>
        <w:drawing>
          <wp:inline distT="0" distB="0" distL="0" distR="0">
            <wp:extent cx="1485900" cy="248920"/>
            <wp:effectExtent l="0" t="0" r="7620" b="10160"/>
            <wp:docPr id="110019041" name="图片 3"/>
            <wp:cNvGraphicFramePr/>
            <a:graphic xmlns:a="http://schemas.openxmlformats.org/drawingml/2006/main">
              <a:graphicData uri="http://schemas.openxmlformats.org/drawingml/2006/picture">
                <pic:pic xmlns:pic="http://schemas.openxmlformats.org/drawingml/2006/picture">
                  <pic:nvPicPr>
                    <pic:cNvPr id="110019041"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248920"/>
                    </a:xfrm>
                    <a:prstGeom prst="rect">
                      <a:avLst/>
                    </a:prstGeom>
                  </pic:spPr>
                </pic:pic>
              </a:graphicData>
            </a:graphic>
          </wp:inline>
        </w:drawing>
      </w:r>
      <w:bookmarkEnd w:id="37"/>
    </w:p>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A7673">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9726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48FB7">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62E0E">
    <w:pPr>
      <w:pStyle w:val="5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9E022">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8FD7E">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FB60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7984C">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87C7B">
    <w:pPr>
      <w:pStyle w:val="61"/>
    </w:pPr>
    <w:r>
      <w:rPr>
        <w:rFonts w:hint="eastAsia"/>
        <w:lang w:val="en-US" w:eastAsia="zh-CN"/>
      </w:rPr>
      <w:t>T/CS  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D467A">
    <w:pPr>
      <w:pStyle w:val="62"/>
    </w:pPr>
    <w:r>
      <w:fldChar w:fldCharType="begin"/>
    </w:r>
    <w:r>
      <w:instrText xml:space="preserve"> STYLEREF  标准文件_文件编号 \* MERGEFORMAT </w:instrText>
    </w:r>
    <w:r>
      <w:fldChar w:fldCharType="separate"/>
    </w:r>
    <w:r>
      <w:t>T/CS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2E8A8">
    <w:pPr>
      <w:pStyle w:val="61"/>
      <w:rPr>
        <w:rFonts w:hint="default" w:eastAsia="宋体"/>
        <w:lang w:val="en-US" w:eastAsia="zh-CN"/>
      </w:rPr>
    </w:pPr>
    <w:r>
      <w:rPr>
        <w:rFonts w:hint="eastAsia"/>
        <w:lang w:val="en-US" w:eastAsia="zh-CN"/>
      </w:rPr>
      <w:t>T/CS  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FABC4">
    <w:pPr>
      <w:pStyle w:val="61"/>
      <w:jc w:val="both"/>
    </w:pPr>
    <w:r>
      <w:rPr>
        <w:rFonts w:hint="eastAsia"/>
        <w:lang w:val="en-US" w:eastAsia="zh-CN"/>
      </w:rPr>
      <w:t>T/CS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4293B17"/>
    <w:multiLevelType w:val="multilevel"/>
    <w:tmpl w:val="34293B17"/>
    <w:lvl w:ilvl="0" w:tentative="0">
      <w:start w:val="1"/>
      <w:numFmt w:val="decimal"/>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0D8"/>
    <w:rsid w:val="0000040A"/>
    <w:rsid w:val="00000A94"/>
    <w:rsid w:val="00001972"/>
    <w:rsid w:val="00001D9A"/>
    <w:rsid w:val="00007B3A"/>
    <w:rsid w:val="000107E0"/>
    <w:rsid w:val="00011FDE"/>
    <w:rsid w:val="00012FFD"/>
    <w:rsid w:val="00014162"/>
    <w:rsid w:val="00014340"/>
    <w:rsid w:val="00016A9C"/>
    <w:rsid w:val="00020B90"/>
    <w:rsid w:val="00022184"/>
    <w:rsid w:val="00022762"/>
    <w:rsid w:val="000238E0"/>
    <w:rsid w:val="000249DB"/>
    <w:rsid w:val="0002595E"/>
    <w:rsid w:val="000303C3"/>
    <w:rsid w:val="000331D3"/>
    <w:rsid w:val="000346A5"/>
    <w:rsid w:val="000359C3"/>
    <w:rsid w:val="00035A7D"/>
    <w:rsid w:val="00036179"/>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6BA"/>
    <w:rsid w:val="00067F1E"/>
    <w:rsid w:val="00071CC0"/>
    <w:rsid w:val="00071CFC"/>
    <w:rsid w:val="00073C8C"/>
    <w:rsid w:val="00077B64"/>
    <w:rsid w:val="00080A1C"/>
    <w:rsid w:val="000813FE"/>
    <w:rsid w:val="00082317"/>
    <w:rsid w:val="00082924"/>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A9F"/>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9798C"/>
    <w:rsid w:val="001A1A53"/>
    <w:rsid w:val="001A234A"/>
    <w:rsid w:val="001A4CF3"/>
    <w:rsid w:val="001A6696"/>
    <w:rsid w:val="001B06E8"/>
    <w:rsid w:val="001B0BBA"/>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BFB"/>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73F"/>
    <w:rsid w:val="00266EEB"/>
    <w:rsid w:val="00267EF4"/>
    <w:rsid w:val="00270CB8"/>
    <w:rsid w:val="00271A68"/>
    <w:rsid w:val="00272B08"/>
    <w:rsid w:val="0028014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B12"/>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8F2"/>
    <w:rsid w:val="00300E63"/>
    <w:rsid w:val="00302F5F"/>
    <w:rsid w:val="0030441D"/>
    <w:rsid w:val="00306063"/>
    <w:rsid w:val="00313B85"/>
    <w:rsid w:val="00316970"/>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3C01"/>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3A1"/>
    <w:rsid w:val="003B6BE3"/>
    <w:rsid w:val="003C010C"/>
    <w:rsid w:val="003C0A6C"/>
    <w:rsid w:val="003C14F8"/>
    <w:rsid w:val="003C52BA"/>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742"/>
    <w:rsid w:val="004165ED"/>
    <w:rsid w:val="004167A3"/>
    <w:rsid w:val="00432DAA"/>
    <w:rsid w:val="00434305"/>
    <w:rsid w:val="00435DF7"/>
    <w:rsid w:val="0043741A"/>
    <w:rsid w:val="0044083F"/>
    <w:rsid w:val="00441AE7"/>
    <w:rsid w:val="00445574"/>
    <w:rsid w:val="004467FB"/>
    <w:rsid w:val="00451E42"/>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5F11"/>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00D"/>
    <w:rsid w:val="0050363E"/>
    <w:rsid w:val="005039BC"/>
    <w:rsid w:val="005043BB"/>
    <w:rsid w:val="00504A3D"/>
    <w:rsid w:val="00505767"/>
    <w:rsid w:val="005073F0"/>
    <w:rsid w:val="00510A7B"/>
    <w:rsid w:val="0051151A"/>
    <w:rsid w:val="00512F6E"/>
    <w:rsid w:val="00513038"/>
    <w:rsid w:val="00514174"/>
    <w:rsid w:val="00516088"/>
    <w:rsid w:val="00516150"/>
    <w:rsid w:val="00516B0B"/>
    <w:rsid w:val="005220EC"/>
    <w:rsid w:val="00523F95"/>
    <w:rsid w:val="00524D65"/>
    <w:rsid w:val="00525B16"/>
    <w:rsid w:val="00533D04"/>
    <w:rsid w:val="00534804"/>
    <w:rsid w:val="00534BDF"/>
    <w:rsid w:val="005354EA"/>
    <w:rsid w:val="0053585F"/>
    <w:rsid w:val="00535BDC"/>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157"/>
    <w:rsid w:val="005F0D9C"/>
    <w:rsid w:val="005F284E"/>
    <w:rsid w:val="006015CE"/>
    <w:rsid w:val="00604784"/>
    <w:rsid w:val="00606419"/>
    <w:rsid w:val="00607D29"/>
    <w:rsid w:val="00612921"/>
    <w:rsid w:val="00612952"/>
    <w:rsid w:val="00614CC1"/>
    <w:rsid w:val="00615A9D"/>
    <w:rsid w:val="00617387"/>
    <w:rsid w:val="006205D6"/>
    <w:rsid w:val="006252D8"/>
    <w:rsid w:val="006259BC"/>
    <w:rsid w:val="00625D22"/>
    <w:rsid w:val="0062636B"/>
    <w:rsid w:val="00627295"/>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0AF"/>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3B40"/>
    <w:rsid w:val="007D6518"/>
    <w:rsid w:val="007D76BD"/>
    <w:rsid w:val="007E0BF1"/>
    <w:rsid w:val="007F0ED8"/>
    <w:rsid w:val="007F0F63"/>
    <w:rsid w:val="007F680E"/>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395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7E0"/>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6381"/>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2F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C60"/>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6B3"/>
    <w:rsid w:val="00AD4126"/>
    <w:rsid w:val="00AD421C"/>
    <w:rsid w:val="00AD44FA"/>
    <w:rsid w:val="00AD64B0"/>
    <w:rsid w:val="00AE070A"/>
    <w:rsid w:val="00AE101C"/>
    <w:rsid w:val="00AE2A69"/>
    <w:rsid w:val="00AE37E5"/>
    <w:rsid w:val="00AE5EB4"/>
    <w:rsid w:val="00AF0C18"/>
    <w:rsid w:val="00AF47C5"/>
    <w:rsid w:val="00AF5398"/>
    <w:rsid w:val="00B027BD"/>
    <w:rsid w:val="00B049AF"/>
    <w:rsid w:val="00B07242"/>
    <w:rsid w:val="00B10534"/>
    <w:rsid w:val="00B10FAB"/>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5FE3"/>
    <w:rsid w:val="00B77EC8"/>
    <w:rsid w:val="00B827A6"/>
    <w:rsid w:val="00B831CE"/>
    <w:rsid w:val="00B83B24"/>
    <w:rsid w:val="00B86677"/>
    <w:rsid w:val="00B87131"/>
    <w:rsid w:val="00B939B1"/>
    <w:rsid w:val="00B96D40"/>
    <w:rsid w:val="00B97386"/>
    <w:rsid w:val="00BA263B"/>
    <w:rsid w:val="00BA42B2"/>
    <w:rsid w:val="00BA58D4"/>
    <w:rsid w:val="00BA5B9E"/>
    <w:rsid w:val="00BA7C9A"/>
    <w:rsid w:val="00BB13FB"/>
    <w:rsid w:val="00BB5F8F"/>
    <w:rsid w:val="00BB657A"/>
    <w:rsid w:val="00BB7586"/>
    <w:rsid w:val="00BC1A4E"/>
    <w:rsid w:val="00BC5DC7"/>
    <w:rsid w:val="00BC6B8B"/>
    <w:rsid w:val="00BC73D8"/>
    <w:rsid w:val="00BD0DB5"/>
    <w:rsid w:val="00BD490B"/>
    <w:rsid w:val="00BD52D7"/>
    <w:rsid w:val="00BD5AD2"/>
    <w:rsid w:val="00BE22F3"/>
    <w:rsid w:val="00BE5B52"/>
    <w:rsid w:val="00BE7B8D"/>
    <w:rsid w:val="00BF0993"/>
    <w:rsid w:val="00BF10A9"/>
    <w:rsid w:val="00BF1703"/>
    <w:rsid w:val="00BF231C"/>
    <w:rsid w:val="00BF51E5"/>
    <w:rsid w:val="00BF74A6"/>
    <w:rsid w:val="00C013AD"/>
    <w:rsid w:val="00C02711"/>
    <w:rsid w:val="00C04904"/>
    <w:rsid w:val="00C056B3"/>
    <w:rsid w:val="00C103E5"/>
    <w:rsid w:val="00C10A71"/>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0BE"/>
    <w:rsid w:val="00C80CB8"/>
    <w:rsid w:val="00C819F8"/>
    <w:rsid w:val="00C8248C"/>
    <w:rsid w:val="00C84E33"/>
    <w:rsid w:val="00C86D6F"/>
    <w:rsid w:val="00C870D8"/>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BD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919"/>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192"/>
    <w:rsid w:val="00D97F99"/>
    <w:rsid w:val="00DA1E08"/>
    <w:rsid w:val="00DA24F8"/>
    <w:rsid w:val="00DA28E8"/>
    <w:rsid w:val="00DA38D3"/>
    <w:rsid w:val="00DA3932"/>
    <w:rsid w:val="00DA3AFC"/>
    <w:rsid w:val="00DA64F8"/>
    <w:rsid w:val="00DA6C15"/>
    <w:rsid w:val="00DB0258"/>
    <w:rsid w:val="00DB0A59"/>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071"/>
    <w:rsid w:val="00DE0A4B"/>
    <w:rsid w:val="00DE15F4"/>
    <w:rsid w:val="00DE2410"/>
    <w:rsid w:val="00DE2939"/>
    <w:rsid w:val="00DE6E81"/>
    <w:rsid w:val="00DE703F"/>
    <w:rsid w:val="00DE7595"/>
    <w:rsid w:val="00DF048F"/>
    <w:rsid w:val="00DF1961"/>
    <w:rsid w:val="00DF44DE"/>
    <w:rsid w:val="00E01138"/>
    <w:rsid w:val="00E02DFB"/>
    <w:rsid w:val="00E030F9"/>
    <w:rsid w:val="00E0311A"/>
    <w:rsid w:val="00E03138"/>
    <w:rsid w:val="00E06404"/>
    <w:rsid w:val="00E11A85"/>
    <w:rsid w:val="00E12495"/>
    <w:rsid w:val="00E15CCD"/>
    <w:rsid w:val="00E17D49"/>
    <w:rsid w:val="00E202EF"/>
    <w:rsid w:val="00E210B5"/>
    <w:rsid w:val="00E220D6"/>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FA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CDE"/>
    <w:rsid w:val="00EF7E72"/>
    <w:rsid w:val="00F06D37"/>
    <w:rsid w:val="00F07B9D"/>
    <w:rsid w:val="00F07E91"/>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6A6D"/>
    <w:rsid w:val="00F71E22"/>
    <w:rsid w:val="00F72142"/>
    <w:rsid w:val="00F72AE7"/>
    <w:rsid w:val="00F833BA"/>
    <w:rsid w:val="00F84FD0"/>
    <w:rsid w:val="00F859A8"/>
    <w:rsid w:val="00F86D87"/>
    <w:rsid w:val="00F9108B"/>
    <w:rsid w:val="00F91349"/>
    <w:rsid w:val="00F91EDF"/>
    <w:rsid w:val="00F93A8A"/>
    <w:rsid w:val="00F95248"/>
    <w:rsid w:val="00F956A9"/>
    <w:rsid w:val="00F963ED"/>
    <w:rsid w:val="00F966CF"/>
    <w:rsid w:val="00F96CAE"/>
    <w:rsid w:val="00F97BEA"/>
    <w:rsid w:val="00F97C99"/>
    <w:rsid w:val="00FA4298"/>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8300B5"/>
    <w:rsid w:val="136A23AD"/>
    <w:rsid w:val="28F177D7"/>
    <w:rsid w:val="35B430FE"/>
    <w:rsid w:val="379A346B"/>
    <w:rsid w:val="3FA51AF2"/>
    <w:rsid w:val="46D97222"/>
    <w:rsid w:val="57AE6D93"/>
    <w:rsid w:val="783267CC"/>
    <w:rsid w:val="7E602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4.jpe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3B0DCD5032845089BC283149F35BE2A"/>
        <w:style w:val=""/>
        <w:category>
          <w:name w:val="常规"/>
          <w:gallery w:val="placeholder"/>
        </w:category>
        <w:types>
          <w:type w:val="bbPlcHdr"/>
        </w:types>
        <w:behaviors>
          <w:behavior w:val="content"/>
        </w:behaviors>
        <w:description w:val=""/>
        <w:guid w:val="{5A1EF4A1-3A20-41B6-9CB5-3B8BFC1ACFF1}"/>
      </w:docPartPr>
      <w:docPartBody>
        <w:p w14:paraId="47BF054F">
          <w:pPr>
            <w:pStyle w:val="5"/>
          </w:pPr>
          <w:r>
            <w:rPr>
              <w:rStyle w:val="4"/>
              <w:rFonts w:hint="eastAsia"/>
            </w:rPr>
            <w:t>单击或点击此处输入文字。</w:t>
          </w:r>
        </w:p>
      </w:docPartBody>
    </w:docPart>
    <w:docPart>
      <w:docPartPr>
        <w:name w:val="56EC0AA4041C4070A96D5D1EA78BF5F3"/>
        <w:style w:val=""/>
        <w:category>
          <w:name w:val="常规"/>
          <w:gallery w:val="placeholder"/>
        </w:category>
        <w:types>
          <w:type w:val="bbPlcHdr"/>
        </w:types>
        <w:behaviors>
          <w:behavior w:val="content"/>
        </w:behaviors>
        <w:description w:val=""/>
        <w:guid w:val="{3E77688C-F41E-4F10-A127-8416D50BAB31}"/>
      </w:docPartPr>
      <w:docPartBody>
        <w:p w14:paraId="14230149">
          <w:pPr>
            <w:pStyle w:val="6"/>
          </w:pPr>
          <w:r>
            <w:rPr>
              <w:rStyle w:val="4"/>
              <w:rFonts w:hint="eastAsia"/>
            </w:rPr>
            <w:t>选择一项。</w:t>
          </w:r>
        </w:p>
      </w:docPartBody>
    </w:docPart>
    <w:docPart>
      <w:docPartPr>
        <w:name w:val="EAF844F5239044378963083767721F4F"/>
        <w:style w:val=""/>
        <w:category>
          <w:name w:val="常规"/>
          <w:gallery w:val="placeholder"/>
        </w:category>
        <w:types>
          <w:type w:val="bbPlcHdr"/>
        </w:types>
        <w:behaviors>
          <w:behavior w:val="content"/>
        </w:behaviors>
        <w:description w:val=""/>
        <w:guid w:val="{50264456-05F8-40CE-91B2-FEE7C0271646}"/>
      </w:docPartPr>
      <w:docPartBody>
        <w:p w14:paraId="6AFDBEC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B6D"/>
    <w:rsid w:val="00153AB9"/>
    <w:rsid w:val="0019798C"/>
    <w:rsid w:val="00261A68"/>
    <w:rsid w:val="003008F2"/>
    <w:rsid w:val="005A04F2"/>
    <w:rsid w:val="00730214"/>
    <w:rsid w:val="009D2F85"/>
    <w:rsid w:val="00BA5EEA"/>
    <w:rsid w:val="00C0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3B0DCD5032845089BC283149F35BE2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6EC0AA4041C4070A96D5D1EA78BF5F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AF844F5239044378963083767721F4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8A5CD7-D491-477F-947E-3A4CA6A9A3F5}">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9</Pages>
  <Words>3008</Words>
  <Characters>3581</Characters>
  <Lines>29</Lines>
  <Paragraphs>8</Paragraphs>
  <TotalTime>0</TotalTime>
  <ScaleCrop>false</ScaleCrop>
  <LinksUpToDate>false</LinksUpToDate>
  <CharactersWithSpaces>3706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2025-01-05T16:37:00Z</dcterms:created>
  <dc:creator>lenovo</dc:creator>
  <dc:description>&lt;config cover="true" show_menu="true" version="1.0.0" doctype="SDKXY"&gt;_x000d_
&lt;/config&gt;</dc:description>
  <cp:lastModifiedBy>吴赫川</cp:lastModifiedBy>
  <cp:lastPrinted>2021-02-02T08:22:00Z</cp:lastPrinted>
  <dcterms:modified xsi:type="dcterms:W3CDTF">2025-03-03T03:14:10Z</dcterms:modified>
  <dc:title>团体标准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eyJoZGlkIjoiNzVmZmRmOTYzZTI1ZTQ2YzMxYTcyNzA0NWQ5M2E5NTgiLCJ1c2VySWQiOiI0NjE0ODEyMzMifQ==</vt:lpwstr>
  </property>
  <property fmtid="{D5CDD505-2E9C-101B-9397-08002B2CF9AE}" pid="16" name="KSOProductBuildVer">
    <vt:lpwstr>2052-12.1.0.20305</vt:lpwstr>
  </property>
  <property fmtid="{D5CDD505-2E9C-101B-9397-08002B2CF9AE}" pid="17" name="ICV">
    <vt:lpwstr>CB57EB8343B241B899B91D43C1C0B4F8_12</vt:lpwstr>
  </property>
</Properties>
</file>