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7DEF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1D4896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1A952E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67.020</w:t>
            </w:r>
            <w:r>
              <w:rPr>
                <w:rFonts w:ascii="黑体" w:hAnsi="黑体" w:eastAsia="黑体"/>
                <w:sz w:val="21"/>
                <w:szCs w:val="21"/>
              </w:rPr>
              <w:fldChar w:fldCharType="end"/>
            </w:r>
            <w:bookmarkEnd w:id="0"/>
          </w:p>
        </w:tc>
      </w:tr>
      <w:tr w14:paraId="17F05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05AC0F1">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8855"/>
            </w:tblGrid>
            <w:tr w14:paraId="639996A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54A89CF0">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w:t>
                  </w:r>
                  <w:r>
                    <w:fldChar w:fldCharType="end"/>
                  </w:r>
                  <w:bookmarkEnd w:id="1"/>
                </w:p>
              </w:tc>
            </w:tr>
          </w:tbl>
          <w:p w14:paraId="16355AF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X 60</w:t>
            </w:r>
            <w:r>
              <w:rPr>
                <w:rFonts w:ascii="黑体" w:hAnsi="黑体" w:eastAsia="黑体"/>
                <w:sz w:val="21"/>
                <w:szCs w:val="21"/>
              </w:rPr>
              <w:fldChar w:fldCharType="end"/>
            </w:r>
            <w:bookmarkEnd w:id="2"/>
          </w:p>
        </w:tc>
      </w:tr>
    </w:tbl>
    <w:p w14:paraId="7A924A14">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中国商品学会团体</w:t>
      </w:r>
      <w:r>
        <w:rPr>
          <w:rFonts w:hint="eastAsia" w:ascii="黑体" w:hAnsi="黑体" w:eastAsia="黑体"/>
          <w:b w:val="0"/>
          <w:bCs w:val="0"/>
          <w:w w:val="100"/>
          <w:sz w:val="48"/>
          <w:szCs w:val="48"/>
        </w:rPr>
        <w:t>标准</w:t>
      </w:r>
    </w:p>
    <w:bookmarkEnd w:id="3"/>
    <w:p w14:paraId="5930EA9C">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CS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2025</w:t>
      </w:r>
      <w:r>
        <w:fldChar w:fldCharType="end"/>
      </w:r>
      <w:bookmarkEnd w:id="6"/>
    </w:p>
    <w:p w14:paraId="44A53A90">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11C482A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AD40593">
      <w:pPr>
        <w:pStyle w:val="50"/>
        <w:framePr w:w="9639" w:h="6976" w:hRule="exact" w:hSpace="0" w:vSpace="0" w:wrap="around" w:hAnchor="page" w:y="6408"/>
        <w:jc w:val="center"/>
        <w:rPr>
          <w:rFonts w:ascii="黑体" w:hAnsi="黑体" w:eastAsia="黑体"/>
          <w:b w:val="0"/>
          <w:bCs w:val="0"/>
          <w:w w:val="100"/>
        </w:rPr>
      </w:pPr>
    </w:p>
    <w:p w14:paraId="72E69CE2">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高温拐枣大曲生产技术规范</w:t>
      </w:r>
      <w:r>
        <w:fldChar w:fldCharType="end"/>
      </w:r>
      <w:bookmarkEnd w:id="8"/>
    </w:p>
    <w:p w14:paraId="141D8B0E">
      <w:pPr>
        <w:framePr w:w="9639" w:h="6974" w:hRule="exact" w:wrap="around" w:vAnchor="page" w:hAnchor="page" w:x="1419" w:y="6408" w:anchorLock="1"/>
        <w:ind w:left="-1418"/>
      </w:pPr>
    </w:p>
    <w:p w14:paraId="4C6C62CA">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Pr>
          <w:rFonts w:eastAsia="黑体"/>
          <w:szCs w:val="28"/>
        </w:rPr>
        <w:instrText xml:space="preserve"> FORMTEXT </w:instrText>
      </w:r>
      <w:r>
        <w:rPr>
          <w:rFonts w:eastAsia="黑体"/>
          <w:szCs w:val="28"/>
        </w:rPr>
        <w:fldChar w:fldCharType="separate"/>
      </w:r>
      <w:r>
        <w:rPr>
          <w:rFonts w:eastAsia="黑体"/>
          <w:szCs w:val="28"/>
        </w:rPr>
        <w:t>Technical specification for the production of high - temperature hovenia dulcis thunb daqu</w:t>
      </w:r>
      <w:r>
        <w:rPr>
          <w:rFonts w:eastAsia="黑体"/>
          <w:szCs w:val="28"/>
        </w:rPr>
        <w:fldChar w:fldCharType="end"/>
      </w:r>
      <w:bookmarkEnd w:id="9"/>
    </w:p>
    <w:p w14:paraId="7516BCE4">
      <w:pPr>
        <w:framePr w:w="9639" w:h="6974" w:hRule="exact" w:wrap="around" w:vAnchor="page" w:hAnchor="page" w:x="1419" w:y="6408" w:anchorLock="1"/>
        <w:spacing w:line="760" w:lineRule="exact"/>
        <w:ind w:left="-1418"/>
      </w:pPr>
    </w:p>
    <w:p w14:paraId="04596B0C">
      <w:pPr>
        <w:pStyle w:val="125"/>
        <w:framePr w:w="9639" w:h="6974" w:hRule="exact" w:wrap="around" w:vAnchor="page" w:hAnchor="page" w:x="1419" w:y="6408" w:anchorLock="1"/>
        <w:textAlignment w:val="bottom"/>
        <w:rPr>
          <w:rFonts w:eastAsia="黑体"/>
          <w:szCs w:val="28"/>
        </w:rPr>
      </w:pPr>
    </w:p>
    <w:p w14:paraId="756C5458">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57EC9B85">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2B17185B">
      <w:pPr>
        <w:pStyle w:val="19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300E2923">
      <w:pPr>
        <w:pStyle w:val="19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hint="eastAsia" w:ascii="黑体"/>
        </w:rPr>
        <w:t>2025</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2A4CE188">
      <w:pPr>
        <w:pStyle w:val="151"/>
        <w:framePr w:h="584" w:hRule="exact" w:hSpace="181" w:vSpace="181" w:wrap="around" w:y="14800"/>
        <w:rPr>
          <w:rFonts w:hAnsi="黑体"/>
        </w:rPr>
      </w:pPr>
      <w:r>
        <w:rPr>
          <w:rFonts w:hint="eastAsia" w:hAnsi="黑体"/>
          <w:w w:val="100"/>
          <w:sz w:val="28"/>
        </w:rPr>
        <w:t>中国商品学会</w:t>
      </w:r>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274F2A0">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59264"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59264;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B8CC442">
      <w:pPr>
        <w:pStyle w:val="89"/>
        <w:spacing w:before="900" w:after="360"/>
      </w:pPr>
      <w:bookmarkStart w:id="18" w:name="BookMark2"/>
      <w:r>
        <w:rPr>
          <w:spacing w:val="320"/>
        </w:rPr>
        <w:t>前</w:t>
      </w:r>
      <w:r>
        <w:t>言</w:t>
      </w:r>
    </w:p>
    <w:p w14:paraId="2251F38B">
      <w:pPr>
        <w:pStyle w:val="56"/>
        <w:ind w:firstLine="420"/>
      </w:pPr>
      <w:r>
        <w:rPr>
          <w:rFonts w:hint="eastAsia"/>
        </w:rPr>
        <w:t>本文件按照GB/T 1.1—2020《标准化工作导则  第1部分：标准化文件的结构和起草规则》的规定起草。</w:t>
      </w:r>
    </w:p>
    <w:p w14:paraId="3CF8CDA0">
      <w:pPr>
        <w:pStyle w:val="56"/>
        <w:ind w:firstLine="420"/>
      </w:pPr>
      <w:r>
        <w:rPr>
          <w:rFonts w:hint="eastAsia"/>
        </w:rPr>
        <w:t>请注意本文件的某些内容可能涉及专利。本文件的发布机构不承担识别专利的责任。</w:t>
      </w:r>
    </w:p>
    <w:p w14:paraId="2FF53A75">
      <w:pPr>
        <w:pStyle w:val="56"/>
        <w:ind w:firstLine="420"/>
      </w:pPr>
      <w:r>
        <w:rPr>
          <w:rFonts w:hint="eastAsia"/>
        </w:rPr>
        <w:t>本文件由夜郎古酒业有限公司提出。</w:t>
      </w:r>
    </w:p>
    <w:p w14:paraId="6DD07158">
      <w:pPr>
        <w:pStyle w:val="56"/>
        <w:ind w:firstLine="420"/>
      </w:pPr>
      <w:r>
        <w:rPr>
          <w:rFonts w:hint="eastAsia"/>
        </w:rPr>
        <w:t>本文件由中国商品学会归口。</w:t>
      </w:r>
    </w:p>
    <w:p w14:paraId="70992AD0">
      <w:pPr>
        <w:pStyle w:val="56"/>
        <w:ind w:firstLine="420"/>
      </w:pPr>
      <w:r>
        <w:rPr>
          <w:rFonts w:hint="eastAsia"/>
        </w:rPr>
        <w:t>本文件起草单位：夜郎古酒业有限公司、</w:t>
      </w:r>
      <w:r>
        <w:rPr>
          <w:rFonts w:hint="eastAsia"/>
          <w:lang w:val="en-US" w:eastAsia="zh-CN"/>
        </w:rPr>
        <w:t>XXX</w:t>
      </w:r>
      <w:r>
        <w:rPr>
          <w:rFonts w:hint="eastAsia"/>
        </w:rPr>
        <w:t>、</w:t>
      </w:r>
      <w:r>
        <w:rPr>
          <w:rFonts w:hint="eastAsia"/>
          <w:lang w:val="en-US" w:eastAsia="zh-CN"/>
        </w:rPr>
        <w:t>XXX</w:t>
      </w:r>
      <w:r>
        <w:rPr>
          <w:rFonts w:hint="eastAsia"/>
        </w:rPr>
        <w:t>。</w:t>
      </w:r>
    </w:p>
    <w:p w14:paraId="3F0C527E">
      <w:pPr>
        <w:pStyle w:val="56"/>
        <w:ind w:firstLine="420"/>
      </w:pPr>
      <w:r>
        <w:rPr>
          <w:rFonts w:hint="eastAsia"/>
        </w:rPr>
        <w:t>本文件主要起草人：</w:t>
      </w:r>
      <w:r>
        <w:rPr>
          <w:rFonts w:hint="eastAsia"/>
          <w:lang w:val="en-US" w:eastAsia="zh-CN"/>
        </w:rPr>
        <w:t>XXX</w:t>
      </w:r>
      <w:r>
        <w:rPr>
          <w:rFonts w:hint="eastAsia"/>
        </w:rPr>
        <w:t>、</w:t>
      </w:r>
      <w:r>
        <w:rPr>
          <w:rFonts w:hint="eastAsia"/>
          <w:lang w:val="en-US" w:eastAsia="zh-CN"/>
        </w:rPr>
        <w:t>XXX</w:t>
      </w:r>
      <w:r>
        <w:rPr>
          <w:rFonts w:hint="eastAsia"/>
        </w:rPr>
        <w:t>、</w:t>
      </w:r>
      <w:r>
        <w:rPr>
          <w:rFonts w:hint="eastAsia"/>
          <w:lang w:val="en-US" w:eastAsia="zh-CN"/>
        </w:rPr>
        <w:t>XXX</w:t>
      </w:r>
      <w:r>
        <w:rPr>
          <w:rFonts w:hint="eastAsia"/>
        </w:rPr>
        <w:t>。</w:t>
      </w:r>
    </w:p>
    <w:p w14:paraId="56C57906">
      <w:pPr>
        <w:pStyle w:val="56"/>
        <w:ind w:firstLine="420"/>
      </w:pPr>
    </w:p>
    <w:p w14:paraId="70C0BF6E">
      <w:pPr>
        <w:pStyle w:val="56"/>
        <w:ind w:firstLine="420"/>
        <w:sectPr>
          <w:headerReference r:id="rId9" w:type="default"/>
          <w:footerReference r:id="rId11" w:type="default"/>
          <w:headerReference r:id="rId10" w:type="even"/>
          <w:footerReference r:id="rId12" w:type="even"/>
          <w:pgSz w:w="11906" w:h="16838"/>
          <w:pgMar w:top="1928" w:right="1134" w:bottom="1134" w:left="1134" w:header="1418" w:footer="1134" w:gutter="284"/>
          <w:pgNumType w:fmt="upperRoman" w:start="1"/>
          <w:cols w:space="425" w:num="1"/>
          <w:formProt w:val="0"/>
          <w:docGrid w:linePitch="312" w:charSpace="0"/>
        </w:sectPr>
      </w:pPr>
    </w:p>
    <w:bookmarkEnd w:id="18"/>
    <w:p w14:paraId="2D7CE083">
      <w:pPr>
        <w:spacing w:line="20" w:lineRule="exact"/>
        <w:jc w:val="center"/>
        <w:rPr>
          <w:rFonts w:ascii="黑体" w:hAnsi="黑体" w:eastAsia="黑体"/>
          <w:sz w:val="32"/>
          <w:szCs w:val="32"/>
        </w:rPr>
      </w:pPr>
      <w:bookmarkStart w:id="19" w:name="BookMark4"/>
    </w:p>
    <w:p w14:paraId="2ABDDDAE">
      <w:pPr>
        <w:spacing w:line="20" w:lineRule="exact"/>
        <w:jc w:val="center"/>
        <w:rPr>
          <w:rFonts w:ascii="黑体" w:hAnsi="黑体" w:eastAsia="黑体"/>
          <w:sz w:val="32"/>
          <w:szCs w:val="32"/>
        </w:rPr>
      </w:pPr>
    </w:p>
    <w:sdt>
      <w:sdtPr>
        <w:tag w:val="NEW_STAND_NAME"/>
        <w:id w:val="595910757"/>
        <w:lock w:val="sdtLocked"/>
        <w:placeholder>
          <w:docPart w:val="E3B0DCD5032845089BC283149F35BE2A"/>
        </w:placeholder>
      </w:sdtPr>
      <w:sdtContent>
        <w:p w14:paraId="50EE18C1">
          <w:pPr>
            <w:pStyle w:val="177"/>
            <w:spacing w:before="2" w:beforeLines="1" w:after="528" w:afterLines="220"/>
          </w:pPr>
          <w:bookmarkStart w:id="20" w:name="NEW_STAND_NAME"/>
          <w:r>
            <w:rPr>
              <w:rFonts w:hint="eastAsia"/>
            </w:rPr>
            <w:t>高温拐枣大曲生产技术规范</w:t>
          </w:r>
        </w:p>
      </w:sdtContent>
    </w:sdt>
    <w:bookmarkEnd w:id="20"/>
    <w:p w14:paraId="593874F6">
      <w:pPr>
        <w:pStyle w:val="104"/>
        <w:spacing w:before="240" w:after="240"/>
      </w:pPr>
      <w:bookmarkStart w:id="21" w:name="_Toc24884211"/>
      <w:bookmarkStart w:id="22" w:name="_Toc97192964"/>
      <w:bookmarkStart w:id="23" w:name="_Toc24884218"/>
      <w:bookmarkStart w:id="24" w:name="_Toc26986771"/>
      <w:bookmarkStart w:id="25" w:name="_Toc17233325"/>
      <w:bookmarkStart w:id="26" w:name="_Toc26648465"/>
      <w:bookmarkStart w:id="27" w:name="_Toc26718930"/>
      <w:bookmarkStart w:id="28" w:name="_Toc17233333"/>
      <w:bookmarkStart w:id="29" w:name="_Toc26986530"/>
      <w:r>
        <w:rPr>
          <w:rFonts w:hint="eastAsia"/>
        </w:rPr>
        <w:t>范围</w:t>
      </w:r>
      <w:bookmarkEnd w:id="21"/>
      <w:bookmarkEnd w:id="22"/>
      <w:bookmarkEnd w:id="23"/>
      <w:bookmarkEnd w:id="24"/>
      <w:bookmarkEnd w:id="25"/>
      <w:bookmarkEnd w:id="26"/>
      <w:bookmarkEnd w:id="27"/>
      <w:bookmarkEnd w:id="28"/>
      <w:bookmarkEnd w:id="29"/>
    </w:p>
    <w:p w14:paraId="65EBDAD4">
      <w:pPr>
        <w:pStyle w:val="56"/>
        <w:ind w:firstLine="420"/>
      </w:pPr>
      <w:bookmarkStart w:id="30" w:name="_Toc17233334"/>
      <w:bookmarkStart w:id="31" w:name="_Toc24884212"/>
      <w:bookmarkStart w:id="32" w:name="_Toc26648466"/>
      <w:bookmarkStart w:id="33" w:name="_Toc17233326"/>
      <w:bookmarkStart w:id="34" w:name="_Toc24884219"/>
      <w:r>
        <w:rPr>
          <w:rFonts w:hint="eastAsia"/>
        </w:rPr>
        <w:t>本文件规定了高温拐枣大曲的术语和定义、生产技术原理、原辅料要求、制曲工艺、生产加工卫生要求、技术要求、试验方法、运输及贮存等内容。</w:t>
      </w:r>
    </w:p>
    <w:p w14:paraId="2436F293">
      <w:pPr>
        <w:pStyle w:val="56"/>
        <w:ind w:firstLine="420"/>
        <w:rPr>
          <w:color w:val="FF0000"/>
        </w:rPr>
      </w:pPr>
      <w:r>
        <w:rPr>
          <w:rFonts w:hint="eastAsia"/>
        </w:rPr>
        <w:t>本文件适用于以小麦、高粱、拐枣为主要原料，经过润粮、粉碎、搅拌、曲胚踩制、入室堆积、一次翻曲、二次翻曲、拆曲、贮存、磨曲等工序生产的高温拐枣大曲。</w:t>
      </w:r>
    </w:p>
    <w:p w14:paraId="6B04B908">
      <w:pPr>
        <w:pStyle w:val="104"/>
        <w:spacing w:before="240" w:after="240"/>
      </w:pPr>
      <w:bookmarkStart w:id="35" w:name="_Toc26986531"/>
      <w:bookmarkStart w:id="36" w:name="_Toc26986772"/>
      <w:bookmarkStart w:id="37" w:name="_Toc97192965"/>
      <w:bookmarkStart w:id="38" w:name="_Toc26718931"/>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56EC0AA4041C4070A96D5D1EA78BF5F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F3B5A9F">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3106333">
      <w:pPr>
        <w:pStyle w:val="56"/>
        <w:ind w:firstLine="420"/>
      </w:pPr>
      <w:r>
        <w:rPr>
          <w:rFonts w:hint="eastAsia"/>
        </w:rPr>
        <w:t>GB 1351 小麦</w:t>
      </w:r>
    </w:p>
    <w:p w14:paraId="76BA6268">
      <w:pPr>
        <w:pStyle w:val="56"/>
        <w:ind w:firstLine="420"/>
      </w:pPr>
      <w:r>
        <w:rPr>
          <w:rFonts w:hint="eastAsia"/>
        </w:rPr>
        <w:t>GB 2715  食品安全国家标准 粮食</w:t>
      </w:r>
    </w:p>
    <w:p w14:paraId="675E298A">
      <w:pPr>
        <w:pStyle w:val="56"/>
        <w:ind w:firstLine="420"/>
        <w:rPr>
          <w:rFonts w:hint="eastAsia"/>
        </w:rPr>
      </w:pPr>
      <w:r>
        <w:rPr>
          <w:rFonts w:hint="eastAsia"/>
        </w:rPr>
        <w:t>GB 2760 食品安全国家标准 食品添加剂使用标准</w:t>
      </w:r>
    </w:p>
    <w:p w14:paraId="52CB4BC4">
      <w:pPr>
        <w:pStyle w:val="56"/>
        <w:ind w:firstLine="420"/>
        <w:rPr>
          <w:rFonts w:hint="eastAsia"/>
        </w:rPr>
      </w:pPr>
      <w:r>
        <w:rPr>
          <w:rFonts w:hint="eastAsia"/>
        </w:rPr>
        <w:t>GB 2757 食品安全国家标准 蒸馏酒及其配制酒</w:t>
      </w:r>
    </w:p>
    <w:p w14:paraId="226C736B">
      <w:pPr>
        <w:pStyle w:val="56"/>
        <w:ind w:firstLine="420"/>
      </w:pPr>
      <w:r>
        <w:rPr>
          <w:rFonts w:hint="eastAsia"/>
        </w:rPr>
        <w:t>GB 5749  生活饮用水卫生标准</w:t>
      </w:r>
    </w:p>
    <w:p w14:paraId="1FD883FA">
      <w:pPr>
        <w:pStyle w:val="56"/>
        <w:ind w:firstLine="420"/>
      </w:pPr>
      <w:r>
        <w:rPr>
          <w:rFonts w:hint="eastAsia"/>
        </w:rPr>
        <w:t>GB/T 10346-2023 白酒检验规则和标志 、包装 、运输 、贮存</w:t>
      </w:r>
    </w:p>
    <w:p w14:paraId="504BD5E7">
      <w:pPr>
        <w:pStyle w:val="56"/>
        <w:ind w:firstLine="420"/>
      </w:pPr>
      <w:r>
        <w:rPr>
          <w:rFonts w:hint="eastAsia"/>
        </w:rPr>
        <w:t>GB 14881  食品安全国家标准 食品生产通用卫生规范</w:t>
      </w:r>
    </w:p>
    <w:p w14:paraId="35F17BF6">
      <w:pPr>
        <w:pStyle w:val="56"/>
        <w:ind w:firstLine="420"/>
      </w:pPr>
      <w:r>
        <w:rPr>
          <w:rFonts w:hint="eastAsia"/>
        </w:rPr>
        <w:t>QB/T 4257 酿酒大曲通用分析方法</w:t>
      </w:r>
    </w:p>
    <w:p w14:paraId="3D4765B1">
      <w:pPr>
        <w:pStyle w:val="56"/>
        <w:ind w:firstLine="420"/>
      </w:pPr>
      <w:r>
        <w:rPr>
          <w:rFonts w:hint="eastAsia"/>
        </w:rPr>
        <w:t>QB/T 4258-2011 酿酒大曲术语</w:t>
      </w:r>
    </w:p>
    <w:p w14:paraId="0859CEB8">
      <w:pPr>
        <w:pStyle w:val="104"/>
        <w:spacing w:before="240" w:after="240"/>
      </w:pPr>
      <w:bookmarkStart w:id="39" w:name="_Toc97192966"/>
      <w:r>
        <w:rPr>
          <w:rFonts w:hint="eastAsia"/>
          <w:szCs w:val="21"/>
        </w:rPr>
        <w:t>术语和定义</w:t>
      </w:r>
      <w:bookmarkEnd w:id="39"/>
    </w:p>
    <w:sdt>
      <w:sdtPr>
        <w:id w:val="-1909835108"/>
        <w:placeholder>
          <w:docPart w:val="EAF844F5239044378963083767721F4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85C2D7A">
          <w:pPr>
            <w:pStyle w:val="56"/>
            <w:ind w:firstLine="420"/>
          </w:pPr>
          <w:bookmarkStart w:id="40" w:name="_Toc26986532"/>
          <w:bookmarkEnd w:id="40"/>
          <w:r>
            <w:t>QB/T 4258-2011界定的以及下列术语和定义适用于本文件。</w:t>
          </w:r>
        </w:p>
      </w:sdtContent>
    </w:sdt>
    <w:p w14:paraId="034989D9">
      <w:pPr>
        <w:pStyle w:val="223"/>
        <w:ind w:left="420" w:hanging="420" w:hangingChars="200"/>
        <w:rPr>
          <w:rFonts w:ascii="黑体" w:hAnsi="黑体" w:eastAsia="黑体"/>
        </w:rPr>
      </w:pPr>
      <w:r>
        <w:rPr>
          <w:rFonts w:ascii="黑体" w:hAnsi="黑体" w:eastAsia="黑体"/>
        </w:rPr>
        <w:br w:type="textWrapping"/>
      </w:r>
      <w:r>
        <w:rPr>
          <w:rFonts w:hint="eastAsia" w:ascii="黑体" w:hAnsi="黑体" w:eastAsia="黑体"/>
        </w:rPr>
        <w:t xml:space="preserve">高温拐枣大曲 </w:t>
      </w:r>
      <w:r>
        <w:rPr>
          <w:rFonts w:ascii="黑体" w:hAnsi="黑体" w:eastAsia="黑体"/>
        </w:rPr>
        <w:t>high - temperature hovenia dulcis thunb daqu</w:t>
      </w:r>
    </w:p>
    <w:p w14:paraId="373A0C4B">
      <w:pPr>
        <w:pStyle w:val="56"/>
        <w:ind w:firstLine="420"/>
      </w:pPr>
      <w:r>
        <w:rPr>
          <w:rFonts w:hint="eastAsia"/>
        </w:rPr>
        <w:t>以拐枣等为主要原料，通过高温发酵等特定制曲工艺制成，用于制酒生产，具有独特风味和特性的大曲。</w:t>
      </w:r>
    </w:p>
    <w:p w14:paraId="48F67782">
      <w:pPr>
        <w:pStyle w:val="104"/>
        <w:spacing w:before="240" w:after="240"/>
      </w:pPr>
      <w:r>
        <w:rPr>
          <w:rFonts w:hint="eastAsia"/>
        </w:rPr>
        <w:t>生产技术原理</w:t>
      </w:r>
    </w:p>
    <w:p w14:paraId="3253940A">
      <w:pPr>
        <w:pStyle w:val="162"/>
      </w:pPr>
      <w:r>
        <w:rPr>
          <w:rFonts w:hint="eastAsia"/>
        </w:rPr>
        <w:t>将晒干拐枣粉碎，按比例加入到粉碎的母曲中混合均匀后，作为母曲的一部分参加到制曲发酵环节。制曲工艺流程图见附录A。</w:t>
      </w:r>
    </w:p>
    <w:p w14:paraId="4B6306FE">
      <w:pPr>
        <w:pStyle w:val="162"/>
      </w:pPr>
      <w:r>
        <w:rPr>
          <w:rFonts w:hint="eastAsia"/>
        </w:rPr>
        <w:t>拐枣入曲后制得的拐枣曲药，按制酒工艺每轮次用曲要求加入到制酒工序中。</w:t>
      </w:r>
    </w:p>
    <w:p w14:paraId="3110236E">
      <w:pPr>
        <w:pStyle w:val="104"/>
        <w:spacing w:before="240" w:after="240"/>
      </w:pPr>
      <w:r>
        <w:rPr>
          <w:rFonts w:hint="eastAsia"/>
        </w:rPr>
        <w:t>原辅料</w:t>
      </w:r>
    </w:p>
    <w:p w14:paraId="532BEEAE">
      <w:pPr>
        <w:pStyle w:val="105"/>
        <w:spacing w:before="120" w:after="120"/>
      </w:pPr>
      <w:r>
        <w:rPr>
          <w:rFonts w:hint="eastAsia"/>
        </w:rPr>
        <w:t>原辅料质量要求</w:t>
      </w:r>
    </w:p>
    <w:p w14:paraId="57705A22">
      <w:pPr>
        <w:pStyle w:val="165"/>
      </w:pPr>
      <w:r>
        <w:rPr>
          <w:rFonts w:hint="eastAsia"/>
        </w:rPr>
        <w:t>生产用水应符合GB 5749的规定。</w:t>
      </w:r>
    </w:p>
    <w:p w14:paraId="0C3EAACA">
      <w:pPr>
        <w:pStyle w:val="165"/>
      </w:pPr>
      <w:r>
        <w:rPr>
          <w:rFonts w:hint="eastAsia"/>
        </w:rPr>
        <w:t>小麦应符合GB 1351和GB 2715的规定。</w:t>
      </w:r>
    </w:p>
    <w:p w14:paraId="0FFF0ABA">
      <w:pPr>
        <w:pStyle w:val="165"/>
      </w:pPr>
      <w:r>
        <w:rPr>
          <w:rFonts w:hint="eastAsia"/>
        </w:rPr>
        <w:t>拐枣应符合GB 2760、GB/T 14881的规定。</w:t>
      </w:r>
    </w:p>
    <w:p w14:paraId="464B4A67">
      <w:pPr>
        <w:pStyle w:val="105"/>
        <w:spacing w:before="120" w:after="120"/>
      </w:pPr>
      <w:r>
        <w:rPr>
          <w:rFonts w:hint="eastAsia"/>
        </w:rPr>
        <w:t>原料前处理</w:t>
      </w:r>
    </w:p>
    <w:p w14:paraId="51721A2C">
      <w:pPr>
        <w:pStyle w:val="65"/>
        <w:spacing w:before="120" w:after="120"/>
      </w:pPr>
      <w:r>
        <w:rPr>
          <w:rFonts w:hint="eastAsia"/>
        </w:rPr>
        <w:t>选料</w:t>
      </w:r>
    </w:p>
    <w:p w14:paraId="2162F223">
      <w:pPr>
        <w:pStyle w:val="164"/>
      </w:pPr>
      <w:r>
        <w:rPr>
          <w:rFonts w:hint="eastAsia"/>
        </w:rPr>
        <w:t>小麦应颗粒饱满，色泽呈淡黄色，无虫蛀、无霉变、无杂质。</w:t>
      </w:r>
    </w:p>
    <w:p w14:paraId="6BEFEE9F">
      <w:pPr>
        <w:pStyle w:val="164"/>
      </w:pPr>
      <w:r>
        <w:rPr>
          <w:rFonts w:hint="eastAsia"/>
        </w:rPr>
        <w:t>谷草应色泽呈金黄色，无霉变、无杂质，长度70 cm以上。</w:t>
      </w:r>
    </w:p>
    <w:p w14:paraId="6EA235A8">
      <w:pPr>
        <w:pStyle w:val="164"/>
      </w:pPr>
      <w:r>
        <w:rPr>
          <w:rFonts w:hint="eastAsia"/>
        </w:rPr>
        <w:t>母曲应香味突出，色泽呈金黄色或黄褐色，储存期达到6个月～7个月。</w:t>
      </w:r>
    </w:p>
    <w:p w14:paraId="5FF15D73">
      <w:pPr>
        <w:pStyle w:val="65"/>
        <w:spacing w:before="120" w:after="120"/>
      </w:pPr>
      <w:r>
        <w:rPr>
          <w:rFonts w:hint="eastAsia"/>
        </w:rPr>
        <w:t>除杂</w:t>
      </w:r>
    </w:p>
    <w:p w14:paraId="499AE283">
      <w:pPr>
        <w:pStyle w:val="164"/>
      </w:pPr>
      <w:r>
        <w:rPr>
          <w:rFonts w:hint="eastAsia"/>
        </w:rPr>
        <w:t>采用振动筛去除原料中泥土、石块、金属等杂物。</w:t>
      </w:r>
    </w:p>
    <w:p w14:paraId="55F09E58">
      <w:pPr>
        <w:pStyle w:val="164"/>
      </w:pPr>
      <w:r>
        <w:rPr>
          <w:rFonts w:hint="eastAsia"/>
        </w:rPr>
        <w:t>使用吸式去石机除去原料中的小石子等杂质。</w:t>
      </w:r>
    </w:p>
    <w:p w14:paraId="0AF77F3F">
      <w:pPr>
        <w:pStyle w:val="164"/>
      </w:pPr>
      <w:r>
        <w:rPr>
          <w:rFonts w:hint="eastAsia"/>
        </w:rPr>
        <w:t>利用永磁滚桶去除原料中的铁屑等金属杂质。</w:t>
      </w:r>
    </w:p>
    <w:p w14:paraId="5910B1EC">
      <w:pPr>
        <w:pStyle w:val="104"/>
        <w:spacing w:before="240" w:after="240"/>
      </w:pPr>
      <w:r>
        <w:rPr>
          <w:rFonts w:hint="eastAsia"/>
        </w:rPr>
        <w:t>制曲工艺</w:t>
      </w:r>
    </w:p>
    <w:p w14:paraId="70869175">
      <w:pPr>
        <w:pStyle w:val="105"/>
        <w:spacing w:before="120" w:after="120"/>
      </w:pPr>
      <w:r>
        <w:rPr>
          <w:rFonts w:hint="eastAsia"/>
        </w:rPr>
        <w:t>润粮</w:t>
      </w:r>
    </w:p>
    <w:p w14:paraId="758736D4">
      <w:pPr>
        <w:pStyle w:val="165"/>
      </w:pPr>
      <w:r>
        <w:rPr>
          <w:rFonts w:hint="eastAsia"/>
        </w:rPr>
        <w:t>将小麦按比例加水润粮，硬质麦占比多则润粮水分稍大，软质麦占比多则润粮水分稍小,润粮时间为16 h～18 h，使小麦水分含量达到16 %～19 %。</w:t>
      </w:r>
    </w:p>
    <w:p w14:paraId="16235062">
      <w:pPr>
        <w:pStyle w:val="165"/>
      </w:pPr>
      <w:r>
        <w:rPr>
          <w:rFonts w:hint="eastAsia"/>
        </w:rPr>
        <w:t>润粮后的小麦应口咬干脆不粘牙。</w:t>
      </w:r>
    </w:p>
    <w:p w14:paraId="0C6DA703">
      <w:pPr>
        <w:pStyle w:val="105"/>
        <w:spacing w:before="120" w:after="120"/>
      </w:pPr>
      <w:r>
        <w:rPr>
          <w:rFonts w:hint="eastAsia"/>
        </w:rPr>
        <w:t>拌料</w:t>
      </w:r>
    </w:p>
    <w:p w14:paraId="5F4F50A2">
      <w:pPr>
        <w:pStyle w:val="65"/>
        <w:spacing w:before="120" w:after="120"/>
      </w:pPr>
      <w:r>
        <w:rPr>
          <w:rFonts w:hint="eastAsia"/>
        </w:rPr>
        <w:t>粉碎</w:t>
      </w:r>
    </w:p>
    <w:p w14:paraId="00D54D2B">
      <w:pPr>
        <w:pStyle w:val="56"/>
        <w:ind w:firstLine="420"/>
        <w:rPr>
          <w:color w:val="FF0000"/>
        </w:rPr>
      </w:pPr>
      <w:r>
        <w:rPr>
          <w:rFonts w:hint="eastAsia"/>
        </w:rPr>
        <w:t>润粮后的小麦进行粉碎，粉碎度要求：通过20目、40目筛的比例为粗粉50 %、细粉30 %、颗粒20 %，碎心不碎皮。</w:t>
      </w:r>
    </w:p>
    <w:p w14:paraId="11FE16D5">
      <w:pPr>
        <w:pStyle w:val="65"/>
        <w:spacing w:before="120" w:after="120"/>
      </w:pPr>
      <w:r>
        <w:rPr>
          <w:rFonts w:hint="eastAsia"/>
        </w:rPr>
        <w:t>拌曲配料</w:t>
      </w:r>
    </w:p>
    <w:p w14:paraId="393FAABD">
      <w:pPr>
        <w:pStyle w:val="164"/>
      </w:pPr>
      <w:r>
        <w:rPr>
          <w:rFonts w:hint="eastAsia"/>
        </w:rPr>
        <w:t>曲母和拐枣粉加入量为小麦总量的8 %～9 %。</w:t>
      </w:r>
    </w:p>
    <w:p w14:paraId="5BBEA34C">
      <w:pPr>
        <w:pStyle w:val="164"/>
      </w:pPr>
      <w:r>
        <w:rPr>
          <w:rFonts w:hint="eastAsia"/>
        </w:rPr>
        <w:t>将规定比例的干拐枣粉与粉碎后的小麦均匀搅拌，搅拌时间不少于15 min。</w:t>
      </w:r>
    </w:p>
    <w:p w14:paraId="0915B2B7">
      <w:pPr>
        <w:pStyle w:val="164"/>
      </w:pPr>
      <w:r>
        <w:rPr>
          <w:rFonts w:hint="eastAsia"/>
        </w:rPr>
        <w:t>曲料麦料应混合均匀、无疙瘩、无干粉、手捏成团、丢下即散。</w:t>
      </w:r>
    </w:p>
    <w:p w14:paraId="3436A796">
      <w:pPr>
        <w:pStyle w:val="164"/>
      </w:pPr>
      <w:r>
        <w:rPr>
          <w:rFonts w:hint="eastAsia"/>
        </w:rPr>
        <w:t>母曲用量应符合表1的规定。</w:t>
      </w:r>
    </w:p>
    <w:p w14:paraId="6C69CB25">
      <w:pPr>
        <w:pStyle w:val="112"/>
        <w:spacing w:before="120" w:after="120"/>
      </w:pPr>
      <w:r>
        <w:rPr>
          <w:rFonts w:hint="eastAsia"/>
        </w:rPr>
        <w:t>母曲用量</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14:paraId="2719A6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72" w:type="dxa"/>
            <w:tcBorders>
              <w:top w:val="single" w:color="auto" w:sz="8" w:space="0"/>
              <w:bottom w:val="single" w:color="auto" w:sz="8" w:space="0"/>
            </w:tcBorders>
            <w:shd w:val="clear" w:color="auto" w:fill="auto"/>
            <w:vAlign w:val="center"/>
          </w:tcPr>
          <w:p w14:paraId="4226B1A7">
            <w:pPr>
              <w:pStyle w:val="178"/>
            </w:pPr>
            <w:r>
              <w:rPr>
                <w:rFonts w:hint="eastAsia"/>
              </w:rPr>
              <w:t>季节</w:t>
            </w:r>
          </w:p>
        </w:tc>
        <w:tc>
          <w:tcPr>
            <w:tcW w:w="4672" w:type="dxa"/>
            <w:tcBorders>
              <w:top w:val="single" w:color="auto" w:sz="8" w:space="0"/>
              <w:bottom w:val="single" w:color="auto" w:sz="8" w:space="0"/>
            </w:tcBorders>
            <w:shd w:val="clear" w:color="auto" w:fill="auto"/>
            <w:vAlign w:val="center"/>
          </w:tcPr>
          <w:p w14:paraId="617A2CE8">
            <w:pPr>
              <w:pStyle w:val="178"/>
            </w:pPr>
            <w:r>
              <w:rPr>
                <w:rFonts w:hint="eastAsia"/>
              </w:rPr>
              <w:t>用量，%</w:t>
            </w:r>
          </w:p>
        </w:tc>
      </w:tr>
      <w:tr w14:paraId="499C08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tcBorders>
              <w:top w:val="single" w:color="auto" w:sz="8" w:space="0"/>
            </w:tcBorders>
            <w:shd w:val="clear" w:color="auto" w:fill="auto"/>
            <w:vAlign w:val="center"/>
          </w:tcPr>
          <w:p w14:paraId="1E25F2D2">
            <w:pPr>
              <w:pStyle w:val="178"/>
            </w:pPr>
            <w:r>
              <w:rPr>
                <w:rFonts w:hint="eastAsia"/>
              </w:rPr>
              <w:t>春季</w:t>
            </w:r>
          </w:p>
        </w:tc>
        <w:tc>
          <w:tcPr>
            <w:tcW w:w="4672" w:type="dxa"/>
            <w:tcBorders>
              <w:top w:val="single" w:color="auto" w:sz="8" w:space="0"/>
            </w:tcBorders>
            <w:shd w:val="clear" w:color="auto" w:fill="auto"/>
            <w:vAlign w:val="center"/>
          </w:tcPr>
          <w:p w14:paraId="30E12D85">
            <w:pPr>
              <w:pStyle w:val="178"/>
            </w:pPr>
            <w:r>
              <w:rPr>
                <w:rFonts w:hint="eastAsia"/>
              </w:rPr>
              <w:t>8.5</w:t>
            </w:r>
          </w:p>
        </w:tc>
      </w:tr>
      <w:tr w14:paraId="47839FB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020D771C">
            <w:pPr>
              <w:pStyle w:val="178"/>
            </w:pPr>
            <w:r>
              <w:rPr>
                <w:rFonts w:hint="eastAsia"/>
              </w:rPr>
              <w:t>夏季</w:t>
            </w:r>
          </w:p>
        </w:tc>
        <w:tc>
          <w:tcPr>
            <w:tcW w:w="4672" w:type="dxa"/>
            <w:shd w:val="clear" w:color="auto" w:fill="auto"/>
            <w:vAlign w:val="center"/>
          </w:tcPr>
          <w:p w14:paraId="599F18B4">
            <w:pPr>
              <w:pStyle w:val="178"/>
            </w:pPr>
            <w:r>
              <w:rPr>
                <w:rFonts w:hint="eastAsia"/>
              </w:rPr>
              <w:t>8</w:t>
            </w:r>
          </w:p>
        </w:tc>
      </w:tr>
      <w:tr w14:paraId="48F88F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1F91FBCE">
            <w:pPr>
              <w:pStyle w:val="178"/>
            </w:pPr>
            <w:r>
              <w:rPr>
                <w:rFonts w:hint="eastAsia"/>
              </w:rPr>
              <w:t>秋季</w:t>
            </w:r>
          </w:p>
        </w:tc>
        <w:tc>
          <w:tcPr>
            <w:tcW w:w="4672" w:type="dxa"/>
            <w:shd w:val="clear" w:color="auto" w:fill="auto"/>
            <w:vAlign w:val="center"/>
          </w:tcPr>
          <w:p w14:paraId="3E75D1A5">
            <w:pPr>
              <w:pStyle w:val="178"/>
            </w:pPr>
            <w:r>
              <w:rPr>
                <w:rFonts w:hint="eastAsia"/>
              </w:rPr>
              <w:t>8.5</w:t>
            </w:r>
          </w:p>
        </w:tc>
      </w:tr>
      <w:tr w14:paraId="7635B7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02A790DB">
            <w:pPr>
              <w:pStyle w:val="178"/>
            </w:pPr>
            <w:r>
              <w:rPr>
                <w:rFonts w:hint="eastAsia"/>
              </w:rPr>
              <w:t>冬季</w:t>
            </w:r>
          </w:p>
        </w:tc>
        <w:tc>
          <w:tcPr>
            <w:tcW w:w="4672" w:type="dxa"/>
            <w:shd w:val="clear" w:color="auto" w:fill="auto"/>
            <w:vAlign w:val="center"/>
          </w:tcPr>
          <w:p w14:paraId="716CCE5D">
            <w:pPr>
              <w:pStyle w:val="178"/>
            </w:pPr>
            <w:r>
              <w:rPr>
                <w:rFonts w:hint="eastAsia"/>
              </w:rPr>
              <w:t>9</w:t>
            </w:r>
          </w:p>
        </w:tc>
      </w:tr>
    </w:tbl>
    <w:p w14:paraId="3B8B8F9C">
      <w:pPr>
        <w:pStyle w:val="105"/>
        <w:spacing w:before="120" w:after="120"/>
      </w:pPr>
      <w:r>
        <w:rPr>
          <w:rFonts w:hint="eastAsia"/>
        </w:rPr>
        <w:t>曲胚踩制</w:t>
      </w:r>
    </w:p>
    <w:p w14:paraId="63B3EE0B">
      <w:pPr>
        <w:pStyle w:val="165"/>
      </w:pPr>
      <w:r>
        <w:rPr>
          <w:rFonts w:hint="eastAsia"/>
        </w:rPr>
        <w:t>曲料铲入曲框时，曲料量约为曲框容量的1.5 倍，曲框中间麦料应凸起。</w:t>
      </w:r>
    </w:p>
    <w:p w14:paraId="265A273E">
      <w:pPr>
        <w:pStyle w:val="165"/>
      </w:pPr>
      <w:r>
        <w:rPr>
          <w:rFonts w:hint="eastAsia"/>
        </w:rPr>
        <w:t>脱框晾汗时应将成型曲坯放至晾曲区域，脱框晾汗。出现曲料撒落要及时清理，损坏或不合格曲坯重新搅散踩制。</w:t>
      </w:r>
    </w:p>
    <w:p w14:paraId="5479E4BD">
      <w:pPr>
        <w:pStyle w:val="165"/>
      </w:pPr>
      <w:r>
        <w:rPr>
          <w:rFonts w:hint="eastAsia"/>
        </w:rPr>
        <w:t>将搅拌好的物料制成曲胚，形状为38 cm×27 cm×6 cm，重量为9 kg～10 kg，松紧适度。</w:t>
      </w:r>
    </w:p>
    <w:p w14:paraId="75ED0478">
      <w:pPr>
        <w:pStyle w:val="165"/>
      </w:pPr>
      <w:r>
        <w:rPr>
          <w:rFonts w:hint="eastAsia"/>
        </w:rPr>
        <w:t>晾汗时间约为20 min～35 min（加上曲块的侧立时间5 min～10 min）表面收汗后，即可入仓。</w:t>
      </w:r>
    </w:p>
    <w:p w14:paraId="470988F2">
      <w:pPr>
        <w:pStyle w:val="165"/>
      </w:pPr>
      <w:r>
        <w:rPr>
          <w:rFonts w:hint="eastAsia"/>
        </w:rPr>
        <w:t>合格的曲坯应边角整齐、无断裂、无夹灰、四边紧、中间松、呈龟背型，中间凸起部分厚度为12.5 cm～14 cm。</w:t>
      </w:r>
    </w:p>
    <w:p w14:paraId="74113287">
      <w:pPr>
        <w:pStyle w:val="165"/>
      </w:pPr>
      <w:r>
        <w:rPr>
          <w:rFonts w:hint="eastAsia"/>
        </w:rPr>
        <w:t>收曲入仓标准为表面收汗，手摸不粘，侧立后不变形。不达标的，有掉边掉角的，用撮箕装好，返回绞龙重新搅拌后，继续踩制。</w:t>
      </w:r>
    </w:p>
    <w:p w14:paraId="52CC6399">
      <w:pPr>
        <w:pStyle w:val="105"/>
        <w:spacing w:before="120" w:after="120"/>
      </w:pPr>
      <w:r>
        <w:rPr>
          <w:rFonts w:hint="eastAsia"/>
        </w:rPr>
        <w:t>入室堆积</w:t>
      </w:r>
    </w:p>
    <w:p w14:paraId="0615B67C">
      <w:pPr>
        <w:pStyle w:val="165"/>
      </w:pPr>
      <w:r>
        <w:rPr>
          <w:rFonts w:hint="eastAsia"/>
        </w:rPr>
        <w:t>将曲胚放入曲室堆积，底层铺垫稻草，高度约为20 cm～25 cm，宽度约为50 cm～55cm。曲胚之间保持适当间距，堆积高度不超过5层。</w:t>
      </w:r>
    </w:p>
    <w:p w14:paraId="04DA9426">
      <w:pPr>
        <w:pStyle w:val="165"/>
      </w:pPr>
      <w:r>
        <w:rPr>
          <w:rFonts w:hint="eastAsia"/>
        </w:rPr>
        <w:t>入仓时，在发酵仓内靠墙两侧开始铺底草，应平、整、直。在发酵仓靠墙的一侧放置挡头草，厚度20 cm～25 cm，压实。</w:t>
      </w:r>
    </w:p>
    <w:p w14:paraId="6FCB1325">
      <w:pPr>
        <w:pStyle w:val="165"/>
      </w:pPr>
      <w:r>
        <w:rPr>
          <w:rFonts w:hint="eastAsia"/>
        </w:rPr>
        <w:t>在挡头草之后放置卡草，厚度5 cm～8 cm，压实,卡草扇叶草头朝上。卡草应呈扇子形。取一把新草，草把直径约5 cm，用双手握住草的中间部分，同时朝相反的方向拧，使草呈扇子形状。</w:t>
      </w:r>
    </w:p>
    <w:p w14:paraId="4299DE62">
      <w:pPr>
        <w:pStyle w:val="165"/>
      </w:pPr>
      <w:r>
        <w:rPr>
          <w:rFonts w:hint="eastAsia"/>
        </w:rPr>
        <w:t>按侧立顺行装第一根第一层曲坯，凸出部分对着墙面，安一块曲放一把卡草，曲坯应压在卡草的尾部，卡草扇叶草头和草尾均不能超出安放曲坯的边缘（5 cm），两块曲坯的平面和龟背之间必须卡草，曲坯间不得直接接触。直至到墙的另一侧还剩余20 cm～25 cm，卡上挡头草（20 cm～25 cm）,压实。</w:t>
      </w:r>
    </w:p>
    <w:p w14:paraId="23F52F38">
      <w:pPr>
        <w:pStyle w:val="165"/>
      </w:pPr>
      <w:r>
        <w:rPr>
          <w:rFonts w:hint="eastAsia"/>
        </w:rPr>
        <w:t>在曲坯窄边对着的侧墙放置墙草，厚度在20 cm～25 cm，压实。</w:t>
      </w:r>
    </w:p>
    <w:p w14:paraId="1021341D">
      <w:pPr>
        <w:pStyle w:val="165"/>
      </w:pPr>
      <w:r>
        <w:rPr>
          <w:rFonts w:hint="eastAsia"/>
        </w:rPr>
        <w:t>将老草抖松，平铺在装好的曲坯上，要求平、整、直。层草厚度5 cm～8 cm，压实，层草超出曲坯部分应回卷。</w:t>
      </w:r>
    </w:p>
    <w:p w14:paraId="73458032">
      <w:pPr>
        <w:pStyle w:val="165"/>
      </w:pPr>
      <w:r>
        <w:rPr>
          <w:rFonts w:hint="eastAsia"/>
        </w:rPr>
        <w:t>将老草平铺在曲坯上，厚度25 cm～30 cm，拍平，完成第一根梗子。</w:t>
      </w:r>
    </w:p>
    <w:p w14:paraId="47EB7D71">
      <w:pPr>
        <w:pStyle w:val="165"/>
      </w:pPr>
      <w:r>
        <w:rPr>
          <w:rFonts w:hint="eastAsia"/>
        </w:rPr>
        <w:t>紧挨第一根梗子铺第二个梗子的底草，厚度为20 cm～25 cm,压实，宽度为50 cm。</w:t>
      </w:r>
    </w:p>
    <w:p w14:paraId="0A06549E">
      <w:pPr>
        <w:pStyle w:val="105"/>
        <w:spacing w:before="120" w:after="120"/>
      </w:pPr>
      <w:r>
        <w:rPr>
          <w:rFonts w:hint="eastAsia"/>
        </w:rPr>
        <w:t>一次翻曲</w:t>
      </w:r>
    </w:p>
    <w:p w14:paraId="2FE8F343">
      <w:pPr>
        <w:pStyle w:val="56"/>
        <w:ind w:firstLine="420"/>
      </w:pPr>
      <w:r>
        <w:rPr>
          <w:rFonts w:hint="eastAsia"/>
        </w:rPr>
        <w:t>在曲胚入室堆积5 d～10 d后，测量符合要求时，进行一次翻曲，调整曲胚位置，使发酵均匀。测量标准应符合表2的规定。</w:t>
      </w:r>
    </w:p>
    <w:p w14:paraId="0D4FFA87">
      <w:pPr>
        <w:pStyle w:val="112"/>
        <w:spacing w:before="120" w:after="120"/>
      </w:pPr>
      <w:r>
        <w:rPr>
          <w:rFonts w:hint="eastAsia"/>
        </w:rPr>
        <w:t>测温标准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1"/>
        <w:gridCol w:w="3112"/>
        <w:gridCol w:w="3111"/>
      </w:tblGrid>
      <w:tr w14:paraId="7C0A2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1" w:type="dxa"/>
            <w:tcBorders>
              <w:top w:val="single" w:color="auto" w:sz="8" w:space="0"/>
              <w:bottom w:val="single" w:color="auto" w:sz="8" w:space="0"/>
            </w:tcBorders>
            <w:shd w:val="clear" w:color="auto" w:fill="auto"/>
            <w:vAlign w:val="center"/>
          </w:tcPr>
          <w:p w14:paraId="691E06B0">
            <w:pPr>
              <w:pStyle w:val="178"/>
            </w:pPr>
            <w:r>
              <w:rPr>
                <w:rFonts w:hint="eastAsia"/>
              </w:rPr>
              <w:t>测量时间，d</w:t>
            </w:r>
          </w:p>
        </w:tc>
        <w:tc>
          <w:tcPr>
            <w:tcW w:w="3112" w:type="dxa"/>
            <w:tcBorders>
              <w:top w:val="single" w:color="auto" w:sz="8" w:space="0"/>
              <w:bottom w:val="single" w:color="auto" w:sz="8" w:space="0"/>
            </w:tcBorders>
            <w:shd w:val="clear" w:color="auto" w:fill="auto"/>
            <w:vAlign w:val="center"/>
          </w:tcPr>
          <w:p w14:paraId="3FF373C4">
            <w:pPr>
              <w:pStyle w:val="178"/>
            </w:pPr>
            <w:r>
              <w:rPr>
                <w:rFonts w:hint="eastAsia"/>
              </w:rPr>
              <w:t>温度范围，℃</w:t>
            </w:r>
          </w:p>
        </w:tc>
        <w:tc>
          <w:tcPr>
            <w:tcW w:w="3111" w:type="dxa"/>
            <w:tcBorders>
              <w:top w:val="single" w:color="auto" w:sz="8" w:space="0"/>
              <w:bottom w:val="single" w:color="auto" w:sz="8" w:space="0"/>
            </w:tcBorders>
            <w:shd w:val="clear" w:color="auto" w:fill="auto"/>
            <w:vAlign w:val="center"/>
          </w:tcPr>
          <w:p w14:paraId="79ACFA45">
            <w:pPr>
              <w:pStyle w:val="178"/>
            </w:pPr>
            <w:r>
              <w:rPr>
                <w:rFonts w:hint="eastAsia"/>
              </w:rPr>
              <w:t>测温方式</w:t>
            </w:r>
          </w:p>
        </w:tc>
      </w:tr>
      <w:tr w14:paraId="0BD7AD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tcBorders>
              <w:top w:val="single" w:color="auto" w:sz="8" w:space="0"/>
            </w:tcBorders>
            <w:shd w:val="clear" w:color="auto" w:fill="auto"/>
            <w:vAlign w:val="center"/>
          </w:tcPr>
          <w:p w14:paraId="2BB8DB02">
            <w:pPr>
              <w:pStyle w:val="178"/>
            </w:pPr>
            <w:r>
              <w:rPr>
                <w:rFonts w:hint="eastAsia"/>
              </w:rPr>
              <w:t>5～6</w:t>
            </w:r>
          </w:p>
        </w:tc>
        <w:tc>
          <w:tcPr>
            <w:tcW w:w="3112" w:type="dxa"/>
            <w:tcBorders>
              <w:top w:val="single" w:color="auto" w:sz="8" w:space="0"/>
            </w:tcBorders>
            <w:shd w:val="clear" w:color="auto" w:fill="auto"/>
            <w:vAlign w:val="center"/>
          </w:tcPr>
          <w:p w14:paraId="6DB69425">
            <w:pPr>
              <w:pStyle w:val="178"/>
            </w:pPr>
            <w:r>
              <w:rPr>
                <w:rFonts w:hint="eastAsia"/>
              </w:rPr>
              <w:t>59～61</w:t>
            </w:r>
          </w:p>
        </w:tc>
        <w:tc>
          <w:tcPr>
            <w:tcW w:w="3111" w:type="dxa"/>
            <w:vMerge w:val="restart"/>
            <w:tcBorders>
              <w:top w:val="single" w:color="auto" w:sz="8" w:space="0"/>
            </w:tcBorders>
            <w:shd w:val="clear" w:color="auto" w:fill="auto"/>
            <w:vAlign w:val="center"/>
          </w:tcPr>
          <w:p w14:paraId="105E4708">
            <w:pPr>
              <w:pStyle w:val="178"/>
            </w:pPr>
            <w:r>
              <w:rPr>
                <w:rFonts w:hint="eastAsia"/>
              </w:rPr>
              <w:t>发酵仓内挨门口、窗户及中间各取一个点。测温区域为进发酵仓门口往里数第三根梗子的第三层</w:t>
            </w:r>
          </w:p>
        </w:tc>
      </w:tr>
      <w:tr w14:paraId="4861A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shd w:val="clear" w:color="auto" w:fill="auto"/>
            <w:vAlign w:val="center"/>
          </w:tcPr>
          <w:p w14:paraId="6C2754FF">
            <w:pPr>
              <w:pStyle w:val="178"/>
            </w:pPr>
            <w:r>
              <w:rPr>
                <w:rFonts w:hint="eastAsia"/>
              </w:rPr>
              <w:t>6～7</w:t>
            </w:r>
          </w:p>
        </w:tc>
        <w:tc>
          <w:tcPr>
            <w:tcW w:w="3112" w:type="dxa"/>
            <w:shd w:val="clear" w:color="auto" w:fill="auto"/>
            <w:vAlign w:val="center"/>
          </w:tcPr>
          <w:p w14:paraId="3BF4AA81">
            <w:pPr>
              <w:pStyle w:val="178"/>
            </w:pPr>
            <w:r>
              <w:rPr>
                <w:rFonts w:hint="eastAsia"/>
              </w:rPr>
              <w:t>61～63</w:t>
            </w:r>
          </w:p>
        </w:tc>
        <w:tc>
          <w:tcPr>
            <w:tcW w:w="3111" w:type="dxa"/>
            <w:vMerge w:val="continue"/>
            <w:shd w:val="clear" w:color="auto" w:fill="auto"/>
            <w:vAlign w:val="center"/>
          </w:tcPr>
          <w:p w14:paraId="343DF80C">
            <w:pPr>
              <w:pStyle w:val="178"/>
            </w:pPr>
          </w:p>
        </w:tc>
      </w:tr>
      <w:tr w14:paraId="3CF59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shd w:val="clear" w:color="auto" w:fill="auto"/>
            <w:vAlign w:val="center"/>
          </w:tcPr>
          <w:p w14:paraId="666BF77C">
            <w:pPr>
              <w:pStyle w:val="178"/>
            </w:pPr>
            <w:r>
              <w:rPr>
                <w:rFonts w:hint="eastAsia"/>
              </w:rPr>
              <w:t>8～10</w:t>
            </w:r>
          </w:p>
        </w:tc>
        <w:tc>
          <w:tcPr>
            <w:tcW w:w="3112" w:type="dxa"/>
            <w:shd w:val="clear" w:color="auto" w:fill="auto"/>
            <w:vAlign w:val="center"/>
          </w:tcPr>
          <w:p w14:paraId="570242FC">
            <w:pPr>
              <w:pStyle w:val="178"/>
            </w:pPr>
            <w:r>
              <w:rPr>
                <w:rFonts w:hint="eastAsia"/>
              </w:rPr>
              <w:t>64～65</w:t>
            </w:r>
          </w:p>
        </w:tc>
        <w:tc>
          <w:tcPr>
            <w:tcW w:w="3111" w:type="dxa"/>
            <w:vMerge w:val="continue"/>
            <w:shd w:val="clear" w:color="auto" w:fill="auto"/>
            <w:vAlign w:val="center"/>
          </w:tcPr>
          <w:p w14:paraId="0CD0AFD1">
            <w:pPr>
              <w:pStyle w:val="178"/>
            </w:pPr>
          </w:p>
        </w:tc>
      </w:tr>
      <w:tr w14:paraId="00880A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shd w:val="clear" w:color="auto" w:fill="auto"/>
            <w:vAlign w:val="center"/>
          </w:tcPr>
          <w:p w14:paraId="3EF60E1B">
            <w:pPr>
              <w:pStyle w:val="179"/>
            </w:pPr>
            <w:r>
              <w:rPr>
                <w:rFonts w:hint="eastAsia"/>
              </w:rPr>
              <w:t>在6 d～9 d若测的温度持续48 h超过65 ℃，则可打开门窗30 min，适当通风排潮，给曲坯降温</w:t>
            </w:r>
          </w:p>
        </w:tc>
      </w:tr>
    </w:tbl>
    <w:p w14:paraId="16C91E38">
      <w:pPr>
        <w:pStyle w:val="105"/>
        <w:spacing w:before="120" w:after="120"/>
      </w:pPr>
      <w:r>
        <w:rPr>
          <w:rFonts w:hint="eastAsia"/>
        </w:rPr>
        <w:t>二次翻曲</w:t>
      </w:r>
    </w:p>
    <w:p w14:paraId="3C990BC2">
      <w:pPr>
        <w:pStyle w:val="56"/>
        <w:ind w:firstLine="420"/>
      </w:pPr>
      <w:r>
        <w:rPr>
          <w:rFonts w:hint="eastAsia"/>
        </w:rPr>
        <w:t>一次翻曲后5 d～9 d，进行二次翻曲，进一步促进曲的发酵和成熟。测量标准应符合表3的规定。</w:t>
      </w:r>
    </w:p>
    <w:p w14:paraId="40152E71">
      <w:pPr>
        <w:pStyle w:val="112"/>
        <w:spacing w:before="120" w:after="120"/>
      </w:pPr>
      <w:r>
        <w:rPr>
          <w:rFonts w:hint="eastAsia"/>
        </w:rPr>
        <w:t>测温标准</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11"/>
        <w:gridCol w:w="3112"/>
        <w:gridCol w:w="3111"/>
      </w:tblGrid>
      <w:tr w14:paraId="1B422E7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3111" w:type="dxa"/>
            <w:tcBorders>
              <w:top w:val="single" w:color="auto" w:sz="8" w:space="0"/>
              <w:bottom w:val="single" w:color="auto" w:sz="8" w:space="0"/>
            </w:tcBorders>
            <w:shd w:val="clear" w:color="auto" w:fill="auto"/>
            <w:vAlign w:val="center"/>
          </w:tcPr>
          <w:p w14:paraId="2F69F099">
            <w:pPr>
              <w:pStyle w:val="178"/>
            </w:pPr>
            <w:r>
              <w:rPr>
                <w:rFonts w:hint="eastAsia"/>
              </w:rPr>
              <w:t>测量时间，d</w:t>
            </w:r>
          </w:p>
        </w:tc>
        <w:tc>
          <w:tcPr>
            <w:tcW w:w="3112" w:type="dxa"/>
            <w:tcBorders>
              <w:top w:val="single" w:color="auto" w:sz="8" w:space="0"/>
              <w:bottom w:val="single" w:color="auto" w:sz="8" w:space="0"/>
            </w:tcBorders>
            <w:shd w:val="clear" w:color="auto" w:fill="auto"/>
            <w:vAlign w:val="center"/>
          </w:tcPr>
          <w:p w14:paraId="0E3FE19F">
            <w:pPr>
              <w:pStyle w:val="178"/>
            </w:pPr>
            <w:r>
              <w:rPr>
                <w:rFonts w:hint="eastAsia"/>
              </w:rPr>
              <w:t>温度范围，℃</w:t>
            </w:r>
          </w:p>
        </w:tc>
        <w:tc>
          <w:tcPr>
            <w:tcW w:w="3111" w:type="dxa"/>
            <w:tcBorders>
              <w:top w:val="single" w:color="auto" w:sz="8" w:space="0"/>
              <w:bottom w:val="single" w:color="auto" w:sz="8" w:space="0"/>
            </w:tcBorders>
            <w:shd w:val="clear" w:color="auto" w:fill="auto"/>
            <w:vAlign w:val="center"/>
          </w:tcPr>
          <w:p w14:paraId="43BF418A">
            <w:pPr>
              <w:pStyle w:val="178"/>
            </w:pPr>
            <w:r>
              <w:rPr>
                <w:rFonts w:hint="eastAsia"/>
              </w:rPr>
              <w:t>测温方式</w:t>
            </w:r>
          </w:p>
        </w:tc>
      </w:tr>
      <w:tr w14:paraId="3B9F84D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tcBorders>
              <w:top w:val="single" w:color="auto" w:sz="8" w:space="0"/>
            </w:tcBorders>
            <w:shd w:val="clear" w:color="auto" w:fill="auto"/>
            <w:vAlign w:val="center"/>
          </w:tcPr>
          <w:p w14:paraId="54FE45B4">
            <w:pPr>
              <w:pStyle w:val="178"/>
            </w:pPr>
            <w:r>
              <w:rPr>
                <w:rFonts w:hint="eastAsia"/>
              </w:rPr>
              <w:t>5～6</w:t>
            </w:r>
          </w:p>
        </w:tc>
        <w:tc>
          <w:tcPr>
            <w:tcW w:w="3112" w:type="dxa"/>
            <w:tcBorders>
              <w:top w:val="single" w:color="auto" w:sz="8" w:space="0"/>
            </w:tcBorders>
            <w:shd w:val="clear" w:color="auto" w:fill="auto"/>
            <w:vAlign w:val="center"/>
          </w:tcPr>
          <w:p w14:paraId="39C4F17E">
            <w:pPr>
              <w:pStyle w:val="178"/>
            </w:pPr>
            <w:r>
              <w:rPr>
                <w:rFonts w:hint="eastAsia"/>
              </w:rPr>
              <w:t>49～51</w:t>
            </w:r>
          </w:p>
        </w:tc>
        <w:tc>
          <w:tcPr>
            <w:tcW w:w="3111" w:type="dxa"/>
            <w:vMerge w:val="restart"/>
            <w:tcBorders>
              <w:top w:val="single" w:color="auto" w:sz="8" w:space="0"/>
            </w:tcBorders>
            <w:shd w:val="clear" w:color="auto" w:fill="auto"/>
            <w:vAlign w:val="center"/>
          </w:tcPr>
          <w:p w14:paraId="53714637">
            <w:pPr>
              <w:pStyle w:val="178"/>
            </w:pPr>
            <w:r>
              <w:rPr>
                <w:rFonts w:hint="eastAsia"/>
              </w:rPr>
              <w:t>发酵仓内挨门口、窗户及中间各取一个点。测温区域为进发酵仓门口往里数第三根梗子的第三层</w:t>
            </w:r>
          </w:p>
        </w:tc>
      </w:tr>
      <w:tr w14:paraId="797D1D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11" w:type="dxa"/>
            <w:shd w:val="clear" w:color="auto" w:fill="auto"/>
            <w:vAlign w:val="center"/>
          </w:tcPr>
          <w:p w14:paraId="71B83CA4">
            <w:pPr>
              <w:pStyle w:val="178"/>
            </w:pPr>
            <w:r>
              <w:rPr>
                <w:rFonts w:hint="eastAsia"/>
              </w:rPr>
              <w:t>6～7</w:t>
            </w:r>
          </w:p>
        </w:tc>
        <w:tc>
          <w:tcPr>
            <w:tcW w:w="3112" w:type="dxa"/>
            <w:shd w:val="clear" w:color="auto" w:fill="auto"/>
            <w:vAlign w:val="center"/>
          </w:tcPr>
          <w:p w14:paraId="43FB482E">
            <w:pPr>
              <w:pStyle w:val="178"/>
            </w:pPr>
            <w:r>
              <w:rPr>
                <w:rFonts w:hint="eastAsia"/>
              </w:rPr>
              <w:t>51～52</w:t>
            </w:r>
          </w:p>
        </w:tc>
        <w:tc>
          <w:tcPr>
            <w:tcW w:w="3111" w:type="dxa"/>
            <w:vMerge w:val="continue"/>
            <w:shd w:val="clear" w:color="auto" w:fill="auto"/>
            <w:vAlign w:val="center"/>
          </w:tcPr>
          <w:p w14:paraId="1A0CD612">
            <w:pPr>
              <w:pStyle w:val="178"/>
            </w:pPr>
          </w:p>
        </w:tc>
      </w:tr>
      <w:tr w14:paraId="2BD7DC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3111" w:type="dxa"/>
            <w:shd w:val="clear" w:color="auto" w:fill="auto"/>
            <w:vAlign w:val="center"/>
          </w:tcPr>
          <w:p w14:paraId="4FDBAAA2">
            <w:pPr>
              <w:pStyle w:val="178"/>
            </w:pPr>
            <w:r>
              <w:rPr>
                <w:rFonts w:hint="eastAsia"/>
              </w:rPr>
              <w:t>8～9</w:t>
            </w:r>
          </w:p>
        </w:tc>
        <w:tc>
          <w:tcPr>
            <w:tcW w:w="3112" w:type="dxa"/>
            <w:shd w:val="clear" w:color="auto" w:fill="auto"/>
            <w:vAlign w:val="center"/>
          </w:tcPr>
          <w:p w14:paraId="392DF7D2">
            <w:pPr>
              <w:pStyle w:val="178"/>
            </w:pPr>
            <w:r>
              <w:rPr>
                <w:rFonts w:hint="eastAsia"/>
              </w:rPr>
              <w:t>52～56</w:t>
            </w:r>
          </w:p>
        </w:tc>
        <w:tc>
          <w:tcPr>
            <w:tcW w:w="3111" w:type="dxa"/>
            <w:vMerge w:val="continue"/>
            <w:shd w:val="clear" w:color="auto" w:fill="auto"/>
            <w:vAlign w:val="center"/>
          </w:tcPr>
          <w:p w14:paraId="33890D81">
            <w:pPr>
              <w:pStyle w:val="178"/>
            </w:pPr>
          </w:p>
        </w:tc>
      </w:tr>
      <w:tr w14:paraId="58CCD6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334" w:type="dxa"/>
            <w:gridSpan w:val="3"/>
            <w:shd w:val="clear" w:color="auto" w:fill="auto"/>
            <w:vAlign w:val="center"/>
          </w:tcPr>
          <w:p w14:paraId="13204A3E">
            <w:pPr>
              <w:pStyle w:val="179"/>
            </w:pPr>
            <w:r>
              <w:rPr>
                <w:rFonts w:hint="eastAsia"/>
              </w:rPr>
              <w:t>在6 d～9 d若测的温度持续48 h超过56 ℃，则可打开门窗30 min，适当通风排潮，给曲坯降温</w:t>
            </w:r>
          </w:p>
        </w:tc>
      </w:tr>
    </w:tbl>
    <w:p w14:paraId="5664DAE8">
      <w:pPr>
        <w:pStyle w:val="105"/>
        <w:spacing w:before="120" w:after="120"/>
      </w:pPr>
      <w:r>
        <w:rPr>
          <w:rFonts w:hint="eastAsia"/>
        </w:rPr>
        <w:t>拆曲</w:t>
      </w:r>
    </w:p>
    <w:p w14:paraId="057CF588">
      <w:pPr>
        <w:pStyle w:val="56"/>
        <w:ind w:firstLine="420"/>
      </w:pPr>
      <w:r>
        <w:rPr>
          <w:rFonts w:hint="eastAsia"/>
        </w:rPr>
        <w:t>达到45 d以上的曲坯应进行拆仓。</w:t>
      </w:r>
    </w:p>
    <w:p w14:paraId="60E41359">
      <w:pPr>
        <w:pStyle w:val="56"/>
        <w:ind w:firstLine="420"/>
      </w:pPr>
      <w:r>
        <w:rPr>
          <w:rFonts w:hint="eastAsia"/>
        </w:rPr>
        <w:t>拆曲时应由质量部人员采取现场计数的方式对曲药的黄、黑、白进行分类和比例检验。检验要求应符合表4的规定。</w:t>
      </w:r>
    </w:p>
    <w:p w14:paraId="359067E6">
      <w:pPr>
        <w:pStyle w:val="112"/>
        <w:spacing w:before="120" w:after="120"/>
      </w:pPr>
      <w:r>
        <w:rPr>
          <w:rFonts w:hint="eastAsia"/>
        </w:rPr>
        <w:t>拆曲检验要求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400"/>
        <w:gridCol w:w="6934"/>
      </w:tblGrid>
      <w:tr w14:paraId="1A9E9D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400" w:type="dxa"/>
            <w:tcBorders>
              <w:top w:val="single" w:color="auto" w:sz="8" w:space="0"/>
              <w:bottom w:val="single" w:color="auto" w:sz="8" w:space="0"/>
            </w:tcBorders>
            <w:shd w:val="clear" w:color="auto" w:fill="auto"/>
            <w:vAlign w:val="center"/>
          </w:tcPr>
          <w:p w14:paraId="6AF729E8">
            <w:pPr>
              <w:pStyle w:val="178"/>
            </w:pPr>
            <w:r>
              <w:rPr>
                <w:rFonts w:hint="eastAsia"/>
              </w:rPr>
              <w:t>项目</w:t>
            </w:r>
          </w:p>
        </w:tc>
        <w:tc>
          <w:tcPr>
            <w:tcW w:w="6934" w:type="dxa"/>
            <w:tcBorders>
              <w:top w:val="single" w:color="auto" w:sz="8" w:space="0"/>
              <w:bottom w:val="single" w:color="auto" w:sz="8" w:space="0"/>
            </w:tcBorders>
            <w:shd w:val="clear" w:color="auto" w:fill="auto"/>
            <w:vAlign w:val="center"/>
          </w:tcPr>
          <w:p w14:paraId="270F8CF0">
            <w:pPr>
              <w:pStyle w:val="178"/>
            </w:pPr>
            <w:r>
              <w:rPr>
                <w:rFonts w:hint="eastAsia"/>
              </w:rPr>
              <w:t>指标</w:t>
            </w:r>
          </w:p>
        </w:tc>
      </w:tr>
      <w:tr w14:paraId="0806A9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vMerge w:val="restart"/>
            <w:tcBorders>
              <w:top w:val="single" w:color="auto" w:sz="8" w:space="0"/>
            </w:tcBorders>
            <w:shd w:val="clear" w:color="auto" w:fill="auto"/>
            <w:vAlign w:val="center"/>
          </w:tcPr>
          <w:p w14:paraId="51FF52A2">
            <w:pPr>
              <w:pStyle w:val="178"/>
            </w:pPr>
            <w:r>
              <w:rPr>
                <w:rFonts w:hint="eastAsia"/>
              </w:rPr>
              <w:t>感官要求</w:t>
            </w:r>
          </w:p>
        </w:tc>
        <w:tc>
          <w:tcPr>
            <w:tcW w:w="6934" w:type="dxa"/>
            <w:tcBorders>
              <w:top w:val="single" w:color="auto" w:sz="8" w:space="0"/>
            </w:tcBorders>
            <w:shd w:val="clear" w:color="auto" w:fill="auto"/>
            <w:vAlign w:val="center"/>
          </w:tcPr>
          <w:p w14:paraId="4B11E18D">
            <w:pPr>
              <w:pStyle w:val="178"/>
            </w:pPr>
            <w:r>
              <w:rPr>
                <w:rFonts w:hint="eastAsia"/>
              </w:rPr>
              <w:t>曲香味浓，无霉味、酸味，表面无霉菌</w:t>
            </w:r>
          </w:p>
        </w:tc>
      </w:tr>
      <w:tr w14:paraId="3D5B7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vMerge w:val="continue"/>
            <w:shd w:val="clear" w:color="auto" w:fill="auto"/>
            <w:vAlign w:val="center"/>
          </w:tcPr>
          <w:p w14:paraId="02AB0831">
            <w:pPr>
              <w:pStyle w:val="178"/>
            </w:pPr>
          </w:p>
        </w:tc>
        <w:tc>
          <w:tcPr>
            <w:tcW w:w="6934" w:type="dxa"/>
            <w:shd w:val="clear" w:color="auto" w:fill="auto"/>
            <w:vAlign w:val="center"/>
          </w:tcPr>
          <w:p w14:paraId="7665E051">
            <w:pPr>
              <w:pStyle w:val="178"/>
            </w:pPr>
            <w:r>
              <w:rPr>
                <w:rFonts w:hint="eastAsia"/>
              </w:rPr>
              <w:t>黄曲应为金黄色或黄褐色、曲香浓郁，具有浓烈的曲香味</w:t>
            </w:r>
          </w:p>
        </w:tc>
      </w:tr>
      <w:tr w14:paraId="344DA0E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vMerge w:val="continue"/>
            <w:shd w:val="clear" w:color="auto" w:fill="auto"/>
            <w:vAlign w:val="center"/>
          </w:tcPr>
          <w:p w14:paraId="79DE6B48">
            <w:pPr>
              <w:pStyle w:val="178"/>
            </w:pPr>
          </w:p>
        </w:tc>
        <w:tc>
          <w:tcPr>
            <w:tcW w:w="6934" w:type="dxa"/>
            <w:shd w:val="clear" w:color="auto" w:fill="auto"/>
            <w:vAlign w:val="center"/>
          </w:tcPr>
          <w:p w14:paraId="64C6A8FB">
            <w:pPr>
              <w:pStyle w:val="178"/>
            </w:pPr>
            <w:r>
              <w:rPr>
                <w:rFonts w:hint="eastAsia"/>
              </w:rPr>
              <w:t>白曲应为麦白色，有曲香味、生麦味</w:t>
            </w:r>
          </w:p>
        </w:tc>
      </w:tr>
      <w:tr w14:paraId="339D02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vMerge w:val="continue"/>
            <w:shd w:val="clear" w:color="auto" w:fill="auto"/>
            <w:vAlign w:val="center"/>
          </w:tcPr>
          <w:p w14:paraId="21222066">
            <w:pPr>
              <w:pStyle w:val="178"/>
            </w:pPr>
          </w:p>
        </w:tc>
        <w:tc>
          <w:tcPr>
            <w:tcW w:w="6934" w:type="dxa"/>
            <w:shd w:val="clear" w:color="auto" w:fill="auto"/>
            <w:vAlign w:val="center"/>
          </w:tcPr>
          <w:p w14:paraId="3541AD2A">
            <w:pPr>
              <w:pStyle w:val="56"/>
              <w:ind w:firstLine="420"/>
            </w:pPr>
            <w:r>
              <w:rPr>
                <w:rFonts w:hint="eastAsia"/>
              </w:rPr>
              <w:t>黑曲应为棕黑色，曲香味明显略有焦味。</w:t>
            </w:r>
          </w:p>
        </w:tc>
      </w:tr>
      <w:tr w14:paraId="555A95A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shd w:val="clear" w:color="auto" w:fill="auto"/>
            <w:vAlign w:val="center"/>
          </w:tcPr>
          <w:p w14:paraId="2970AF62">
            <w:pPr>
              <w:pStyle w:val="178"/>
            </w:pPr>
            <w:r>
              <w:rPr>
                <w:rFonts w:hint="eastAsia"/>
              </w:rPr>
              <w:t>黄曲</w:t>
            </w:r>
          </w:p>
        </w:tc>
        <w:tc>
          <w:tcPr>
            <w:tcW w:w="6934" w:type="dxa"/>
            <w:shd w:val="clear" w:color="auto" w:fill="auto"/>
            <w:vAlign w:val="center"/>
          </w:tcPr>
          <w:p w14:paraId="63051745">
            <w:pPr>
              <w:pStyle w:val="178"/>
            </w:pPr>
            <w:r>
              <w:rPr>
                <w:rFonts w:hint="eastAsia"/>
              </w:rPr>
              <w:t>80%</w:t>
            </w:r>
          </w:p>
        </w:tc>
      </w:tr>
      <w:tr w14:paraId="15C298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shd w:val="clear" w:color="auto" w:fill="auto"/>
            <w:vAlign w:val="center"/>
          </w:tcPr>
          <w:p w14:paraId="24FAC8EE">
            <w:pPr>
              <w:pStyle w:val="178"/>
            </w:pPr>
            <w:r>
              <w:rPr>
                <w:rFonts w:hint="eastAsia"/>
              </w:rPr>
              <w:t>白曲</w:t>
            </w:r>
          </w:p>
        </w:tc>
        <w:tc>
          <w:tcPr>
            <w:tcW w:w="6934" w:type="dxa"/>
            <w:shd w:val="clear" w:color="auto" w:fill="auto"/>
            <w:vAlign w:val="center"/>
          </w:tcPr>
          <w:p w14:paraId="43FB2B8D">
            <w:pPr>
              <w:pStyle w:val="178"/>
            </w:pPr>
            <w:r>
              <w:rPr>
                <w:rFonts w:hint="eastAsia"/>
              </w:rPr>
              <w:t>10%</w:t>
            </w:r>
          </w:p>
        </w:tc>
      </w:tr>
      <w:tr w14:paraId="42F9DB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400" w:type="dxa"/>
            <w:shd w:val="clear" w:color="auto" w:fill="auto"/>
            <w:vAlign w:val="center"/>
          </w:tcPr>
          <w:p w14:paraId="7A52C5EB">
            <w:pPr>
              <w:pStyle w:val="178"/>
            </w:pPr>
            <w:r>
              <w:rPr>
                <w:rFonts w:hint="eastAsia"/>
              </w:rPr>
              <w:t>黑曲</w:t>
            </w:r>
          </w:p>
        </w:tc>
        <w:tc>
          <w:tcPr>
            <w:tcW w:w="6934" w:type="dxa"/>
            <w:shd w:val="clear" w:color="auto" w:fill="auto"/>
            <w:vAlign w:val="center"/>
          </w:tcPr>
          <w:p w14:paraId="547FB970">
            <w:pPr>
              <w:pStyle w:val="178"/>
            </w:pPr>
            <w:r>
              <w:rPr>
                <w:rFonts w:hint="eastAsia"/>
              </w:rPr>
              <w:t>10%</w:t>
            </w:r>
          </w:p>
        </w:tc>
      </w:tr>
    </w:tbl>
    <w:p w14:paraId="7CFE866A">
      <w:pPr>
        <w:pStyle w:val="105"/>
        <w:spacing w:before="120" w:after="120"/>
      </w:pPr>
      <w:r>
        <w:rPr>
          <w:rFonts w:hint="eastAsia"/>
        </w:rPr>
        <w:t>贮存时间</w:t>
      </w:r>
    </w:p>
    <w:p w14:paraId="4B777FED">
      <w:pPr>
        <w:pStyle w:val="56"/>
        <w:ind w:firstLine="420"/>
      </w:pPr>
      <w:r>
        <w:rPr>
          <w:rFonts w:hint="eastAsia"/>
        </w:rPr>
        <w:t>拆曲后的曲块在干燥、通风、阴凉的仓库贮存，贮存时间4个月～6个月。</w:t>
      </w:r>
    </w:p>
    <w:p w14:paraId="30CE0B94">
      <w:pPr>
        <w:pStyle w:val="105"/>
        <w:spacing w:before="120" w:after="120"/>
      </w:pPr>
      <w:r>
        <w:rPr>
          <w:rFonts w:hint="eastAsia"/>
        </w:rPr>
        <w:t>磨曲</w:t>
      </w:r>
    </w:p>
    <w:p w14:paraId="15A17C8D">
      <w:pPr>
        <w:pStyle w:val="56"/>
        <w:ind w:firstLine="420"/>
      </w:pPr>
      <w:r>
        <w:rPr>
          <w:rFonts w:hint="eastAsia"/>
        </w:rPr>
        <w:t>磨曲时曲药储存期达到4个月～6个月，磨碎后的曲粉颗粒直径要求≤4 mm。</w:t>
      </w:r>
    </w:p>
    <w:p w14:paraId="164DF5BD">
      <w:pPr>
        <w:pStyle w:val="104"/>
        <w:spacing w:before="240" w:after="240"/>
      </w:pPr>
      <w:r>
        <w:rPr>
          <w:rFonts w:hint="eastAsia"/>
        </w:rPr>
        <w:t>生产加工卫生要求</w:t>
      </w:r>
    </w:p>
    <w:p w14:paraId="47D91AC4">
      <w:pPr>
        <w:pStyle w:val="56"/>
        <w:ind w:firstLine="420"/>
      </w:pPr>
      <w:r>
        <w:rPr>
          <w:rFonts w:hint="eastAsia"/>
        </w:rPr>
        <w:t>生产加工过程的卫生要求应符合GB 14881</w:t>
      </w:r>
      <w:r>
        <w:rPr>
          <w:rFonts w:hint="eastAsia"/>
          <w:lang w:val="en-US" w:eastAsia="zh-CN"/>
        </w:rPr>
        <w:t>及GB 2757</w:t>
      </w:r>
      <w:r>
        <w:rPr>
          <w:rFonts w:hint="eastAsia"/>
        </w:rPr>
        <w:t>的规定。</w:t>
      </w:r>
    </w:p>
    <w:p w14:paraId="3680BF83">
      <w:pPr>
        <w:pStyle w:val="104"/>
        <w:spacing w:before="240" w:after="240"/>
      </w:pPr>
      <w:r>
        <w:rPr>
          <w:rFonts w:hint="eastAsia"/>
        </w:rPr>
        <w:t>技术要求</w:t>
      </w:r>
    </w:p>
    <w:p w14:paraId="5757E4B1">
      <w:pPr>
        <w:pStyle w:val="56"/>
        <w:ind w:firstLine="420"/>
      </w:pPr>
      <w:r>
        <w:rPr>
          <w:rFonts w:hint="eastAsia"/>
        </w:rPr>
        <w:t>高温拐枣大曲的技术要求应符合表5的规定。</w:t>
      </w:r>
    </w:p>
    <w:p w14:paraId="5DAEE345">
      <w:pPr>
        <w:pStyle w:val="112"/>
        <w:spacing w:before="120" w:after="120"/>
      </w:pPr>
      <w:r>
        <w:rPr>
          <w:rFonts w:hint="eastAsia"/>
        </w:rPr>
        <w:t>技术要求</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14:paraId="3D700E9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72" w:type="dxa"/>
            <w:tcBorders>
              <w:top w:val="single" w:color="auto" w:sz="8" w:space="0"/>
              <w:bottom w:val="single" w:color="auto" w:sz="8" w:space="0"/>
            </w:tcBorders>
            <w:shd w:val="clear" w:color="auto" w:fill="auto"/>
            <w:vAlign w:val="center"/>
          </w:tcPr>
          <w:p w14:paraId="197AD967">
            <w:pPr>
              <w:pStyle w:val="178"/>
              <w:rPr>
                <w:rFonts w:hint="eastAsia"/>
              </w:rPr>
            </w:pPr>
            <w:r>
              <w:rPr>
                <w:rFonts w:hint="eastAsia"/>
              </w:rPr>
              <w:t>项目</w:t>
            </w:r>
          </w:p>
        </w:tc>
        <w:tc>
          <w:tcPr>
            <w:tcW w:w="4672" w:type="dxa"/>
            <w:tcBorders>
              <w:top w:val="single" w:color="auto" w:sz="8" w:space="0"/>
              <w:bottom w:val="single" w:color="auto" w:sz="8" w:space="0"/>
            </w:tcBorders>
            <w:shd w:val="clear" w:color="auto" w:fill="auto"/>
            <w:vAlign w:val="center"/>
          </w:tcPr>
          <w:p w14:paraId="18F300BD">
            <w:pPr>
              <w:pStyle w:val="178"/>
              <w:rPr>
                <w:rFonts w:hint="eastAsia"/>
              </w:rPr>
            </w:pPr>
            <w:r>
              <w:rPr>
                <w:rFonts w:hint="eastAsia"/>
              </w:rPr>
              <w:t>指标</w:t>
            </w:r>
          </w:p>
        </w:tc>
      </w:tr>
      <w:tr w14:paraId="35B1193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tcBorders>
              <w:top w:val="single" w:color="auto" w:sz="8" w:space="0"/>
            </w:tcBorders>
            <w:shd w:val="clear" w:color="auto" w:fill="auto"/>
            <w:vAlign w:val="center"/>
          </w:tcPr>
          <w:p w14:paraId="0EED0FC7">
            <w:pPr>
              <w:pStyle w:val="178"/>
              <w:rPr>
                <w:rFonts w:hint="eastAsia"/>
              </w:rPr>
            </w:pPr>
            <w:r>
              <w:rPr>
                <w:rFonts w:hint="eastAsia"/>
              </w:rPr>
              <w:t>水分，g/100g</w:t>
            </w:r>
          </w:p>
        </w:tc>
        <w:tc>
          <w:tcPr>
            <w:tcW w:w="4672" w:type="dxa"/>
            <w:tcBorders>
              <w:top w:val="single" w:color="auto" w:sz="8" w:space="0"/>
            </w:tcBorders>
            <w:shd w:val="clear" w:color="auto" w:fill="auto"/>
            <w:vAlign w:val="center"/>
          </w:tcPr>
          <w:p w14:paraId="3782F300">
            <w:pPr>
              <w:pStyle w:val="178"/>
              <w:rPr>
                <w:rFonts w:hint="eastAsia"/>
                <w:color w:val="auto"/>
                <w:highlight w:val="none"/>
              </w:rPr>
            </w:pPr>
            <w:r>
              <w:rPr>
                <w:rFonts w:hint="eastAsia"/>
                <w:color w:val="auto"/>
                <w:highlight w:val="none"/>
              </w:rPr>
              <w:t>≤13</w:t>
            </w:r>
          </w:p>
        </w:tc>
      </w:tr>
      <w:tr w14:paraId="1917E3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662076F7">
            <w:pPr>
              <w:pStyle w:val="178"/>
              <w:rPr>
                <w:rFonts w:hint="eastAsia"/>
              </w:rPr>
            </w:pPr>
            <w:r>
              <w:rPr>
                <w:rFonts w:hint="eastAsia"/>
              </w:rPr>
              <w:t>酸度，mmol/10g</w:t>
            </w:r>
          </w:p>
        </w:tc>
        <w:tc>
          <w:tcPr>
            <w:tcW w:w="4672" w:type="dxa"/>
            <w:shd w:val="clear" w:color="auto" w:fill="auto"/>
            <w:vAlign w:val="center"/>
          </w:tcPr>
          <w:p w14:paraId="0680DFD7">
            <w:pPr>
              <w:pStyle w:val="178"/>
              <w:rPr>
                <w:rFonts w:hint="eastAsia"/>
                <w:color w:val="auto"/>
                <w:highlight w:val="none"/>
              </w:rPr>
            </w:pPr>
            <w:r>
              <w:rPr>
                <w:rFonts w:hint="eastAsia"/>
                <w:color w:val="auto"/>
                <w:highlight w:val="none"/>
              </w:rPr>
              <w:t>≤2</w:t>
            </w:r>
          </w:p>
        </w:tc>
      </w:tr>
      <w:tr w14:paraId="2E3C5D7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4470CF96">
            <w:pPr>
              <w:pStyle w:val="178"/>
              <w:rPr>
                <w:rFonts w:hint="eastAsia"/>
              </w:rPr>
            </w:pPr>
            <w:r>
              <w:rPr>
                <w:rFonts w:hint="eastAsia"/>
              </w:rPr>
              <w:t>淀粉含量，g/100g</w:t>
            </w:r>
          </w:p>
        </w:tc>
        <w:tc>
          <w:tcPr>
            <w:tcW w:w="4672" w:type="dxa"/>
            <w:shd w:val="clear" w:color="auto" w:fill="auto"/>
            <w:vAlign w:val="center"/>
          </w:tcPr>
          <w:p w14:paraId="36D89797">
            <w:pPr>
              <w:pStyle w:val="178"/>
              <w:rPr>
                <w:rFonts w:hint="default" w:eastAsia="宋体"/>
                <w:color w:val="auto"/>
                <w:highlight w:val="none"/>
                <w:lang w:val="en-US" w:eastAsia="zh-CN"/>
              </w:rPr>
            </w:pPr>
            <w:r>
              <w:rPr>
                <w:rFonts w:hint="eastAsia"/>
                <w:color w:val="auto"/>
                <w:highlight w:val="none"/>
                <w:lang w:val="en-US" w:eastAsia="zh-CN"/>
              </w:rPr>
              <w:t>55～60</w:t>
            </w:r>
          </w:p>
        </w:tc>
      </w:tr>
      <w:tr w14:paraId="31048D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5CDB51E2">
            <w:pPr>
              <w:pStyle w:val="178"/>
              <w:rPr>
                <w:rFonts w:hint="eastAsia"/>
              </w:rPr>
            </w:pPr>
            <w:r>
              <w:rPr>
                <w:rFonts w:hint="eastAsia"/>
              </w:rPr>
              <w:t>发酵力，U</w:t>
            </w:r>
          </w:p>
        </w:tc>
        <w:tc>
          <w:tcPr>
            <w:tcW w:w="4672" w:type="dxa"/>
            <w:shd w:val="clear" w:color="auto" w:fill="auto"/>
            <w:vAlign w:val="center"/>
          </w:tcPr>
          <w:p w14:paraId="64E14442">
            <w:pPr>
              <w:pStyle w:val="178"/>
              <w:rPr>
                <w:rFonts w:hint="eastAsia"/>
                <w:color w:val="auto"/>
                <w:highlight w:val="none"/>
              </w:rPr>
            </w:pPr>
            <w:r>
              <w:rPr>
                <w:rFonts w:hint="eastAsia"/>
                <w:color w:val="auto"/>
                <w:highlight w:val="none"/>
              </w:rPr>
              <w:t>≥0.25</w:t>
            </w:r>
          </w:p>
        </w:tc>
      </w:tr>
      <w:tr w14:paraId="134016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16A86166">
            <w:pPr>
              <w:pStyle w:val="178"/>
              <w:rPr>
                <w:rFonts w:hint="eastAsia"/>
              </w:rPr>
            </w:pPr>
            <w:r>
              <w:rPr>
                <w:rFonts w:hint="eastAsia"/>
              </w:rPr>
              <w:t>液化力，U</w:t>
            </w:r>
          </w:p>
        </w:tc>
        <w:tc>
          <w:tcPr>
            <w:tcW w:w="4672" w:type="dxa"/>
            <w:shd w:val="clear" w:color="auto" w:fill="auto"/>
            <w:vAlign w:val="center"/>
          </w:tcPr>
          <w:p w14:paraId="54AD3110">
            <w:pPr>
              <w:pStyle w:val="178"/>
              <w:rPr>
                <w:rFonts w:hint="eastAsia"/>
                <w:color w:val="auto"/>
                <w:highlight w:val="none"/>
              </w:rPr>
            </w:pPr>
            <w:r>
              <w:rPr>
                <w:rFonts w:hint="eastAsia"/>
                <w:color w:val="auto"/>
                <w:highlight w:val="none"/>
              </w:rPr>
              <w:t>0.6～0.7</w:t>
            </w:r>
          </w:p>
        </w:tc>
      </w:tr>
      <w:tr w14:paraId="65DA11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53AFEBA2">
            <w:pPr>
              <w:pStyle w:val="178"/>
              <w:rPr>
                <w:rFonts w:hint="eastAsia"/>
              </w:rPr>
            </w:pPr>
            <w:r>
              <w:rPr>
                <w:rFonts w:hint="eastAsia"/>
              </w:rPr>
              <w:t>糖化力，U</w:t>
            </w:r>
          </w:p>
        </w:tc>
        <w:tc>
          <w:tcPr>
            <w:tcW w:w="4672" w:type="dxa"/>
            <w:shd w:val="clear" w:color="auto" w:fill="auto"/>
            <w:vAlign w:val="center"/>
          </w:tcPr>
          <w:p w14:paraId="1EEF8550">
            <w:pPr>
              <w:pStyle w:val="178"/>
              <w:rPr>
                <w:rFonts w:hint="eastAsia"/>
                <w:color w:val="auto"/>
                <w:highlight w:val="none"/>
              </w:rPr>
            </w:pPr>
            <w:r>
              <w:rPr>
                <w:rFonts w:hint="eastAsia"/>
                <w:color w:val="auto"/>
                <w:highlight w:val="none"/>
              </w:rPr>
              <w:t>150～300</w:t>
            </w:r>
          </w:p>
        </w:tc>
      </w:tr>
      <w:tr w14:paraId="58B479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14:paraId="70655CEB">
            <w:pPr>
              <w:pStyle w:val="178"/>
              <w:rPr>
                <w:rFonts w:hint="eastAsia"/>
              </w:rPr>
            </w:pPr>
            <w:r>
              <w:rPr>
                <w:rFonts w:hint="eastAsia"/>
              </w:rPr>
              <w:t>酯化力,g/L</w:t>
            </w:r>
          </w:p>
        </w:tc>
        <w:tc>
          <w:tcPr>
            <w:tcW w:w="4672" w:type="dxa"/>
            <w:shd w:val="clear" w:color="auto" w:fill="auto"/>
            <w:vAlign w:val="center"/>
          </w:tcPr>
          <w:p w14:paraId="7BAA8B71">
            <w:pPr>
              <w:pStyle w:val="178"/>
              <w:rPr>
                <w:rFonts w:hint="default" w:eastAsia="宋体"/>
                <w:color w:val="auto"/>
                <w:highlight w:val="none"/>
                <w:lang w:val="en-US" w:eastAsia="zh-CN"/>
              </w:rPr>
            </w:pPr>
            <w:r>
              <w:rPr>
                <w:rFonts w:hint="eastAsia"/>
                <w:color w:val="auto"/>
                <w:highlight w:val="none"/>
                <w:lang w:val="en-US" w:eastAsia="zh-CN"/>
              </w:rPr>
              <w:t>≥2.0</w:t>
            </w:r>
          </w:p>
        </w:tc>
      </w:tr>
    </w:tbl>
    <w:p w14:paraId="6EE4B980">
      <w:pPr>
        <w:pStyle w:val="104"/>
        <w:spacing w:before="240" w:after="240"/>
      </w:pPr>
      <w:r>
        <w:rPr>
          <w:rFonts w:hint="eastAsia"/>
        </w:rPr>
        <w:t>试验方法</w:t>
      </w:r>
    </w:p>
    <w:p w14:paraId="4A7748E3">
      <w:pPr>
        <w:pStyle w:val="56"/>
        <w:ind w:firstLine="420"/>
      </w:pPr>
      <w:r>
        <w:rPr>
          <w:rFonts w:hint="eastAsia"/>
        </w:rPr>
        <w:t>按QB/T 4257规定的方法检验。</w:t>
      </w:r>
    </w:p>
    <w:p w14:paraId="75EED4EF">
      <w:pPr>
        <w:pStyle w:val="104"/>
        <w:spacing w:before="240" w:after="240"/>
      </w:pPr>
      <w:r>
        <w:rPr>
          <w:rFonts w:hint="eastAsia"/>
        </w:rPr>
        <w:t>运输及贮存</w:t>
      </w:r>
    </w:p>
    <w:p w14:paraId="64763741">
      <w:pPr>
        <w:pStyle w:val="105"/>
        <w:spacing w:before="120" w:after="120"/>
      </w:pPr>
      <w:r>
        <w:rPr>
          <w:rFonts w:hint="eastAsia"/>
        </w:rPr>
        <w:t>运输</w:t>
      </w:r>
    </w:p>
    <w:p w14:paraId="653180E7">
      <w:pPr>
        <w:pStyle w:val="165"/>
      </w:pPr>
      <w:r>
        <w:rPr>
          <w:rFonts w:hint="eastAsia"/>
        </w:rPr>
        <w:t>运输时应轻卸轻放，码放整齐，不得挤压。</w:t>
      </w:r>
    </w:p>
    <w:p w14:paraId="0C171568">
      <w:pPr>
        <w:pStyle w:val="165"/>
      </w:pPr>
      <w:r>
        <w:rPr>
          <w:rFonts w:hint="eastAsia"/>
        </w:rPr>
        <w:t>应防止日晒、雨淋，并远离热源。不得与有毒有害、有异味、易挥发物质混装混运。</w:t>
      </w:r>
    </w:p>
    <w:p w14:paraId="6A6574BE">
      <w:pPr>
        <w:pStyle w:val="165"/>
      </w:pPr>
      <w:r>
        <w:rPr>
          <w:rFonts w:hint="eastAsia"/>
        </w:rPr>
        <w:t>运输工具应清洁、干燥，并定期清洗、消毒。</w:t>
      </w:r>
    </w:p>
    <w:p w14:paraId="2E14D043">
      <w:pPr>
        <w:pStyle w:val="105"/>
        <w:spacing w:before="120" w:after="120"/>
      </w:pPr>
      <w:r>
        <w:rPr>
          <w:rFonts w:hint="eastAsia"/>
        </w:rPr>
        <w:t>贮存</w:t>
      </w:r>
    </w:p>
    <w:p w14:paraId="0F72B01F">
      <w:pPr>
        <w:pStyle w:val="165"/>
      </w:pPr>
      <w:r>
        <w:rPr>
          <w:rFonts w:hint="eastAsia"/>
        </w:rPr>
        <w:t>应贮存于在干燥、通风、阴凉的仓库内。</w:t>
      </w:r>
    </w:p>
    <w:p w14:paraId="6F107469">
      <w:pPr>
        <w:pStyle w:val="165"/>
      </w:pPr>
      <w:r>
        <w:rPr>
          <w:rFonts w:hint="eastAsia"/>
        </w:rPr>
        <w:t>贮存过程中应防止鼠咬、虫蛀、防尘、防潮。</w:t>
      </w:r>
    </w:p>
    <w:p w14:paraId="35F41611">
      <w:pPr>
        <w:pStyle w:val="165"/>
      </w:pPr>
      <w:r>
        <w:rPr>
          <w:rFonts w:hint="eastAsia"/>
        </w:rPr>
        <w:t>不得与有毒、有害、有异味、易挥发物质混存。</w:t>
      </w:r>
    </w:p>
    <w:p w14:paraId="57AD5DB5">
      <w:pPr>
        <w:pStyle w:val="165"/>
        <w:sectPr>
          <w:headerReference r:id="rId13" w:type="default"/>
          <w:footerReference r:id="rId15" w:type="default"/>
          <w:headerReference r:id="rId14" w:type="even"/>
          <w:footerReference r:id="rId16" w:type="even"/>
          <w:pgSz w:w="11906" w:h="16838"/>
          <w:pgMar w:top="1928" w:right="1134" w:bottom="1134" w:left="1134" w:header="1418" w:footer="1134" w:gutter="284"/>
          <w:pgNumType w:start="1"/>
          <w:cols w:space="425" w:num="1"/>
          <w:formProt w:val="0"/>
          <w:docGrid w:linePitch="312" w:charSpace="0"/>
        </w:sectPr>
      </w:pPr>
    </w:p>
    <w:bookmarkEnd w:id="19"/>
    <w:p w14:paraId="30F0CC7C">
      <w:pPr>
        <w:pStyle w:val="198"/>
        <w:rPr>
          <w:vanish w:val="0"/>
        </w:rPr>
      </w:pPr>
      <w:bookmarkStart w:id="41" w:name="BookMark5"/>
    </w:p>
    <w:p w14:paraId="20E181D2">
      <w:pPr>
        <w:pStyle w:val="199"/>
        <w:rPr>
          <w:vanish w:val="0"/>
        </w:rPr>
      </w:pPr>
    </w:p>
    <w:p w14:paraId="063E27CA">
      <w:pPr>
        <w:pStyle w:val="76"/>
        <w:spacing w:after="120"/>
      </w:pPr>
      <w:r>
        <w:br w:type="textWrapping"/>
      </w:r>
      <w:r>
        <w:rPr>
          <w:rFonts w:hint="eastAsia"/>
        </w:rPr>
        <w:t>（规范性）</w:t>
      </w:r>
      <w:r>
        <w:br w:type="textWrapping"/>
      </w:r>
      <w:r>
        <w:rPr>
          <w:rFonts w:hint="eastAsia"/>
        </w:rPr>
        <w:t>制曲流程图</w:t>
      </w:r>
    </w:p>
    <w:p w14:paraId="19892356">
      <w:pPr>
        <w:pStyle w:val="211"/>
      </w:pPr>
      <w:r>
        <w:rPr>
          <w:rFonts w:hint="eastAsia"/>
        </w:rPr>
        <w:t>制曲流程图见图A.1所示。</w:t>
      </w:r>
    </w:p>
    <w:p w14:paraId="3D1D6180">
      <w:pPr>
        <w:pStyle w:val="56"/>
        <w:ind w:left="0" w:leftChars="0" w:firstLine="0" w:firstLineChars="0"/>
        <w:jc w:val="center"/>
      </w:pPr>
      <w:r>
        <w:drawing>
          <wp:inline distT="0" distB="0" distL="0" distR="0">
            <wp:extent cx="3980180" cy="2736215"/>
            <wp:effectExtent l="0" t="0" r="12700" b="6985"/>
            <wp:docPr id="12269262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926224" name="图片 1"/>
                    <pic:cNvPicPr>
                      <a:picLocks noChangeAspect="1"/>
                    </pic:cNvPicPr>
                  </pic:nvPicPr>
                  <pic:blipFill>
                    <a:blip r:embed="rId20"/>
                    <a:stretch>
                      <a:fillRect/>
                    </a:stretch>
                  </pic:blipFill>
                  <pic:spPr>
                    <a:xfrm>
                      <a:off x="0" y="0"/>
                      <a:ext cx="3980180" cy="2736215"/>
                    </a:xfrm>
                    <a:prstGeom prst="rect">
                      <a:avLst/>
                    </a:prstGeom>
                  </pic:spPr>
                </pic:pic>
              </a:graphicData>
            </a:graphic>
          </wp:inline>
        </w:drawing>
      </w:r>
    </w:p>
    <w:p w14:paraId="2B323B60">
      <w:pPr>
        <w:pStyle w:val="83"/>
        <w:spacing w:before="120" w:after="120"/>
      </w:pPr>
      <w:r>
        <w:rPr>
          <w:rFonts w:hint="eastAsia"/>
        </w:rPr>
        <w:t>制曲流程图</w:t>
      </w:r>
    </w:p>
    <w:bookmarkEnd w:id="41"/>
    <w:p w14:paraId="661691F6">
      <w:pPr>
        <w:pStyle w:val="56"/>
        <w:ind w:firstLine="0" w:firstLineChars="0"/>
        <w:jc w:val="center"/>
      </w:pPr>
      <w:bookmarkStart w:id="42" w:name="BookMark8"/>
      <w:r>
        <w:drawing>
          <wp:inline distT="0" distB="0" distL="0" distR="0">
            <wp:extent cx="1485900" cy="317500"/>
            <wp:effectExtent l="0" t="0" r="0" b="6350"/>
            <wp:docPr id="2070188573" name="图片 3"/>
            <wp:cNvGraphicFramePr/>
            <a:graphic xmlns:a="http://schemas.openxmlformats.org/drawingml/2006/main">
              <a:graphicData uri="http://schemas.openxmlformats.org/drawingml/2006/picture">
                <pic:pic xmlns:pic="http://schemas.openxmlformats.org/drawingml/2006/picture">
                  <pic:nvPicPr>
                    <pic:cNvPr id="2070188573" name="图片 3"/>
                    <pic:cNvPicPr/>
                  </pic:nvPicPr>
                  <pic:blipFill>
                    <a:blip r:embed="rId21">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bookmarkStart w:id="43" w:name="_GoBack"/>
      <w:bookmarkEnd w:id="43"/>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BCBBA">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76ECB">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1A4E64">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FE9EFA">
    <w:pPr>
      <w:pStyle w:val="51"/>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58CD7">
    <w:pPr>
      <w:pStyle w:val="52"/>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AF573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FA989E">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22565">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70F28">
    <w:pPr>
      <w:pStyle w:val="61"/>
    </w:pPr>
    <w:r>
      <w:fldChar w:fldCharType="begin"/>
    </w:r>
    <w:r>
      <w:instrText xml:space="preserve"> STYLEREF  标准文件_文件编号  \* MERGEFORMAT </w:instrText>
    </w:r>
    <w:r>
      <w:fldChar w:fldCharType="separate"/>
    </w:r>
    <w:r>
      <w:t>T/CS XXXX—2025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EEADE">
    <w:pPr>
      <w:pStyle w:val="62"/>
    </w:pPr>
    <w:r>
      <w:fldChar w:fldCharType="begin"/>
    </w:r>
    <w:r>
      <w:instrText xml:space="preserve"> STYLEREF  标准文件_文件编号 \* MERGEFORMAT </w:instrText>
    </w:r>
    <w:r>
      <w:fldChar w:fldCharType="separate"/>
    </w:r>
    <w:r>
      <w:t>T/CS XXXX—2025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97DAD">
    <w:pPr>
      <w:pStyle w:val="61"/>
    </w:pPr>
    <w:r>
      <w:fldChar w:fldCharType="begin"/>
    </w:r>
    <w:r>
      <w:instrText xml:space="preserve"> STYLEREF  标准文件_文件编号  \* MERGEFORMAT </w:instrText>
    </w:r>
    <w:r>
      <w:fldChar w:fldCharType="separate"/>
    </w:r>
    <w:r>
      <w:t>T/CS XXXX—2025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BE0F9">
    <w:pPr>
      <w:pStyle w:val="62"/>
    </w:pPr>
    <w:r>
      <w:fldChar w:fldCharType="begin"/>
    </w:r>
    <w:r>
      <w:instrText xml:space="preserve"> STYLEREF  标准文件_文件编号 \* MERGEFORMAT </w:instrText>
    </w:r>
    <w:r>
      <w:fldChar w:fldCharType="separate"/>
    </w:r>
    <w:r>
      <w:t>T/CS XXXX—2025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1" w:cryptProviderType="rsaAES" w:cryptAlgorithmClass="hash" w:cryptAlgorithmType="typeAny" w:cryptAlgorithmSid="14" w:cryptSpinCount="100000" w:hash="Dg2GX3V1bhepFrqfH3DIO0jdb/HObew81LJXD0RhS4sWcJmiy/6KI3ftmmEPPT41vbCFlSdC0NWJw85bay7rYA==" w:salt="nYzzukIi7bDxlDaXmFSHbA=="/>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70D8"/>
    <w:rsid w:val="0000040A"/>
    <w:rsid w:val="00000A94"/>
    <w:rsid w:val="00001972"/>
    <w:rsid w:val="00001D9A"/>
    <w:rsid w:val="00007B3A"/>
    <w:rsid w:val="0001033C"/>
    <w:rsid w:val="000107E0"/>
    <w:rsid w:val="00011FDE"/>
    <w:rsid w:val="00012FFD"/>
    <w:rsid w:val="00014162"/>
    <w:rsid w:val="00014340"/>
    <w:rsid w:val="00016A9C"/>
    <w:rsid w:val="0002060C"/>
    <w:rsid w:val="00022184"/>
    <w:rsid w:val="00022762"/>
    <w:rsid w:val="000238E0"/>
    <w:rsid w:val="000249DB"/>
    <w:rsid w:val="0002595E"/>
    <w:rsid w:val="000303C3"/>
    <w:rsid w:val="000331D3"/>
    <w:rsid w:val="000346A5"/>
    <w:rsid w:val="000359C3"/>
    <w:rsid w:val="00035A7D"/>
    <w:rsid w:val="00036179"/>
    <w:rsid w:val="000365ED"/>
    <w:rsid w:val="0004249A"/>
    <w:rsid w:val="00043282"/>
    <w:rsid w:val="00044286"/>
    <w:rsid w:val="00047F28"/>
    <w:rsid w:val="000503AA"/>
    <w:rsid w:val="000506A1"/>
    <w:rsid w:val="000515DD"/>
    <w:rsid w:val="00051855"/>
    <w:rsid w:val="0005265A"/>
    <w:rsid w:val="000539DD"/>
    <w:rsid w:val="00053BD3"/>
    <w:rsid w:val="000556AA"/>
    <w:rsid w:val="000556ED"/>
    <w:rsid w:val="00055FE2"/>
    <w:rsid w:val="0005616F"/>
    <w:rsid w:val="00060C2E"/>
    <w:rsid w:val="00061033"/>
    <w:rsid w:val="000619E9"/>
    <w:rsid w:val="000622D4"/>
    <w:rsid w:val="0006357D"/>
    <w:rsid w:val="00067F1E"/>
    <w:rsid w:val="00071CC0"/>
    <w:rsid w:val="00071CFC"/>
    <w:rsid w:val="00073156"/>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9B0"/>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7E4"/>
    <w:rsid w:val="000C7666"/>
    <w:rsid w:val="000D0A9C"/>
    <w:rsid w:val="000D1795"/>
    <w:rsid w:val="000D329A"/>
    <w:rsid w:val="000D4B9C"/>
    <w:rsid w:val="000D4EB6"/>
    <w:rsid w:val="000D753B"/>
    <w:rsid w:val="000E4C9E"/>
    <w:rsid w:val="000E6FD7"/>
    <w:rsid w:val="000E7144"/>
    <w:rsid w:val="000E7361"/>
    <w:rsid w:val="000F06E1"/>
    <w:rsid w:val="000F0E3C"/>
    <w:rsid w:val="000F19D5"/>
    <w:rsid w:val="000F4050"/>
    <w:rsid w:val="000F4AEA"/>
    <w:rsid w:val="000F67E9"/>
    <w:rsid w:val="00104926"/>
    <w:rsid w:val="00105FA2"/>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2071"/>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6071"/>
    <w:rsid w:val="00187A0B"/>
    <w:rsid w:val="00190087"/>
    <w:rsid w:val="001913C4"/>
    <w:rsid w:val="0019348F"/>
    <w:rsid w:val="00193A07"/>
    <w:rsid w:val="00194C95"/>
    <w:rsid w:val="00195C34"/>
    <w:rsid w:val="00196EF5"/>
    <w:rsid w:val="001A1A53"/>
    <w:rsid w:val="001A234A"/>
    <w:rsid w:val="001A4CF3"/>
    <w:rsid w:val="001A60E5"/>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3C7A"/>
    <w:rsid w:val="001F4816"/>
    <w:rsid w:val="001F69B4"/>
    <w:rsid w:val="001F77C7"/>
    <w:rsid w:val="00200183"/>
    <w:rsid w:val="00200333"/>
    <w:rsid w:val="0020107D"/>
    <w:rsid w:val="00201A0F"/>
    <w:rsid w:val="00202AA4"/>
    <w:rsid w:val="002031F7"/>
    <w:rsid w:val="002040E6"/>
    <w:rsid w:val="0020527B"/>
    <w:rsid w:val="00205F2C"/>
    <w:rsid w:val="00210B15"/>
    <w:rsid w:val="002142EA"/>
    <w:rsid w:val="00215087"/>
    <w:rsid w:val="00215989"/>
    <w:rsid w:val="00215ADD"/>
    <w:rsid w:val="002204BB"/>
    <w:rsid w:val="00221B79"/>
    <w:rsid w:val="00221C6B"/>
    <w:rsid w:val="002253A1"/>
    <w:rsid w:val="00225951"/>
    <w:rsid w:val="00225CF8"/>
    <w:rsid w:val="0022794E"/>
    <w:rsid w:val="00233D64"/>
    <w:rsid w:val="0023482A"/>
    <w:rsid w:val="002359CB"/>
    <w:rsid w:val="002363B9"/>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4FDA"/>
    <w:rsid w:val="00296193"/>
    <w:rsid w:val="0029649A"/>
    <w:rsid w:val="00296C66"/>
    <w:rsid w:val="00296EBE"/>
    <w:rsid w:val="0029734B"/>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D79"/>
    <w:rsid w:val="002B5779"/>
    <w:rsid w:val="002B7332"/>
    <w:rsid w:val="002B7F09"/>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DDC"/>
    <w:rsid w:val="002F7AF6"/>
    <w:rsid w:val="00300E63"/>
    <w:rsid w:val="00302F5F"/>
    <w:rsid w:val="0030441D"/>
    <w:rsid w:val="00306063"/>
    <w:rsid w:val="00307004"/>
    <w:rsid w:val="00313B85"/>
    <w:rsid w:val="0031535C"/>
    <w:rsid w:val="00317988"/>
    <w:rsid w:val="003221B4"/>
    <w:rsid w:val="0032258D"/>
    <w:rsid w:val="00322E62"/>
    <w:rsid w:val="00324D13"/>
    <w:rsid w:val="00324EDD"/>
    <w:rsid w:val="003331E4"/>
    <w:rsid w:val="00336C64"/>
    <w:rsid w:val="00337162"/>
    <w:rsid w:val="0034175B"/>
    <w:rsid w:val="0034194F"/>
    <w:rsid w:val="00344605"/>
    <w:rsid w:val="003474AA"/>
    <w:rsid w:val="00350D1D"/>
    <w:rsid w:val="00352C83"/>
    <w:rsid w:val="00352F1A"/>
    <w:rsid w:val="0036107C"/>
    <w:rsid w:val="003615D2"/>
    <w:rsid w:val="003641A0"/>
    <w:rsid w:val="003641ED"/>
    <w:rsid w:val="0036429C"/>
    <w:rsid w:val="00364A53"/>
    <w:rsid w:val="003654CB"/>
    <w:rsid w:val="00365AA9"/>
    <w:rsid w:val="00365F86"/>
    <w:rsid w:val="00365F87"/>
    <w:rsid w:val="00366E89"/>
    <w:rsid w:val="003705F4"/>
    <w:rsid w:val="00370D58"/>
    <w:rsid w:val="00371316"/>
    <w:rsid w:val="00374F11"/>
    <w:rsid w:val="00376713"/>
    <w:rsid w:val="00381815"/>
    <w:rsid w:val="003819AF"/>
    <w:rsid w:val="003820E9"/>
    <w:rsid w:val="00382DE7"/>
    <w:rsid w:val="00384FFC"/>
    <w:rsid w:val="00386057"/>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168"/>
    <w:rsid w:val="003F23D3"/>
    <w:rsid w:val="003F3F08"/>
    <w:rsid w:val="003F49F1"/>
    <w:rsid w:val="003F6062"/>
    <w:rsid w:val="003F6272"/>
    <w:rsid w:val="004002C3"/>
    <w:rsid w:val="00400E72"/>
    <w:rsid w:val="00401400"/>
    <w:rsid w:val="00404869"/>
    <w:rsid w:val="00405884"/>
    <w:rsid w:val="00407D39"/>
    <w:rsid w:val="0041477A"/>
    <w:rsid w:val="004167A3"/>
    <w:rsid w:val="00432DAA"/>
    <w:rsid w:val="00434305"/>
    <w:rsid w:val="00434EA9"/>
    <w:rsid w:val="00435DF7"/>
    <w:rsid w:val="0043741A"/>
    <w:rsid w:val="0044083F"/>
    <w:rsid w:val="004412E3"/>
    <w:rsid w:val="00441AE7"/>
    <w:rsid w:val="00445574"/>
    <w:rsid w:val="004467FB"/>
    <w:rsid w:val="00452D6B"/>
    <w:rsid w:val="00454484"/>
    <w:rsid w:val="0045517B"/>
    <w:rsid w:val="00463A7A"/>
    <w:rsid w:val="00463B77"/>
    <w:rsid w:val="00463C7B"/>
    <w:rsid w:val="004644A6"/>
    <w:rsid w:val="004659BD"/>
    <w:rsid w:val="00470775"/>
    <w:rsid w:val="004746B1"/>
    <w:rsid w:val="0047583F"/>
    <w:rsid w:val="00475DE8"/>
    <w:rsid w:val="004802AF"/>
    <w:rsid w:val="00481C44"/>
    <w:rsid w:val="00484936"/>
    <w:rsid w:val="00485C89"/>
    <w:rsid w:val="00486BE3"/>
    <w:rsid w:val="004905E4"/>
    <w:rsid w:val="00490A89"/>
    <w:rsid w:val="00490AB4"/>
    <w:rsid w:val="00492F02"/>
    <w:rsid w:val="004939AE"/>
    <w:rsid w:val="004A12DF"/>
    <w:rsid w:val="004A170B"/>
    <w:rsid w:val="004A1BA8"/>
    <w:rsid w:val="004A4B57"/>
    <w:rsid w:val="004A63FA"/>
    <w:rsid w:val="004A6A3D"/>
    <w:rsid w:val="004B0272"/>
    <w:rsid w:val="004B17FD"/>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15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A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780B"/>
    <w:rsid w:val="00541853"/>
    <w:rsid w:val="00543BDA"/>
    <w:rsid w:val="005441CC"/>
    <w:rsid w:val="005479DA"/>
    <w:rsid w:val="00547BCC"/>
    <w:rsid w:val="0055013B"/>
    <w:rsid w:val="00551F6F"/>
    <w:rsid w:val="00555044"/>
    <w:rsid w:val="0056130E"/>
    <w:rsid w:val="00561475"/>
    <w:rsid w:val="00562308"/>
    <w:rsid w:val="0056487B"/>
    <w:rsid w:val="00564FB9"/>
    <w:rsid w:val="00573D9E"/>
    <w:rsid w:val="005801E3"/>
    <w:rsid w:val="00581802"/>
    <w:rsid w:val="005836A8"/>
    <w:rsid w:val="0058409C"/>
    <w:rsid w:val="00584262"/>
    <w:rsid w:val="00586630"/>
    <w:rsid w:val="00587ADD"/>
    <w:rsid w:val="005937D3"/>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78E"/>
    <w:rsid w:val="006015CE"/>
    <w:rsid w:val="00604784"/>
    <w:rsid w:val="00606419"/>
    <w:rsid w:val="00607D29"/>
    <w:rsid w:val="00612952"/>
    <w:rsid w:val="00614CC1"/>
    <w:rsid w:val="00615A9D"/>
    <w:rsid w:val="00617387"/>
    <w:rsid w:val="006205D6"/>
    <w:rsid w:val="006252D8"/>
    <w:rsid w:val="006259BC"/>
    <w:rsid w:val="0062636B"/>
    <w:rsid w:val="00627295"/>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57632"/>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A62"/>
    <w:rsid w:val="00693962"/>
    <w:rsid w:val="006A07AA"/>
    <w:rsid w:val="006A25E5"/>
    <w:rsid w:val="006A2B46"/>
    <w:rsid w:val="006A336D"/>
    <w:rsid w:val="006A37B9"/>
    <w:rsid w:val="006A785D"/>
    <w:rsid w:val="006B2672"/>
    <w:rsid w:val="006B54BF"/>
    <w:rsid w:val="006B5F44"/>
    <w:rsid w:val="006B5F90"/>
    <w:rsid w:val="006B62E4"/>
    <w:rsid w:val="006C1BBA"/>
    <w:rsid w:val="006C2079"/>
    <w:rsid w:val="006C2FFD"/>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029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6FB"/>
    <w:rsid w:val="00765C43"/>
    <w:rsid w:val="00765EFB"/>
    <w:rsid w:val="00766BF7"/>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03D"/>
    <w:rsid w:val="007B5A3D"/>
    <w:rsid w:val="007B5B95"/>
    <w:rsid w:val="007B6032"/>
    <w:rsid w:val="007B68EA"/>
    <w:rsid w:val="007B7453"/>
    <w:rsid w:val="007C2D89"/>
    <w:rsid w:val="007C4593"/>
    <w:rsid w:val="007C5309"/>
    <w:rsid w:val="007C6069"/>
    <w:rsid w:val="007D06C4"/>
    <w:rsid w:val="007D1352"/>
    <w:rsid w:val="007D2508"/>
    <w:rsid w:val="007D2DAA"/>
    <w:rsid w:val="007D346A"/>
    <w:rsid w:val="007D422E"/>
    <w:rsid w:val="007D6518"/>
    <w:rsid w:val="007D76BD"/>
    <w:rsid w:val="007E0BF1"/>
    <w:rsid w:val="007F0ED8"/>
    <w:rsid w:val="007F0F63"/>
    <w:rsid w:val="007F60E9"/>
    <w:rsid w:val="007F61C0"/>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BF6"/>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516"/>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407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11F"/>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68"/>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7DE"/>
    <w:rsid w:val="009378DD"/>
    <w:rsid w:val="0094016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167"/>
    <w:rsid w:val="009908A3"/>
    <w:rsid w:val="009911AF"/>
    <w:rsid w:val="00991875"/>
    <w:rsid w:val="00991F92"/>
    <w:rsid w:val="00992985"/>
    <w:rsid w:val="00993889"/>
    <w:rsid w:val="0099551B"/>
    <w:rsid w:val="00995E2C"/>
    <w:rsid w:val="00996BD2"/>
    <w:rsid w:val="00997BF1"/>
    <w:rsid w:val="009A089C"/>
    <w:rsid w:val="009A118E"/>
    <w:rsid w:val="009A14C0"/>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267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5A67"/>
    <w:rsid w:val="00A30EFC"/>
    <w:rsid w:val="00A31984"/>
    <w:rsid w:val="00A32D73"/>
    <w:rsid w:val="00A3367B"/>
    <w:rsid w:val="00A33C67"/>
    <w:rsid w:val="00A3597D"/>
    <w:rsid w:val="00A36DD1"/>
    <w:rsid w:val="00A4006C"/>
    <w:rsid w:val="00A40091"/>
    <w:rsid w:val="00A4030F"/>
    <w:rsid w:val="00A41C79"/>
    <w:rsid w:val="00A41CB5"/>
    <w:rsid w:val="00A42CDF"/>
    <w:rsid w:val="00A442C6"/>
    <w:rsid w:val="00A4452E"/>
    <w:rsid w:val="00A4472C"/>
    <w:rsid w:val="00A44E69"/>
    <w:rsid w:val="00A4661E"/>
    <w:rsid w:val="00A55BD6"/>
    <w:rsid w:val="00A55D50"/>
    <w:rsid w:val="00A55EB7"/>
    <w:rsid w:val="00A57142"/>
    <w:rsid w:val="00A648CD"/>
    <w:rsid w:val="00A6537A"/>
    <w:rsid w:val="00A67866"/>
    <w:rsid w:val="00A67AB9"/>
    <w:rsid w:val="00A70B07"/>
    <w:rsid w:val="00A723F8"/>
    <w:rsid w:val="00A77CCB"/>
    <w:rsid w:val="00A83D8D"/>
    <w:rsid w:val="00A8446B"/>
    <w:rsid w:val="00A84699"/>
    <w:rsid w:val="00A8473F"/>
    <w:rsid w:val="00A857B5"/>
    <w:rsid w:val="00A862D6"/>
    <w:rsid w:val="00A8715E"/>
    <w:rsid w:val="00A9295B"/>
    <w:rsid w:val="00A93B09"/>
    <w:rsid w:val="00A952D7"/>
    <w:rsid w:val="00A963F7"/>
    <w:rsid w:val="00A96AD8"/>
    <w:rsid w:val="00AA052C"/>
    <w:rsid w:val="00AA149E"/>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C25"/>
    <w:rsid w:val="00AE070A"/>
    <w:rsid w:val="00AE101C"/>
    <w:rsid w:val="00AE197A"/>
    <w:rsid w:val="00AE2A69"/>
    <w:rsid w:val="00AE37E5"/>
    <w:rsid w:val="00AE5EB4"/>
    <w:rsid w:val="00AF0C18"/>
    <w:rsid w:val="00AF1158"/>
    <w:rsid w:val="00AF47C5"/>
    <w:rsid w:val="00AF5398"/>
    <w:rsid w:val="00B049AF"/>
    <w:rsid w:val="00B07242"/>
    <w:rsid w:val="00B10534"/>
    <w:rsid w:val="00B10FAB"/>
    <w:rsid w:val="00B113DB"/>
    <w:rsid w:val="00B11D8A"/>
    <w:rsid w:val="00B12981"/>
    <w:rsid w:val="00B147DD"/>
    <w:rsid w:val="00B156FD"/>
    <w:rsid w:val="00B21F61"/>
    <w:rsid w:val="00B23172"/>
    <w:rsid w:val="00B261F1"/>
    <w:rsid w:val="00B265BC"/>
    <w:rsid w:val="00B31FB1"/>
    <w:rsid w:val="00B33952"/>
    <w:rsid w:val="00B33C5E"/>
    <w:rsid w:val="00B342F4"/>
    <w:rsid w:val="00B34369"/>
    <w:rsid w:val="00B34DC2"/>
    <w:rsid w:val="00B378E5"/>
    <w:rsid w:val="00B41385"/>
    <w:rsid w:val="00B41926"/>
    <w:rsid w:val="00B4346D"/>
    <w:rsid w:val="00B440F4"/>
    <w:rsid w:val="00B447A5"/>
    <w:rsid w:val="00B460A6"/>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537C"/>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870D8"/>
    <w:rsid w:val="00C905FC"/>
    <w:rsid w:val="00C92D03"/>
    <w:rsid w:val="00C9319C"/>
    <w:rsid w:val="00C9435D"/>
    <w:rsid w:val="00C94DF2"/>
    <w:rsid w:val="00C96741"/>
    <w:rsid w:val="00CA2D1B"/>
    <w:rsid w:val="00CA375D"/>
    <w:rsid w:val="00CA467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2C34"/>
    <w:rsid w:val="00CD4092"/>
    <w:rsid w:val="00CD4A20"/>
    <w:rsid w:val="00CD4F28"/>
    <w:rsid w:val="00CD50A1"/>
    <w:rsid w:val="00CD519E"/>
    <w:rsid w:val="00CD7565"/>
    <w:rsid w:val="00CE0C4F"/>
    <w:rsid w:val="00CE30EA"/>
    <w:rsid w:val="00CF048A"/>
    <w:rsid w:val="00CF155A"/>
    <w:rsid w:val="00CF2947"/>
    <w:rsid w:val="00CF5204"/>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016E"/>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1A7D"/>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048F"/>
    <w:rsid w:val="00DF1961"/>
    <w:rsid w:val="00DF44DE"/>
    <w:rsid w:val="00E01138"/>
    <w:rsid w:val="00E02DFB"/>
    <w:rsid w:val="00E030F9"/>
    <w:rsid w:val="00E0311A"/>
    <w:rsid w:val="00E03138"/>
    <w:rsid w:val="00E062AF"/>
    <w:rsid w:val="00E06404"/>
    <w:rsid w:val="00E11A1F"/>
    <w:rsid w:val="00E11A85"/>
    <w:rsid w:val="00E122EE"/>
    <w:rsid w:val="00E12495"/>
    <w:rsid w:val="00E15CCD"/>
    <w:rsid w:val="00E202EF"/>
    <w:rsid w:val="00E210B5"/>
    <w:rsid w:val="00E210EB"/>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D10"/>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493D"/>
    <w:rsid w:val="00EA58D1"/>
    <w:rsid w:val="00EA61BC"/>
    <w:rsid w:val="00EA681A"/>
    <w:rsid w:val="00EA735B"/>
    <w:rsid w:val="00EB1E69"/>
    <w:rsid w:val="00EB2086"/>
    <w:rsid w:val="00EB31ED"/>
    <w:rsid w:val="00EB5EDF"/>
    <w:rsid w:val="00EB60FE"/>
    <w:rsid w:val="00EB74DB"/>
    <w:rsid w:val="00EC37BC"/>
    <w:rsid w:val="00EC5359"/>
    <w:rsid w:val="00EC562A"/>
    <w:rsid w:val="00ED067A"/>
    <w:rsid w:val="00ED2858"/>
    <w:rsid w:val="00ED2B50"/>
    <w:rsid w:val="00EE0350"/>
    <w:rsid w:val="00EE0719"/>
    <w:rsid w:val="00EE0E80"/>
    <w:rsid w:val="00EE613F"/>
    <w:rsid w:val="00EE659D"/>
    <w:rsid w:val="00EE7295"/>
    <w:rsid w:val="00EE7869"/>
    <w:rsid w:val="00EF054A"/>
    <w:rsid w:val="00EF3235"/>
    <w:rsid w:val="00EF6B14"/>
    <w:rsid w:val="00EF7E72"/>
    <w:rsid w:val="00F0527C"/>
    <w:rsid w:val="00F06D37"/>
    <w:rsid w:val="00F07B9D"/>
    <w:rsid w:val="00F11586"/>
    <w:rsid w:val="00F1183B"/>
    <w:rsid w:val="00F11C9F"/>
    <w:rsid w:val="00F12263"/>
    <w:rsid w:val="00F13185"/>
    <w:rsid w:val="00F1409D"/>
    <w:rsid w:val="00F14214"/>
    <w:rsid w:val="00F157A9"/>
    <w:rsid w:val="00F16F00"/>
    <w:rsid w:val="00F25BB6"/>
    <w:rsid w:val="00F25D9A"/>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496"/>
    <w:rsid w:val="00F6194E"/>
    <w:rsid w:val="00F623AC"/>
    <w:rsid w:val="00F6412A"/>
    <w:rsid w:val="00F65893"/>
    <w:rsid w:val="00F65DA5"/>
    <w:rsid w:val="00F66A4A"/>
    <w:rsid w:val="00F66A6D"/>
    <w:rsid w:val="00F71E22"/>
    <w:rsid w:val="00F72142"/>
    <w:rsid w:val="00F72AE7"/>
    <w:rsid w:val="00F833BA"/>
    <w:rsid w:val="00F84FD0"/>
    <w:rsid w:val="00F859A8"/>
    <w:rsid w:val="00F86D87"/>
    <w:rsid w:val="00F9108B"/>
    <w:rsid w:val="00F91349"/>
    <w:rsid w:val="00F93A8A"/>
    <w:rsid w:val="00F94313"/>
    <w:rsid w:val="00F95248"/>
    <w:rsid w:val="00F956A9"/>
    <w:rsid w:val="00F963ED"/>
    <w:rsid w:val="00F966CF"/>
    <w:rsid w:val="00F96CAE"/>
    <w:rsid w:val="00F97C99"/>
    <w:rsid w:val="00FA4992"/>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1288"/>
    <w:rsid w:val="00FF3E7D"/>
    <w:rsid w:val="00FF5B99"/>
    <w:rsid w:val="00FF730C"/>
    <w:rsid w:val="00FF73F4"/>
    <w:rsid w:val="00FF7CE4"/>
    <w:rsid w:val="00FF7E39"/>
    <w:rsid w:val="02144C17"/>
    <w:rsid w:val="04B829AA"/>
    <w:rsid w:val="11BB441A"/>
    <w:rsid w:val="15D346A7"/>
    <w:rsid w:val="1D7C130D"/>
    <w:rsid w:val="3EBB0897"/>
    <w:rsid w:val="3F5E6431"/>
    <w:rsid w:val="41193156"/>
    <w:rsid w:val="421F0D02"/>
    <w:rsid w:val="6F2A4AF9"/>
    <w:rsid w:val="77505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4.jpeg"/><Relationship Id="rId20" Type="http://schemas.openxmlformats.org/officeDocument/2006/relationships/image" Target="media/image3.png"/><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3B0DCD5032845089BC283149F35BE2A"/>
        <w:style w:val=""/>
        <w:category>
          <w:name w:val="常规"/>
          <w:gallery w:val="placeholder"/>
        </w:category>
        <w:types>
          <w:type w:val="bbPlcHdr"/>
        </w:types>
        <w:behaviors>
          <w:behavior w:val="content"/>
        </w:behaviors>
        <w:description w:val=""/>
        <w:guid w:val="{5A1EF4A1-3A20-41B6-9CB5-3B8BFC1ACFF1}"/>
      </w:docPartPr>
      <w:docPartBody>
        <w:p w14:paraId="1A7F670C">
          <w:pPr>
            <w:pStyle w:val="5"/>
          </w:pPr>
          <w:r>
            <w:rPr>
              <w:rStyle w:val="4"/>
              <w:rFonts w:hint="eastAsia"/>
            </w:rPr>
            <w:t>单击或点击此处输入文字。</w:t>
          </w:r>
        </w:p>
      </w:docPartBody>
    </w:docPart>
    <w:docPart>
      <w:docPartPr>
        <w:name w:val="56EC0AA4041C4070A96D5D1EA78BF5F3"/>
        <w:style w:val=""/>
        <w:category>
          <w:name w:val="常规"/>
          <w:gallery w:val="placeholder"/>
        </w:category>
        <w:types>
          <w:type w:val="bbPlcHdr"/>
        </w:types>
        <w:behaviors>
          <w:behavior w:val="content"/>
        </w:behaviors>
        <w:description w:val=""/>
        <w:guid w:val="{3E77688C-F41E-4F10-A127-8416D50BAB31}"/>
      </w:docPartPr>
      <w:docPartBody>
        <w:p w14:paraId="13CED3EE">
          <w:pPr>
            <w:pStyle w:val="6"/>
          </w:pPr>
          <w:r>
            <w:rPr>
              <w:rStyle w:val="4"/>
              <w:rFonts w:hint="eastAsia"/>
            </w:rPr>
            <w:t>选择一项。</w:t>
          </w:r>
        </w:p>
      </w:docPartBody>
    </w:docPart>
    <w:docPart>
      <w:docPartPr>
        <w:name w:val="EAF844F5239044378963083767721F4F"/>
        <w:style w:val=""/>
        <w:category>
          <w:name w:val="常规"/>
          <w:gallery w:val="placeholder"/>
        </w:category>
        <w:types>
          <w:type w:val="bbPlcHdr"/>
        </w:types>
        <w:behaviors>
          <w:behavior w:val="content"/>
        </w:behaviors>
        <w:description w:val=""/>
        <w:guid w:val="{50264456-05F8-40CE-91B2-FEE7C0271646}"/>
      </w:docPartPr>
      <w:docPartBody>
        <w:p w14:paraId="7DD149E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B6D"/>
    <w:rsid w:val="00153AB9"/>
    <w:rsid w:val="002B7F09"/>
    <w:rsid w:val="002C5BE0"/>
    <w:rsid w:val="005A04F2"/>
    <w:rsid w:val="006139EC"/>
    <w:rsid w:val="006C2FFD"/>
    <w:rsid w:val="008836D7"/>
    <w:rsid w:val="008D211F"/>
    <w:rsid w:val="009F2675"/>
    <w:rsid w:val="00BA5EEA"/>
    <w:rsid w:val="00BF537C"/>
    <w:rsid w:val="00C04B6D"/>
    <w:rsid w:val="00D62768"/>
    <w:rsid w:val="00DE2BA3"/>
    <w:rsid w:val="00E062AF"/>
    <w:rsid w:val="00E11A1F"/>
    <w:rsid w:val="00EC37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3B0DCD5032845089BC283149F35BE2A"/>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56EC0AA4041C4070A96D5D1EA78BF5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EAF844F5239044378963083767721F4F"/>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8A5CD7-D491-477F-947E-3A4CA6A9A3F5}">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9</Pages>
  <Words>2843</Words>
  <Characters>3234</Characters>
  <Lines>27</Lines>
  <Paragraphs>7</Paragraphs>
  <TotalTime>13</TotalTime>
  <ScaleCrop>false</ScaleCrop>
  <LinksUpToDate>false</LinksUpToDate>
  <CharactersWithSpaces>3365</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2025-02-25T06:38:00Z</dcterms:created>
  <dc:creator>lenovo</dc:creator>
  <dc:description>&lt;config cover="true" show_menu="true" version="1.0.0" doctype="SDKXY"&gt;_x000d_
&lt;/config&gt;</dc:description>
  <cp:lastModifiedBy>吴赫川</cp:lastModifiedBy>
  <cp:lastPrinted>2021-02-02T08:22:00Z</cp:lastPrinted>
  <dcterms:modified xsi:type="dcterms:W3CDTF">2025-03-03T02:27:52Z</dcterms:modified>
  <dc:title>团体标准</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eyJoZGlkIjoiNzVmZmRmOTYzZTI1ZTQ2YzMxYTcyNzA0NWQ5M2E5NTgiLCJ1c2VySWQiOiI0NjE0ODEyMzMifQ==</vt:lpwstr>
  </property>
  <property fmtid="{D5CDD505-2E9C-101B-9397-08002B2CF9AE}" pid="16" name="KSOProductBuildVer">
    <vt:lpwstr>2052-12.1.0.20305</vt:lpwstr>
  </property>
  <property fmtid="{D5CDD505-2E9C-101B-9397-08002B2CF9AE}" pid="17" name="ICV">
    <vt:lpwstr>2EB2C443DD5D4DA88BF495514A395B46_12</vt:lpwstr>
  </property>
</Properties>
</file>