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54F4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C60FD31">
            <w:pPr>
              <w:pStyle w:val="18"/>
              <w:framePr w:wrap="notBeside" w:vAnchor="page" w:hAnchor="page" w:x="1372" w:y="568"/>
              <w:tabs>
                <w:tab w:val="clear" w:pos="4153"/>
                <w:tab w:val="clear" w:pos="8306"/>
              </w:tabs>
              <w:spacing w:line="240" w:lineRule="auto"/>
              <w:jc w:val="left"/>
              <w:rPr>
                <w:rFonts w:ascii="黑体" w:hAnsi="黑体" w:eastAsia="黑体"/>
                <w:sz w:val="21"/>
                <w:szCs w:val="21"/>
                <w:highlight w:val="none"/>
              </w:rPr>
            </w:pPr>
            <w:r>
              <w:rPr>
                <w:rFonts w:ascii="Times New Roman" w:hAnsi="Times New Roman" w:eastAsia="黑体"/>
                <w:sz w:val="21"/>
                <w:szCs w:val="21"/>
                <w:highlight w:val="none"/>
              </w:rPr>
              <w:t>ICS</w:t>
            </w:r>
            <w:r>
              <w:rPr>
                <w:rFonts w:ascii="黑体" w:hAnsi="黑体" w:eastAsia="黑体"/>
                <w:sz w:val="21"/>
                <w:szCs w:val="21"/>
                <w:highlight w:val="none"/>
              </w:rPr>
              <w:t xml:space="preserve">  </w:t>
            </w:r>
          </w:p>
        </w:tc>
        <w:tc>
          <w:tcPr>
            <w:tcW w:w="8855" w:type="dxa"/>
          </w:tcPr>
          <w:p w14:paraId="1FDE116D">
            <w:pPr>
              <w:pStyle w:val="18"/>
              <w:framePr w:wrap="notBeside" w:vAnchor="page" w:hAnchor="page" w:x="1372" w:y="568"/>
              <w:tabs>
                <w:tab w:val="clear" w:pos="4153"/>
                <w:tab w:val="clear" w:pos="8306"/>
              </w:tabs>
              <w:spacing w:line="240" w:lineRule="auto"/>
              <w:jc w:val="both"/>
              <w:rPr>
                <w:rFonts w:ascii="黑体" w:hAnsi="黑体" w:eastAsia="黑体"/>
                <w:sz w:val="21"/>
                <w:szCs w:val="21"/>
                <w:highlight w:val="none"/>
              </w:rPr>
            </w:pPr>
            <w:r>
              <w:rPr>
                <w:rFonts w:ascii="黑体" w:hAnsi="黑体" w:eastAsia="黑体"/>
                <w:sz w:val="21"/>
                <w:szCs w:val="21"/>
                <w:highlight w:val="none"/>
              </w:rPr>
              <w:fldChar w:fldCharType="begin">
                <w:ffData>
                  <w:name w:val="ICS"/>
                  <w:enabled/>
                  <w:calcOnExit w:val="0"/>
                  <w:textInput>
                    <w:default w:val="点击此处添加ICS号"/>
                  </w:textInput>
                </w:ffData>
              </w:fldChar>
            </w:r>
            <w:bookmarkStart w:id="0" w:name="ICS"/>
            <w:r>
              <w:rPr>
                <w:rFonts w:ascii="黑体" w:hAnsi="黑体" w:eastAsia="黑体"/>
                <w:sz w:val="21"/>
                <w:szCs w:val="21"/>
                <w:highlight w:val="none"/>
              </w:rPr>
              <w:instrText xml:space="preserve"> FORMTEXT </w:instrText>
            </w:r>
            <w:r>
              <w:rPr>
                <w:rFonts w:ascii="黑体" w:hAnsi="黑体" w:eastAsia="黑体"/>
                <w:sz w:val="21"/>
                <w:szCs w:val="21"/>
                <w:highlight w:val="none"/>
              </w:rPr>
              <w:fldChar w:fldCharType="separate"/>
            </w:r>
            <w:r>
              <w:rPr>
                <w:rFonts w:hint="eastAsia" w:ascii="黑体" w:hAnsi="黑体" w:eastAsia="黑体"/>
                <w:sz w:val="21"/>
                <w:szCs w:val="21"/>
                <w:highlight w:val="none"/>
              </w:rPr>
              <w:t>23.040</w:t>
            </w:r>
            <w:r>
              <w:rPr>
                <w:rFonts w:ascii="黑体" w:hAnsi="黑体" w:eastAsia="黑体"/>
                <w:sz w:val="21"/>
                <w:szCs w:val="21"/>
                <w:highlight w:val="none"/>
              </w:rPr>
              <w:fldChar w:fldCharType="end"/>
            </w:r>
            <w:bookmarkEnd w:id="0"/>
          </w:p>
        </w:tc>
      </w:tr>
      <w:tr w14:paraId="58989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D69AB1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highlight w:val="none"/>
              </w:rPr>
            </w:pPr>
            <w:r>
              <w:rPr>
                <w:rFonts w:ascii="Times New Roman" w:hAnsi="Times New Roman" w:eastAsia="黑体"/>
                <w:sz w:val="21"/>
                <w:szCs w:val="21"/>
                <w:highlight w:val="none"/>
              </w:rPr>
              <w:t xml:space="preserve">CCS </w:t>
            </w:r>
            <w:r>
              <w:rPr>
                <w:rFonts w:ascii="黑体" w:hAnsi="黑体" w:eastAsia="黑体"/>
                <w:sz w:val="21"/>
                <w:szCs w:val="21"/>
                <w:highlight w:val="none"/>
              </w:rPr>
              <w:t xml:space="preserve"> </w:t>
            </w:r>
          </w:p>
        </w:tc>
        <w:tc>
          <w:tcPr>
            <w:tcW w:w="8855" w:type="dxa"/>
          </w:tcPr>
          <w:p w14:paraId="09D557DE">
            <w:pPr>
              <w:pStyle w:val="18"/>
              <w:framePr w:wrap="notBeside" w:vAnchor="page" w:hAnchor="page" w:x="1372" w:y="568"/>
              <w:tabs>
                <w:tab w:val="clear" w:pos="4153"/>
                <w:tab w:val="clear" w:pos="8306"/>
              </w:tabs>
              <w:spacing w:before="40" w:line="240" w:lineRule="auto"/>
              <w:jc w:val="left"/>
              <w:rPr>
                <w:rFonts w:ascii="黑体" w:hAnsi="黑体" w:eastAsia="黑体"/>
                <w:sz w:val="21"/>
                <w:szCs w:val="21"/>
                <w:highlight w:val="none"/>
              </w:rPr>
            </w:pPr>
            <w:r>
              <w:rPr>
                <w:rFonts w:ascii="黑体" w:hAnsi="黑体" w:eastAsia="黑体"/>
                <w:sz w:val="21"/>
                <w:szCs w:val="21"/>
                <w:highlight w:val="none"/>
              </w:rPr>
              <w:fldChar w:fldCharType="begin">
                <w:ffData>
                  <w:name w:val="CSDN"/>
                  <w:enabled/>
                  <w:calcOnExit w:val="0"/>
                  <w:textInput>
                    <w:default w:val="点击此处添加CCS号"/>
                  </w:textInput>
                </w:ffData>
              </w:fldChar>
            </w:r>
            <w:bookmarkStart w:id="1" w:name="CSDN"/>
            <w:r>
              <w:rPr>
                <w:rFonts w:ascii="黑体" w:hAnsi="黑体" w:eastAsia="黑体"/>
                <w:sz w:val="21"/>
                <w:szCs w:val="21"/>
                <w:highlight w:val="none"/>
              </w:rPr>
              <w:instrText xml:space="preserve"> FORMTEXT </w:instrText>
            </w:r>
            <w:r>
              <w:rPr>
                <w:rFonts w:ascii="黑体" w:hAnsi="黑体" w:eastAsia="黑体"/>
                <w:sz w:val="21"/>
                <w:szCs w:val="21"/>
                <w:highlight w:val="none"/>
              </w:rPr>
              <w:fldChar w:fldCharType="separate"/>
            </w:r>
            <w:r>
              <w:rPr>
                <w:rFonts w:ascii="黑体" w:hAnsi="黑体" w:eastAsia="黑体"/>
                <w:sz w:val="21"/>
                <w:szCs w:val="21"/>
                <w:highlight w:val="none"/>
              </w:rPr>
              <w:t>G98</w:t>
            </w:r>
            <w:r>
              <w:rPr>
                <w:rFonts w:ascii="黑体" w:hAnsi="黑体" w:eastAsia="黑体"/>
                <w:sz w:val="21"/>
                <w:szCs w:val="21"/>
                <w:highlight w:val="none"/>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0AAF92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FE3C935">
            <w:pPr>
              <w:pStyle w:val="49"/>
              <w:framePr w:w="0" w:hRule="auto" w:wrap="auto" w:vAnchor="margin" w:hAnchor="text" w:xAlign="left" w:yAlign="inline"/>
              <w:rPr>
                <w:rFonts w:ascii="宋体" w:hAnsi="宋体"/>
                <w:sz w:val="28"/>
                <w:szCs w:val="28"/>
                <w:highlight w:val="none"/>
              </w:rPr>
            </w:pPr>
            <w:bookmarkStart w:id="2" w:name="_Hlk26473981"/>
            <w:r>
              <w:rPr>
                <w:highlight w:val="none"/>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highlight w:val="none"/>
              </w:rPr>
              <w:t xml:space="preserve"> </w:t>
            </w:r>
            <w:r>
              <w:rPr>
                <w:highlight w:val="none"/>
              </w:rPr>
              <w:fldChar w:fldCharType="begin">
                <w:ffData>
                  <w:name w:val="c1"/>
                  <w:enabled/>
                  <w:calcOnExit w:val="0"/>
                  <w:textInput>
                    <w:maxLength w:val="8"/>
                  </w:textInput>
                </w:ffData>
              </w:fldChar>
            </w:r>
            <w:bookmarkStart w:id="3" w:name="c1"/>
            <w:r>
              <w:rPr>
                <w:highlight w:val="none"/>
              </w:rPr>
              <w:instrText xml:space="preserve"> FORMTEXT </w:instrText>
            </w:r>
            <w:r>
              <w:rPr>
                <w:highlight w:val="none"/>
              </w:rPr>
              <w:fldChar w:fldCharType="separate"/>
            </w:r>
            <w:r>
              <w:rPr>
                <w:rFonts w:hint="eastAsia"/>
                <w:highlight w:val="none"/>
              </w:rPr>
              <w:t>14</w:t>
            </w:r>
            <w:r>
              <w:rPr>
                <w:highlight w:val="none"/>
              </w:rPr>
              <w:fldChar w:fldCharType="end"/>
            </w:r>
            <w:bookmarkEnd w:id="3"/>
          </w:p>
        </w:tc>
      </w:tr>
    </w:tbl>
    <w:p w14:paraId="0A253399">
      <w:pPr>
        <w:pStyle w:val="50"/>
        <w:framePr w:w="9639" w:h="624" w:hRule="exact" w:hSpace="181" w:vSpace="181" w:wrap="around" w:hAnchor="page" w:x="1305" w:y="2269"/>
        <w:rPr>
          <w:rFonts w:ascii="黑体" w:hAnsi="黑体" w:eastAsia="黑体"/>
          <w:b w:val="0"/>
          <w:bCs w:val="0"/>
          <w:w w:val="100"/>
          <w:sz w:val="48"/>
          <w:szCs w:val="48"/>
          <w:highlight w:val="none"/>
        </w:rPr>
      </w:pPr>
      <w:r>
        <w:rPr>
          <w:rFonts w:ascii="黑体" w:eastAsia="黑体"/>
          <w:b w:val="0"/>
          <w:w w:val="100"/>
          <w:sz w:val="48"/>
          <w:highlight w:val="none"/>
        </w:rPr>
        <w:fldChar w:fldCharType="begin">
          <w:ffData>
            <w:name w:val="c2"/>
            <w:enabled/>
            <w:calcOnExit w:val="0"/>
            <w:textInput/>
          </w:ffData>
        </w:fldChar>
      </w:r>
      <w:bookmarkStart w:id="4" w:name="c2"/>
      <w:r>
        <w:rPr>
          <w:rFonts w:ascii="黑体" w:eastAsia="黑体"/>
          <w:b w:val="0"/>
          <w:w w:val="100"/>
          <w:sz w:val="48"/>
          <w:highlight w:val="none"/>
        </w:rPr>
        <w:instrText xml:space="preserve"> FORMTEXT </w:instrText>
      </w:r>
      <w:r>
        <w:rPr>
          <w:rFonts w:ascii="黑体" w:eastAsia="黑体"/>
          <w:b w:val="0"/>
          <w:w w:val="100"/>
          <w:sz w:val="48"/>
          <w:highlight w:val="none"/>
        </w:rPr>
        <w:fldChar w:fldCharType="separate"/>
      </w:r>
      <w:r>
        <w:rPr>
          <w:rFonts w:ascii="黑体" w:eastAsia="黑体"/>
          <w:b w:val="0"/>
          <w:w w:val="100"/>
          <w:sz w:val="48"/>
          <w:highlight w:val="none"/>
        </w:rPr>
        <w:t>山</w:t>
      </w:r>
      <w:r>
        <w:rPr>
          <w:rFonts w:hint="eastAsia" w:ascii="黑体" w:eastAsia="黑体"/>
          <w:b w:val="0"/>
          <w:w w:val="100"/>
          <w:sz w:val="48"/>
          <w:highlight w:val="none"/>
        </w:rPr>
        <w:t>西省</w:t>
      </w:r>
      <w:r>
        <w:rPr>
          <w:rFonts w:ascii="黑体" w:eastAsia="黑体"/>
          <w:b w:val="0"/>
          <w:w w:val="100"/>
          <w:sz w:val="48"/>
          <w:highlight w:val="none"/>
        </w:rPr>
        <w:fldChar w:fldCharType="end"/>
      </w:r>
      <w:bookmarkEnd w:id="4"/>
      <w:r>
        <w:rPr>
          <w:rFonts w:hint="eastAsia" w:ascii="黑体" w:hAnsi="黑体" w:eastAsia="黑体"/>
          <w:b w:val="0"/>
          <w:bCs w:val="0"/>
          <w:w w:val="100"/>
          <w:sz w:val="48"/>
          <w:szCs w:val="48"/>
          <w:highlight w:val="none"/>
        </w:rPr>
        <w:t>地方标准</w:t>
      </w:r>
    </w:p>
    <w:bookmarkEnd w:id="2"/>
    <w:p w14:paraId="503933AC">
      <w:pPr>
        <w:pStyle w:val="195"/>
        <w:rPr>
          <w:rFonts w:hint="default" w:eastAsia="黑体"/>
          <w:highlight w:val="none"/>
          <w:lang w:val="en-US" w:eastAsia="zh-CN"/>
        </w:rPr>
      </w:pPr>
      <w:r>
        <w:rPr>
          <w:highlight w:val="none"/>
          <w:lang w:val="fr-FR"/>
        </w:rPr>
        <w:t>DB</w:t>
      </w:r>
      <w:r>
        <w:rPr>
          <w:sz w:val="15"/>
          <w:szCs w:val="15"/>
          <w:highlight w:val="none"/>
          <w:lang w:val="fr-FR"/>
        </w:rPr>
        <w:t xml:space="preserve"> </w:t>
      </w:r>
      <w:r>
        <w:rPr>
          <w:highlight w:val="none"/>
        </w:rPr>
        <w:fldChar w:fldCharType="begin">
          <w:ffData>
            <w:name w:val="文字1"/>
            <w:enabled/>
            <w:calcOnExit w:val="0"/>
            <w:textInput>
              <w:default w:val="XX/T"/>
            </w:textInput>
          </w:ffData>
        </w:fldChar>
      </w:r>
      <w:bookmarkStart w:id="5" w:name="文字1"/>
      <w:r>
        <w:rPr>
          <w:highlight w:val="none"/>
          <w:lang w:val="fr-FR"/>
        </w:rPr>
        <w:instrText xml:space="preserve"> FORMTEXT </w:instrText>
      </w:r>
      <w:r>
        <w:rPr>
          <w:highlight w:val="none"/>
        </w:rPr>
        <w:fldChar w:fldCharType="separate"/>
      </w:r>
      <w:r>
        <w:rPr>
          <w:rFonts w:hint="eastAsia"/>
          <w:highlight w:val="none"/>
          <w:lang w:val="fr-FR"/>
        </w:rPr>
        <w:t>14</w:t>
      </w:r>
      <w:r>
        <w:rPr>
          <w:highlight w:val="none"/>
          <w:lang w:val="fr-FR"/>
        </w:rPr>
        <w:t>/T</w:t>
      </w:r>
      <w:r>
        <w:rPr>
          <w:highlight w:val="none"/>
        </w:rPr>
        <w:fldChar w:fldCharType="end"/>
      </w:r>
      <w:bookmarkEnd w:id="5"/>
      <w:r>
        <w:rPr>
          <w:highlight w:val="none"/>
          <w:lang w:val="fr-FR"/>
        </w:rPr>
        <w:t xml:space="preserve"> </w:t>
      </w:r>
      <w:r>
        <w:rPr>
          <w:highlight w:val="none"/>
        </w:rPr>
        <w:fldChar w:fldCharType="begin">
          <w:ffData>
            <w:name w:val="NSTD_CODE_F"/>
            <w:enabled/>
            <w:calcOnExit w:val="0"/>
            <w:textInput>
              <w:default w:val="XXXX"/>
            </w:textInput>
          </w:ffData>
        </w:fldChar>
      </w:r>
      <w:bookmarkStart w:id="6" w:name="NSTD_CODE_F"/>
      <w:r>
        <w:rPr>
          <w:highlight w:val="none"/>
          <w:lang w:val="fr-FR"/>
        </w:rPr>
        <w:instrText xml:space="preserve"> FORMTEXT </w:instrText>
      </w:r>
      <w:r>
        <w:rPr>
          <w:highlight w:val="none"/>
        </w:rPr>
        <w:fldChar w:fldCharType="separate"/>
      </w:r>
      <w:r>
        <w:rPr>
          <w:highlight w:val="none"/>
        </w:rPr>
        <w:t>XXXX</w:t>
      </w:r>
      <w:r>
        <w:rPr>
          <w:highlight w:val="none"/>
        </w:rPr>
        <w:fldChar w:fldCharType="end"/>
      </w:r>
      <w:bookmarkEnd w:id="6"/>
      <w:r>
        <w:rPr>
          <w:rFonts w:hAnsi="黑体"/>
          <w:highlight w:val="none"/>
          <w:lang w:val="fr-FR"/>
        </w:rPr>
        <w:t>—</w:t>
      </w:r>
      <w:r>
        <w:rPr>
          <w:rFonts w:hint="eastAsia" w:hAnsi="黑体"/>
          <w:highlight w:val="none"/>
          <w:lang w:val="en-US" w:eastAsia="zh-CN"/>
        </w:rPr>
        <w:t>2025</w:t>
      </w:r>
    </w:p>
    <w:p w14:paraId="3D802513">
      <w:pPr>
        <w:pStyle w:val="196"/>
        <w:rPr>
          <w:rFonts w:hAnsi="黑体"/>
          <w:highlight w:val="none"/>
        </w:rPr>
      </w:pPr>
      <w:r>
        <w:rPr>
          <w:rFonts w:hAnsi="黑体"/>
          <w:highlight w:val="none"/>
        </w:rPr>
        <w:fldChar w:fldCharType="begin">
          <w:ffData>
            <w:name w:val="OSTD_CODE"/>
            <w:enabled/>
            <w:calcOnExit w:val="0"/>
            <w:textInput/>
          </w:ffData>
        </w:fldChar>
      </w:r>
      <w:bookmarkStart w:id="7" w:name="OSTD_CODE"/>
      <w:r>
        <w:rPr>
          <w:rFonts w:hAnsi="黑体"/>
          <w:highlight w:val="none"/>
        </w:rPr>
        <w:instrText xml:space="preserve"> FORMTEXT </w:instrText>
      </w:r>
      <w:r>
        <w:rPr>
          <w:rFonts w:hAnsi="黑体"/>
          <w:highlight w:val="none"/>
        </w:rPr>
        <w:fldChar w:fldCharType="separate"/>
      </w:r>
      <w:r>
        <w:rPr>
          <w:rFonts w:hAnsi="黑体"/>
          <w:highlight w:val="none"/>
        </w:rPr>
        <w:t>     </w:t>
      </w:r>
      <w:r>
        <w:rPr>
          <w:rFonts w:hAnsi="黑体"/>
          <w:highlight w:val="none"/>
        </w:rPr>
        <w:fldChar w:fldCharType="end"/>
      </w:r>
      <w:bookmarkEnd w:id="7"/>
    </w:p>
    <w:p w14:paraId="781B30B3">
      <w:pPr>
        <w:spacing w:line="240" w:lineRule="auto"/>
        <w:rPr>
          <w:rFonts w:ascii="黑体" w:hAnsi="黑体" w:eastAsia="黑体"/>
          <w:kern w:val="0"/>
          <w:sz w:val="10"/>
          <w:szCs w:val="10"/>
          <w:highlight w:val="none"/>
        </w:rPr>
      </w:pPr>
      <w:r>
        <w:rPr>
          <w:rFonts w:ascii="黑体" w:hAnsi="黑体" w:eastAsia="黑体"/>
          <w:kern w:val="0"/>
          <w:sz w:val="10"/>
          <w:szCs w:val="10"/>
          <w:highlight w:val="none"/>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6284B52">
      <w:pPr>
        <w:pStyle w:val="50"/>
        <w:framePr w:w="9639" w:h="6976" w:hRule="exact" w:hSpace="0" w:vSpace="0" w:wrap="around" w:hAnchor="page" w:y="6408"/>
        <w:jc w:val="center"/>
        <w:rPr>
          <w:rFonts w:ascii="黑体" w:hAnsi="黑体" w:eastAsia="黑体"/>
          <w:b w:val="0"/>
          <w:bCs w:val="0"/>
          <w:w w:val="100"/>
          <w:highlight w:val="none"/>
        </w:rPr>
      </w:pPr>
    </w:p>
    <w:p w14:paraId="12DE7237">
      <w:pPr>
        <w:pStyle w:val="197"/>
        <w:framePr w:h="6974" w:hRule="exact" w:wrap="around" w:x="1419" w:anchorLock="1"/>
        <w:rPr>
          <w:highlight w:val="none"/>
        </w:rPr>
      </w:pPr>
      <w:r>
        <w:rPr>
          <w:rFonts w:hint="eastAsia"/>
          <w:highlight w:val="none"/>
        </w:rPr>
        <w:t>撬装式承压设备系统安全技术规范</w:t>
      </w:r>
    </w:p>
    <w:p w14:paraId="7AD07142">
      <w:pPr>
        <w:framePr w:w="9639" w:h="6974" w:hRule="exact" w:wrap="around" w:vAnchor="page" w:hAnchor="page" w:x="1419" w:y="6408" w:anchorLock="1"/>
        <w:ind w:left="-1418"/>
        <w:rPr>
          <w:highlight w:val="none"/>
        </w:rPr>
      </w:pPr>
    </w:p>
    <w:p w14:paraId="2995E38B">
      <w:pPr>
        <w:pStyle w:val="125"/>
        <w:framePr w:w="9639" w:h="6974" w:hRule="exact" w:wrap="around" w:vAnchor="page" w:hAnchor="page" w:x="1419" w:y="6408" w:anchorLock="1"/>
        <w:textAlignment w:val="bottom"/>
        <w:rPr>
          <w:rFonts w:eastAsia="黑体"/>
          <w:szCs w:val="28"/>
          <w:highlight w:val="none"/>
        </w:rPr>
      </w:pPr>
      <w:r>
        <w:rPr>
          <w:rFonts w:eastAsia="黑体"/>
          <w:szCs w:val="28"/>
          <w:highlight w:val="none"/>
        </w:rPr>
        <w:fldChar w:fldCharType="begin">
          <w:ffData>
            <w:name w:val="ESTD_NAME"/>
            <w:enabled/>
            <w:calcOnExit w:val="0"/>
            <w:textInput>
              <w:default w:val="点击此处添加标准名称的英文译名"/>
            </w:textInput>
          </w:ffData>
        </w:fldChar>
      </w:r>
      <w:bookmarkStart w:id="8" w:name="ESTD_NAME"/>
      <w:r>
        <w:rPr>
          <w:rFonts w:eastAsia="黑体"/>
          <w:szCs w:val="28"/>
          <w:highlight w:val="none"/>
        </w:rPr>
        <w:instrText xml:space="preserve"> FORMTEXT </w:instrText>
      </w:r>
      <w:r>
        <w:rPr>
          <w:rFonts w:eastAsia="黑体"/>
          <w:szCs w:val="28"/>
          <w:highlight w:val="none"/>
        </w:rPr>
        <w:fldChar w:fldCharType="separate"/>
      </w:r>
      <w:r>
        <w:rPr>
          <w:rFonts w:hint="eastAsia" w:eastAsia="黑体"/>
          <w:szCs w:val="28"/>
          <w:highlight w:val="none"/>
        </w:rPr>
        <w:t>点击此处添加标准名称的英文译名</w:t>
      </w:r>
      <w:r>
        <w:rPr>
          <w:rFonts w:eastAsia="黑体"/>
          <w:szCs w:val="28"/>
          <w:highlight w:val="none"/>
        </w:rPr>
        <w:fldChar w:fldCharType="end"/>
      </w:r>
      <w:bookmarkEnd w:id="8"/>
    </w:p>
    <w:p w14:paraId="76471AFE">
      <w:pPr>
        <w:framePr w:w="9639" w:h="6974" w:hRule="exact" w:wrap="around" w:vAnchor="page" w:hAnchor="page" w:x="1419" w:y="6408" w:anchorLock="1"/>
        <w:spacing w:line="760" w:lineRule="exact"/>
        <w:ind w:left="-1418"/>
        <w:rPr>
          <w:highlight w:val="none"/>
        </w:rPr>
      </w:pPr>
    </w:p>
    <w:p w14:paraId="20E377C3">
      <w:pPr>
        <w:pStyle w:val="125"/>
        <w:framePr w:w="9639" w:h="6974" w:hRule="exact" w:wrap="around" w:vAnchor="page" w:hAnchor="page" w:x="1419" w:y="6408" w:anchorLock="1"/>
        <w:textAlignment w:val="bottom"/>
        <w:rPr>
          <w:rFonts w:eastAsia="黑体"/>
          <w:szCs w:val="28"/>
          <w:highlight w:val="none"/>
        </w:rPr>
      </w:pPr>
    </w:p>
    <w:p w14:paraId="5176467C">
      <w:pPr>
        <w:pStyle w:val="125"/>
        <w:framePr w:w="9639" w:h="6974" w:hRule="exact" w:wrap="around" w:vAnchor="page" w:hAnchor="page" w:x="1419" w:y="6408" w:anchorLock="1"/>
        <w:spacing w:before="440" w:after="160"/>
        <w:textAlignment w:val="bottom"/>
        <w:rPr>
          <w:rFonts w:hint="default"/>
          <w:sz w:val="24"/>
          <w:szCs w:val="28"/>
          <w:highlight w:val="none"/>
          <w:lang w:val="en-US"/>
        </w:rPr>
      </w:pPr>
      <w:r>
        <w:rPr>
          <w:rFonts w:hint="eastAsia" w:cs="Times New Roman"/>
          <w:sz w:val="24"/>
          <w:szCs w:val="28"/>
          <w:highlight w:val="none"/>
          <w:lang w:val="en-US" w:eastAsia="zh-CN" w:bidi="ar-SA"/>
        </w:rPr>
        <w:t>征求意见稿</w:t>
      </w:r>
    </w:p>
    <w:p w14:paraId="417AEA4C">
      <w:pPr>
        <w:pStyle w:val="125"/>
        <w:framePr w:w="9639" w:h="6974" w:hRule="exact" w:wrap="around" w:vAnchor="page" w:hAnchor="page" w:x="1419" w:y="6408" w:anchorLock="1"/>
        <w:spacing w:before="180" w:line="240" w:lineRule="atLeast"/>
        <w:textAlignment w:val="bottom"/>
        <w:rPr>
          <w:sz w:val="21"/>
          <w:szCs w:val="28"/>
          <w:highlight w:val="none"/>
        </w:rPr>
      </w:pPr>
      <w:r>
        <w:rPr>
          <w:sz w:val="21"/>
          <w:szCs w:val="28"/>
          <w:highlight w:val="none"/>
        </w:rPr>
        <w:fldChar w:fldCharType="begin">
          <w:ffData>
            <w:name w:val="CMPLSH_DATE"/>
            <w:enabled/>
            <w:calcOnExit w:val="0"/>
            <w:textInput/>
          </w:ffData>
        </w:fldChar>
      </w:r>
      <w:bookmarkStart w:id="9" w:name="CMPLSH_DATE"/>
      <w:r>
        <w:rPr>
          <w:sz w:val="21"/>
          <w:szCs w:val="28"/>
          <w:highlight w:val="none"/>
        </w:rPr>
        <w:instrText xml:space="preserve"> FORMTEXT </w:instrText>
      </w:r>
      <w:r>
        <w:rPr>
          <w:sz w:val="21"/>
          <w:szCs w:val="28"/>
          <w:highlight w:val="none"/>
        </w:rPr>
        <w:fldChar w:fldCharType="separate"/>
      </w:r>
      <w:r>
        <w:rPr>
          <w:rFonts w:hint="eastAsia"/>
          <w:sz w:val="21"/>
          <w:szCs w:val="28"/>
          <w:highlight w:val="none"/>
        </w:rPr>
        <w:t>（本草案完成时间：）</w:t>
      </w:r>
      <w:r>
        <w:rPr>
          <w:sz w:val="21"/>
          <w:szCs w:val="28"/>
          <w:highlight w:val="none"/>
        </w:rPr>
        <w:fldChar w:fldCharType="end"/>
      </w:r>
      <w:bookmarkEnd w:id="9"/>
    </w:p>
    <w:p w14:paraId="237B4AFD">
      <w:pPr>
        <w:pStyle w:val="125"/>
        <w:framePr w:w="9639" w:h="6974" w:hRule="exact" w:wrap="around" w:vAnchor="page" w:hAnchor="page" w:x="1419" w:y="6408" w:anchorLock="1"/>
        <w:spacing w:before="720" w:beforeLines="300" w:after="72" w:afterLines="30" w:line="240" w:lineRule="auto"/>
        <w:textAlignment w:val="bottom"/>
        <w:rPr>
          <w:b/>
          <w:sz w:val="21"/>
          <w:szCs w:val="28"/>
          <w:highlight w:val="none"/>
        </w:rPr>
      </w:pPr>
      <w:r>
        <w:rPr>
          <w:b/>
          <w:sz w:val="21"/>
          <w:szCs w:val="28"/>
          <w:highlight w:val="none"/>
        </w:rPr>
        <w:fldChar w:fldCharType="begin">
          <w:ffData>
            <w:name w:val="下拉2"/>
            <w:enabled/>
            <w:calcOnExit w:val="0"/>
            <w:ddList>
              <w:result w:val="1"/>
              <w:listEntry w:val=" "/>
              <w:listEntry w:val="在提交反馈意见时，请将您知道的相关专利连同支持性文件一并附上。"/>
            </w:ddList>
          </w:ffData>
        </w:fldChar>
      </w:r>
      <w:bookmarkStart w:id="10" w:name="下拉2"/>
      <w:r>
        <w:rPr>
          <w:b/>
          <w:sz w:val="21"/>
          <w:szCs w:val="28"/>
          <w:highlight w:val="none"/>
        </w:rPr>
        <w:instrText xml:space="preserve"> FORMDROPDOWN </w:instrText>
      </w:r>
      <w:r>
        <w:rPr>
          <w:b/>
          <w:sz w:val="21"/>
          <w:szCs w:val="28"/>
          <w:highlight w:val="none"/>
        </w:rPr>
        <w:fldChar w:fldCharType="separate"/>
      </w:r>
      <w:r>
        <w:rPr>
          <w:b/>
          <w:sz w:val="21"/>
          <w:szCs w:val="28"/>
          <w:highlight w:val="none"/>
        </w:rPr>
        <w:fldChar w:fldCharType="end"/>
      </w:r>
      <w:bookmarkEnd w:id="10"/>
    </w:p>
    <w:p w14:paraId="4BF89C88">
      <w:pPr>
        <w:pStyle w:val="193"/>
        <w:framePr w:wrap="around" w:y="14176"/>
        <w:rPr>
          <w:highlight w:val="none"/>
        </w:rPr>
      </w:pPr>
      <w:r>
        <w:rPr>
          <w:rFonts w:ascii="黑体"/>
          <w:highlight w:val="none"/>
        </w:rPr>
        <w:fldChar w:fldCharType="begin">
          <w:ffData>
            <w:name w:val="PLSH_DATE_Y"/>
            <w:enabled/>
            <w:calcOnExit w:val="0"/>
            <w:textInput>
              <w:default w:val="XXXX"/>
              <w:maxLength w:val="4"/>
            </w:textInput>
          </w:ffData>
        </w:fldChar>
      </w:r>
      <w:bookmarkStart w:id="11" w:name="PLSH_DATE_Y"/>
      <w:r>
        <w:rPr>
          <w:rFonts w:ascii="黑体"/>
          <w:highlight w:val="none"/>
        </w:rPr>
        <w:instrText xml:space="preserve"> FORMTEXT </w:instrText>
      </w:r>
      <w:r>
        <w:rPr>
          <w:rFonts w:ascii="黑体"/>
          <w:highlight w:val="none"/>
        </w:rPr>
        <w:fldChar w:fldCharType="separate"/>
      </w:r>
      <w:r>
        <w:rPr>
          <w:rFonts w:ascii="黑体"/>
          <w:highlight w:val="none"/>
        </w:rPr>
        <w:t>XXXX</w:t>
      </w:r>
      <w:r>
        <w:rPr>
          <w:rFonts w:ascii="黑体"/>
          <w:highlight w:val="none"/>
        </w:rPr>
        <w:fldChar w:fldCharType="end"/>
      </w:r>
      <w:bookmarkEnd w:id="11"/>
      <w:r>
        <w:rPr>
          <w:highlight w:val="none"/>
        </w:rPr>
        <w:t xml:space="preserve"> </w:t>
      </w:r>
      <w:r>
        <w:rPr>
          <w:rFonts w:ascii="黑体"/>
          <w:highlight w:val="none"/>
        </w:rPr>
        <w:t>-</w:t>
      </w:r>
      <w:r>
        <w:rPr>
          <w:highlight w:val="none"/>
        </w:rPr>
        <w:t xml:space="preserve"> </w:t>
      </w:r>
      <w:r>
        <w:rPr>
          <w:rFonts w:ascii="黑体"/>
          <w:highlight w:val="none"/>
        </w:rPr>
        <w:fldChar w:fldCharType="begin">
          <w:ffData>
            <w:name w:val="PLSH_DATE_M"/>
            <w:enabled/>
            <w:calcOnExit w:val="0"/>
            <w:textInput>
              <w:default w:val="XX"/>
              <w:maxLength w:val="2"/>
            </w:textInput>
          </w:ffData>
        </w:fldChar>
      </w:r>
      <w:bookmarkStart w:id="12" w:name="PLSH_DATE_M"/>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12"/>
      <w:r>
        <w:rPr>
          <w:highlight w:val="none"/>
        </w:rPr>
        <w:t xml:space="preserve"> </w:t>
      </w:r>
      <w:r>
        <w:rPr>
          <w:rFonts w:ascii="黑体"/>
          <w:highlight w:val="none"/>
        </w:rPr>
        <w:t>-</w:t>
      </w:r>
      <w:r>
        <w:rPr>
          <w:highlight w:val="none"/>
        </w:rPr>
        <w:t xml:space="preserve"> </w:t>
      </w:r>
      <w:r>
        <w:rPr>
          <w:rFonts w:ascii="黑体"/>
          <w:highlight w:val="none"/>
        </w:rPr>
        <w:fldChar w:fldCharType="begin">
          <w:ffData>
            <w:name w:val="PLSH_DATE_D"/>
            <w:enabled/>
            <w:calcOnExit w:val="0"/>
            <w:textInput>
              <w:default w:val="XX"/>
              <w:maxLength w:val="2"/>
            </w:textInput>
          </w:ffData>
        </w:fldChar>
      </w:r>
      <w:bookmarkStart w:id="13" w:name="PLSH_DATE_D"/>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13"/>
      <w:r>
        <w:rPr>
          <w:rFonts w:hint="eastAsia"/>
          <w:highlight w:val="none"/>
        </w:rPr>
        <w:t>发布</w:t>
      </w:r>
    </w:p>
    <w:p w14:paraId="1B99F855">
      <w:pPr>
        <w:pStyle w:val="194"/>
        <w:framePr w:wrap="around" w:y="14176"/>
        <w:rPr>
          <w:highlight w:val="none"/>
        </w:rPr>
      </w:pPr>
      <w:r>
        <w:rPr>
          <w:rFonts w:ascii="黑体"/>
          <w:highlight w:val="none"/>
        </w:rPr>
        <w:fldChar w:fldCharType="begin">
          <w:ffData>
            <w:name w:val="CROT_DATE_Y"/>
            <w:enabled/>
            <w:calcOnExit w:val="0"/>
            <w:textInput>
              <w:default w:val="XXXX"/>
              <w:maxLength w:val="4"/>
            </w:textInput>
          </w:ffData>
        </w:fldChar>
      </w:r>
      <w:bookmarkStart w:id="14" w:name="CROT_DATE_Y"/>
      <w:r>
        <w:rPr>
          <w:rFonts w:ascii="黑体"/>
          <w:highlight w:val="none"/>
        </w:rPr>
        <w:instrText xml:space="preserve"> FORMTEXT </w:instrText>
      </w:r>
      <w:r>
        <w:rPr>
          <w:rFonts w:ascii="黑体"/>
          <w:highlight w:val="none"/>
        </w:rPr>
        <w:fldChar w:fldCharType="separate"/>
      </w:r>
      <w:r>
        <w:rPr>
          <w:rFonts w:ascii="黑体"/>
          <w:highlight w:val="none"/>
        </w:rPr>
        <w:t>XXXX</w:t>
      </w:r>
      <w:r>
        <w:rPr>
          <w:rFonts w:ascii="黑体"/>
          <w:highlight w:val="none"/>
        </w:rPr>
        <w:fldChar w:fldCharType="end"/>
      </w:r>
      <w:bookmarkEnd w:id="14"/>
      <w:r>
        <w:rPr>
          <w:highlight w:val="none"/>
        </w:rPr>
        <w:t xml:space="preserve"> </w:t>
      </w:r>
      <w:r>
        <w:rPr>
          <w:rFonts w:ascii="黑体"/>
          <w:highlight w:val="none"/>
        </w:rPr>
        <w:t>-</w:t>
      </w:r>
      <w:r>
        <w:rPr>
          <w:highlight w:val="none"/>
        </w:rPr>
        <w:t xml:space="preserve"> </w:t>
      </w:r>
      <w:r>
        <w:rPr>
          <w:rFonts w:ascii="黑体"/>
          <w:highlight w:val="none"/>
        </w:rPr>
        <w:fldChar w:fldCharType="begin">
          <w:ffData>
            <w:name w:val="CROT_DATE_M"/>
            <w:enabled/>
            <w:calcOnExit w:val="0"/>
            <w:textInput>
              <w:default w:val="XX"/>
              <w:maxLength w:val="2"/>
            </w:textInput>
          </w:ffData>
        </w:fldChar>
      </w:r>
      <w:bookmarkStart w:id="15" w:name="CROT_DATE_M"/>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15"/>
      <w:r>
        <w:rPr>
          <w:highlight w:val="none"/>
        </w:rPr>
        <w:t xml:space="preserve"> </w:t>
      </w:r>
      <w:r>
        <w:rPr>
          <w:rFonts w:ascii="黑体"/>
          <w:highlight w:val="none"/>
        </w:rPr>
        <w:t>-</w:t>
      </w:r>
      <w:r>
        <w:rPr>
          <w:highlight w:val="none"/>
        </w:rPr>
        <w:t xml:space="preserve"> </w:t>
      </w:r>
      <w:r>
        <w:rPr>
          <w:rFonts w:ascii="黑体"/>
          <w:highlight w:val="none"/>
        </w:rPr>
        <w:fldChar w:fldCharType="begin">
          <w:ffData>
            <w:name w:val="CROT_DATE_D"/>
            <w:enabled/>
            <w:calcOnExit w:val="0"/>
            <w:textInput>
              <w:default w:val="XX"/>
              <w:maxLength w:val="2"/>
            </w:textInput>
          </w:ffData>
        </w:fldChar>
      </w:r>
      <w:bookmarkStart w:id="16" w:name="CROT_DATE_D"/>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16"/>
      <w:r>
        <w:rPr>
          <w:rFonts w:hint="eastAsia"/>
          <w:highlight w:val="none"/>
        </w:rPr>
        <w:t>实施</w:t>
      </w:r>
    </w:p>
    <w:p w14:paraId="7CD89012">
      <w:pPr>
        <w:pStyle w:val="151"/>
        <w:framePr w:h="584" w:hRule="exact" w:hSpace="181" w:vSpace="181" w:wrap="around" w:y="15027"/>
        <w:rPr>
          <w:rFonts w:hAnsi="黑体"/>
          <w:highlight w:val="none"/>
        </w:rPr>
      </w:pPr>
      <w:r>
        <w:rPr>
          <w:rFonts w:hAnsi="黑体"/>
          <w:w w:val="100"/>
          <w:sz w:val="28"/>
          <w:highlight w:val="none"/>
        </w:rPr>
        <w:fldChar w:fldCharType="begin">
          <w:ffData>
            <w:name w:val="fm"/>
            <w:enabled/>
            <w:calcOnExit w:val="0"/>
            <w:textInput/>
          </w:ffData>
        </w:fldChar>
      </w:r>
      <w:bookmarkStart w:id="17" w:name="fm"/>
      <w:r>
        <w:rPr>
          <w:rFonts w:hAnsi="黑体"/>
          <w:w w:val="100"/>
          <w:sz w:val="28"/>
          <w:highlight w:val="none"/>
        </w:rPr>
        <w:instrText xml:space="preserve"> FORMTEXT </w:instrText>
      </w:r>
      <w:r>
        <w:rPr>
          <w:rFonts w:hAnsi="黑体"/>
          <w:w w:val="100"/>
          <w:sz w:val="28"/>
          <w:highlight w:val="none"/>
        </w:rPr>
        <w:fldChar w:fldCharType="separate"/>
      </w:r>
      <w:r>
        <w:rPr>
          <w:rFonts w:hAnsi="黑体"/>
          <w:w w:val="100"/>
          <w:sz w:val="28"/>
          <w:highlight w:val="none"/>
        </w:rPr>
        <w:t>山</w:t>
      </w:r>
      <w:r>
        <w:rPr>
          <w:rFonts w:hint="eastAsia" w:hAnsi="黑体"/>
          <w:w w:val="100"/>
          <w:sz w:val="28"/>
          <w:highlight w:val="none"/>
        </w:rPr>
        <w:t>西省市场监督管理局</w:t>
      </w:r>
      <w:r>
        <w:rPr>
          <w:rFonts w:hAnsi="黑体"/>
          <w:w w:val="100"/>
          <w:sz w:val="28"/>
          <w:highlight w:val="none"/>
        </w:rPr>
        <w:fldChar w:fldCharType="end"/>
      </w:r>
      <w:bookmarkEnd w:id="17"/>
      <w:r>
        <w:rPr>
          <w:rFonts w:ascii="Times New Roman"/>
          <w:w w:val="100"/>
          <w:sz w:val="28"/>
          <w:highlight w:val="none"/>
        </w:rPr>
        <w:t>  </w:t>
      </w:r>
      <w:r>
        <w:rPr>
          <w:rStyle w:val="229"/>
          <w:rFonts w:hint="eastAsia" w:hAnsi="黑体"/>
          <w:position w:val="0"/>
          <w:highlight w:val="none"/>
        </w:rPr>
        <w:t>发</w:t>
      </w:r>
      <w:r>
        <w:rPr>
          <w:rStyle w:val="229"/>
          <w:rFonts w:hint="eastAsia" w:hAnsi="黑体"/>
          <w:spacing w:val="0"/>
          <w:position w:val="0"/>
          <w:highlight w:val="none"/>
        </w:rPr>
        <w:t>布</w:t>
      </w:r>
    </w:p>
    <w:p w14:paraId="3829210B">
      <w:pPr>
        <w:rPr>
          <w:rFonts w:ascii="宋体" w:hAnsi="宋体"/>
          <w:sz w:val="28"/>
          <w:szCs w:val="28"/>
          <w:highlight w:val="none"/>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highlight w:val="none"/>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755E063">
      <w:pPr>
        <w:pStyle w:val="91"/>
        <w:spacing w:after="468"/>
        <w:rPr>
          <w:highlight w:val="none"/>
        </w:rPr>
      </w:pPr>
      <w:bookmarkStart w:id="18" w:name="BookMark1"/>
      <w:bookmarkStart w:id="19" w:name="_Toc169271258"/>
      <w:bookmarkStart w:id="20" w:name="_Toc168561533"/>
      <w:bookmarkStart w:id="21" w:name="_Toc168560063"/>
      <w:bookmarkStart w:id="22" w:name="_Toc168561845"/>
      <w:bookmarkStart w:id="23" w:name="_Toc141781307"/>
      <w:bookmarkStart w:id="24" w:name="_Toc141781335"/>
      <w:bookmarkStart w:id="25" w:name="_Toc168557806"/>
      <w:bookmarkStart w:id="26" w:name="_Toc142979234"/>
      <w:bookmarkStart w:id="27" w:name="_Toc139958042"/>
      <w:r>
        <w:rPr>
          <w:rFonts w:hint="eastAsia"/>
          <w:spacing w:val="320"/>
          <w:highlight w:val="none"/>
        </w:rPr>
        <w:t>目</w:t>
      </w:r>
      <w:r>
        <w:rPr>
          <w:rFonts w:hint="eastAsia"/>
          <w:highlight w:val="none"/>
        </w:rPr>
        <w:t>次</w:t>
      </w:r>
    </w:p>
    <w:p w14:paraId="18AA98F1">
      <w:pPr>
        <w:pStyle w:val="19"/>
        <w:tabs>
          <w:tab w:val="right" w:leader="dot" w:pos="9344"/>
        </w:tabs>
        <w:rPr>
          <w:rFonts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TOC \o "1-1" \h </w:instrText>
      </w:r>
      <w:r>
        <w:rPr>
          <w:highlight w:val="none"/>
        </w:rPr>
        <w:fldChar w:fldCharType="separate"/>
      </w:r>
      <w:r>
        <w:rPr>
          <w:highlight w:val="none"/>
        </w:rPr>
        <w:fldChar w:fldCharType="begin"/>
      </w:r>
      <w:r>
        <w:rPr>
          <w:highlight w:val="none"/>
        </w:rPr>
        <w:instrText xml:space="preserve"> HYPERLINK \l "_Toc169275890" </w:instrText>
      </w:r>
      <w:r>
        <w:rPr>
          <w:highlight w:val="none"/>
        </w:rPr>
        <w:fldChar w:fldCharType="separate"/>
      </w:r>
      <w:r>
        <w:rPr>
          <w:rStyle w:val="32"/>
          <w:highlight w:val="none"/>
        </w:rPr>
        <w:t>前言</w:t>
      </w:r>
      <w:r>
        <w:rPr>
          <w:highlight w:val="none"/>
        </w:rPr>
        <w:tab/>
      </w:r>
      <w:r>
        <w:rPr>
          <w:highlight w:val="none"/>
        </w:rPr>
        <w:fldChar w:fldCharType="begin"/>
      </w:r>
      <w:r>
        <w:rPr>
          <w:highlight w:val="none"/>
        </w:rPr>
        <w:instrText xml:space="preserve"> PAGEREF _Toc169275890 \h </w:instrText>
      </w:r>
      <w:r>
        <w:rPr>
          <w:highlight w:val="none"/>
        </w:rPr>
        <w:fldChar w:fldCharType="separate"/>
      </w:r>
      <w:r>
        <w:rPr>
          <w:highlight w:val="none"/>
        </w:rPr>
        <w:t>II</w:t>
      </w:r>
      <w:r>
        <w:rPr>
          <w:highlight w:val="none"/>
        </w:rPr>
        <w:fldChar w:fldCharType="end"/>
      </w:r>
      <w:r>
        <w:rPr>
          <w:highlight w:val="none"/>
        </w:rPr>
        <w:fldChar w:fldCharType="end"/>
      </w:r>
    </w:p>
    <w:p w14:paraId="63BA24E6">
      <w:pPr>
        <w:pStyle w:val="19"/>
        <w:tabs>
          <w:tab w:val="right" w:leader="dot" w:pos="9344"/>
        </w:tabs>
        <w:rPr>
          <w:rFonts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"_Toc169275891" </w:instrText>
      </w:r>
      <w:r>
        <w:rPr>
          <w:highlight w:val="none"/>
        </w:rPr>
        <w:fldChar w:fldCharType="separate"/>
      </w:r>
      <w:r>
        <w:rPr>
          <w:rStyle w:val="32"/>
          <w:highlight w:val="none"/>
        </w:rPr>
        <w:t>1  范围</w:t>
      </w:r>
      <w:r>
        <w:rPr>
          <w:highlight w:val="none"/>
        </w:rPr>
        <w:tab/>
      </w:r>
      <w:r>
        <w:rPr>
          <w:highlight w:val="none"/>
        </w:rPr>
        <w:fldChar w:fldCharType="begin"/>
      </w:r>
      <w:r>
        <w:rPr>
          <w:highlight w:val="none"/>
        </w:rPr>
        <w:instrText xml:space="preserve"> PAGEREF _Toc169275891 \h </w:instrText>
      </w:r>
      <w:r>
        <w:rPr>
          <w:highlight w:val="none"/>
        </w:rPr>
        <w:fldChar w:fldCharType="separate"/>
      </w:r>
      <w:r>
        <w:rPr>
          <w:highlight w:val="none"/>
        </w:rPr>
        <w:t>1</w:t>
      </w:r>
      <w:r>
        <w:rPr>
          <w:highlight w:val="none"/>
        </w:rPr>
        <w:fldChar w:fldCharType="end"/>
      </w:r>
      <w:r>
        <w:rPr>
          <w:highlight w:val="none"/>
        </w:rPr>
        <w:fldChar w:fldCharType="end"/>
      </w:r>
    </w:p>
    <w:p w14:paraId="7726731A">
      <w:pPr>
        <w:pStyle w:val="19"/>
        <w:tabs>
          <w:tab w:val="right" w:leader="dot" w:pos="9344"/>
        </w:tabs>
        <w:rPr>
          <w:rFonts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"_Toc169275892" </w:instrText>
      </w:r>
      <w:r>
        <w:rPr>
          <w:highlight w:val="none"/>
        </w:rPr>
        <w:fldChar w:fldCharType="separate"/>
      </w:r>
      <w:r>
        <w:rPr>
          <w:rStyle w:val="32"/>
          <w:highlight w:val="none"/>
        </w:rPr>
        <w:t>2  规范性引用文件</w:t>
      </w:r>
      <w:r>
        <w:rPr>
          <w:highlight w:val="none"/>
        </w:rPr>
        <w:tab/>
      </w:r>
      <w:r>
        <w:rPr>
          <w:highlight w:val="none"/>
        </w:rPr>
        <w:fldChar w:fldCharType="begin"/>
      </w:r>
      <w:r>
        <w:rPr>
          <w:highlight w:val="none"/>
        </w:rPr>
        <w:instrText xml:space="preserve"> PAGEREF _Toc169275892 \h </w:instrText>
      </w:r>
      <w:r>
        <w:rPr>
          <w:highlight w:val="none"/>
        </w:rPr>
        <w:fldChar w:fldCharType="separate"/>
      </w:r>
      <w:r>
        <w:rPr>
          <w:highlight w:val="none"/>
        </w:rPr>
        <w:t>1</w:t>
      </w:r>
      <w:r>
        <w:rPr>
          <w:highlight w:val="none"/>
        </w:rPr>
        <w:fldChar w:fldCharType="end"/>
      </w:r>
      <w:r>
        <w:rPr>
          <w:highlight w:val="none"/>
        </w:rPr>
        <w:fldChar w:fldCharType="end"/>
      </w:r>
    </w:p>
    <w:p w14:paraId="191AADB3">
      <w:pPr>
        <w:pStyle w:val="19"/>
        <w:tabs>
          <w:tab w:val="right" w:leader="dot" w:pos="9344"/>
        </w:tabs>
        <w:rPr>
          <w:rFonts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"_Toc169275893" </w:instrText>
      </w:r>
      <w:r>
        <w:rPr>
          <w:highlight w:val="none"/>
        </w:rPr>
        <w:fldChar w:fldCharType="separate"/>
      </w:r>
      <w:r>
        <w:rPr>
          <w:rStyle w:val="32"/>
          <w:highlight w:val="none"/>
        </w:rPr>
        <w:t>3  术语和定义</w:t>
      </w:r>
      <w:r>
        <w:rPr>
          <w:highlight w:val="none"/>
        </w:rPr>
        <w:tab/>
      </w:r>
      <w:r>
        <w:rPr>
          <w:highlight w:val="none"/>
        </w:rPr>
        <w:fldChar w:fldCharType="begin"/>
      </w:r>
      <w:r>
        <w:rPr>
          <w:highlight w:val="none"/>
        </w:rPr>
        <w:instrText xml:space="preserve"> PAGEREF _Toc169275893 \h </w:instrText>
      </w:r>
      <w:r>
        <w:rPr>
          <w:highlight w:val="none"/>
        </w:rPr>
        <w:fldChar w:fldCharType="separate"/>
      </w:r>
      <w:r>
        <w:rPr>
          <w:highlight w:val="none"/>
        </w:rPr>
        <w:t>1</w:t>
      </w:r>
      <w:r>
        <w:rPr>
          <w:highlight w:val="none"/>
        </w:rPr>
        <w:fldChar w:fldCharType="end"/>
      </w:r>
      <w:r>
        <w:rPr>
          <w:highlight w:val="none"/>
        </w:rPr>
        <w:fldChar w:fldCharType="end"/>
      </w:r>
    </w:p>
    <w:p w14:paraId="2F866C3E">
      <w:pPr>
        <w:pStyle w:val="19"/>
        <w:tabs>
          <w:tab w:val="right" w:leader="dot" w:pos="9344"/>
        </w:tabs>
        <w:rPr>
          <w:rFonts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"_Toc169275894" </w:instrText>
      </w:r>
      <w:r>
        <w:rPr>
          <w:highlight w:val="none"/>
        </w:rPr>
        <w:fldChar w:fldCharType="separate"/>
      </w:r>
      <w:r>
        <w:rPr>
          <w:rStyle w:val="32"/>
          <w:highlight w:val="none"/>
        </w:rPr>
        <w:t>4  设计</w:t>
      </w:r>
      <w:r>
        <w:rPr>
          <w:highlight w:val="none"/>
        </w:rPr>
        <w:tab/>
      </w:r>
      <w:r>
        <w:rPr>
          <w:rFonts w:hint="eastAsia"/>
          <w:highlight w:val="none"/>
          <w:lang w:val="en-US" w:eastAsia="zh-CN"/>
        </w:rPr>
        <w:t>1</w:t>
      </w:r>
      <w:r>
        <w:rPr>
          <w:highlight w:val="none"/>
        </w:rPr>
        <w:fldChar w:fldCharType="end"/>
      </w:r>
    </w:p>
    <w:p w14:paraId="52F3538D">
      <w:pPr>
        <w:pStyle w:val="19"/>
        <w:tabs>
          <w:tab w:val="right" w:leader="dot" w:pos="9344"/>
        </w:tabs>
        <w:rPr>
          <w:rFonts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"_Toc169275895" </w:instrText>
      </w:r>
      <w:r>
        <w:rPr>
          <w:highlight w:val="none"/>
        </w:rPr>
        <w:fldChar w:fldCharType="separate"/>
      </w:r>
      <w:r>
        <w:rPr>
          <w:rStyle w:val="32"/>
          <w:highlight w:val="none"/>
        </w:rPr>
        <w:t>5  材料</w:t>
      </w:r>
      <w:r>
        <w:rPr>
          <w:highlight w:val="none"/>
        </w:rPr>
        <w:tab/>
      </w:r>
      <w:r>
        <w:rPr>
          <w:highlight w:val="none"/>
        </w:rPr>
        <w:fldChar w:fldCharType="begin"/>
      </w:r>
      <w:r>
        <w:rPr>
          <w:highlight w:val="none"/>
        </w:rPr>
        <w:instrText xml:space="preserve"> PAGEREF _Toc169275895 \h </w:instrText>
      </w:r>
      <w:r>
        <w:rPr>
          <w:highlight w:val="none"/>
        </w:rPr>
        <w:fldChar w:fldCharType="separate"/>
      </w:r>
      <w:r>
        <w:rPr>
          <w:highlight w:val="none"/>
        </w:rPr>
        <w:t>2</w:t>
      </w:r>
      <w:r>
        <w:rPr>
          <w:highlight w:val="none"/>
        </w:rPr>
        <w:fldChar w:fldCharType="end"/>
      </w:r>
      <w:r>
        <w:rPr>
          <w:highlight w:val="none"/>
        </w:rPr>
        <w:fldChar w:fldCharType="end"/>
      </w:r>
    </w:p>
    <w:p w14:paraId="5BD91792">
      <w:pPr>
        <w:pStyle w:val="19"/>
        <w:tabs>
          <w:tab w:val="right" w:leader="dot" w:pos="9344"/>
        </w:tabs>
        <w:rPr>
          <w:rFonts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"_Toc169275896" </w:instrText>
      </w:r>
      <w:r>
        <w:rPr>
          <w:highlight w:val="none"/>
        </w:rPr>
        <w:fldChar w:fldCharType="separate"/>
      </w:r>
      <w:r>
        <w:rPr>
          <w:rStyle w:val="32"/>
          <w:highlight w:val="none"/>
        </w:rPr>
        <w:t>6  制造</w:t>
      </w:r>
      <w:r>
        <w:rPr>
          <w:highlight w:val="none"/>
        </w:rPr>
        <w:tab/>
      </w:r>
      <w:r>
        <w:rPr>
          <w:highlight w:val="none"/>
        </w:rPr>
        <w:fldChar w:fldCharType="begin"/>
      </w:r>
      <w:r>
        <w:rPr>
          <w:highlight w:val="none"/>
        </w:rPr>
        <w:instrText xml:space="preserve"> PAGEREF _Toc169275896 \h </w:instrText>
      </w:r>
      <w:r>
        <w:rPr>
          <w:highlight w:val="none"/>
        </w:rPr>
        <w:fldChar w:fldCharType="separate"/>
      </w:r>
      <w:r>
        <w:rPr>
          <w:highlight w:val="none"/>
        </w:rPr>
        <w:t>3</w:t>
      </w:r>
      <w:r>
        <w:rPr>
          <w:highlight w:val="none"/>
        </w:rPr>
        <w:fldChar w:fldCharType="end"/>
      </w:r>
      <w:r>
        <w:rPr>
          <w:highlight w:val="none"/>
        </w:rPr>
        <w:fldChar w:fldCharType="end"/>
      </w:r>
    </w:p>
    <w:p w14:paraId="326A2397">
      <w:pPr>
        <w:pStyle w:val="19"/>
        <w:tabs>
          <w:tab w:val="right" w:leader="dot" w:pos="9344"/>
        </w:tabs>
        <w:rPr>
          <w:rFonts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"_Toc169275897" </w:instrText>
      </w:r>
      <w:r>
        <w:rPr>
          <w:highlight w:val="none"/>
        </w:rPr>
        <w:fldChar w:fldCharType="separate"/>
      </w:r>
      <w:r>
        <w:rPr>
          <w:rStyle w:val="32"/>
          <w:highlight w:val="none"/>
        </w:rPr>
        <w:t>7  使用管理</w:t>
      </w:r>
      <w:r>
        <w:rPr>
          <w:highlight w:val="none"/>
        </w:rPr>
        <w:tab/>
      </w:r>
      <w:bookmarkStart w:id="134" w:name="_GoBack"/>
      <w:bookmarkEnd w:id="134"/>
      <w:r>
        <w:rPr>
          <w:rFonts w:hint="eastAsia"/>
          <w:highlight w:val="none"/>
          <w:lang w:val="en-US" w:eastAsia="zh-CN"/>
        </w:rPr>
        <w:t>6</w:t>
      </w:r>
      <w:r>
        <w:rPr>
          <w:highlight w:val="none"/>
        </w:rPr>
        <w:fldChar w:fldCharType="end"/>
      </w:r>
    </w:p>
    <w:p w14:paraId="2CE432BF">
      <w:pPr>
        <w:pStyle w:val="19"/>
        <w:tabs>
          <w:tab w:val="right" w:leader="dot" w:pos="9344"/>
        </w:tabs>
        <w:rPr>
          <w:rFonts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"_Toc169275898" </w:instrText>
      </w:r>
      <w:r>
        <w:rPr>
          <w:highlight w:val="none"/>
        </w:rPr>
        <w:fldChar w:fldCharType="separate"/>
      </w:r>
      <w:r>
        <w:rPr>
          <w:rStyle w:val="32"/>
          <w:highlight w:val="none"/>
        </w:rPr>
        <w:t>参考文献</w:t>
      </w:r>
      <w:r>
        <w:rPr>
          <w:highlight w:val="none"/>
        </w:rPr>
        <w:tab/>
      </w:r>
      <w:r>
        <w:rPr>
          <w:rFonts w:hint="eastAsia"/>
          <w:highlight w:val="none"/>
          <w:lang w:val="en-US" w:eastAsia="zh-CN"/>
        </w:rPr>
        <w:t>8</w:t>
      </w:r>
      <w:r>
        <w:rPr>
          <w:highlight w:val="none"/>
        </w:rPr>
        <w:fldChar w:fldCharType="end"/>
      </w:r>
    </w:p>
    <w:p w14:paraId="680EF057">
      <w:pPr>
        <w:pStyle w:val="91"/>
        <w:spacing w:after="468"/>
        <w:rPr>
          <w:highlight w:val="none"/>
        </w:rPr>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rPr>
          <w:highlight w:val="none"/>
        </w:rPr>
        <w:fldChar w:fldCharType="end"/>
      </w:r>
    </w:p>
    <w:bookmarkEnd w:id="18"/>
    <w:p w14:paraId="23A24784">
      <w:pPr>
        <w:pStyle w:val="89"/>
        <w:spacing w:after="468"/>
        <w:rPr>
          <w:highlight w:val="none"/>
        </w:rPr>
      </w:pPr>
      <w:bookmarkStart w:id="28" w:name="_Toc169275890"/>
      <w:bookmarkStart w:id="29" w:name="BookMark2"/>
      <w:r>
        <w:rPr>
          <w:spacing w:val="320"/>
          <w:highlight w:val="none"/>
        </w:rPr>
        <w:t>前</w:t>
      </w:r>
      <w:r>
        <w:rPr>
          <w:highlight w:val="none"/>
        </w:rPr>
        <w:t>言</w:t>
      </w:r>
      <w:bookmarkEnd w:id="19"/>
      <w:bookmarkEnd w:id="20"/>
      <w:bookmarkEnd w:id="21"/>
      <w:bookmarkEnd w:id="22"/>
      <w:bookmarkEnd w:id="23"/>
      <w:bookmarkEnd w:id="24"/>
      <w:bookmarkEnd w:id="25"/>
      <w:bookmarkEnd w:id="26"/>
      <w:bookmarkEnd w:id="27"/>
      <w:bookmarkEnd w:id="28"/>
    </w:p>
    <w:p w14:paraId="239E5EA2">
      <w:pPr>
        <w:pStyle w:val="56"/>
        <w:ind w:firstLine="420"/>
        <w:rPr>
          <w:highlight w:val="none"/>
        </w:rPr>
      </w:pPr>
      <w:r>
        <w:rPr>
          <w:rFonts w:hint="eastAsia"/>
          <w:highlight w:val="none"/>
        </w:rPr>
        <w:t>本文件按照GB/T 1.1—2020《标准化工作导则  第1部分：标准化文件的结构和起草规则》的规定起草。</w:t>
      </w:r>
    </w:p>
    <w:p w14:paraId="0DA131DD">
      <w:pPr>
        <w:pStyle w:val="56"/>
        <w:ind w:firstLine="420"/>
        <w:rPr>
          <w:highlight w:val="none"/>
        </w:rPr>
      </w:pPr>
      <w:r>
        <w:rPr>
          <w:rFonts w:hint="eastAsia"/>
          <w:highlight w:val="none"/>
        </w:rPr>
        <w:t>本文件由山西省市场监督管理局提出、组织实施和监督检查。</w:t>
      </w:r>
    </w:p>
    <w:p w14:paraId="7C02A9EC">
      <w:pPr>
        <w:pStyle w:val="56"/>
        <w:ind w:firstLine="420"/>
        <w:rPr>
          <w:highlight w:val="none"/>
        </w:rPr>
      </w:pPr>
      <w:r>
        <w:rPr>
          <w:rFonts w:hint="eastAsia"/>
          <w:highlight w:val="none"/>
        </w:rPr>
        <w:t>山西省市场监督管理局对标准的组织实施情况进行监督检查。</w:t>
      </w:r>
    </w:p>
    <w:p w14:paraId="0D3DBD3F">
      <w:pPr>
        <w:pStyle w:val="56"/>
        <w:ind w:firstLine="420"/>
        <w:rPr>
          <w:highlight w:val="none"/>
        </w:rPr>
      </w:pPr>
      <w:r>
        <w:rPr>
          <w:rFonts w:hint="eastAsia"/>
          <w:highlight w:val="none"/>
        </w:rPr>
        <w:t>本文件由山西省特种设备安全标准化技术委员会归口。</w:t>
      </w:r>
    </w:p>
    <w:p w14:paraId="2711A937">
      <w:pPr>
        <w:pStyle w:val="56"/>
        <w:ind w:firstLine="420"/>
        <w:rPr>
          <w:rFonts w:hint="eastAsia"/>
          <w:highlight w:val="none"/>
        </w:rPr>
      </w:pPr>
      <w:r>
        <w:rPr>
          <w:rFonts w:hint="eastAsia"/>
          <w:highlight w:val="none"/>
        </w:rPr>
        <w:t>本文件起草单位：山西省检验检测中心（山西省标准计量技术研究院）、山西斯贝克智能科技股份有限公司。</w:t>
      </w:r>
    </w:p>
    <w:p w14:paraId="38693B7E">
      <w:pPr>
        <w:pStyle w:val="56"/>
        <w:ind w:firstLine="420"/>
        <w:rPr>
          <w:highlight w:val="none"/>
        </w:rPr>
      </w:pPr>
      <w:r>
        <w:rPr>
          <w:rFonts w:hint="eastAsia"/>
          <w:highlight w:val="none"/>
        </w:rPr>
        <w:t>本文件主要起草人：刘建、韩克俊、曹凌燕、李鹏飞、侯哲、刘旭、胡建成、任清茂、曹嘉峰、张甜、寇小平、巩国宏、张志成、刘晋华。</w:t>
      </w:r>
    </w:p>
    <w:p w14:paraId="381C24C5">
      <w:pPr>
        <w:pStyle w:val="56"/>
        <w:ind w:firstLine="420"/>
        <w:rPr>
          <w:highlight w:val="none"/>
        </w:rPr>
      </w:pPr>
    </w:p>
    <w:p w14:paraId="22477464">
      <w:pPr>
        <w:pStyle w:val="56"/>
        <w:ind w:firstLine="420"/>
        <w:rPr>
          <w:highlight w:val="none"/>
        </w:rPr>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p>
    <w:bookmarkEnd w:id="29"/>
    <w:p w14:paraId="7216A7AB">
      <w:pPr>
        <w:spacing w:line="20" w:lineRule="exact"/>
        <w:jc w:val="center"/>
        <w:rPr>
          <w:rFonts w:ascii="黑体" w:hAnsi="黑体" w:eastAsia="黑体"/>
          <w:sz w:val="32"/>
          <w:szCs w:val="32"/>
          <w:highlight w:val="none"/>
        </w:rPr>
      </w:pPr>
      <w:bookmarkStart w:id="30" w:name="BookMark4"/>
    </w:p>
    <w:p w14:paraId="6A2B48D9">
      <w:pPr>
        <w:spacing w:line="20" w:lineRule="exact"/>
        <w:jc w:val="center"/>
        <w:rPr>
          <w:rFonts w:ascii="黑体" w:hAnsi="黑体" w:eastAsia="黑体"/>
          <w:sz w:val="32"/>
          <w:szCs w:val="32"/>
          <w:highlight w:val="none"/>
        </w:rPr>
      </w:pPr>
    </w:p>
    <w:sdt>
      <w:sdtPr>
        <w:rPr>
          <w:highlight w:val="none"/>
        </w:rPr>
        <w:tag w:val="NEW_STAND_NAME"/>
        <w:id w:val="595910757"/>
        <w:lock w:val="sdtLocked"/>
        <w:placeholder>
          <w:docPart w:val="2C6AE642631F43C2A05B75463ABCC22D"/>
        </w:placeholder>
      </w:sdtPr>
      <w:sdtEndPr>
        <w:rPr>
          <w:highlight w:val="none"/>
        </w:rPr>
      </w:sdtEndPr>
      <w:sdtContent>
        <w:p w14:paraId="1996A53F">
          <w:pPr>
            <w:pStyle w:val="177"/>
            <w:spacing w:before="3" w:beforeLines="1" w:after="686" w:afterLines="220"/>
            <w:rPr>
              <w:highlight w:val="none"/>
            </w:rPr>
          </w:pPr>
          <w:bookmarkStart w:id="31" w:name="NEW_STAND_NAME"/>
          <w:r>
            <w:rPr>
              <w:rFonts w:hint="eastAsia"/>
              <w:highlight w:val="none"/>
              <w:lang w:eastAsia="zh-CN"/>
            </w:rPr>
            <w:t>撬装式</w:t>
          </w:r>
          <w:r>
            <w:rPr>
              <w:rFonts w:hint="eastAsia"/>
              <w:highlight w:val="none"/>
              <w:lang w:val="en-US" w:eastAsia="zh-CN"/>
            </w:rPr>
            <w:t>承压设备系统</w:t>
          </w:r>
          <w:r>
            <w:rPr>
              <w:rFonts w:hint="eastAsia"/>
              <w:highlight w:val="none"/>
              <w:lang w:eastAsia="zh-CN"/>
            </w:rPr>
            <w:t>安全技术规范</w:t>
          </w:r>
        </w:p>
      </w:sdtContent>
    </w:sdt>
    <w:bookmarkEnd w:id="31"/>
    <w:p w14:paraId="434E1164">
      <w:pPr>
        <w:pStyle w:val="104"/>
        <w:spacing w:before="312" w:after="312"/>
        <w:rPr>
          <w:highlight w:val="none"/>
        </w:rPr>
      </w:pPr>
      <w:bookmarkStart w:id="32" w:name="_Toc142979235"/>
      <w:bookmarkStart w:id="33" w:name="_Toc26648465"/>
      <w:bookmarkStart w:id="34" w:name="_Toc141781308"/>
      <w:bookmarkStart w:id="35" w:name="_Toc168561846"/>
      <w:bookmarkStart w:id="36" w:name="_Toc26986530"/>
      <w:bookmarkStart w:id="37" w:name="_Toc26986771"/>
      <w:bookmarkStart w:id="38" w:name="_Toc24884218"/>
      <w:bookmarkStart w:id="39" w:name="_Toc139958043"/>
      <w:bookmarkStart w:id="40" w:name="_Toc17233325"/>
      <w:bookmarkStart w:id="41" w:name="_Toc168560064"/>
      <w:bookmarkStart w:id="42" w:name="_Toc169275891"/>
      <w:bookmarkStart w:id="43" w:name="_Toc169271259"/>
      <w:bookmarkStart w:id="44" w:name="_Toc168561534"/>
      <w:bookmarkStart w:id="45" w:name="_Toc168557807"/>
      <w:bookmarkStart w:id="46" w:name="_Toc24884211"/>
      <w:bookmarkStart w:id="47" w:name="_Toc26718930"/>
      <w:bookmarkStart w:id="48" w:name="_Toc97191423"/>
      <w:bookmarkStart w:id="49" w:name="_Toc141781336"/>
      <w:bookmarkStart w:id="50" w:name="_Toc17233333"/>
      <w:r>
        <w:rPr>
          <w:rFonts w:hint="eastAsia"/>
          <w:highlight w:val="none"/>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4FE0950">
      <w:pPr>
        <w:pStyle w:val="56"/>
        <w:ind w:firstLine="420"/>
        <w:rPr>
          <w:highlight w:val="none"/>
        </w:rPr>
      </w:pPr>
      <w:bookmarkStart w:id="51" w:name="_Toc24884219"/>
      <w:bookmarkStart w:id="52" w:name="_Toc26648466"/>
      <w:bookmarkStart w:id="53" w:name="_Toc17233326"/>
      <w:bookmarkStart w:id="54" w:name="_Toc17233334"/>
      <w:bookmarkStart w:id="55" w:name="_Toc24884212"/>
      <w:r>
        <w:rPr>
          <w:rFonts w:hint="eastAsia"/>
          <w:highlight w:val="none"/>
        </w:rPr>
        <w:t>本文件规定了</w:t>
      </w:r>
      <w:r>
        <w:rPr>
          <w:rFonts w:hint="eastAsia"/>
          <w:highlight w:val="none"/>
          <w:lang w:eastAsia="zh-CN"/>
        </w:rPr>
        <w:t>撬装式承压设备系统</w:t>
      </w:r>
      <w:r>
        <w:rPr>
          <w:rFonts w:hint="eastAsia"/>
          <w:highlight w:val="none"/>
        </w:rPr>
        <w:t>的设计、材料、制造和使用管理的相关安全技术要求。</w:t>
      </w:r>
    </w:p>
    <w:p w14:paraId="40B80FB0">
      <w:pPr>
        <w:pStyle w:val="56"/>
        <w:ind w:firstLine="420"/>
        <w:rPr>
          <w:highlight w:val="none"/>
        </w:rPr>
      </w:pPr>
      <w:r>
        <w:rPr>
          <w:rFonts w:hint="eastAsia"/>
          <w:highlight w:val="none"/>
        </w:rPr>
        <w:t>本文件适用于</w:t>
      </w:r>
      <w:r>
        <w:rPr>
          <w:rFonts w:hint="eastAsia"/>
          <w:highlight w:val="none"/>
          <w:lang w:val="en-US" w:eastAsia="zh-CN"/>
        </w:rPr>
        <w:t>《特种设备目录》规定的压力管道、压力容器定义范围内的</w:t>
      </w:r>
      <w:r>
        <w:rPr>
          <w:rFonts w:hint="eastAsia"/>
          <w:highlight w:val="none"/>
        </w:rPr>
        <w:t>撬装式承压设备系统。</w:t>
      </w:r>
    </w:p>
    <w:p w14:paraId="703EB3AB">
      <w:pPr>
        <w:pStyle w:val="104"/>
        <w:spacing w:before="312" w:after="312"/>
        <w:rPr>
          <w:highlight w:val="none"/>
        </w:rPr>
      </w:pPr>
      <w:bookmarkStart w:id="56" w:name="_Toc168560065"/>
      <w:bookmarkStart w:id="57" w:name="_Toc97191424"/>
      <w:bookmarkStart w:id="58" w:name="_Toc142979236"/>
      <w:bookmarkStart w:id="59" w:name="_Toc168561535"/>
      <w:bookmarkStart w:id="60" w:name="_Toc26718931"/>
      <w:bookmarkStart w:id="61" w:name="_Toc168561847"/>
      <w:bookmarkStart w:id="62" w:name="_Toc139958044"/>
      <w:bookmarkStart w:id="63" w:name="_Toc168557808"/>
      <w:bookmarkStart w:id="64" w:name="_Toc169271260"/>
      <w:bookmarkStart w:id="65" w:name="_Toc26986772"/>
      <w:bookmarkStart w:id="66" w:name="_Toc26986531"/>
      <w:bookmarkStart w:id="67" w:name="_Toc169275892"/>
      <w:bookmarkStart w:id="68" w:name="_Toc141781337"/>
      <w:bookmarkStart w:id="69" w:name="_Toc141781309"/>
      <w:r>
        <w:rPr>
          <w:rFonts w:hint="eastAsia"/>
          <w:highlight w:val="none"/>
        </w:rPr>
        <w:t>规范性引用文件</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sdt>
      <w:sdtPr>
        <w:rPr>
          <w:rFonts w:hint="eastAsia"/>
          <w:highlight w:val="none"/>
        </w:rPr>
        <w:id w:val="715848253"/>
        <w:placeholder>
          <w:docPart w:val="137AA3FA9D474496A1507ABA1C67987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highlight w:val="none"/>
        </w:rPr>
      </w:sdtEndPr>
      <w:sdtContent>
        <w:p w14:paraId="46042DF5">
          <w:pPr>
            <w:pStyle w:val="56"/>
            <w:ind w:firstLine="420"/>
            <w:rPr>
              <w:highlight w:val="none"/>
            </w:rPr>
          </w:pPr>
          <w:r>
            <w:rPr>
              <w:rFonts w:hint="eastAsia"/>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bookmarkStart w:id="70" w:name="_Toc142979237"/>
          <w:bookmarkStart w:id="71" w:name="_Toc169271261"/>
          <w:bookmarkStart w:id="72" w:name="_Toc168561848"/>
          <w:bookmarkStart w:id="73" w:name="_Toc97191425"/>
          <w:bookmarkStart w:id="74" w:name="_Toc169275893"/>
          <w:bookmarkStart w:id="75" w:name="_Toc168560066"/>
          <w:bookmarkStart w:id="76" w:name="_Toc139958045"/>
          <w:bookmarkStart w:id="77" w:name="_Toc168561536"/>
          <w:bookmarkStart w:id="78" w:name="_Toc141781338"/>
          <w:bookmarkStart w:id="79" w:name="_Toc141781310"/>
          <w:bookmarkStart w:id="80" w:name="_Toc168557809"/>
        </w:p>
      </w:sdtContent>
    </w:sdt>
    <w:p w14:paraId="56109950">
      <w:pPr>
        <w:pStyle w:val="56"/>
        <w:ind w:firstLine="420"/>
        <w:rPr>
          <w:rFonts w:hint="default" w:eastAsia="宋体"/>
          <w:highlight w:val="none"/>
          <w:lang w:val="en-US" w:eastAsia="zh-CN"/>
        </w:rPr>
      </w:pPr>
      <w:r>
        <w:rPr>
          <w:rFonts w:hint="eastAsia"/>
          <w:highlight w:val="none"/>
          <w:lang w:val="en-US" w:eastAsia="zh-CN"/>
        </w:rPr>
        <w:t>HG/T 20507  自动化仪表选型设计规范</w:t>
      </w:r>
    </w:p>
    <w:p w14:paraId="5625710E">
      <w:pPr>
        <w:pStyle w:val="56"/>
        <w:ind w:firstLine="420"/>
        <w:rPr>
          <w:highlight w:val="none"/>
        </w:rPr>
      </w:pPr>
      <w:r>
        <w:rPr>
          <w:rFonts w:hint="eastAsia"/>
          <w:highlight w:val="none"/>
        </w:rPr>
        <w:t>GB/T 20801  压力管道规范 工业管道</w:t>
      </w:r>
    </w:p>
    <w:p w14:paraId="2238D83F">
      <w:pPr>
        <w:pStyle w:val="56"/>
        <w:ind w:firstLine="420"/>
        <w:rPr>
          <w:highlight w:val="none"/>
        </w:rPr>
      </w:pPr>
      <w:r>
        <w:rPr>
          <w:rFonts w:hint="eastAsia"/>
          <w:highlight w:val="none"/>
        </w:rPr>
        <w:t>HG/T 21608  液体装卸臂工程技术要求</w:t>
      </w:r>
    </w:p>
    <w:p w14:paraId="79CCA307">
      <w:pPr>
        <w:pStyle w:val="56"/>
        <w:ind w:firstLine="420"/>
        <w:rPr>
          <w:highlight w:val="none"/>
        </w:rPr>
      </w:pPr>
      <w:r>
        <w:rPr>
          <w:rFonts w:hint="eastAsia"/>
          <w:highlight w:val="none"/>
        </w:rPr>
        <w:t>NB/T 47013  承压设备无损检测</w:t>
      </w:r>
    </w:p>
    <w:p w14:paraId="3A9741F3">
      <w:pPr>
        <w:pStyle w:val="56"/>
        <w:ind w:firstLine="420"/>
        <w:rPr>
          <w:highlight w:val="none"/>
        </w:rPr>
      </w:pPr>
      <w:r>
        <w:rPr>
          <w:rFonts w:hint="eastAsia"/>
          <w:highlight w:val="none"/>
        </w:rPr>
        <w:t>NB/T 47014  承压设备焊接工艺评定</w:t>
      </w:r>
    </w:p>
    <w:p w14:paraId="57C9CB3C">
      <w:pPr>
        <w:pStyle w:val="56"/>
        <w:ind w:firstLine="420"/>
        <w:rPr>
          <w:highlight w:val="none"/>
        </w:rPr>
      </w:pPr>
      <w:r>
        <w:rPr>
          <w:rFonts w:hint="eastAsia"/>
          <w:highlight w:val="none"/>
        </w:rPr>
        <w:t>NB/T 47018  承压设备用焊接材料订货技术条件</w:t>
      </w:r>
    </w:p>
    <w:p w14:paraId="121243B3">
      <w:pPr>
        <w:pStyle w:val="104"/>
        <w:spacing w:before="312" w:after="312"/>
        <w:rPr>
          <w:highlight w:val="none"/>
        </w:rPr>
      </w:pPr>
      <w:r>
        <w:rPr>
          <w:rFonts w:hint="eastAsia"/>
          <w:szCs w:val="21"/>
          <w:highlight w:val="none"/>
        </w:rPr>
        <w:t>术语和定义</w:t>
      </w:r>
      <w:bookmarkEnd w:id="70"/>
      <w:bookmarkEnd w:id="71"/>
      <w:bookmarkEnd w:id="72"/>
      <w:bookmarkEnd w:id="73"/>
      <w:bookmarkEnd w:id="74"/>
      <w:bookmarkEnd w:id="75"/>
      <w:bookmarkEnd w:id="76"/>
      <w:bookmarkEnd w:id="77"/>
      <w:bookmarkEnd w:id="78"/>
      <w:bookmarkEnd w:id="79"/>
      <w:bookmarkEnd w:id="80"/>
    </w:p>
    <w:sdt>
      <w:sdtPr>
        <w:rPr>
          <w:highlight w:val="none"/>
        </w:rPr>
        <w:id w:val="147481240"/>
        <w:placeholder>
          <w:docPart w:val="{0499f0cd-06f7-4fea-9408-b285485ed92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highlight w:val="none"/>
        </w:rPr>
      </w:sdtEndPr>
      <w:sdtContent>
        <w:p w14:paraId="61BBE645">
          <w:pPr>
            <w:pStyle w:val="56"/>
            <w:ind w:firstLine="420"/>
            <w:rPr>
              <w:highlight w:val="none"/>
            </w:rPr>
          </w:pPr>
          <w:bookmarkStart w:id="81" w:name="_Toc26986532"/>
          <w:bookmarkEnd w:id="81"/>
          <w:r>
            <w:rPr>
              <w:highlight w:val="none"/>
            </w:rPr>
            <w:t>下列术语和定义适用于本文件。</w:t>
          </w:r>
        </w:p>
      </w:sdtContent>
    </w:sdt>
    <w:p w14:paraId="03138BF2">
      <w:pPr>
        <w:pStyle w:val="56"/>
        <w:ind w:firstLine="420"/>
        <w:rPr>
          <w:highlight w:val="none"/>
        </w:rPr>
      </w:pPr>
      <w:bookmarkStart w:id="82" w:name="_Toc141781317"/>
      <w:bookmarkStart w:id="83" w:name="_Toc168560067"/>
      <w:bookmarkStart w:id="84" w:name="_Toc168561849"/>
      <w:bookmarkStart w:id="85" w:name="_Toc168557810"/>
      <w:bookmarkStart w:id="86" w:name="_Toc169275894"/>
      <w:bookmarkStart w:id="87" w:name="_Toc168561537"/>
      <w:bookmarkStart w:id="88" w:name="_Toc169271262"/>
      <w:bookmarkStart w:id="89" w:name="_Toc139958052"/>
    </w:p>
    <w:p w14:paraId="1FEC7531">
      <w:pPr>
        <w:pStyle w:val="223"/>
        <w:ind w:left="420" w:hanging="420" w:hangingChars="200"/>
        <w:rPr>
          <w:rFonts w:hint="eastAsia" w:ascii="黑体" w:hAnsi="黑体" w:eastAsia="黑体"/>
          <w:highlight w:val="none"/>
        </w:rPr>
      </w:pPr>
      <w:r>
        <w:rPr>
          <w:rFonts w:ascii="黑体" w:hAnsi="黑体" w:eastAsia="黑体"/>
          <w:highlight w:val="none"/>
        </w:rPr>
        <w:br w:type="textWrapping"/>
      </w:r>
      <w:r>
        <w:rPr>
          <w:rFonts w:hint="eastAsia" w:ascii="黑体" w:hAnsi="黑体" w:eastAsia="黑体"/>
          <w:highlight w:val="none"/>
          <w:lang w:eastAsia="zh-CN"/>
        </w:rPr>
        <w:t>撬装式</w:t>
      </w:r>
      <w:r>
        <w:rPr>
          <w:rFonts w:hint="eastAsia" w:ascii="黑体" w:hAnsi="黑体" w:eastAsia="黑体"/>
          <w:highlight w:val="none"/>
          <w:lang w:val="en-US" w:eastAsia="zh-CN"/>
        </w:rPr>
        <w:t>承压设备系统</w:t>
      </w:r>
    </w:p>
    <w:p w14:paraId="4D58AE12">
      <w:pPr>
        <w:pStyle w:val="223"/>
        <w:numPr>
          <w:ilvl w:val="0"/>
          <w:numId w:val="0"/>
        </w:numPr>
        <w:ind w:firstLine="420" w:firstLineChars="200"/>
        <w:rPr>
          <w:rFonts w:hint="eastAsia" w:ascii="黑体" w:hAnsi="黑体" w:eastAsia="黑体"/>
          <w:highlight w:val="none"/>
        </w:rPr>
      </w:pPr>
      <w:r>
        <w:rPr>
          <w:rFonts w:hint="eastAsia"/>
          <w:highlight w:val="none"/>
        </w:rPr>
        <w:t>压力管道元件、压力容器与可移动撬体进行安装连接，形成具有某种功能的系统。</w:t>
      </w:r>
    </w:p>
    <w:p w14:paraId="5E1ACE24">
      <w:pPr>
        <w:pStyle w:val="223"/>
        <w:ind w:left="420" w:hanging="420" w:hangingChars="200"/>
        <w:rPr>
          <w:rFonts w:hint="eastAsia" w:ascii="黑体" w:hAnsi="黑体" w:eastAsia="黑体"/>
          <w:color w:val="auto"/>
          <w:highlight w:val="none"/>
        </w:rPr>
      </w:pPr>
      <w:r>
        <w:rPr>
          <w:rFonts w:ascii="黑体" w:hAnsi="黑体" w:eastAsia="黑体"/>
          <w:highlight w:val="none"/>
        </w:rPr>
        <w:br w:type="textWrapping"/>
      </w:r>
      <w:r>
        <w:rPr>
          <w:rFonts w:hint="eastAsia" w:ascii="黑体" w:hAnsi="黑体" w:eastAsia="黑体"/>
          <w:color w:val="auto"/>
          <w:highlight w:val="none"/>
        </w:rPr>
        <w:t>装卸臂</w:t>
      </w:r>
    </w:p>
    <w:p w14:paraId="163B1B4B">
      <w:pPr>
        <w:pStyle w:val="223"/>
        <w:numPr>
          <w:ilvl w:val="0"/>
          <w:numId w:val="0"/>
        </w:numPr>
        <w:ind w:firstLine="420" w:firstLineChars="200"/>
        <w:rPr>
          <w:color w:val="auto"/>
          <w:highlight w:val="none"/>
        </w:rPr>
      </w:pPr>
      <w:r>
        <w:rPr>
          <w:rFonts w:hint="eastAsia"/>
          <w:color w:val="auto"/>
          <w:highlight w:val="none"/>
        </w:rPr>
        <w:t>用于撬与槽车的柔性连接</w:t>
      </w:r>
      <w:r>
        <w:rPr>
          <w:rFonts w:hint="eastAsia"/>
          <w:color w:val="auto"/>
          <w:highlight w:val="none"/>
          <w:lang w:eastAsia="zh-CN"/>
        </w:rPr>
        <w:t>，</w:t>
      </w:r>
      <w:r>
        <w:rPr>
          <w:rFonts w:hint="eastAsia"/>
          <w:color w:val="auto"/>
          <w:highlight w:val="none"/>
        </w:rPr>
        <w:t>由旋转接头、内臂、外臂、外伸管、平衡系统、吹扫管线、氮气置换管线等组成，并设有气、液双相管道。</w:t>
      </w:r>
    </w:p>
    <w:p w14:paraId="7492C9AF">
      <w:pPr>
        <w:pStyle w:val="223"/>
        <w:ind w:left="420" w:hanging="420" w:hangingChars="200"/>
        <w:rPr>
          <w:rFonts w:hint="eastAsia" w:ascii="黑体" w:hAnsi="黑体" w:eastAsia="黑体"/>
          <w:color w:val="auto"/>
          <w:highlight w:val="none"/>
        </w:rPr>
      </w:pPr>
      <w:r>
        <w:rPr>
          <w:rFonts w:ascii="黑体" w:hAnsi="黑体" w:eastAsia="黑体"/>
          <w:color w:val="auto"/>
          <w:highlight w:val="none"/>
        </w:rPr>
        <w:br w:type="textWrapping"/>
      </w:r>
      <w:r>
        <w:rPr>
          <w:rFonts w:hint="eastAsia" w:ascii="黑体" w:hAnsi="黑体" w:eastAsia="黑体"/>
          <w:color w:val="auto"/>
          <w:highlight w:val="none"/>
        </w:rPr>
        <w:t>旋转接头</w:t>
      </w:r>
    </w:p>
    <w:p w14:paraId="3E503CAE">
      <w:pPr>
        <w:pStyle w:val="223"/>
        <w:numPr>
          <w:ilvl w:val="0"/>
          <w:numId w:val="0"/>
        </w:numPr>
        <w:ind w:left="420"/>
        <w:rPr>
          <w:color w:val="auto"/>
          <w:highlight w:val="none"/>
        </w:rPr>
      </w:pPr>
      <w:r>
        <w:rPr>
          <w:rFonts w:hint="eastAsia"/>
          <w:color w:val="auto"/>
          <w:highlight w:val="none"/>
        </w:rPr>
        <w:t>主要用于装卸臂的不同组件作相对转动的并能承受载荷动密封旋转部件。</w:t>
      </w:r>
    </w:p>
    <w:p w14:paraId="285A6124">
      <w:pPr>
        <w:pStyle w:val="104"/>
        <w:spacing w:before="312" w:after="312"/>
        <w:rPr>
          <w:highlight w:val="none"/>
        </w:rPr>
      </w:pPr>
      <w:r>
        <w:rPr>
          <w:rFonts w:hint="eastAsia"/>
          <w:highlight w:val="none"/>
        </w:rPr>
        <w:t>设计</w:t>
      </w:r>
      <w:bookmarkEnd w:id="82"/>
      <w:bookmarkEnd w:id="83"/>
      <w:bookmarkEnd w:id="84"/>
      <w:bookmarkEnd w:id="85"/>
      <w:bookmarkEnd w:id="86"/>
      <w:bookmarkEnd w:id="87"/>
      <w:bookmarkEnd w:id="88"/>
      <w:bookmarkEnd w:id="89"/>
    </w:p>
    <w:p w14:paraId="28CCC1F6">
      <w:pPr>
        <w:pStyle w:val="162"/>
        <w:rPr>
          <w:highlight w:val="none"/>
        </w:rPr>
      </w:pPr>
      <w:r>
        <w:rPr>
          <w:rFonts w:hint="eastAsia"/>
          <w:highlight w:val="none"/>
          <w:lang w:eastAsia="zh-CN"/>
        </w:rPr>
        <w:t>撬装式承压设备系统</w:t>
      </w:r>
      <w:r>
        <w:rPr>
          <w:rFonts w:hint="eastAsia"/>
          <w:highlight w:val="none"/>
        </w:rPr>
        <w:t>设计时应充分考虑其运行原理相关的安全性，体现</w:t>
      </w:r>
      <w:r>
        <w:rPr>
          <w:rFonts w:hint="eastAsia"/>
          <w:highlight w:val="none"/>
          <w:lang w:val="en-US" w:eastAsia="zh-CN"/>
        </w:rPr>
        <w:t>质量</w:t>
      </w:r>
      <w:r>
        <w:rPr>
          <w:rFonts w:hint="eastAsia"/>
          <w:highlight w:val="none"/>
        </w:rPr>
        <w:t>安全原则。</w:t>
      </w:r>
    </w:p>
    <w:p w14:paraId="2E4D6823">
      <w:pPr>
        <w:pStyle w:val="162"/>
        <w:rPr>
          <w:highlight w:val="none"/>
        </w:rPr>
      </w:pPr>
      <w:r>
        <w:rPr>
          <w:rFonts w:hint="eastAsia"/>
          <w:highlight w:val="none"/>
          <w:lang w:eastAsia="zh-CN"/>
        </w:rPr>
        <w:t>撬装式承压设备系统</w:t>
      </w:r>
      <w:r>
        <w:rPr>
          <w:rFonts w:hint="eastAsia"/>
          <w:highlight w:val="none"/>
        </w:rPr>
        <w:t>制造单位应按质量保证体系设计控制的要求对设计过程予以控制，符合以下要求：</w:t>
      </w:r>
    </w:p>
    <w:p w14:paraId="6AA0DA2F">
      <w:pPr>
        <w:pStyle w:val="174"/>
        <w:numPr>
          <w:ilvl w:val="0"/>
          <w:numId w:val="32"/>
        </w:numPr>
        <w:rPr>
          <w:highlight w:val="none"/>
        </w:rPr>
      </w:pPr>
      <w:r>
        <w:rPr>
          <w:rFonts w:hint="eastAsia"/>
          <w:highlight w:val="none"/>
        </w:rPr>
        <w:t>设计文件应符合订货技术条件的要求；</w:t>
      </w:r>
    </w:p>
    <w:p w14:paraId="5773FA14">
      <w:pPr>
        <w:pStyle w:val="174"/>
        <w:rPr>
          <w:highlight w:val="none"/>
        </w:rPr>
      </w:pPr>
      <w:r>
        <w:rPr>
          <w:rFonts w:hint="eastAsia"/>
          <w:highlight w:val="none"/>
          <w:lang w:eastAsia="zh-CN"/>
        </w:rPr>
        <w:t>设计总图</w:t>
      </w:r>
      <w:r>
        <w:rPr>
          <w:rFonts w:hint="eastAsia"/>
          <w:highlight w:val="none"/>
        </w:rPr>
        <w:t>审批手续符合设计单位质量保证体系的要求，设计选用的安全技术规范及产品标准、材料标准需现行、有效</w:t>
      </w:r>
      <w:r>
        <w:rPr>
          <w:rFonts w:hint="eastAsia"/>
          <w:highlight w:val="none"/>
          <w:lang w:eastAsia="zh-CN"/>
        </w:rPr>
        <w:t>。</w:t>
      </w:r>
    </w:p>
    <w:p w14:paraId="2E8587D6">
      <w:pPr>
        <w:pStyle w:val="174"/>
        <w:rPr>
          <w:highlight w:val="none"/>
        </w:rPr>
      </w:pPr>
      <w:r>
        <w:rPr>
          <w:rFonts w:hint="eastAsia"/>
          <w:highlight w:val="none"/>
        </w:rPr>
        <w:t>设计文件</w:t>
      </w:r>
      <w:r>
        <w:rPr>
          <w:rFonts w:hint="eastAsia"/>
          <w:highlight w:val="none"/>
          <w:lang w:eastAsia="zh-CN"/>
        </w:rPr>
        <w:t>至少</w:t>
      </w:r>
      <w:r>
        <w:rPr>
          <w:rFonts w:hint="eastAsia"/>
          <w:highlight w:val="none"/>
        </w:rPr>
        <w:t>包括以下内容：</w:t>
      </w:r>
    </w:p>
    <w:p w14:paraId="43263EB6">
      <w:pPr>
        <w:pStyle w:val="109"/>
        <w:rPr>
          <w:highlight w:val="none"/>
        </w:rPr>
      </w:pPr>
      <w:r>
        <w:rPr>
          <w:rFonts w:hint="eastAsia"/>
          <w:highlight w:val="none"/>
          <w:lang w:val="en-US" w:eastAsia="zh-CN"/>
        </w:rPr>
        <w:t>总图、装配图；</w:t>
      </w:r>
    </w:p>
    <w:p w14:paraId="5FF0C85B">
      <w:pPr>
        <w:pStyle w:val="109"/>
        <w:rPr>
          <w:highlight w:val="none"/>
        </w:rPr>
      </w:pPr>
      <w:r>
        <w:rPr>
          <w:rFonts w:hint="eastAsia"/>
          <w:highlight w:val="none"/>
          <w:lang w:val="en-US" w:eastAsia="zh-CN"/>
        </w:rPr>
        <w:t>管道数据表、管道</w:t>
      </w:r>
      <w:r>
        <w:rPr>
          <w:rFonts w:hint="eastAsia"/>
          <w:highlight w:val="none"/>
        </w:rPr>
        <w:t>材料</w:t>
      </w:r>
      <w:r>
        <w:rPr>
          <w:rFonts w:hint="eastAsia"/>
          <w:highlight w:val="none"/>
          <w:lang w:val="en-US" w:eastAsia="zh-CN"/>
        </w:rPr>
        <w:t>等级</w:t>
      </w:r>
      <w:r>
        <w:rPr>
          <w:rFonts w:hint="eastAsia"/>
          <w:highlight w:val="none"/>
        </w:rPr>
        <w:t>表；</w:t>
      </w:r>
    </w:p>
    <w:p w14:paraId="167D5D5E">
      <w:pPr>
        <w:pStyle w:val="109"/>
        <w:rPr>
          <w:highlight w:val="none"/>
        </w:rPr>
      </w:pPr>
      <w:r>
        <w:rPr>
          <w:rFonts w:hint="eastAsia"/>
          <w:highlight w:val="none"/>
        </w:rPr>
        <w:t>无损检测要求</w:t>
      </w:r>
      <w:r>
        <w:rPr>
          <w:rFonts w:hint="eastAsia"/>
          <w:highlight w:val="none"/>
          <w:lang w:eastAsia="zh-CN"/>
        </w:rPr>
        <w:t>、防腐要求</w:t>
      </w:r>
      <w:r>
        <w:rPr>
          <w:rFonts w:hint="eastAsia"/>
          <w:highlight w:val="none"/>
        </w:rPr>
        <w:t>、热处理要求、耐压试验和泄漏试验要求；</w:t>
      </w:r>
    </w:p>
    <w:p w14:paraId="689FCC29">
      <w:pPr>
        <w:pStyle w:val="109"/>
        <w:rPr>
          <w:highlight w:val="none"/>
        </w:rPr>
      </w:pPr>
      <w:r>
        <w:rPr>
          <w:rFonts w:hint="eastAsia"/>
          <w:highlight w:val="none"/>
        </w:rPr>
        <w:t>产品标准有强度校核要求的，应出具强度计算书</w:t>
      </w:r>
      <w:r>
        <w:rPr>
          <w:rFonts w:hint="eastAsia"/>
          <w:highlight w:val="none"/>
          <w:lang w:eastAsia="zh-CN"/>
        </w:rPr>
        <w:t>；</w:t>
      </w:r>
    </w:p>
    <w:p w14:paraId="42F077C2">
      <w:pPr>
        <w:pStyle w:val="174"/>
        <w:rPr>
          <w:highlight w:val="none"/>
        </w:rPr>
      </w:pPr>
      <w:r>
        <w:rPr>
          <w:rFonts w:hint="eastAsia"/>
          <w:highlight w:val="none"/>
        </w:rPr>
        <w:t>设计由外部单位提供时，按外来文件进行控制，且外部单位应</w:t>
      </w:r>
      <w:r>
        <w:rPr>
          <w:rFonts w:hint="eastAsia"/>
          <w:highlight w:val="none"/>
          <w:lang w:eastAsia="zh-CN"/>
        </w:rPr>
        <w:t>有</w:t>
      </w:r>
      <w:r>
        <w:rPr>
          <w:rFonts w:hint="eastAsia"/>
          <w:highlight w:val="none"/>
          <w:lang w:val="en-US" w:eastAsia="zh-CN"/>
        </w:rPr>
        <w:t>压力容器设计许可资质（适用于含压力容器的撬装式承压设备系统）或</w:t>
      </w:r>
      <w:r>
        <w:rPr>
          <w:rFonts w:hint="eastAsia"/>
          <w:highlight w:val="none"/>
        </w:rPr>
        <w:t>压力管道设计许可资质</w:t>
      </w:r>
      <w:r>
        <w:rPr>
          <w:rFonts w:hint="eastAsia"/>
          <w:highlight w:val="none"/>
          <w:lang w:eastAsia="zh-CN"/>
        </w:rPr>
        <w:t>（</w:t>
      </w:r>
      <w:r>
        <w:rPr>
          <w:rFonts w:hint="eastAsia"/>
          <w:highlight w:val="none"/>
          <w:lang w:val="en-US" w:eastAsia="zh-CN"/>
        </w:rPr>
        <w:t>适用于不包含压力容器的撬装式承压设备系统</w:t>
      </w:r>
      <w:r>
        <w:rPr>
          <w:rFonts w:hint="eastAsia"/>
          <w:highlight w:val="none"/>
          <w:lang w:eastAsia="zh-CN"/>
        </w:rPr>
        <w:t>）</w:t>
      </w:r>
      <w:r>
        <w:rPr>
          <w:rFonts w:hint="eastAsia"/>
          <w:highlight w:val="none"/>
          <w:lang w:val="en-US" w:eastAsia="zh-CN"/>
        </w:rPr>
        <w:t>,</w:t>
      </w:r>
      <w:r>
        <w:rPr>
          <w:rFonts w:hint="eastAsia"/>
          <w:highlight w:val="none"/>
        </w:rPr>
        <w:t>设计图样应有设计许可印章。</w:t>
      </w:r>
    </w:p>
    <w:p w14:paraId="3FDE88FC">
      <w:pPr>
        <w:pStyle w:val="174"/>
        <w:rPr>
          <w:highlight w:val="none"/>
        </w:rPr>
      </w:pPr>
      <w:r>
        <w:rPr>
          <w:rFonts w:hint="eastAsia"/>
          <w:highlight w:val="none"/>
        </w:rPr>
        <w:t>设计变更（含材料代用）应出具书面批准文件。</w:t>
      </w:r>
    </w:p>
    <w:p w14:paraId="573A0097">
      <w:pPr>
        <w:pStyle w:val="104"/>
        <w:spacing w:before="312" w:after="312"/>
        <w:rPr>
          <w:highlight w:val="none"/>
        </w:rPr>
      </w:pPr>
      <w:bookmarkStart w:id="90" w:name="_Toc168561538"/>
      <w:bookmarkStart w:id="91" w:name="_Toc168557811"/>
      <w:bookmarkStart w:id="92" w:name="_Toc141781318"/>
      <w:bookmarkStart w:id="93" w:name="_Toc168560068"/>
      <w:bookmarkStart w:id="94" w:name="_Toc169275895"/>
      <w:bookmarkStart w:id="95" w:name="_Toc169271263"/>
      <w:bookmarkStart w:id="96" w:name="_Toc168561850"/>
      <w:bookmarkStart w:id="97" w:name="_Toc139958053"/>
      <w:r>
        <w:rPr>
          <w:rFonts w:hint="eastAsia"/>
          <w:highlight w:val="none"/>
        </w:rPr>
        <w:t>材料</w:t>
      </w:r>
      <w:bookmarkEnd w:id="90"/>
      <w:bookmarkEnd w:id="91"/>
      <w:bookmarkEnd w:id="92"/>
      <w:bookmarkEnd w:id="93"/>
      <w:bookmarkEnd w:id="94"/>
      <w:bookmarkEnd w:id="95"/>
      <w:bookmarkEnd w:id="96"/>
      <w:bookmarkEnd w:id="97"/>
    </w:p>
    <w:p w14:paraId="4A582946">
      <w:pPr>
        <w:pStyle w:val="56"/>
        <w:rPr>
          <w:rFonts w:hint="default" w:eastAsia="宋体"/>
          <w:highlight w:val="none"/>
          <w:lang w:val="en-US" w:eastAsia="zh-CN"/>
        </w:rPr>
      </w:pPr>
      <w:r>
        <w:rPr>
          <w:rFonts w:hint="eastAsia"/>
          <w:highlight w:val="none"/>
          <w:lang w:val="en-US" w:eastAsia="zh-CN"/>
        </w:rPr>
        <w:t>材料包括原材料、焊接材料、安全附件、主要零部件以及其他外购件。</w:t>
      </w:r>
    </w:p>
    <w:p w14:paraId="673580E9">
      <w:pPr>
        <w:pStyle w:val="105"/>
        <w:spacing w:before="156" w:after="156"/>
        <w:rPr>
          <w:highlight w:val="none"/>
        </w:rPr>
      </w:pPr>
      <w:r>
        <w:rPr>
          <w:rFonts w:hint="eastAsia"/>
          <w:highlight w:val="none"/>
        </w:rPr>
        <w:t>基本要求</w:t>
      </w:r>
    </w:p>
    <w:p w14:paraId="0A9F659B">
      <w:pPr>
        <w:pStyle w:val="56"/>
        <w:ind w:firstLine="420"/>
        <w:rPr>
          <w:highlight w:val="none"/>
        </w:rPr>
      </w:pPr>
      <w:r>
        <w:rPr>
          <w:rFonts w:hint="eastAsia"/>
          <w:highlight w:val="none"/>
          <w:lang w:eastAsia="zh-CN"/>
        </w:rPr>
        <w:t>撬装式承压设备系统</w:t>
      </w:r>
      <w:r>
        <w:rPr>
          <w:rFonts w:hint="eastAsia"/>
          <w:highlight w:val="none"/>
        </w:rPr>
        <w:t>所用</w:t>
      </w:r>
      <w:r>
        <w:rPr>
          <w:rFonts w:hint="eastAsia"/>
          <w:highlight w:val="none"/>
        </w:rPr>
        <w:t>材料</w:t>
      </w:r>
      <w:r>
        <w:rPr>
          <w:rFonts w:hint="eastAsia"/>
          <w:highlight w:val="none"/>
        </w:rPr>
        <w:t>均应为制造单位评价的合格受委托方。</w:t>
      </w:r>
      <w:r>
        <w:rPr>
          <w:rFonts w:hint="eastAsia"/>
          <w:highlight w:val="none"/>
          <w:lang w:eastAsia="zh-CN"/>
        </w:rPr>
        <w:t>撬装式承压设备系统</w:t>
      </w:r>
      <w:r>
        <w:rPr>
          <w:rFonts w:hint="eastAsia"/>
          <w:highlight w:val="none"/>
        </w:rPr>
        <w:t>制造单位应按质量保证体系的要求对所用材料予以控制，且符合TSG 07</w:t>
      </w:r>
      <w:r>
        <w:rPr>
          <w:rFonts w:hint="eastAsia"/>
          <w:highlight w:val="none"/>
          <w:lang w:eastAsia="zh-CN"/>
        </w:rPr>
        <w:t>附录</w:t>
      </w:r>
      <w:r>
        <w:rPr>
          <w:rFonts w:hint="eastAsia"/>
          <w:highlight w:val="none"/>
          <w:lang w:val="en-US" w:eastAsia="zh-CN"/>
        </w:rPr>
        <w:t>M</w:t>
      </w:r>
      <w:r>
        <w:rPr>
          <w:rFonts w:hint="eastAsia"/>
          <w:highlight w:val="none"/>
        </w:rPr>
        <w:t>的要求。</w:t>
      </w:r>
    </w:p>
    <w:p w14:paraId="09D23D03">
      <w:pPr>
        <w:pStyle w:val="105"/>
        <w:spacing w:before="156" w:after="156"/>
        <w:rPr>
          <w:highlight w:val="none"/>
        </w:rPr>
      </w:pPr>
      <w:r>
        <w:rPr>
          <w:rFonts w:hint="eastAsia"/>
          <w:highlight w:val="none"/>
        </w:rPr>
        <w:t>性能要求</w:t>
      </w:r>
    </w:p>
    <w:p w14:paraId="617B4DFE">
      <w:pPr>
        <w:pStyle w:val="165"/>
        <w:rPr>
          <w:highlight w:val="none"/>
        </w:rPr>
      </w:pPr>
      <w:r>
        <w:rPr>
          <w:rFonts w:hint="eastAsia"/>
          <w:highlight w:val="none"/>
        </w:rPr>
        <w:t>受压元件用材料应有足够的强度、塑性、韧性和抗脆断能力。</w:t>
      </w:r>
    </w:p>
    <w:p w14:paraId="526BE210">
      <w:pPr>
        <w:pStyle w:val="165"/>
        <w:rPr>
          <w:highlight w:val="none"/>
        </w:rPr>
      </w:pPr>
      <w:r>
        <w:rPr>
          <w:rFonts w:hint="eastAsia"/>
          <w:highlight w:val="none"/>
        </w:rPr>
        <w:t>选用的材料应具有足够的稳定性，包括化学性能、物理性能、耐蚀和耐磨性能、抗疲劳性能和组织稳定性等。</w:t>
      </w:r>
    </w:p>
    <w:p w14:paraId="0FCC6305">
      <w:pPr>
        <w:pStyle w:val="165"/>
        <w:rPr>
          <w:highlight w:val="none"/>
        </w:rPr>
      </w:pPr>
      <w:r>
        <w:rPr>
          <w:rFonts w:hint="eastAsia"/>
          <w:highlight w:val="none"/>
        </w:rPr>
        <w:t>材料的性能应符合设计文件的规定，且不低于相关安全技术规范的要求。</w:t>
      </w:r>
    </w:p>
    <w:p w14:paraId="0F9ADBED">
      <w:pPr>
        <w:pStyle w:val="165"/>
        <w:rPr>
          <w:highlight w:val="none"/>
        </w:rPr>
      </w:pPr>
      <w:r>
        <w:rPr>
          <w:rFonts w:hint="eastAsia"/>
          <w:highlight w:val="none"/>
        </w:rPr>
        <w:t>焊材应符合NB/T 47018的要求。</w:t>
      </w:r>
    </w:p>
    <w:p w14:paraId="37C8549E">
      <w:pPr>
        <w:pStyle w:val="105"/>
        <w:spacing w:before="156" w:after="156"/>
        <w:rPr>
          <w:highlight w:val="none"/>
        </w:rPr>
      </w:pPr>
      <w:r>
        <w:rPr>
          <w:rFonts w:hint="eastAsia"/>
          <w:highlight w:val="none"/>
        </w:rPr>
        <w:t>质量证明文件</w:t>
      </w:r>
    </w:p>
    <w:p w14:paraId="1B63035F">
      <w:pPr>
        <w:pStyle w:val="56"/>
        <w:ind w:firstLine="420"/>
        <w:rPr>
          <w:highlight w:val="none"/>
        </w:rPr>
      </w:pPr>
      <w:r>
        <w:rPr>
          <w:rFonts w:hint="eastAsia"/>
          <w:highlight w:val="none"/>
          <w:lang w:eastAsia="zh-CN"/>
        </w:rPr>
        <w:t>撬装式承压设备系统</w:t>
      </w:r>
      <w:r>
        <w:rPr>
          <w:rFonts w:hint="eastAsia"/>
          <w:highlight w:val="none"/>
        </w:rPr>
        <w:t>制造单位对质量证明文件的控制应符合以下要求：</w:t>
      </w:r>
    </w:p>
    <w:p w14:paraId="40852269">
      <w:pPr>
        <w:pStyle w:val="174"/>
        <w:numPr>
          <w:ilvl w:val="0"/>
          <w:numId w:val="33"/>
        </w:numPr>
        <w:rPr>
          <w:highlight w:val="none"/>
        </w:rPr>
      </w:pPr>
      <w:r>
        <w:rPr>
          <w:rFonts w:hint="eastAsia"/>
          <w:highlight w:val="none"/>
        </w:rPr>
        <w:t>列入特种设备生产单位许可目录的材料，应由取得特种设备生产许可证的单位生产，有制造监督检验、型式试验要求的，还应取得制造监督检验证书、型式试验证书。</w:t>
      </w:r>
    </w:p>
    <w:p w14:paraId="4E85FA40">
      <w:pPr>
        <w:pStyle w:val="174"/>
        <w:ind w:left="780" w:hanging="360"/>
        <w:rPr>
          <w:highlight w:val="none"/>
        </w:rPr>
      </w:pPr>
      <w:r>
        <w:rPr>
          <w:rFonts w:hint="eastAsia"/>
          <w:highlight w:val="none"/>
        </w:rPr>
        <w:t>材料应有质量证明书，质量证明书的内容应齐全，加盖材料制造单位质量检验章，同时在明显部位做出清晰、牢固的标志。</w:t>
      </w:r>
    </w:p>
    <w:p w14:paraId="7ACADE11">
      <w:pPr>
        <w:pStyle w:val="174"/>
        <w:ind w:left="780" w:hanging="360"/>
        <w:rPr>
          <w:highlight w:val="none"/>
        </w:rPr>
      </w:pPr>
      <w:r>
        <w:rPr>
          <w:rFonts w:hint="eastAsia"/>
          <w:highlight w:val="none"/>
          <w:lang w:eastAsia="zh-CN"/>
        </w:rPr>
        <w:t>撬装式承压设备系统</w:t>
      </w:r>
      <w:r>
        <w:rPr>
          <w:rFonts w:hint="eastAsia"/>
          <w:highlight w:val="none"/>
        </w:rPr>
        <w:t>制造单位从非材料制造单位取得</w:t>
      </w:r>
      <w:r>
        <w:rPr>
          <w:rFonts w:hint="eastAsia"/>
          <w:highlight w:val="none"/>
          <w:lang w:eastAsia="zh-CN"/>
        </w:rPr>
        <w:t>撬装式承压设备系统</w:t>
      </w:r>
      <w:r>
        <w:rPr>
          <w:rFonts w:hint="eastAsia"/>
          <w:highlight w:val="none"/>
        </w:rPr>
        <w:t>用材料时，应取得制造单位提供的质量证明书原件或者加盖了材料经营单位公章和经办负责人签字（章）的复印件。</w:t>
      </w:r>
    </w:p>
    <w:p w14:paraId="5BAA8715">
      <w:pPr>
        <w:pStyle w:val="174"/>
        <w:ind w:left="780" w:hanging="360"/>
        <w:rPr>
          <w:highlight w:val="none"/>
        </w:rPr>
      </w:pPr>
      <w:r>
        <w:rPr>
          <w:rFonts w:hint="eastAsia"/>
          <w:highlight w:val="none"/>
          <w:lang w:val="en-US" w:eastAsia="zh-CN"/>
        </w:rPr>
        <w:t>安全阀应有校验报告，紧急切断阀应有性能试验报告。</w:t>
      </w:r>
    </w:p>
    <w:p w14:paraId="65248C38">
      <w:pPr>
        <w:pStyle w:val="105"/>
        <w:spacing w:before="156" w:after="156"/>
        <w:rPr>
          <w:highlight w:val="none"/>
        </w:rPr>
      </w:pPr>
      <w:r>
        <w:rPr>
          <w:rFonts w:hint="eastAsia"/>
          <w:highlight w:val="none"/>
          <w:lang w:eastAsia="zh-CN"/>
        </w:rPr>
        <w:t>入厂</w:t>
      </w:r>
      <w:r>
        <w:rPr>
          <w:rFonts w:hint="eastAsia"/>
          <w:highlight w:val="none"/>
        </w:rPr>
        <w:t>验收</w:t>
      </w:r>
    </w:p>
    <w:p w14:paraId="46243AC7">
      <w:pPr>
        <w:pStyle w:val="56"/>
        <w:ind w:firstLine="420"/>
        <w:rPr>
          <w:highlight w:val="none"/>
        </w:rPr>
      </w:pPr>
      <w:r>
        <w:rPr>
          <w:rFonts w:hint="eastAsia"/>
          <w:highlight w:val="none"/>
          <w:lang w:eastAsia="zh-CN"/>
        </w:rPr>
        <w:t>撬装式承压设备系统</w:t>
      </w:r>
      <w:r>
        <w:rPr>
          <w:rFonts w:hint="eastAsia"/>
          <w:highlight w:val="none"/>
        </w:rPr>
        <w:t>制造单位应当建立材料验收制度，材料</w:t>
      </w:r>
      <w:r>
        <w:rPr>
          <w:rFonts w:hint="eastAsia"/>
          <w:highlight w:val="none"/>
          <w:lang w:val="en-US" w:eastAsia="zh-CN"/>
        </w:rPr>
        <w:t>入</w:t>
      </w:r>
      <w:r>
        <w:rPr>
          <w:rFonts w:hint="eastAsia"/>
          <w:highlight w:val="none"/>
        </w:rPr>
        <w:t>场验收应符合以下要求：</w:t>
      </w:r>
    </w:p>
    <w:p w14:paraId="76EFB67C">
      <w:pPr>
        <w:pStyle w:val="174"/>
        <w:numPr>
          <w:ilvl w:val="0"/>
          <w:numId w:val="34"/>
        </w:numPr>
        <w:ind w:left="780" w:hanging="360"/>
        <w:rPr>
          <w:highlight w:val="none"/>
        </w:rPr>
      </w:pPr>
      <w:r>
        <w:rPr>
          <w:rFonts w:hint="eastAsia"/>
          <w:highlight w:val="none"/>
        </w:rPr>
        <w:t>材料的材质、型号、规格、制造标准应符合设计文件的要求，</w:t>
      </w:r>
      <w:r>
        <w:rPr>
          <w:rFonts w:hint="eastAsia"/>
          <w:highlight w:val="none"/>
          <w:lang w:val="en-US" w:eastAsia="zh-CN"/>
        </w:rPr>
        <w:t>与材料质量证明书相符，</w:t>
      </w:r>
      <w:r>
        <w:rPr>
          <w:rFonts w:hint="eastAsia"/>
          <w:highlight w:val="none"/>
        </w:rPr>
        <w:t>并逐个进行外观质量和几何尺寸的检查验收；</w:t>
      </w:r>
    </w:p>
    <w:p w14:paraId="6538BD36">
      <w:pPr>
        <w:pStyle w:val="174"/>
        <w:ind w:left="780" w:hanging="360"/>
        <w:rPr>
          <w:highlight w:val="none"/>
        </w:rPr>
      </w:pPr>
      <w:r>
        <w:rPr>
          <w:rFonts w:hint="eastAsia"/>
          <w:highlight w:val="none"/>
        </w:rPr>
        <w:t>对于铬钼钢、含镍低温钢、不锈钢以及镍及镍合金、钛及钛合金材料，应对主要合金元素进行抽查</w:t>
      </w:r>
      <w:r>
        <w:rPr>
          <w:rFonts w:hint="eastAsia"/>
          <w:highlight w:val="none"/>
          <w:lang w:eastAsia="zh-CN"/>
        </w:rPr>
        <w:t>，抽查比例应符合</w:t>
      </w:r>
      <w:r>
        <w:rPr>
          <w:rFonts w:hint="eastAsia"/>
          <w:highlight w:val="none"/>
          <w:lang w:val="en-US" w:eastAsia="zh-CN"/>
        </w:rPr>
        <w:t>GB/T 20801的相关要求</w:t>
      </w:r>
      <w:r>
        <w:rPr>
          <w:rFonts w:hint="eastAsia"/>
          <w:highlight w:val="none"/>
        </w:rPr>
        <w:t>；</w:t>
      </w:r>
    </w:p>
    <w:p w14:paraId="0ADC171B">
      <w:pPr>
        <w:pStyle w:val="174"/>
        <w:ind w:left="780" w:hanging="360"/>
        <w:rPr>
          <w:highlight w:val="none"/>
        </w:rPr>
      </w:pPr>
      <w:r>
        <w:rPr>
          <w:rFonts w:hint="eastAsia"/>
          <w:highlight w:val="none"/>
        </w:rPr>
        <w:t>材料的标记应当清晰完整，并能够追溯到产品质量证明文件</w:t>
      </w:r>
      <w:r>
        <w:rPr>
          <w:rFonts w:hint="eastAsia"/>
          <w:highlight w:val="none"/>
          <w:lang w:eastAsia="zh-CN"/>
        </w:rPr>
        <w:t>；</w:t>
      </w:r>
    </w:p>
    <w:p w14:paraId="3C9BF868">
      <w:pPr>
        <w:pStyle w:val="174"/>
        <w:ind w:left="780" w:hanging="360"/>
        <w:rPr>
          <w:rFonts w:hint="eastAsia" w:eastAsia="宋体"/>
          <w:highlight w:val="none"/>
          <w:lang w:eastAsia="zh-CN"/>
        </w:rPr>
      </w:pPr>
      <w:r>
        <w:rPr>
          <w:rFonts w:hint="eastAsia"/>
          <w:highlight w:val="none"/>
          <w:lang w:eastAsia="zh-CN"/>
        </w:rPr>
        <w:t>焊</w:t>
      </w:r>
      <w:r>
        <w:rPr>
          <w:rFonts w:hint="eastAsia"/>
          <w:highlight w:val="none"/>
        </w:rPr>
        <w:t>接材料的型号、牌号、规格、化学成分以及熔敷金属的力学性能等应符合相应焊接材料制造标准和设计文件的要求，并满足NB/T 47018的相关规定</w:t>
      </w:r>
      <w:r>
        <w:rPr>
          <w:rFonts w:hint="eastAsia"/>
          <w:highlight w:val="none"/>
          <w:lang w:eastAsia="zh-CN"/>
        </w:rPr>
        <w:t>；</w:t>
      </w:r>
    </w:p>
    <w:p w14:paraId="7C4C5E42">
      <w:pPr>
        <w:pStyle w:val="56"/>
        <w:ind w:firstLine="420"/>
      </w:pPr>
      <w:r>
        <w:rPr>
          <w:rFonts w:hint="eastAsia"/>
          <w:lang w:val="en-US" w:eastAsia="zh-CN"/>
        </w:rPr>
        <w:t xml:space="preserve">5.4.2 </w:t>
      </w:r>
      <w:r>
        <w:rPr>
          <w:rFonts w:hint="eastAsia"/>
          <w:lang w:eastAsia="zh-CN"/>
        </w:rPr>
        <w:t>撬装式承压设备系统</w:t>
      </w:r>
      <w:r>
        <w:rPr>
          <w:rFonts w:hint="eastAsia"/>
        </w:rPr>
        <w:t>的装卸臂部分应满足HG/T 21608的相关技术要求。</w:t>
      </w:r>
    </w:p>
    <w:p w14:paraId="6FE982E0">
      <w:pPr>
        <w:pStyle w:val="56"/>
        <w:ind w:firstLine="420"/>
        <w:rPr>
          <w:rFonts w:hint="eastAsia" w:hAnsi="宋体" w:cs="宋体"/>
          <w:color w:val="000000"/>
          <w:szCs w:val="21"/>
          <w:lang w:bidi="ar"/>
        </w:rPr>
      </w:pPr>
      <w:r>
        <w:rPr>
          <w:rFonts w:hint="eastAsia"/>
          <w:lang w:val="en-US" w:eastAsia="zh-CN"/>
        </w:rPr>
        <w:t xml:space="preserve">5.4.3 </w:t>
      </w:r>
      <w:r>
        <w:rPr>
          <w:rFonts w:hint="eastAsia"/>
          <w:color w:val="000000" w:themeColor="text1"/>
          <w14:textFill>
            <w14:solidFill>
              <w14:schemeClr w14:val="tx1"/>
            </w14:solidFill>
          </w14:textFill>
        </w:rPr>
        <w:t>流量计</w:t>
      </w:r>
      <w:r>
        <w:rPr>
          <w:rFonts w:hint="eastAsia"/>
        </w:rPr>
        <w:t>（壳体）制造单位应按</w:t>
      </w:r>
      <w:r>
        <w:rPr>
          <w:rFonts w:hint="eastAsia" w:hAnsi="宋体" w:cs="宋体"/>
          <w:color w:val="000000"/>
          <w:szCs w:val="21"/>
          <w:lang w:bidi="ar"/>
        </w:rPr>
        <w:t>TSG 07取得元件组合装置的制造许可资质，并经制造监督检验合格，取得制造监督检验证书。</w:t>
      </w:r>
    </w:p>
    <w:p w14:paraId="7824D71E">
      <w:pPr>
        <w:pStyle w:val="56"/>
        <w:ind w:firstLine="420"/>
        <w:rPr>
          <w:rFonts w:hint="eastAsia" w:eastAsia="宋体"/>
          <w:highlight w:val="none"/>
          <w:lang w:eastAsia="zh-CN"/>
        </w:rPr>
      </w:pPr>
      <w:r>
        <w:rPr>
          <w:rFonts w:hint="eastAsia"/>
          <w:lang w:val="en-US" w:eastAsia="zh-CN"/>
        </w:rPr>
        <w:t xml:space="preserve">5.4.4 </w:t>
      </w:r>
      <w:r>
        <w:rPr>
          <w:rFonts w:hint="eastAsia"/>
        </w:rPr>
        <w:t>仪表</w:t>
      </w:r>
      <w:r>
        <w:rPr>
          <w:rFonts w:hint="eastAsia"/>
          <w:lang w:val="en-US" w:eastAsia="zh-CN"/>
        </w:rPr>
        <w:t>类型</w:t>
      </w:r>
      <w:r>
        <w:rPr>
          <w:rFonts w:hint="eastAsia"/>
        </w:rPr>
        <w:t>应按照设计文件执行，且应符合进行HG/T 20507的相关要求。</w:t>
      </w:r>
    </w:p>
    <w:p w14:paraId="2EE61CED">
      <w:pPr>
        <w:pStyle w:val="104"/>
        <w:spacing w:before="312" w:after="312"/>
        <w:rPr>
          <w:highlight w:val="none"/>
        </w:rPr>
      </w:pPr>
      <w:bookmarkStart w:id="98" w:name="_Toc168561539"/>
      <w:bookmarkStart w:id="99" w:name="_Toc169271264"/>
      <w:bookmarkStart w:id="100" w:name="_Toc169275896"/>
      <w:bookmarkStart w:id="101" w:name="_Toc168561851"/>
      <w:bookmarkStart w:id="102" w:name="_Toc168557812"/>
      <w:bookmarkStart w:id="103" w:name="_Toc168560069"/>
      <w:r>
        <w:rPr>
          <w:rFonts w:hint="eastAsia"/>
          <w:highlight w:val="none"/>
        </w:rPr>
        <w:t>制造</w:t>
      </w:r>
      <w:bookmarkEnd w:id="98"/>
      <w:bookmarkEnd w:id="99"/>
      <w:bookmarkEnd w:id="100"/>
      <w:bookmarkEnd w:id="101"/>
      <w:bookmarkEnd w:id="102"/>
      <w:bookmarkEnd w:id="103"/>
    </w:p>
    <w:p w14:paraId="4BF96D8A">
      <w:pPr>
        <w:pStyle w:val="105"/>
        <w:spacing w:before="156" w:after="156"/>
        <w:rPr>
          <w:highlight w:val="none"/>
        </w:rPr>
      </w:pPr>
      <w:r>
        <w:rPr>
          <w:rFonts w:hint="eastAsia"/>
          <w:highlight w:val="none"/>
        </w:rPr>
        <w:t>基本要求</w:t>
      </w:r>
    </w:p>
    <w:p w14:paraId="3AEC162F">
      <w:pPr>
        <w:pStyle w:val="165"/>
        <w:numPr>
          <w:ilvl w:val="0"/>
          <w:numId w:val="0"/>
        </w:numPr>
        <w:ind w:firstLine="420" w:firstLineChars="200"/>
        <w:rPr>
          <w:highlight w:val="none"/>
        </w:rPr>
      </w:pPr>
      <w:r>
        <w:rPr>
          <w:rFonts w:hint="eastAsia"/>
          <w:highlight w:val="none"/>
          <w:lang w:eastAsia="zh-CN"/>
        </w:rPr>
        <w:t>撬装式承压设备系统</w:t>
      </w:r>
      <w:r>
        <w:rPr>
          <w:rFonts w:hint="eastAsia"/>
          <w:highlight w:val="none"/>
        </w:rPr>
        <w:t>制造单位应符合以下要求：</w:t>
      </w:r>
    </w:p>
    <w:p w14:paraId="0E1BD4C1">
      <w:pPr>
        <w:pStyle w:val="174"/>
        <w:numPr>
          <w:ilvl w:val="0"/>
          <w:numId w:val="35"/>
        </w:numPr>
        <w:rPr>
          <w:highlight w:val="none"/>
        </w:rPr>
      </w:pPr>
      <w:r>
        <w:rPr>
          <w:rFonts w:hint="eastAsia"/>
          <w:highlight w:val="none"/>
        </w:rPr>
        <w:t>取得相应特种设备生产许可证；</w:t>
      </w:r>
    </w:p>
    <w:p w14:paraId="3A46744B">
      <w:pPr>
        <w:pStyle w:val="174"/>
        <w:numPr>
          <w:ilvl w:val="0"/>
          <w:numId w:val="36"/>
        </w:numPr>
        <w:ind w:left="845" w:leftChars="0" w:firstLine="0" w:firstLineChars="0"/>
        <w:rPr>
          <w:rFonts w:hint="eastAsia"/>
          <w:highlight w:val="none"/>
          <w:lang w:val="en-US" w:eastAsia="zh-CN"/>
        </w:rPr>
      </w:pPr>
      <w:r>
        <w:rPr>
          <w:rFonts w:hint="eastAsia"/>
          <w:highlight w:val="none"/>
          <w:lang w:val="en-US" w:eastAsia="zh-CN"/>
        </w:rPr>
        <w:t>包含压力容器的撬装式承压设备系统制造单位应持有相应级别的压力容器制造许可证、元件组合装置制造许可证或压力管道安装许可证（适用于撬装式承压设备系统的安装施工现场进行组装）；</w:t>
      </w:r>
    </w:p>
    <w:p w14:paraId="5659EE6A">
      <w:pPr>
        <w:pStyle w:val="174"/>
        <w:numPr>
          <w:ilvl w:val="0"/>
          <w:numId w:val="36"/>
        </w:numPr>
        <w:ind w:left="845" w:leftChars="0" w:firstLine="0" w:firstLineChars="0"/>
        <w:rPr>
          <w:rFonts w:hint="default"/>
          <w:highlight w:val="none"/>
          <w:lang w:val="en-US" w:eastAsia="zh-CN"/>
        </w:rPr>
      </w:pPr>
      <w:r>
        <w:rPr>
          <w:rFonts w:hint="eastAsia"/>
          <w:highlight w:val="none"/>
          <w:lang w:val="en-US" w:eastAsia="zh-CN"/>
        </w:rPr>
        <w:t>不包含力容器的撬装式承压设备系统制造单位应持有元件组合装置制造许可证。</w:t>
      </w:r>
    </w:p>
    <w:p w14:paraId="5CBDB51F">
      <w:pPr>
        <w:pStyle w:val="174"/>
        <w:rPr>
          <w:highlight w:val="none"/>
        </w:rPr>
      </w:pPr>
      <w:r>
        <w:rPr>
          <w:rFonts w:hint="eastAsia"/>
          <w:highlight w:val="none"/>
        </w:rPr>
        <w:t>配置满足TSG 07相应资源条件要求及生产所需的人员、场所、设备设施等；</w:t>
      </w:r>
    </w:p>
    <w:p w14:paraId="74DA4B43">
      <w:pPr>
        <w:pStyle w:val="174"/>
        <w:rPr>
          <w:highlight w:val="none"/>
        </w:rPr>
      </w:pPr>
      <w:r>
        <w:rPr>
          <w:rFonts w:hint="eastAsia"/>
          <w:highlight w:val="none"/>
        </w:rPr>
        <w:t>按TSG 07的规定建立质量保证体系并有效实施；</w:t>
      </w:r>
    </w:p>
    <w:p w14:paraId="758643D8">
      <w:pPr>
        <w:pStyle w:val="174"/>
        <w:rPr>
          <w:highlight w:val="none"/>
        </w:rPr>
      </w:pPr>
      <w:r>
        <w:rPr>
          <w:rFonts w:hint="eastAsia"/>
          <w:highlight w:val="none"/>
        </w:rPr>
        <w:t>具备</w:t>
      </w:r>
      <w:r>
        <w:rPr>
          <w:rFonts w:hint="eastAsia"/>
          <w:highlight w:val="none"/>
          <w:lang w:eastAsia="zh-CN"/>
        </w:rPr>
        <w:t>撬装式承压设备系统</w:t>
      </w:r>
      <w:r>
        <w:rPr>
          <w:rFonts w:hint="eastAsia"/>
          <w:highlight w:val="none"/>
        </w:rPr>
        <w:t>安全性能所需的技术</w:t>
      </w:r>
      <w:r>
        <w:rPr>
          <w:rFonts w:hint="eastAsia"/>
          <w:highlight w:val="none"/>
          <w:lang w:eastAsia="zh-CN"/>
        </w:rPr>
        <w:t>保障</w:t>
      </w:r>
      <w:r>
        <w:rPr>
          <w:rFonts w:hint="eastAsia"/>
          <w:highlight w:val="none"/>
        </w:rPr>
        <w:t>能力。</w:t>
      </w:r>
    </w:p>
    <w:p w14:paraId="142D72D5">
      <w:pPr>
        <w:pStyle w:val="105"/>
        <w:spacing w:before="156" w:after="156"/>
        <w:rPr>
          <w:highlight w:val="none"/>
        </w:rPr>
      </w:pPr>
      <w:r>
        <w:rPr>
          <w:rFonts w:hint="eastAsia"/>
          <w:highlight w:val="none"/>
        </w:rPr>
        <w:t>焊接</w:t>
      </w:r>
    </w:p>
    <w:p w14:paraId="4125253D">
      <w:pPr>
        <w:pStyle w:val="65"/>
        <w:bidi w:val="0"/>
        <w:ind w:left="0" w:leftChars="0" w:firstLine="0" w:firstLineChars="0"/>
        <w:rPr>
          <w:highlight w:val="none"/>
        </w:rPr>
      </w:pPr>
      <w:bookmarkStart w:id="104" w:name="_Toc177633775"/>
      <w:r>
        <w:rPr>
          <w:rFonts w:hint="eastAsia"/>
          <w:highlight w:val="none"/>
        </w:rPr>
        <w:t>基本要求</w:t>
      </w:r>
      <w:bookmarkEnd w:id="104"/>
    </w:p>
    <w:p w14:paraId="49126BB4">
      <w:pPr>
        <w:pStyle w:val="164"/>
        <w:rPr>
          <w:rFonts w:hint="eastAsia"/>
          <w:highlight w:val="none"/>
        </w:rPr>
      </w:pPr>
      <w:bookmarkStart w:id="105" w:name="_Hlk173307546"/>
      <w:r>
        <w:rPr>
          <w:rFonts w:hint="eastAsia"/>
          <w:highlight w:val="none"/>
        </w:rPr>
        <w:t>管道承压件与承压件焊接，承压件与非承压件的焊接，均应采用经评定合格的焊接工艺，并由取得相应资格证书的焊工进行施焊</w:t>
      </w:r>
      <w:bookmarkEnd w:id="105"/>
      <w:r>
        <w:rPr>
          <w:rFonts w:hint="eastAsia"/>
          <w:highlight w:val="none"/>
        </w:rPr>
        <w:t>。</w:t>
      </w:r>
    </w:p>
    <w:p w14:paraId="62BAAA5C">
      <w:pPr>
        <w:pStyle w:val="164"/>
        <w:rPr>
          <w:rFonts w:hint="eastAsia"/>
          <w:highlight w:val="none"/>
        </w:rPr>
      </w:pPr>
      <w:r>
        <w:rPr>
          <w:rFonts w:hint="eastAsia"/>
          <w:highlight w:val="none"/>
        </w:rPr>
        <w:t>焊接工艺评定和焊工</w:t>
      </w:r>
      <w:r>
        <w:rPr>
          <w:rFonts w:hint="eastAsia"/>
          <w:highlight w:val="none"/>
          <w:lang w:val="en-US" w:eastAsia="zh-CN"/>
        </w:rPr>
        <w:t>资格</w:t>
      </w:r>
      <w:r>
        <w:rPr>
          <w:rFonts w:hint="eastAsia"/>
          <w:highlight w:val="none"/>
        </w:rPr>
        <w:t>应分别符合 NB/T 47014及TSG Z6002的规定。</w:t>
      </w:r>
    </w:p>
    <w:p w14:paraId="0D6870DF">
      <w:pPr>
        <w:pStyle w:val="164"/>
        <w:rPr>
          <w:rFonts w:hint="eastAsia"/>
          <w:color w:val="auto"/>
          <w:highlight w:val="none"/>
        </w:rPr>
      </w:pPr>
      <w:r>
        <w:rPr>
          <w:rFonts w:hint="eastAsia"/>
          <w:color w:val="auto"/>
          <w:highlight w:val="none"/>
          <w:lang w:val="en-US" w:eastAsia="zh-CN" w:bidi="ar"/>
        </w:rPr>
        <w:t>施焊环境应符合GB/T 20801的要求。</w:t>
      </w:r>
    </w:p>
    <w:p w14:paraId="33DFE81A">
      <w:pPr>
        <w:pStyle w:val="65"/>
        <w:bidi w:val="0"/>
        <w:ind w:left="0" w:leftChars="0" w:firstLine="0" w:firstLineChars="0"/>
        <w:rPr>
          <w:highlight w:val="none"/>
        </w:rPr>
      </w:pPr>
      <w:bookmarkStart w:id="106" w:name="_Toc177633777"/>
      <w:r>
        <w:rPr>
          <w:rFonts w:hint="eastAsia"/>
          <w:highlight w:val="none"/>
        </w:rPr>
        <w:t>组对</w:t>
      </w:r>
      <w:bookmarkEnd w:id="106"/>
    </w:p>
    <w:p w14:paraId="2FD8032A">
      <w:pPr>
        <w:pStyle w:val="164"/>
        <w:rPr>
          <w:rFonts w:hint="eastAsia"/>
          <w:highlight w:val="none"/>
        </w:rPr>
      </w:pPr>
      <w:r>
        <w:rPr>
          <w:rFonts w:hint="eastAsia"/>
          <w:highlight w:val="none"/>
        </w:rPr>
        <w:t>管口组对的坡口型式应符合焊接工艺规程的规定，出厂的管端坡口不满足要求时，应根据焊接工艺采用机械方式进行加工。</w:t>
      </w:r>
    </w:p>
    <w:p w14:paraId="0CFE344F">
      <w:pPr>
        <w:pStyle w:val="164"/>
        <w:rPr>
          <w:rFonts w:hint="eastAsia"/>
          <w:highlight w:val="none"/>
        </w:rPr>
      </w:pPr>
      <w:r>
        <w:rPr>
          <w:rFonts w:hint="eastAsia"/>
          <w:highlight w:val="none"/>
        </w:rPr>
        <w:t>钢管端口圆度超标时应进行校圆。校圆时宜采用整形器调整，不应使用锤击的方法对管口整形。</w:t>
      </w:r>
    </w:p>
    <w:p w14:paraId="42DC2CE0">
      <w:pPr>
        <w:pStyle w:val="164"/>
        <w:rPr>
          <w:rFonts w:hint="eastAsia"/>
          <w:highlight w:val="none"/>
        </w:rPr>
      </w:pPr>
      <w:r>
        <w:rPr>
          <w:rFonts w:hint="eastAsia"/>
          <w:highlight w:val="none"/>
        </w:rPr>
        <w:t>管道连接时，不得采用强力对口。端面的间隙、偏差、错口或不同心等缺陷不得采用加热管道、加偏垫等方法消除。</w:t>
      </w:r>
    </w:p>
    <w:p w14:paraId="54AF4E09">
      <w:pPr>
        <w:pStyle w:val="164"/>
        <w:rPr>
          <w:rFonts w:hint="eastAsia"/>
          <w:highlight w:val="none"/>
        </w:rPr>
      </w:pPr>
      <w:r>
        <w:rPr>
          <w:rFonts w:hint="eastAsia"/>
          <w:highlight w:val="none"/>
          <w:lang w:eastAsia="zh-CN"/>
        </w:rPr>
        <w:t>焊接接头的对口间隙及错边量应符合</w:t>
      </w:r>
      <w:r>
        <w:rPr>
          <w:rFonts w:hint="eastAsia"/>
          <w:highlight w:val="none"/>
          <w:lang w:val="en-US" w:eastAsia="zh-CN"/>
        </w:rPr>
        <w:t>GB/T 20801的相关要求。</w:t>
      </w:r>
    </w:p>
    <w:p w14:paraId="13B25B01">
      <w:pPr>
        <w:pStyle w:val="65"/>
        <w:bidi w:val="0"/>
        <w:ind w:left="0" w:leftChars="0" w:firstLine="0" w:firstLineChars="0"/>
        <w:rPr>
          <w:highlight w:val="none"/>
        </w:rPr>
      </w:pPr>
      <w:bookmarkStart w:id="107" w:name="_Toc177633778"/>
      <w:r>
        <w:rPr>
          <w:rFonts w:hint="eastAsia"/>
          <w:highlight w:val="none"/>
        </w:rPr>
        <w:t>焊前预热</w:t>
      </w:r>
      <w:bookmarkEnd w:id="107"/>
    </w:p>
    <w:p w14:paraId="3C59EFBC">
      <w:pPr>
        <w:pStyle w:val="164"/>
        <w:rPr>
          <w:rFonts w:hint="eastAsia"/>
          <w:highlight w:val="none"/>
        </w:rPr>
      </w:pPr>
      <w:r>
        <w:rPr>
          <w:rFonts w:hint="eastAsia"/>
          <w:highlight w:val="none"/>
        </w:rPr>
        <w:t>焊前预热及焊后热处理应符合GB/T 20801的相关规定。</w:t>
      </w:r>
    </w:p>
    <w:p w14:paraId="260A26A0">
      <w:pPr>
        <w:pStyle w:val="164"/>
        <w:rPr>
          <w:rFonts w:hint="eastAsia"/>
          <w:highlight w:val="none"/>
        </w:rPr>
      </w:pPr>
      <w:r>
        <w:rPr>
          <w:rFonts w:hint="eastAsia"/>
          <w:highlight w:val="none"/>
        </w:rPr>
        <w:t>当焊接两种具有不同预热要求的材料时，应以预热要求较高的材料为准。</w:t>
      </w:r>
    </w:p>
    <w:p w14:paraId="6E789274">
      <w:pPr>
        <w:pStyle w:val="164"/>
        <w:rPr>
          <w:rFonts w:hint="eastAsia"/>
          <w:highlight w:val="none"/>
        </w:rPr>
      </w:pPr>
      <w:r>
        <w:rPr>
          <w:rFonts w:hint="eastAsia"/>
          <w:highlight w:val="none"/>
        </w:rPr>
        <w:t>预热应均匀达到要求，层间温度宜用相同的加热方式保持，在实际施焊期间温度不应降至最低值以下。预热宜选用合适的测温工具，保证在焊接前和焊接过程中及时获得温度数据。温度测量仪表应经检定或校准合格。</w:t>
      </w:r>
    </w:p>
    <w:p w14:paraId="736000C3">
      <w:pPr>
        <w:pStyle w:val="65"/>
        <w:bidi w:val="0"/>
        <w:ind w:left="0" w:leftChars="0" w:firstLine="0" w:firstLineChars="0"/>
        <w:rPr>
          <w:highlight w:val="none"/>
        </w:rPr>
      </w:pPr>
      <w:bookmarkStart w:id="108" w:name="_Toc177633780"/>
      <w:r>
        <w:rPr>
          <w:rFonts w:hint="eastAsia"/>
          <w:highlight w:val="none"/>
        </w:rPr>
        <w:t>工艺控制</w:t>
      </w:r>
      <w:bookmarkEnd w:id="108"/>
    </w:p>
    <w:p w14:paraId="450A1F91">
      <w:pPr>
        <w:pStyle w:val="164"/>
        <w:rPr>
          <w:rFonts w:hint="eastAsia"/>
          <w:highlight w:val="none"/>
        </w:rPr>
      </w:pPr>
      <w:r>
        <w:rPr>
          <w:rFonts w:hint="eastAsia"/>
          <w:highlight w:val="none"/>
        </w:rPr>
        <w:t>应采用经评定合格的焊接工艺，由合格焊工按焊接工艺规程对焊缝（包括定位焊缝）进行焊接。</w:t>
      </w:r>
    </w:p>
    <w:p w14:paraId="3069D8B7">
      <w:pPr>
        <w:pStyle w:val="164"/>
        <w:rPr>
          <w:rFonts w:hint="eastAsia"/>
          <w:highlight w:val="none"/>
        </w:rPr>
      </w:pPr>
      <w:r>
        <w:rPr>
          <w:rFonts w:hint="eastAsia"/>
          <w:highlight w:val="none"/>
        </w:rPr>
        <w:t>除因工艺或检验要求需分次焊接外，每条焊缝宜一次连续焊完，当因故中断焊接时，应根据工艺要求采取保温缓冷或后热等措施防止裂纹的产生。再次焊接前应检查焊层表面，确认无裂纹后，按原工艺要求继续施焊。</w:t>
      </w:r>
    </w:p>
    <w:p w14:paraId="67ABB28E">
      <w:pPr>
        <w:pStyle w:val="164"/>
        <w:rPr>
          <w:rFonts w:hint="eastAsia"/>
          <w:highlight w:val="none"/>
        </w:rPr>
      </w:pPr>
      <w:r>
        <w:rPr>
          <w:rFonts w:hint="eastAsia"/>
          <w:highlight w:val="none"/>
        </w:rPr>
        <w:t>在根部焊道和盖面焊道上不得锤击消除残余应力。</w:t>
      </w:r>
    </w:p>
    <w:p w14:paraId="40EDD5C4">
      <w:pPr>
        <w:pStyle w:val="164"/>
        <w:rPr>
          <w:rFonts w:hint="eastAsia"/>
          <w:highlight w:val="none"/>
        </w:rPr>
      </w:pPr>
      <w:r>
        <w:rPr>
          <w:rFonts w:hint="eastAsia"/>
          <w:highlight w:val="none"/>
        </w:rPr>
        <w:t>对焊接连接的阀门施焊时，所采用的焊接顺序、工艺以及焊后热处理，均应保证阀座的密封性能不受影响。</w:t>
      </w:r>
    </w:p>
    <w:p w14:paraId="7F2E946B">
      <w:pPr>
        <w:pStyle w:val="164"/>
        <w:rPr>
          <w:rFonts w:hint="eastAsia"/>
          <w:highlight w:val="none"/>
        </w:rPr>
      </w:pPr>
      <w:r>
        <w:rPr>
          <w:rFonts w:hint="eastAsia"/>
          <w:highlight w:val="none"/>
        </w:rPr>
        <w:t>不得在焊件表面引弧或试验电流。不锈钢管道</w:t>
      </w:r>
      <w:r>
        <w:rPr>
          <w:rFonts w:hint="eastAsia"/>
          <w:highlight w:val="none"/>
          <w:lang w:val="en-US" w:eastAsia="zh-CN"/>
        </w:rPr>
        <w:t>和</w:t>
      </w:r>
      <w:r>
        <w:rPr>
          <w:rFonts w:hint="eastAsia"/>
          <w:highlight w:val="none"/>
        </w:rPr>
        <w:t>设计温度≤-20℃的管道的表面均不得有电弧擦伤等缺陷。</w:t>
      </w:r>
    </w:p>
    <w:p w14:paraId="3900D35E">
      <w:pPr>
        <w:pStyle w:val="164"/>
        <w:rPr>
          <w:rFonts w:hint="eastAsia"/>
          <w:highlight w:val="none"/>
        </w:rPr>
      </w:pPr>
      <w:r>
        <w:rPr>
          <w:rFonts w:hint="eastAsia"/>
          <w:highlight w:val="none"/>
        </w:rPr>
        <w:t>内部清洁要求较高且焊接后不易清理的管道、</w:t>
      </w:r>
      <w:r>
        <w:rPr>
          <w:rFonts w:hint="eastAsia"/>
          <w:color w:val="auto"/>
          <w:highlight w:val="none"/>
          <w:lang w:val="en-US" w:eastAsia="zh-CN"/>
        </w:rPr>
        <w:t>与设备入口连接的</w:t>
      </w:r>
      <w:r>
        <w:rPr>
          <w:rFonts w:hint="eastAsia"/>
          <w:color w:val="auto"/>
          <w:highlight w:val="none"/>
        </w:rPr>
        <w:t>管道</w:t>
      </w:r>
      <w:r>
        <w:rPr>
          <w:rFonts w:hint="eastAsia"/>
          <w:highlight w:val="none"/>
        </w:rPr>
        <w:t>及设计规定的其他管道的单面焊焊缝，应采用氩弧焊进行根部焊道焊接。</w:t>
      </w:r>
    </w:p>
    <w:p w14:paraId="6FB998C8">
      <w:pPr>
        <w:pStyle w:val="164"/>
        <w:rPr>
          <w:rFonts w:hint="eastAsia"/>
          <w:highlight w:val="none"/>
        </w:rPr>
      </w:pPr>
      <w:r>
        <w:rPr>
          <w:rFonts w:hint="eastAsia"/>
          <w:highlight w:val="none"/>
        </w:rPr>
        <w:t>规定层间温度的焊缝，应测量层间温度，层间温度应符合焊接工艺</w:t>
      </w:r>
      <w:r>
        <w:rPr>
          <w:rFonts w:hint="eastAsia"/>
          <w:highlight w:val="none"/>
          <w:lang w:val="en-US" w:eastAsia="zh-CN"/>
        </w:rPr>
        <w:t>规程</w:t>
      </w:r>
      <w:r>
        <w:rPr>
          <w:rFonts w:hint="eastAsia"/>
          <w:highlight w:val="none"/>
        </w:rPr>
        <w:t>的规定。</w:t>
      </w:r>
    </w:p>
    <w:p w14:paraId="3E27367B">
      <w:pPr>
        <w:pStyle w:val="164"/>
        <w:rPr>
          <w:rFonts w:hint="eastAsia"/>
          <w:highlight w:val="none"/>
        </w:rPr>
      </w:pPr>
      <w:r>
        <w:rPr>
          <w:rFonts w:hint="eastAsia"/>
          <w:highlight w:val="none"/>
        </w:rPr>
        <w:t>多层焊每层焊完后，应立即进行清理和目视检查。如发现缺陷，应消除后方可进行下一层施焊。</w:t>
      </w:r>
    </w:p>
    <w:p w14:paraId="0161D00C">
      <w:pPr>
        <w:pStyle w:val="164"/>
        <w:rPr>
          <w:rFonts w:hint="eastAsia"/>
          <w:highlight w:val="none"/>
        </w:rPr>
      </w:pPr>
      <w:r>
        <w:rPr>
          <w:rFonts w:hint="eastAsia"/>
          <w:highlight w:val="none"/>
        </w:rPr>
        <w:t>规定进行层间无损检测的焊缝，无损检测应在目视检查合格后进行，表面无损检测应在射线检测及超声波检测前进行，经检测的焊缝在评定合格后方可继续进行焊接。</w:t>
      </w:r>
    </w:p>
    <w:p w14:paraId="20771B27">
      <w:pPr>
        <w:pStyle w:val="164"/>
        <w:rPr>
          <w:rFonts w:hint="eastAsia"/>
          <w:highlight w:val="none"/>
        </w:rPr>
      </w:pPr>
      <w:bookmarkStart w:id="109" w:name="_Hlk173308200"/>
      <w:r>
        <w:rPr>
          <w:rFonts w:hint="eastAsia"/>
          <w:highlight w:val="none"/>
        </w:rPr>
        <w:t>每个焊工均应有指定的识别代号。管道承压焊缝应标有焊工识别标记</w:t>
      </w:r>
      <w:r>
        <w:rPr>
          <w:rFonts w:hint="eastAsia"/>
          <w:highlight w:val="none"/>
          <w:lang w:eastAsia="zh-CN"/>
        </w:rPr>
        <w:t>，</w:t>
      </w:r>
      <w:r>
        <w:rPr>
          <w:rFonts w:hint="eastAsia"/>
          <w:highlight w:val="none"/>
        </w:rPr>
        <w:t>标记方法的采用应以对材料表面不构成损害或污染为原则，并应尽量避免降低材料的使用性能。低温钢及钛材不得使用硬印标记。如无法直接在管道承压件上作焊工标记的，则应在管道轴测图或用简图记录焊工识别代号，并将简图列入交工技术文件</w:t>
      </w:r>
      <w:bookmarkEnd w:id="109"/>
      <w:r>
        <w:rPr>
          <w:rFonts w:hint="eastAsia"/>
          <w:highlight w:val="none"/>
        </w:rPr>
        <w:t>。</w:t>
      </w:r>
    </w:p>
    <w:p w14:paraId="145962E4">
      <w:pPr>
        <w:pStyle w:val="65"/>
        <w:bidi w:val="0"/>
        <w:ind w:left="0" w:leftChars="0" w:firstLine="0" w:firstLineChars="0"/>
        <w:rPr>
          <w:highlight w:val="none"/>
        </w:rPr>
      </w:pPr>
      <w:bookmarkStart w:id="110" w:name="_Toc177633781"/>
      <w:r>
        <w:rPr>
          <w:rFonts w:hint="eastAsia"/>
          <w:highlight w:val="none"/>
        </w:rPr>
        <w:t>焊缝返修</w:t>
      </w:r>
      <w:bookmarkEnd w:id="110"/>
    </w:p>
    <w:p w14:paraId="44337AE4">
      <w:pPr>
        <w:pStyle w:val="164"/>
        <w:rPr>
          <w:rFonts w:hint="eastAsia"/>
          <w:highlight w:val="none"/>
        </w:rPr>
      </w:pPr>
      <w:r>
        <w:rPr>
          <w:rFonts w:hint="eastAsia"/>
          <w:highlight w:val="none"/>
        </w:rPr>
        <w:t>返修前应对缺陷产生的原因进行分析，提出相应的返修措施。</w:t>
      </w:r>
    </w:p>
    <w:p w14:paraId="05FE458D">
      <w:pPr>
        <w:pStyle w:val="164"/>
        <w:rPr>
          <w:rFonts w:hint="eastAsia"/>
          <w:highlight w:val="none"/>
        </w:rPr>
      </w:pPr>
      <w:r>
        <w:rPr>
          <w:rFonts w:hint="eastAsia"/>
          <w:highlight w:val="none"/>
        </w:rPr>
        <w:t>补焊应采用经评定合格的焊接工艺。</w:t>
      </w:r>
    </w:p>
    <w:p w14:paraId="06BEDD63">
      <w:pPr>
        <w:pStyle w:val="164"/>
        <w:rPr>
          <w:rFonts w:hint="eastAsia"/>
          <w:highlight w:val="none"/>
        </w:rPr>
      </w:pPr>
      <w:r>
        <w:rPr>
          <w:rFonts w:hint="eastAsia"/>
          <w:highlight w:val="none"/>
        </w:rPr>
        <w:t>同一部位（指焊补的填充金属重叠的部位）的返修次数超过两次时，应重新制定返修措施，经施焊单位技术总负责人批准后方可进行返修。</w:t>
      </w:r>
    </w:p>
    <w:p w14:paraId="633FC40D">
      <w:pPr>
        <w:pStyle w:val="164"/>
        <w:rPr>
          <w:rFonts w:hint="eastAsia"/>
          <w:highlight w:val="none"/>
        </w:rPr>
      </w:pPr>
      <w:bookmarkStart w:id="111" w:name="_Hlk173308303"/>
      <w:r>
        <w:rPr>
          <w:rFonts w:hint="eastAsia"/>
          <w:highlight w:val="none"/>
        </w:rPr>
        <w:t>返修后应按原规定的检验方法重新检验，并连同返修及检验记录（</w:t>
      </w:r>
      <w:r>
        <w:rPr>
          <w:rFonts w:hint="eastAsia"/>
          <w:highlight w:val="none"/>
          <w:lang w:val="en-US" w:eastAsia="zh-CN"/>
        </w:rPr>
        <w:t>包括</w:t>
      </w:r>
      <w:r>
        <w:rPr>
          <w:rFonts w:hint="eastAsia"/>
          <w:highlight w:val="none"/>
        </w:rPr>
        <w:t>返修次数、部位、返修后的无损检测结果）一并记入</w:t>
      </w:r>
      <w:r>
        <w:rPr>
          <w:rFonts w:hint="eastAsia"/>
          <w:highlight w:val="none"/>
          <w:lang w:val="en-US" w:eastAsia="zh-CN"/>
        </w:rPr>
        <w:t>产品</w:t>
      </w:r>
      <w:r>
        <w:rPr>
          <w:rFonts w:hint="eastAsia"/>
          <w:highlight w:val="none"/>
        </w:rPr>
        <w:t>技术</w:t>
      </w:r>
      <w:bookmarkEnd w:id="111"/>
      <w:r>
        <w:rPr>
          <w:rFonts w:hint="eastAsia"/>
          <w:highlight w:val="none"/>
          <w:lang w:val="en-US" w:eastAsia="zh-CN"/>
        </w:rPr>
        <w:t>档案</w:t>
      </w:r>
      <w:r>
        <w:rPr>
          <w:rFonts w:hint="eastAsia"/>
          <w:highlight w:val="none"/>
        </w:rPr>
        <w:t>。</w:t>
      </w:r>
    </w:p>
    <w:p w14:paraId="2F2D9C00">
      <w:pPr>
        <w:pStyle w:val="105"/>
        <w:numPr>
          <w:ilvl w:val="2"/>
          <w:numId w:val="2"/>
        </w:numPr>
        <w:spacing w:before="156" w:after="156"/>
        <w:rPr>
          <w:highlight w:val="none"/>
        </w:rPr>
      </w:pPr>
      <w:r>
        <w:rPr>
          <w:rFonts w:hint="eastAsia"/>
          <w:highlight w:val="none"/>
        </w:rPr>
        <w:t>外观及几何尺寸</w:t>
      </w:r>
    </w:p>
    <w:p w14:paraId="799CB216">
      <w:pPr>
        <w:pStyle w:val="165"/>
        <w:numPr>
          <w:ilvl w:val="0"/>
          <w:numId w:val="0"/>
        </w:numPr>
        <w:ind w:firstLine="420" w:firstLineChars="200"/>
        <w:rPr>
          <w:highlight w:val="none"/>
        </w:rPr>
      </w:pPr>
      <w:r>
        <w:rPr>
          <w:rFonts w:hint="eastAsia"/>
          <w:highlight w:val="none"/>
        </w:rPr>
        <w:t>焊接完成之后对</w:t>
      </w:r>
      <w:r>
        <w:rPr>
          <w:rFonts w:hint="eastAsia"/>
          <w:highlight w:val="none"/>
          <w:lang w:eastAsia="zh-CN"/>
        </w:rPr>
        <w:t>撬装式承压设备系统</w:t>
      </w:r>
      <w:r>
        <w:rPr>
          <w:rFonts w:hint="eastAsia"/>
          <w:highlight w:val="none"/>
        </w:rPr>
        <w:t>外观质量、几何尺寸、焊缝表面质量等进行检查，合格要求如下：</w:t>
      </w:r>
    </w:p>
    <w:p w14:paraId="3DD3E6D9">
      <w:pPr>
        <w:pStyle w:val="174"/>
        <w:numPr>
          <w:ilvl w:val="0"/>
          <w:numId w:val="37"/>
        </w:numPr>
        <w:ind w:left="780" w:hanging="360"/>
        <w:rPr>
          <w:highlight w:val="none"/>
        </w:rPr>
      </w:pPr>
      <w:r>
        <w:rPr>
          <w:rFonts w:hint="eastAsia"/>
          <w:highlight w:val="none"/>
          <w:lang w:eastAsia="zh-CN"/>
        </w:rPr>
        <w:t>撬装式承压设备系统</w:t>
      </w:r>
      <w:r>
        <w:rPr>
          <w:rFonts w:hint="eastAsia"/>
          <w:highlight w:val="none"/>
        </w:rPr>
        <w:t>表面不应有明显的损伤和缺陷；</w:t>
      </w:r>
    </w:p>
    <w:p w14:paraId="46A3CBA6">
      <w:pPr>
        <w:pStyle w:val="174"/>
        <w:ind w:left="780" w:hanging="360"/>
        <w:rPr>
          <w:highlight w:val="none"/>
        </w:rPr>
      </w:pPr>
      <w:r>
        <w:rPr>
          <w:rFonts w:hint="eastAsia"/>
          <w:highlight w:val="none"/>
          <w:lang w:eastAsia="zh-CN"/>
        </w:rPr>
        <w:t>撬装式承压设备系统</w:t>
      </w:r>
      <w:r>
        <w:rPr>
          <w:rFonts w:hint="eastAsia"/>
          <w:highlight w:val="none"/>
        </w:rPr>
        <w:t>的尺寸应符合设计文件及技术文件的要求；</w:t>
      </w:r>
    </w:p>
    <w:p w14:paraId="563DC7EA">
      <w:pPr>
        <w:pStyle w:val="174"/>
        <w:ind w:left="780" w:hanging="360"/>
        <w:rPr>
          <w:highlight w:val="none"/>
        </w:rPr>
      </w:pPr>
      <w:r>
        <w:rPr>
          <w:rFonts w:hint="eastAsia" w:hAnsi="宋体" w:cs="宋体"/>
          <w:color w:val="000000"/>
          <w:szCs w:val="21"/>
          <w:highlight w:val="none"/>
          <w:lang w:eastAsia="zh-CN" w:bidi="ar"/>
        </w:rPr>
        <w:t>焊</w:t>
      </w:r>
      <w:r>
        <w:rPr>
          <w:rFonts w:hint="eastAsia" w:hAnsi="宋体" w:cs="宋体"/>
          <w:color w:val="000000"/>
          <w:szCs w:val="21"/>
          <w:highlight w:val="none"/>
          <w:lang w:bidi="ar"/>
        </w:rPr>
        <w:t>缝应成形均匀，焊道与焊道、焊道与母材之间过渡平滑。焊缝及其热影响区表面不得有裂纹、未熔合、气孔、夹渣等缺陷</w:t>
      </w:r>
      <w:r>
        <w:rPr>
          <w:rFonts w:hint="eastAsia" w:hAnsi="宋体" w:cs="宋体"/>
          <w:color w:val="000000"/>
          <w:szCs w:val="21"/>
          <w:highlight w:val="none"/>
          <w:lang w:eastAsia="zh-CN" w:bidi="ar"/>
        </w:rPr>
        <w:t>；</w:t>
      </w:r>
    </w:p>
    <w:p w14:paraId="53C76445">
      <w:pPr>
        <w:pStyle w:val="174"/>
        <w:rPr>
          <w:highlight w:val="none"/>
        </w:rPr>
      </w:pPr>
      <w:r>
        <w:rPr>
          <w:rFonts w:hint="eastAsia"/>
          <w:highlight w:val="none"/>
        </w:rPr>
        <w:t>焊</w:t>
      </w:r>
      <w:r>
        <w:rPr>
          <w:rFonts w:hint="eastAsia" w:hAnsi="宋体" w:cs="宋体"/>
          <w:color w:val="000000"/>
          <w:szCs w:val="21"/>
          <w:highlight w:val="none"/>
          <w:lang w:bidi="ar"/>
        </w:rPr>
        <w:t>缝不得有低于母材的局部凹陷</w:t>
      </w:r>
      <w:r>
        <w:rPr>
          <w:rFonts w:hint="eastAsia" w:hAnsi="宋体" w:cs="宋体"/>
          <w:color w:val="000000"/>
          <w:szCs w:val="21"/>
          <w:highlight w:val="none"/>
          <w:lang w:eastAsia="zh-CN" w:bidi="ar"/>
        </w:rPr>
        <w:t>，焊缝余高应满足</w:t>
      </w:r>
      <w:r>
        <w:rPr>
          <w:rFonts w:hint="eastAsia" w:hAnsi="宋体" w:cs="宋体"/>
          <w:color w:val="000000"/>
          <w:szCs w:val="21"/>
          <w:highlight w:val="none"/>
          <w:lang w:val="en-US" w:eastAsia="zh-CN" w:bidi="ar"/>
        </w:rPr>
        <w:t>GB/T 20801的相关要求</w:t>
      </w:r>
      <w:r>
        <w:rPr>
          <w:rFonts w:hint="eastAsia"/>
          <w:highlight w:val="none"/>
        </w:rPr>
        <w:t>。</w:t>
      </w:r>
    </w:p>
    <w:p w14:paraId="0D5C9858">
      <w:pPr>
        <w:pStyle w:val="105"/>
        <w:numPr>
          <w:ilvl w:val="2"/>
          <w:numId w:val="2"/>
        </w:numPr>
        <w:spacing w:before="156" w:after="156"/>
        <w:rPr>
          <w:highlight w:val="none"/>
        </w:rPr>
      </w:pPr>
      <w:bookmarkStart w:id="112" w:name="_Toc141781321"/>
      <w:bookmarkStart w:id="113" w:name="_Toc139958056"/>
      <w:r>
        <w:rPr>
          <w:rFonts w:hint="eastAsia"/>
          <w:highlight w:val="none"/>
        </w:rPr>
        <w:t>理化检验</w:t>
      </w:r>
      <w:bookmarkEnd w:id="112"/>
      <w:bookmarkEnd w:id="113"/>
    </w:p>
    <w:p w14:paraId="3CD5FFE7">
      <w:pPr>
        <w:pStyle w:val="165"/>
        <w:rPr>
          <w:rFonts w:hint="eastAsia"/>
          <w:highlight w:val="none"/>
          <w:lang w:val="en-US" w:eastAsia="zh-CN"/>
        </w:rPr>
      </w:pPr>
      <w:r>
        <w:rPr>
          <w:rFonts w:hint="eastAsia"/>
          <w:highlight w:val="none"/>
          <w:lang w:eastAsia="zh-CN"/>
        </w:rPr>
        <w:t>撬装式承压设备系统</w:t>
      </w:r>
      <w:r>
        <w:rPr>
          <w:rFonts w:hint="eastAsia"/>
          <w:highlight w:val="none"/>
        </w:rPr>
        <w:t>要求焊后热处理的焊接接头，热处理后应测量硬度值，硬度测定区域包括焊缝和热影响区，热影响区的测定区域应紧邻熔合线，测量的硬度值应符合设计文件的相关要求</w:t>
      </w:r>
      <w:r>
        <w:rPr>
          <w:rFonts w:hint="eastAsia"/>
          <w:highlight w:val="none"/>
          <w:lang w:val="en-US" w:eastAsia="zh-CN"/>
        </w:rPr>
        <w:t>。</w:t>
      </w:r>
    </w:p>
    <w:p w14:paraId="123B2A8C">
      <w:pPr>
        <w:pStyle w:val="165"/>
        <w:rPr>
          <w:rFonts w:hint="eastAsia"/>
          <w:highlight w:val="none"/>
        </w:rPr>
      </w:pPr>
      <w:r>
        <w:rPr>
          <w:rFonts w:hint="eastAsia"/>
          <w:highlight w:val="none"/>
          <w:lang w:eastAsia="zh-CN"/>
        </w:rPr>
        <w:t>撬装式承压设备系统理化</w:t>
      </w:r>
      <w:r>
        <w:rPr>
          <w:rFonts w:hint="eastAsia"/>
          <w:highlight w:val="none"/>
        </w:rPr>
        <w:t>检验外委时，其控制应符合TSG 07</w:t>
      </w:r>
      <w:r>
        <w:rPr>
          <w:rFonts w:hint="eastAsia"/>
          <w:highlight w:val="none"/>
          <w:lang w:eastAsia="zh-CN"/>
        </w:rPr>
        <w:t>附录</w:t>
      </w:r>
      <w:r>
        <w:rPr>
          <w:rFonts w:hint="eastAsia"/>
          <w:highlight w:val="none"/>
          <w:lang w:val="en-US" w:eastAsia="zh-CN"/>
        </w:rPr>
        <w:t>M</w:t>
      </w:r>
      <w:r>
        <w:rPr>
          <w:rFonts w:hint="eastAsia"/>
          <w:highlight w:val="none"/>
        </w:rPr>
        <w:t>的要求。</w:t>
      </w:r>
    </w:p>
    <w:p w14:paraId="377CE439">
      <w:pPr>
        <w:pStyle w:val="105"/>
        <w:numPr>
          <w:ilvl w:val="2"/>
          <w:numId w:val="2"/>
        </w:numPr>
        <w:spacing w:before="156" w:after="156"/>
        <w:rPr>
          <w:highlight w:val="none"/>
        </w:rPr>
      </w:pPr>
      <w:bookmarkStart w:id="114" w:name="_Toc139958055"/>
      <w:bookmarkStart w:id="115" w:name="_Toc141781320"/>
      <w:r>
        <w:rPr>
          <w:rFonts w:hint="eastAsia"/>
          <w:highlight w:val="none"/>
        </w:rPr>
        <w:t>无损检测</w:t>
      </w:r>
      <w:bookmarkEnd w:id="114"/>
      <w:bookmarkEnd w:id="115"/>
    </w:p>
    <w:p w14:paraId="4D4C42D0">
      <w:pPr>
        <w:pStyle w:val="56"/>
        <w:ind w:firstLine="420"/>
        <w:rPr>
          <w:highlight w:val="none"/>
        </w:rPr>
      </w:pPr>
      <w:r>
        <w:rPr>
          <w:rFonts w:hint="eastAsia"/>
          <w:highlight w:val="none"/>
          <w:lang w:eastAsia="zh-CN"/>
        </w:rPr>
        <w:t>撬装式承压设备系统</w:t>
      </w:r>
      <w:r>
        <w:rPr>
          <w:rFonts w:hint="eastAsia"/>
          <w:highlight w:val="none"/>
        </w:rPr>
        <w:t>无损检测应符合以下要求：</w:t>
      </w:r>
    </w:p>
    <w:p w14:paraId="01ABF2D1">
      <w:pPr>
        <w:pStyle w:val="174"/>
        <w:numPr>
          <w:ilvl w:val="0"/>
          <w:numId w:val="38"/>
        </w:numPr>
        <w:rPr>
          <w:highlight w:val="none"/>
        </w:rPr>
      </w:pPr>
      <w:r>
        <w:rPr>
          <w:rFonts w:hint="eastAsia"/>
          <w:highlight w:val="none"/>
        </w:rPr>
        <w:t>无损检测应由持有相应类别的特种设备无损检测资格证书的人员担任；</w:t>
      </w:r>
    </w:p>
    <w:p w14:paraId="3C8EF9D1">
      <w:pPr>
        <w:pStyle w:val="174"/>
        <w:rPr>
          <w:highlight w:val="none"/>
        </w:rPr>
      </w:pPr>
      <w:r>
        <w:rPr>
          <w:rFonts w:hint="eastAsia"/>
          <w:highlight w:val="none"/>
        </w:rPr>
        <w:t>无损检测方法主要包括射线检测（RT）、超声检测（UT）、磁粉检测（MT）、渗透检测（PT）等，检测方法按NB/T 47013的规定进行；</w:t>
      </w:r>
    </w:p>
    <w:p w14:paraId="5412A21D">
      <w:pPr>
        <w:pStyle w:val="174"/>
        <w:rPr>
          <w:highlight w:val="none"/>
        </w:rPr>
      </w:pPr>
      <w:r>
        <w:rPr>
          <w:rFonts w:hint="eastAsia"/>
          <w:highlight w:val="none"/>
        </w:rPr>
        <w:t>焊接接头无损检测应在形状尺寸和外观检查合格后进行；</w:t>
      </w:r>
    </w:p>
    <w:p w14:paraId="69E2258C">
      <w:pPr>
        <w:pStyle w:val="174"/>
        <w:rPr>
          <w:highlight w:val="none"/>
        </w:rPr>
      </w:pPr>
      <w:r>
        <w:rPr>
          <w:rFonts w:hint="eastAsia"/>
          <w:highlight w:val="none"/>
        </w:rPr>
        <w:t>有延迟裂纹倾向的材料应当在焊接完成24h后进行无损检测；</w:t>
      </w:r>
    </w:p>
    <w:p w14:paraId="23C76518">
      <w:pPr>
        <w:pStyle w:val="174"/>
        <w:rPr>
          <w:highlight w:val="none"/>
        </w:rPr>
      </w:pPr>
      <w:r>
        <w:rPr>
          <w:rFonts w:hint="eastAsia"/>
          <w:highlight w:val="none"/>
        </w:rPr>
        <w:t>有再热裂纹倾向的焊接接头，应在最终热处理后进行表面无损检测复查；</w:t>
      </w:r>
    </w:p>
    <w:p w14:paraId="4FFB4F4A">
      <w:pPr>
        <w:pStyle w:val="174"/>
        <w:rPr>
          <w:highlight w:val="none"/>
        </w:rPr>
      </w:pPr>
      <w:r>
        <w:rPr>
          <w:rFonts w:hint="eastAsia"/>
          <w:highlight w:val="none"/>
        </w:rPr>
        <w:t>焊接接头无损检测的检测比例与合格级别应满足设计技术文件的要求。</w:t>
      </w:r>
    </w:p>
    <w:p w14:paraId="088BBD9C">
      <w:pPr>
        <w:pStyle w:val="174"/>
        <w:rPr>
          <w:highlight w:val="none"/>
        </w:rPr>
      </w:pPr>
      <w:r>
        <w:rPr>
          <w:rFonts w:hint="eastAsia"/>
          <w:highlight w:val="none"/>
        </w:rPr>
        <w:t>无损检测外委时，其控制应符合TSG 07</w:t>
      </w:r>
      <w:r>
        <w:rPr>
          <w:rFonts w:hint="eastAsia"/>
          <w:highlight w:val="none"/>
          <w:lang w:eastAsia="zh-CN"/>
        </w:rPr>
        <w:t>附录</w:t>
      </w:r>
      <w:r>
        <w:rPr>
          <w:rFonts w:hint="eastAsia"/>
          <w:highlight w:val="none"/>
          <w:lang w:val="en-US" w:eastAsia="zh-CN"/>
        </w:rPr>
        <w:t>M</w:t>
      </w:r>
      <w:r>
        <w:rPr>
          <w:rFonts w:hint="eastAsia"/>
          <w:highlight w:val="none"/>
        </w:rPr>
        <w:t>的要求。</w:t>
      </w:r>
    </w:p>
    <w:p w14:paraId="0A0A1F0A">
      <w:pPr>
        <w:pStyle w:val="105"/>
        <w:spacing w:before="120" w:after="120"/>
        <w:rPr>
          <w:highlight w:val="none"/>
        </w:rPr>
      </w:pPr>
      <w:r>
        <w:rPr>
          <w:rFonts w:hint="eastAsia"/>
          <w:highlight w:val="none"/>
          <w:lang w:eastAsia="zh-CN"/>
        </w:rPr>
        <w:t>装配和安装</w:t>
      </w:r>
    </w:p>
    <w:p w14:paraId="67C4E144">
      <w:pPr>
        <w:pStyle w:val="165"/>
        <w:rPr>
          <w:highlight w:val="none"/>
        </w:rPr>
      </w:pPr>
      <w:r>
        <w:rPr>
          <w:rFonts w:hint="eastAsia"/>
          <w:highlight w:val="none"/>
          <w:lang w:eastAsia="zh-CN"/>
        </w:rPr>
        <w:t>撬装式承压设备系统装</w:t>
      </w:r>
      <w:r>
        <w:rPr>
          <w:rFonts w:hint="eastAsia"/>
          <w:highlight w:val="none"/>
        </w:rPr>
        <w:t>配和安装时，不得强力对接、加偏垫或加多层垫等方法来消除接头端面间的空隙、偏斜、错口或不同心等缺陷。也禁止采用任何扭曲方法进行组对。</w:t>
      </w:r>
    </w:p>
    <w:p w14:paraId="1A2B210E">
      <w:pPr>
        <w:pStyle w:val="165"/>
        <w:rPr>
          <w:highlight w:val="none"/>
        </w:rPr>
      </w:pPr>
      <w:r>
        <w:rPr>
          <w:rFonts w:hint="eastAsia"/>
          <w:highlight w:val="none"/>
        </w:rPr>
        <w:t>旋转接头装配后应转动灵活、无卡转或跳动现象，还应按照HG/T 21608的相关要求进行载荷试验。</w:t>
      </w:r>
    </w:p>
    <w:p w14:paraId="4439DB41">
      <w:pPr>
        <w:pStyle w:val="165"/>
        <w:rPr>
          <w:highlight w:val="none"/>
        </w:rPr>
      </w:pPr>
      <w:r>
        <w:rPr>
          <w:rFonts w:hint="eastAsia"/>
          <w:highlight w:val="none"/>
          <w:lang w:eastAsia="zh-CN"/>
        </w:rPr>
        <w:t>撬装式承压设备系统</w:t>
      </w:r>
      <w:r>
        <w:rPr>
          <w:rFonts w:hint="eastAsia"/>
          <w:highlight w:val="none"/>
        </w:rPr>
        <w:t>的装卸臂部分应满足HG/T 21608的相关技术要求。</w:t>
      </w:r>
    </w:p>
    <w:p w14:paraId="045F1BD8">
      <w:pPr>
        <w:pStyle w:val="105"/>
        <w:spacing w:before="120" w:after="120"/>
        <w:rPr>
          <w:highlight w:val="none"/>
        </w:rPr>
      </w:pPr>
      <w:bookmarkStart w:id="116" w:name="_Toc177633790"/>
      <w:r>
        <w:rPr>
          <w:rFonts w:hint="eastAsia"/>
          <w:highlight w:val="none"/>
        </w:rPr>
        <w:t>静电接地电阻测试</w:t>
      </w:r>
      <w:bookmarkEnd w:id="116"/>
    </w:p>
    <w:p w14:paraId="682FE64B">
      <w:pPr>
        <w:pStyle w:val="56"/>
        <w:ind w:firstLine="420"/>
        <w:rPr>
          <w:highlight w:val="none"/>
        </w:rPr>
      </w:pPr>
      <w:r>
        <w:rPr>
          <w:rFonts w:hint="eastAsia"/>
          <w:highlight w:val="none"/>
          <w:lang w:val="en-US" w:eastAsia="zh-CN"/>
        </w:rPr>
        <w:t>有静电接地测试要求的应在</w:t>
      </w:r>
      <w:r>
        <w:rPr>
          <w:rFonts w:hint="eastAsia"/>
          <w:highlight w:val="none"/>
        </w:rPr>
        <w:t>静电接地夹及装置安装完成后，用接地电阻测量仪测试静电接地电阻，测试结果不大于100Ω为合格；用</w:t>
      </w:r>
      <w:r>
        <w:rPr>
          <w:rFonts w:hint="eastAsia"/>
          <w:highlight w:val="none"/>
          <w:lang w:val="en-US" w:eastAsia="zh-CN"/>
        </w:rPr>
        <w:t>万用表</w:t>
      </w:r>
      <w:r>
        <w:rPr>
          <w:rFonts w:hint="eastAsia"/>
          <w:highlight w:val="none"/>
        </w:rPr>
        <w:t>测试法兰跨接电阻，测试结果不大于0.03Ω为合格。</w:t>
      </w:r>
    </w:p>
    <w:p w14:paraId="375777AA">
      <w:pPr>
        <w:pStyle w:val="105"/>
        <w:numPr>
          <w:ilvl w:val="2"/>
          <w:numId w:val="2"/>
        </w:numPr>
        <w:spacing w:before="156" w:after="156"/>
        <w:rPr>
          <w:highlight w:val="none"/>
        </w:rPr>
      </w:pPr>
      <w:bookmarkStart w:id="117" w:name="_Toc141781322"/>
      <w:bookmarkStart w:id="118" w:name="_Toc139958057"/>
      <w:r>
        <w:rPr>
          <w:rFonts w:hint="eastAsia"/>
          <w:highlight w:val="none"/>
        </w:rPr>
        <w:t>耐压试验</w:t>
      </w:r>
      <w:bookmarkEnd w:id="117"/>
      <w:bookmarkEnd w:id="118"/>
    </w:p>
    <w:p w14:paraId="16D5E664">
      <w:pPr>
        <w:pStyle w:val="165"/>
        <w:rPr>
          <w:highlight w:val="none"/>
        </w:rPr>
      </w:pPr>
      <w:r>
        <w:rPr>
          <w:rFonts w:hint="eastAsia"/>
          <w:highlight w:val="none"/>
          <w:lang w:val="en-US" w:eastAsia="zh-CN"/>
        </w:rPr>
        <w:t>当</w:t>
      </w:r>
      <w:r>
        <w:rPr>
          <w:rFonts w:hint="eastAsia"/>
          <w:highlight w:val="none"/>
        </w:rPr>
        <w:t>试验介质采用空气、氮气等气体介质时，试验压力不低于1.15倍的设计压力。试验时，应逐级缓慢增加压力，当压力升至试验压力的50%时，应进行初始检查，如未发现异常或泄漏，继续按试验压力的10%逐级升压，每级稳压3min直至达到规定的试验压力，保压10min，再将压力降至设计压力，保压30min，以无可见变形、无异响、无压降为合格。</w:t>
      </w:r>
    </w:p>
    <w:p w14:paraId="26F454E2">
      <w:pPr>
        <w:pStyle w:val="165"/>
        <w:rPr>
          <w:highlight w:val="none"/>
        </w:rPr>
      </w:pPr>
      <w:r>
        <w:rPr>
          <w:rFonts w:hint="eastAsia"/>
          <w:highlight w:val="none"/>
        </w:rPr>
        <w:t>当试验介质采用洁净水或其他安全液体介质时</w:t>
      </w:r>
      <w:r>
        <w:rPr>
          <w:rFonts w:hint="eastAsia"/>
          <w:highlight w:val="none"/>
          <w:lang w:eastAsia="zh-CN"/>
        </w:rPr>
        <w:t>，奥氏体不锈钢管道试压用水中氯离子含量不得超过</w:t>
      </w:r>
      <w:r>
        <w:rPr>
          <w:rFonts w:hint="eastAsia"/>
          <w:highlight w:val="none"/>
          <w:lang w:val="en-US" w:eastAsia="zh-CN"/>
        </w:rPr>
        <w:t>25</w:t>
      </w:r>
      <w:r>
        <w:rPr>
          <w:rFonts w:hint="eastAsia"/>
          <w:highlight w:val="none"/>
          <w:lang w:eastAsia="zh-CN"/>
        </w:rPr>
        <w:t>mg/L</w:t>
      </w:r>
      <w:r>
        <w:rPr>
          <w:rFonts w:hint="eastAsia"/>
          <w:highlight w:val="none"/>
        </w:rPr>
        <w:t>，试验压力不低于1.5倍的设计压力。试验时，应缓慢升压，达到设计压力1.5倍时，保压10min，再将压力降至设计压力，保压30min，以无可见变形、无异响、无压降为合格。</w:t>
      </w:r>
    </w:p>
    <w:p w14:paraId="2C7D2B77">
      <w:pPr>
        <w:pStyle w:val="165"/>
        <w:rPr>
          <w:rFonts w:hint="eastAsia"/>
          <w:highlight w:val="none"/>
        </w:rPr>
      </w:pPr>
      <w:r>
        <w:rPr>
          <w:rFonts w:hint="eastAsia"/>
          <w:highlight w:val="none"/>
        </w:rPr>
        <w:t>当管道与容器作为一个系统统一进行液压试验，管道试验压力小于或者等于容器的试验压力时，应当按照管道的试验压力进行试验，当管道试验压力大于容器的试验压力，并且无法将管道与容器隔开、同时容器的试验压力大于或者等于管道试验压力的77%时，经过设计单位同意，可以按容器的试验压力进行试验</w:t>
      </w:r>
      <w:r>
        <w:rPr>
          <w:rFonts w:hint="eastAsia"/>
          <w:highlight w:val="none"/>
          <w:lang w:eastAsia="zh-CN"/>
        </w:rPr>
        <w:t>。</w:t>
      </w:r>
    </w:p>
    <w:p w14:paraId="2A3EEF1E">
      <w:pPr>
        <w:pStyle w:val="105"/>
        <w:spacing w:before="120" w:after="120"/>
        <w:rPr>
          <w:highlight w:val="none"/>
        </w:rPr>
      </w:pPr>
      <w:bookmarkStart w:id="119" w:name="_Toc177633792"/>
      <w:r>
        <w:rPr>
          <w:rFonts w:hint="eastAsia"/>
          <w:highlight w:val="none"/>
        </w:rPr>
        <w:t>泄漏试验</w:t>
      </w:r>
      <w:bookmarkEnd w:id="119"/>
    </w:p>
    <w:p w14:paraId="61CAD8A4">
      <w:pPr>
        <w:pStyle w:val="165"/>
        <w:rPr>
          <w:highlight w:val="none"/>
        </w:rPr>
      </w:pPr>
      <w:r>
        <w:rPr>
          <w:rFonts w:hint="eastAsia"/>
          <w:highlight w:val="none"/>
          <w:lang w:eastAsia="zh-CN"/>
        </w:rPr>
        <w:t>撬装式承压设备系统</w:t>
      </w:r>
      <w:r>
        <w:rPr>
          <w:rFonts w:hint="eastAsia"/>
          <w:highlight w:val="none"/>
          <w:lang w:val="en-US" w:eastAsia="zh-CN"/>
        </w:rPr>
        <w:t>应</w:t>
      </w:r>
      <w:r>
        <w:rPr>
          <w:rFonts w:hint="eastAsia"/>
          <w:highlight w:val="none"/>
          <w:lang w:eastAsia="zh-CN"/>
        </w:rPr>
        <w:t>按设计要求进行</w:t>
      </w:r>
      <w:r>
        <w:rPr>
          <w:rFonts w:hint="eastAsia"/>
          <w:highlight w:val="none"/>
          <w:lang w:val="en-US" w:eastAsia="zh-CN"/>
        </w:rPr>
        <w:t>泄漏</w:t>
      </w:r>
      <w:r>
        <w:rPr>
          <w:rFonts w:hint="eastAsia"/>
          <w:highlight w:val="none"/>
          <w:lang w:eastAsia="zh-CN"/>
        </w:rPr>
        <w:t>试验。</w:t>
      </w:r>
    </w:p>
    <w:p w14:paraId="20F87391">
      <w:pPr>
        <w:pStyle w:val="165"/>
        <w:rPr>
          <w:highlight w:val="none"/>
        </w:rPr>
      </w:pPr>
      <w:r>
        <w:rPr>
          <w:rFonts w:hint="eastAsia"/>
          <w:highlight w:val="none"/>
          <w:lang w:val="en-US" w:eastAsia="zh-CN"/>
        </w:rPr>
        <w:t>泄漏试验包括</w:t>
      </w:r>
      <w:r>
        <w:rPr>
          <w:rFonts w:hint="eastAsia"/>
          <w:highlight w:val="none"/>
          <w:lang w:eastAsia="zh-CN"/>
        </w:rPr>
        <w:t>敏感性</w:t>
      </w:r>
      <w:r>
        <w:rPr>
          <w:rFonts w:hint="eastAsia"/>
          <w:highlight w:val="none"/>
        </w:rPr>
        <w:t>泄漏试验</w:t>
      </w:r>
      <w:r>
        <w:rPr>
          <w:rFonts w:hint="eastAsia"/>
          <w:highlight w:val="none"/>
          <w:lang w:val="en-US" w:eastAsia="zh-CN"/>
        </w:rPr>
        <w:t>和气密性试验。</w:t>
      </w:r>
      <w:r>
        <w:rPr>
          <w:rFonts w:hint="eastAsia"/>
          <w:highlight w:val="none"/>
        </w:rPr>
        <w:t>输送高度危害液体、液化烃及可燃液体的</w:t>
      </w:r>
      <w:r>
        <w:rPr>
          <w:rFonts w:hint="eastAsia"/>
          <w:highlight w:val="none"/>
          <w:lang w:eastAsia="zh-CN"/>
        </w:rPr>
        <w:t>撬装式承压设备系统</w:t>
      </w:r>
      <w:r>
        <w:rPr>
          <w:rFonts w:hint="eastAsia"/>
          <w:highlight w:val="none"/>
        </w:rPr>
        <w:t>，应当进行</w:t>
      </w:r>
      <w:r>
        <w:rPr>
          <w:rFonts w:hint="eastAsia"/>
          <w:highlight w:val="none"/>
          <w:lang w:eastAsia="zh-CN"/>
        </w:rPr>
        <w:t>敏感性</w:t>
      </w:r>
      <w:r>
        <w:rPr>
          <w:rFonts w:hint="eastAsia"/>
          <w:highlight w:val="none"/>
        </w:rPr>
        <w:t>泄漏试验。</w:t>
      </w:r>
    </w:p>
    <w:p w14:paraId="4BF9F39B">
      <w:pPr>
        <w:pStyle w:val="165"/>
        <w:rPr>
          <w:highlight w:val="none"/>
        </w:rPr>
      </w:pPr>
      <w:r>
        <w:rPr>
          <w:rFonts w:hint="eastAsia"/>
          <w:highlight w:val="none"/>
          <w:lang w:val="en-US" w:eastAsia="zh-CN"/>
        </w:rPr>
        <w:t>泄漏性试验应在压力试验合格后进行，泄漏性试验时，</w:t>
      </w:r>
      <w:r>
        <w:rPr>
          <w:rFonts w:hint="eastAsia"/>
          <w:highlight w:val="none"/>
        </w:rPr>
        <w:t>应重点检查阀门、法兰或螺纹连接处，放空阀、排气阀等部位</w:t>
      </w:r>
      <w:r>
        <w:rPr>
          <w:rFonts w:hint="eastAsia"/>
          <w:highlight w:val="none"/>
          <w:lang w:eastAsia="zh-CN"/>
        </w:rPr>
        <w:t>。</w:t>
      </w:r>
    </w:p>
    <w:p w14:paraId="4DBAB813">
      <w:pPr>
        <w:pStyle w:val="165"/>
        <w:rPr>
          <w:highlight w:val="none"/>
        </w:rPr>
      </w:pPr>
      <w:r>
        <w:rPr>
          <w:rFonts w:hint="eastAsia"/>
          <w:highlight w:val="none"/>
          <w:lang w:val="en-US" w:eastAsia="zh-CN"/>
        </w:rPr>
        <w:t>泄漏试验</w:t>
      </w:r>
      <w:r>
        <w:rPr>
          <w:rFonts w:hint="eastAsia"/>
          <w:highlight w:val="none"/>
          <w:lang w:eastAsia="zh-CN"/>
        </w:rPr>
        <w:t>按</w:t>
      </w:r>
      <w:r>
        <w:rPr>
          <w:rFonts w:hint="eastAsia"/>
          <w:highlight w:val="none"/>
          <w:lang w:val="en-US" w:eastAsia="zh-CN"/>
        </w:rPr>
        <w:t>GB/T 20801相关要求进行。</w:t>
      </w:r>
    </w:p>
    <w:p w14:paraId="520B2F10">
      <w:pPr>
        <w:pStyle w:val="105"/>
        <w:bidi w:val="0"/>
        <w:ind w:left="0" w:leftChars="0" w:firstLine="0" w:firstLineChars="0"/>
        <w:rPr>
          <w:highlight w:val="none"/>
        </w:rPr>
      </w:pPr>
      <w:r>
        <w:rPr>
          <w:rFonts w:hint="eastAsia"/>
          <w:highlight w:val="none"/>
          <w:lang w:eastAsia="zh-CN"/>
        </w:rPr>
        <w:t>吹扫、清洗和脱脂</w:t>
      </w:r>
    </w:p>
    <w:p w14:paraId="11CDFEF2">
      <w:pPr>
        <w:pStyle w:val="165"/>
        <w:rPr>
          <w:highlight w:val="none"/>
        </w:rPr>
      </w:pPr>
      <w:r>
        <w:rPr>
          <w:rFonts w:hint="eastAsia"/>
          <w:highlight w:val="none"/>
          <w:lang w:val="en-US" w:eastAsia="zh-CN"/>
        </w:rPr>
        <w:t>管道在压力试验合格后，应按设计文件要求进行吹扫、清洗和脱脂</w:t>
      </w:r>
      <w:r>
        <w:rPr>
          <w:rFonts w:hint="eastAsia"/>
          <w:color w:val="auto"/>
          <w:highlight w:val="none"/>
          <w:lang w:val="en-US" w:eastAsia="zh-CN"/>
        </w:rPr>
        <w:t>（需要时）</w:t>
      </w:r>
      <w:r>
        <w:rPr>
          <w:rFonts w:hint="eastAsia"/>
          <w:highlight w:val="none"/>
          <w:lang w:val="en-US" w:eastAsia="zh-CN"/>
        </w:rPr>
        <w:t>，并应编制专项方案。</w:t>
      </w:r>
    </w:p>
    <w:p w14:paraId="35C48B9C">
      <w:pPr>
        <w:pStyle w:val="165"/>
        <w:rPr>
          <w:highlight w:val="none"/>
        </w:rPr>
      </w:pPr>
      <w:r>
        <w:rPr>
          <w:rFonts w:hint="eastAsia"/>
          <w:highlight w:val="none"/>
        </w:rPr>
        <w:t>管道吹扫与清洗前</w:t>
      </w:r>
      <w:r>
        <w:rPr>
          <w:rFonts w:hint="eastAsia"/>
          <w:highlight w:val="none"/>
          <w:lang w:eastAsia="zh-CN"/>
        </w:rPr>
        <w:t>，</w:t>
      </w:r>
      <w:r>
        <w:rPr>
          <w:rFonts w:hint="eastAsia"/>
          <w:highlight w:val="none"/>
        </w:rPr>
        <w:t>应仔细检查管道支吊架的牢固程度</w:t>
      </w:r>
      <w:r>
        <w:rPr>
          <w:rFonts w:hint="eastAsia"/>
          <w:highlight w:val="none"/>
          <w:lang w:eastAsia="zh-CN"/>
        </w:rPr>
        <w:t>，</w:t>
      </w:r>
      <w:r>
        <w:rPr>
          <w:rFonts w:hint="eastAsia"/>
          <w:highlight w:val="none"/>
        </w:rPr>
        <w:t>对有</w:t>
      </w:r>
      <w:r>
        <w:rPr>
          <w:rFonts w:hint="eastAsia"/>
          <w:color w:val="auto"/>
          <w:highlight w:val="none"/>
          <w:lang w:val="en-US" w:eastAsia="zh-CN"/>
        </w:rPr>
        <w:t>疑义</w:t>
      </w:r>
      <w:r>
        <w:rPr>
          <w:rFonts w:hint="eastAsia"/>
          <w:highlight w:val="none"/>
        </w:rPr>
        <w:t>的部位应进行加固。</w:t>
      </w:r>
    </w:p>
    <w:p w14:paraId="3BB76907">
      <w:pPr>
        <w:pStyle w:val="165"/>
        <w:rPr>
          <w:highlight w:val="none"/>
        </w:rPr>
      </w:pPr>
      <w:r>
        <w:rPr>
          <w:rFonts w:hint="eastAsia"/>
          <w:highlight w:val="none"/>
        </w:rPr>
        <w:t>对不允许吹扫与清洗的设备及管道,应进行隔离。</w:t>
      </w:r>
    </w:p>
    <w:p w14:paraId="0FDE0638">
      <w:pPr>
        <w:pStyle w:val="165"/>
        <w:rPr>
          <w:highlight w:val="none"/>
        </w:rPr>
      </w:pPr>
      <w:r>
        <w:rPr>
          <w:rFonts w:hint="eastAsia"/>
          <w:highlight w:val="none"/>
        </w:rPr>
        <w:t>管道吹扫与清洗时应设置禁区和警戒线，并应挂警示牌</w:t>
      </w:r>
      <w:r>
        <w:rPr>
          <w:rFonts w:hint="eastAsia"/>
          <w:highlight w:val="none"/>
          <w:lang w:eastAsia="zh-CN"/>
        </w:rPr>
        <w:t>，</w:t>
      </w:r>
      <w:r>
        <w:rPr>
          <w:rFonts w:hint="eastAsia"/>
          <w:highlight w:val="none"/>
          <w:lang w:val="en-US" w:eastAsia="zh-CN"/>
        </w:rPr>
        <w:t>并有专人负责</w:t>
      </w:r>
      <w:r>
        <w:rPr>
          <w:rFonts w:hint="eastAsia"/>
          <w:highlight w:val="none"/>
          <w:lang w:eastAsia="zh-CN"/>
        </w:rPr>
        <w:t>。</w:t>
      </w:r>
    </w:p>
    <w:p w14:paraId="4FD8A33A">
      <w:pPr>
        <w:pStyle w:val="165"/>
        <w:rPr>
          <w:highlight w:val="none"/>
        </w:rPr>
      </w:pPr>
      <w:r>
        <w:rPr>
          <w:rFonts w:hint="eastAsia"/>
          <w:highlight w:val="none"/>
        </w:rPr>
        <w:t>化学清洗废液、脱脂残液及其他废液、污水的处理和排放,应符合国家现行有关标准的规定,不得随地排放。</w:t>
      </w:r>
    </w:p>
    <w:p w14:paraId="7D5AD73E">
      <w:pPr>
        <w:pStyle w:val="105"/>
        <w:numPr>
          <w:ilvl w:val="2"/>
          <w:numId w:val="2"/>
        </w:numPr>
        <w:spacing w:before="156" w:after="156"/>
        <w:rPr>
          <w:highlight w:val="none"/>
        </w:rPr>
      </w:pPr>
      <w:bookmarkStart w:id="120" w:name="_Toc141781342"/>
      <w:bookmarkStart w:id="121" w:name="_Toc141781330"/>
      <w:bookmarkStart w:id="122" w:name="_Toc139958065"/>
      <w:bookmarkStart w:id="123" w:name="_Toc142979241"/>
      <w:r>
        <w:rPr>
          <w:rFonts w:hint="eastAsia"/>
          <w:highlight w:val="none"/>
        </w:rPr>
        <w:t>出厂文件</w:t>
      </w:r>
      <w:bookmarkEnd w:id="120"/>
      <w:bookmarkEnd w:id="121"/>
      <w:bookmarkEnd w:id="122"/>
      <w:r>
        <w:rPr>
          <w:rFonts w:hint="eastAsia"/>
          <w:highlight w:val="none"/>
        </w:rPr>
        <w:t>及铭牌</w:t>
      </w:r>
      <w:bookmarkEnd w:id="123"/>
    </w:p>
    <w:p w14:paraId="21005C36">
      <w:pPr>
        <w:pStyle w:val="65"/>
        <w:numPr>
          <w:ilvl w:val="3"/>
          <w:numId w:val="2"/>
        </w:numPr>
        <w:spacing w:before="156" w:after="156"/>
        <w:rPr>
          <w:highlight w:val="none"/>
        </w:rPr>
      </w:pPr>
      <w:bookmarkStart w:id="124" w:name="_Toc139958066"/>
      <w:bookmarkStart w:id="125" w:name="_Toc141781331"/>
      <w:r>
        <w:rPr>
          <w:rFonts w:hint="eastAsia"/>
          <w:highlight w:val="none"/>
        </w:rPr>
        <w:t>出厂文件</w:t>
      </w:r>
      <w:bookmarkEnd w:id="124"/>
      <w:bookmarkEnd w:id="125"/>
    </w:p>
    <w:p w14:paraId="25DE52AB">
      <w:pPr>
        <w:pStyle w:val="56"/>
        <w:ind w:firstLine="420"/>
        <w:rPr>
          <w:highlight w:val="none"/>
        </w:rPr>
      </w:pPr>
      <w:r>
        <w:rPr>
          <w:rFonts w:hint="eastAsia"/>
          <w:highlight w:val="none"/>
          <w:lang w:eastAsia="zh-CN"/>
        </w:rPr>
        <w:t>撬装式承压设备系统</w:t>
      </w:r>
      <w:r>
        <w:rPr>
          <w:rFonts w:hint="eastAsia"/>
          <w:highlight w:val="none"/>
        </w:rPr>
        <w:t>应经制造单位检验合格，出厂文件至少应包括以下内容：</w:t>
      </w:r>
    </w:p>
    <w:p w14:paraId="35E8F3FA">
      <w:pPr>
        <w:pStyle w:val="174"/>
        <w:numPr>
          <w:ilvl w:val="0"/>
          <w:numId w:val="39"/>
        </w:numPr>
        <w:rPr>
          <w:color w:val="auto"/>
          <w:highlight w:val="none"/>
        </w:rPr>
      </w:pPr>
      <w:r>
        <w:rPr>
          <w:rFonts w:hint="eastAsia"/>
          <w:highlight w:val="none"/>
        </w:rPr>
        <w:t>产品合格</w:t>
      </w:r>
      <w:r>
        <w:rPr>
          <w:rFonts w:hint="eastAsia"/>
          <w:color w:val="auto"/>
          <w:highlight w:val="none"/>
        </w:rPr>
        <w:t>证</w:t>
      </w:r>
      <w:r>
        <w:rPr>
          <w:rFonts w:hint="eastAsia"/>
          <w:color w:val="auto"/>
          <w:highlight w:val="none"/>
          <w:lang w:val="en-US" w:eastAsia="zh-CN"/>
        </w:rPr>
        <w:t>/产品质量证明书</w:t>
      </w:r>
      <w:r>
        <w:rPr>
          <w:rFonts w:hint="eastAsia"/>
          <w:color w:val="auto"/>
          <w:highlight w:val="none"/>
          <w:lang w:eastAsia="zh-CN"/>
        </w:rPr>
        <w:t>；</w:t>
      </w:r>
    </w:p>
    <w:p w14:paraId="44E480CE">
      <w:pPr>
        <w:pStyle w:val="174"/>
        <w:rPr>
          <w:color w:val="0000FF"/>
          <w:highlight w:val="none"/>
        </w:rPr>
      </w:pPr>
      <w:r>
        <w:rPr>
          <w:rFonts w:hint="eastAsia"/>
          <w:color w:val="auto"/>
          <w:highlight w:val="none"/>
        </w:rPr>
        <w:t>主要受压元件材料的质量证明书</w:t>
      </w:r>
      <w:r>
        <w:rPr>
          <w:rFonts w:hint="eastAsia"/>
          <w:color w:val="auto"/>
          <w:highlight w:val="none"/>
          <w:lang w:eastAsia="zh-CN"/>
        </w:rPr>
        <w:t>；</w:t>
      </w:r>
    </w:p>
    <w:p w14:paraId="0D2E4784">
      <w:pPr>
        <w:pStyle w:val="174"/>
        <w:rPr>
          <w:highlight w:val="none"/>
        </w:rPr>
      </w:pPr>
      <w:r>
        <w:rPr>
          <w:rFonts w:hint="eastAsia"/>
          <w:highlight w:val="none"/>
        </w:rPr>
        <w:t>焊接材料的质量证明书</w:t>
      </w:r>
      <w:r>
        <w:rPr>
          <w:rFonts w:hint="eastAsia"/>
          <w:highlight w:val="none"/>
          <w:lang w:eastAsia="zh-CN"/>
        </w:rPr>
        <w:t>；</w:t>
      </w:r>
    </w:p>
    <w:p w14:paraId="437A3CEA">
      <w:pPr>
        <w:pStyle w:val="174"/>
        <w:rPr>
          <w:highlight w:val="none"/>
        </w:rPr>
      </w:pPr>
      <w:r>
        <w:rPr>
          <w:rFonts w:hint="eastAsia"/>
          <w:highlight w:val="none"/>
        </w:rPr>
        <w:t>焊接记录</w:t>
      </w:r>
      <w:r>
        <w:rPr>
          <w:rFonts w:hint="eastAsia"/>
          <w:highlight w:val="none"/>
          <w:lang w:eastAsia="zh-CN"/>
        </w:rPr>
        <w:t>；</w:t>
      </w:r>
    </w:p>
    <w:p w14:paraId="437FAC0F">
      <w:pPr>
        <w:pStyle w:val="174"/>
        <w:rPr>
          <w:highlight w:val="none"/>
        </w:rPr>
      </w:pPr>
      <w:r>
        <w:rPr>
          <w:rFonts w:hint="eastAsia"/>
          <w:highlight w:val="none"/>
        </w:rPr>
        <w:t>无损检测报告</w:t>
      </w:r>
      <w:r>
        <w:rPr>
          <w:rFonts w:hint="eastAsia"/>
          <w:highlight w:val="none"/>
          <w:lang w:eastAsia="zh-CN"/>
        </w:rPr>
        <w:t>；</w:t>
      </w:r>
    </w:p>
    <w:p w14:paraId="13F88721">
      <w:pPr>
        <w:pStyle w:val="174"/>
        <w:rPr>
          <w:highlight w:val="none"/>
        </w:rPr>
      </w:pPr>
      <w:r>
        <w:rPr>
          <w:rFonts w:hint="eastAsia"/>
          <w:highlight w:val="none"/>
        </w:rPr>
        <w:t>各项检验与试验的报告</w:t>
      </w:r>
      <w:r>
        <w:rPr>
          <w:rFonts w:hint="eastAsia"/>
          <w:highlight w:val="none"/>
          <w:lang w:eastAsia="zh-CN"/>
        </w:rPr>
        <w:t>；</w:t>
      </w:r>
    </w:p>
    <w:p w14:paraId="0350BFBA">
      <w:pPr>
        <w:pStyle w:val="174"/>
        <w:rPr>
          <w:highlight w:val="none"/>
        </w:rPr>
      </w:pPr>
      <w:r>
        <w:rPr>
          <w:rFonts w:hint="eastAsia"/>
          <w:highlight w:val="none"/>
          <w:lang w:val="en-US" w:eastAsia="zh-CN"/>
        </w:rPr>
        <w:t>产品设计文件；</w:t>
      </w:r>
    </w:p>
    <w:p w14:paraId="750A59AF">
      <w:pPr>
        <w:pStyle w:val="174"/>
        <w:ind w:left="780" w:hanging="360"/>
        <w:rPr>
          <w:highlight w:val="none"/>
        </w:rPr>
      </w:pPr>
      <w:r>
        <w:rPr>
          <w:rFonts w:hint="eastAsia"/>
          <w:highlight w:val="none"/>
        </w:rPr>
        <w:t>监督检验证书。</w:t>
      </w:r>
    </w:p>
    <w:p w14:paraId="291F8915">
      <w:pPr>
        <w:pStyle w:val="65"/>
        <w:numPr>
          <w:ilvl w:val="3"/>
          <w:numId w:val="2"/>
        </w:numPr>
        <w:spacing w:before="156" w:after="156"/>
        <w:rPr>
          <w:highlight w:val="none"/>
        </w:rPr>
      </w:pPr>
      <w:bookmarkStart w:id="126" w:name="_Toc139958067"/>
      <w:bookmarkStart w:id="127" w:name="_Toc141781332"/>
      <w:r>
        <w:rPr>
          <w:rFonts w:hint="eastAsia"/>
          <w:highlight w:val="none"/>
        </w:rPr>
        <w:t>铭牌</w:t>
      </w:r>
      <w:bookmarkEnd w:id="126"/>
      <w:bookmarkEnd w:id="127"/>
    </w:p>
    <w:p w14:paraId="39DAC3DF">
      <w:pPr>
        <w:pStyle w:val="56"/>
        <w:ind w:firstLine="420"/>
        <w:rPr>
          <w:highlight w:val="none"/>
        </w:rPr>
      </w:pPr>
      <w:r>
        <w:rPr>
          <w:rFonts w:hint="eastAsia"/>
          <w:highlight w:val="none"/>
          <w:lang w:eastAsia="zh-CN"/>
        </w:rPr>
        <w:t>撬装式承压设备系统</w:t>
      </w:r>
      <w:r>
        <w:rPr>
          <w:rFonts w:hint="eastAsia"/>
          <w:highlight w:val="none"/>
        </w:rPr>
        <w:t>铭牌应固定于明显位置，其内容至少应包括以下内容：</w:t>
      </w:r>
    </w:p>
    <w:p w14:paraId="36EFFD12">
      <w:pPr>
        <w:pStyle w:val="174"/>
        <w:numPr>
          <w:ilvl w:val="0"/>
          <w:numId w:val="40"/>
        </w:numPr>
        <w:rPr>
          <w:highlight w:val="none"/>
        </w:rPr>
      </w:pPr>
      <w:bookmarkStart w:id="128" w:name="_Toc169271265"/>
      <w:bookmarkStart w:id="129" w:name="_Toc169275897"/>
      <w:r>
        <w:rPr>
          <w:rFonts w:hint="eastAsia"/>
          <w:highlight w:val="none"/>
        </w:rPr>
        <w:t>产品名称</w:t>
      </w:r>
      <w:r>
        <w:rPr>
          <w:rFonts w:hint="eastAsia"/>
          <w:highlight w:val="none"/>
          <w:lang w:eastAsia="zh-CN"/>
        </w:rPr>
        <w:t>；</w:t>
      </w:r>
    </w:p>
    <w:p w14:paraId="2FCC602D">
      <w:pPr>
        <w:pStyle w:val="174"/>
        <w:numPr>
          <w:ilvl w:val="0"/>
          <w:numId w:val="40"/>
        </w:numPr>
        <w:rPr>
          <w:highlight w:val="none"/>
        </w:rPr>
      </w:pPr>
      <w:r>
        <w:rPr>
          <w:rFonts w:hint="eastAsia"/>
          <w:highlight w:val="none"/>
        </w:rPr>
        <w:t>产品型号</w:t>
      </w:r>
      <w:r>
        <w:rPr>
          <w:rFonts w:hint="eastAsia"/>
          <w:highlight w:val="none"/>
          <w:lang w:eastAsia="zh-CN"/>
        </w:rPr>
        <w:t>；</w:t>
      </w:r>
    </w:p>
    <w:p w14:paraId="30914C4B">
      <w:pPr>
        <w:pStyle w:val="174"/>
        <w:numPr>
          <w:ilvl w:val="0"/>
          <w:numId w:val="40"/>
        </w:numPr>
        <w:rPr>
          <w:highlight w:val="none"/>
        </w:rPr>
      </w:pPr>
      <w:r>
        <w:rPr>
          <w:rFonts w:hint="eastAsia"/>
          <w:highlight w:val="none"/>
          <w:lang w:val="en-US" w:eastAsia="zh-CN"/>
        </w:rPr>
        <w:t>制造许可证编号；</w:t>
      </w:r>
    </w:p>
    <w:p w14:paraId="4E926082">
      <w:pPr>
        <w:pStyle w:val="174"/>
        <w:numPr>
          <w:ilvl w:val="0"/>
          <w:numId w:val="40"/>
        </w:numPr>
        <w:rPr>
          <w:highlight w:val="none"/>
        </w:rPr>
      </w:pPr>
      <w:r>
        <w:rPr>
          <w:rFonts w:hint="eastAsia"/>
          <w:highlight w:val="none"/>
        </w:rPr>
        <w:t>产品编号</w:t>
      </w:r>
      <w:r>
        <w:rPr>
          <w:rFonts w:hint="eastAsia"/>
          <w:highlight w:val="none"/>
          <w:lang w:eastAsia="zh-CN"/>
        </w:rPr>
        <w:t>；</w:t>
      </w:r>
    </w:p>
    <w:p w14:paraId="608D43FA">
      <w:pPr>
        <w:pStyle w:val="174"/>
        <w:numPr>
          <w:ilvl w:val="0"/>
          <w:numId w:val="40"/>
        </w:numPr>
        <w:rPr>
          <w:highlight w:val="none"/>
        </w:rPr>
      </w:pPr>
      <w:r>
        <w:rPr>
          <w:rFonts w:hint="eastAsia"/>
          <w:highlight w:val="none"/>
        </w:rPr>
        <w:t>设计温度</w:t>
      </w:r>
      <w:r>
        <w:rPr>
          <w:rFonts w:hint="eastAsia"/>
          <w:highlight w:val="none"/>
          <w:lang w:eastAsia="zh-CN"/>
        </w:rPr>
        <w:t>；</w:t>
      </w:r>
    </w:p>
    <w:p w14:paraId="2675A51D">
      <w:pPr>
        <w:pStyle w:val="174"/>
        <w:numPr>
          <w:ilvl w:val="0"/>
          <w:numId w:val="40"/>
        </w:numPr>
        <w:rPr>
          <w:highlight w:val="none"/>
        </w:rPr>
      </w:pPr>
      <w:r>
        <w:rPr>
          <w:rFonts w:hint="eastAsia"/>
          <w:highlight w:val="none"/>
        </w:rPr>
        <w:t>设计压力</w:t>
      </w:r>
      <w:r>
        <w:rPr>
          <w:rFonts w:hint="eastAsia"/>
          <w:highlight w:val="none"/>
          <w:lang w:eastAsia="zh-CN"/>
        </w:rPr>
        <w:t>；</w:t>
      </w:r>
    </w:p>
    <w:p w14:paraId="0A4C1478">
      <w:pPr>
        <w:pStyle w:val="174"/>
        <w:numPr>
          <w:ilvl w:val="0"/>
          <w:numId w:val="40"/>
        </w:numPr>
        <w:rPr>
          <w:highlight w:val="none"/>
        </w:rPr>
      </w:pPr>
      <w:r>
        <w:rPr>
          <w:rFonts w:hint="eastAsia"/>
          <w:highlight w:val="none"/>
        </w:rPr>
        <w:t>制造单位</w:t>
      </w:r>
      <w:r>
        <w:rPr>
          <w:rFonts w:hint="eastAsia"/>
          <w:highlight w:val="none"/>
          <w:lang w:eastAsia="zh-CN"/>
        </w:rPr>
        <w:t>；</w:t>
      </w:r>
    </w:p>
    <w:p w14:paraId="23B9E549">
      <w:pPr>
        <w:pStyle w:val="174"/>
        <w:numPr>
          <w:ilvl w:val="0"/>
          <w:numId w:val="40"/>
        </w:numPr>
        <w:rPr>
          <w:highlight w:val="none"/>
        </w:rPr>
      </w:pPr>
      <w:r>
        <w:rPr>
          <w:rFonts w:hint="eastAsia"/>
          <w:highlight w:val="none"/>
        </w:rPr>
        <w:t>出厂日期</w:t>
      </w:r>
      <w:r>
        <w:rPr>
          <w:rFonts w:hint="eastAsia"/>
          <w:highlight w:val="none"/>
          <w:lang w:eastAsia="zh-CN"/>
        </w:rPr>
        <w:t>。</w:t>
      </w:r>
    </w:p>
    <w:p w14:paraId="3D702B19">
      <w:pPr>
        <w:pStyle w:val="104"/>
        <w:numPr>
          <w:ilvl w:val="1"/>
          <w:numId w:val="2"/>
        </w:numPr>
        <w:spacing w:before="312" w:after="312"/>
        <w:rPr>
          <w:highlight w:val="none"/>
        </w:rPr>
      </w:pPr>
      <w:r>
        <w:rPr>
          <w:rFonts w:hint="eastAsia"/>
          <w:highlight w:val="none"/>
        </w:rPr>
        <w:t>使用管理</w:t>
      </w:r>
      <w:bookmarkEnd w:id="128"/>
      <w:bookmarkEnd w:id="129"/>
    </w:p>
    <w:p w14:paraId="0DF3C12D">
      <w:pPr>
        <w:pStyle w:val="162"/>
        <w:numPr>
          <w:ilvl w:val="2"/>
          <w:numId w:val="2"/>
        </w:numPr>
        <w:rPr>
          <w:highlight w:val="none"/>
        </w:rPr>
      </w:pPr>
      <w:r>
        <w:rPr>
          <w:rFonts w:hint="eastAsia"/>
          <w:highlight w:val="none"/>
        </w:rPr>
        <w:t>使用单位应当对其使用的</w:t>
      </w:r>
      <w:r>
        <w:rPr>
          <w:rFonts w:hint="eastAsia"/>
          <w:highlight w:val="none"/>
          <w:lang w:eastAsia="zh-CN"/>
        </w:rPr>
        <w:t>撬装式承压设备系统</w:t>
      </w:r>
      <w:r>
        <w:rPr>
          <w:rFonts w:hint="eastAsia"/>
          <w:highlight w:val="none"/>
        </w:rPr>
        <w:t>安全负责，使用取得特种设备生产许可证的单位制造并经检验合格的</w:t>
      </w:r>
      <w:r>
        <w:rPr>
          <w:rFonts w:hint="eastAsia"/>
          <w:highlight w:val="none"/>
          <w:lang w:eastAsia="zh-CN"/>
        </w:rPr>
        <w:t>撬装式承压设备系统</w:t>
      </w:r>
      <w:r>
        <w:rPr>
          <w:rFonts w:hint="eastAsia"/>
          <w:highlight w:val="none"/>
        </w:rPr>
        <w:t>，并按照使用说明书的要求运行。</w:t>
      </w:r>
    </w:p>
    <w:p w14:paraId="12FE8274">
      <w:pPr>
        <w:pStyle w:val="162"/>
        <w:numPr>
          <w:ilvl w:val="2"/>
          <w:numId w:val="2"/>
        </w:numPr>
        <w:rPr>
          <w:highlight w:val="none"/>
        </w:rPr>
      </w:pPr>
      <w:r>
        <w:rPr>
          <w:rFonts w:hint="eastAsia"/>
          <w:highlight w:val="none"/>
        </w:rPr>
        <w:t>使用单位应当</w:t>
      </w:r>
      <w:r>
        <w:rPr>
          <w:rFonts w:hint="eastAsia"/>
          <w:highlight w:val="none"/>
          <w:lang w:val="en-US" w:eastAsia="zh-CN"/>
        </w:rPr>
        <w:t>按TSG 08的要求办理使用登记证、建立</w:t>
      </w:r>
      <w:r>
        <w:rPr>
          <w:rFonts w:hint="eastAsia"/>
          <w:highlight w:val="none"/>
        </w:rPr>
        <w:t>安全技术档案</w:t>
      </w:r>
      <w:r>
        <w:rPr>
          <w:rFonts w:hint="eastAsia"/>
          <w:highlight w:val="none"/>
          <w:lang w:val="en-US" w:eastAsia="zh-CN"/>
        </w:rPr>
        <w:t>和安全管理制度</w:t>
      </w:r>
      <w:r>
        <w:rPr>
          <w:rFonts w:hint="eastAsia"/>
          <w:highlight w:val="none"/>
        </w:rPr>
        <w:t>。</w:t>
      </w:r>
    </w:p>
    <w:p w14:paraId="033A3A68">
      <w:pPr>
        <w:pStyle w:val="162"/>
        <w:numPr>
          <w:ilvl w:val="2"/>
          <w:numId w:val="2"/>
        </w:numPr>
        <w:rPr>
          <w:highlight w:val="none"/>
        </w:rPr>
      </w:pPr>
      <w:r>
        <w:rPr>
          <w:rFonts w:hint="eastAsia"/>
          <w:highlight w:val="none"/>
        </w:rPr>
        <w:t>使用单位应当对</w:t>
      </w:r>
      <w:r>
        <w:rPr>
          <w:rFonts w:hint="eastAsia"/>
          <w:highlight w:val="none"/>
          <w:lang w:eastAsia="zh-CN"/>
        </w:rPr>
        <w:t>撬装式承压设备系统</w:t>
      </w:r>
      <w:r>
        <w:rPr>
          <w:rFonts w:hint="eastAsia"/>
          <w:highlight w:val="none"/>
        </w:rPr>
        <w:t>进行定期自行检查，重点</w:t>
      </w:r>
      <w:r>
        <w:rPr>
          <w:rFonts w:hint="eastAsia"/>
          <w:highlight w:val="none"/>
          <w:lang w:eastAsia="zh-CN"/>
        </w:rPr>
        <w:t>撬装式承压设备系统</w:t>
      </w:r>
      <w:r>
        <w:rPr>
          <w:rFonts w:hint="eastAsia"/>
          <w:highlight w:val="none"/>
        </w:rPr>
        <w:t>表面有无腐蚀、裂纹、</w:t>
      </w:r>
      <w:r>
        <w:rPr>
          <w:rFonts w:hint="eastAsia"/>
          <w:highlight w:val="none"/>
          <w:lang w:eastAsia="zh-CN"/>
        </w:rPr>
        <w:t>结霜</w:t>
      </w:r>
      <w:r>
        <w:rPr>
          <w:rFonts w:hint="eastAsia"/>
          <w:highlight w:val="none"/>
        </w:rPr>
        <w:t>、变形、泄</w:t>
      </w:r>
      <w:r>
        <w:rPr>
          <w:rFonts w:hint="eastAsia"/>
          <w:highlight w:val="none"/>
          <w:lang w:eastAsia="zh-CN"/>
        </w:rPr>
        <w:t>漏</w:t>
      </w:r>
      <w:r>
        <w:rPr>
          <w:rFonts w:hint="eastAsia"/>
          <w:highlight w:val="none"/>
        </w:rPr>
        <w:t>等缺陷，法兰有无偏口、连接螺栓是否松动等异常情况。</w:t>
      </w:r>
    </w:p>
    <w:p w14:paraId="0813CCD7">
      <w:pPr>
        <w:pStyle w:val="162"/>
        <w:numPr>
          <w:ilvl w:val="2"/>
          <w:numId w:val="2"/>
        </w:numPr>
        <w:rPr>
          <w:highlight w:val="none"/>
        </w:rPr>
      </w:pPr>
      <w:r>
        <w:rPr>
          <w:rFonts w:hint="eastAsia"/>
          <w:highlight w:val="none"/>
          <w:lang w:eastAsia="zh-CN"/>
        </w:rPr>
        <w:t>撬装式承压设备系统</w:t>
      </w:r>
      <w:r>
        <w:rPr>
          <w:rFonts w:hint="eastAsia"/>
          <w:highlight w:val="none"/>
          <w:lang w:val="en-US" w:eastAsia="zh-CN"/>
        </w:rPr>
        <w:t>的</w:t>
      </w:r>
      <w:r>
        <w:rPr>
          <w:rFonts w:hint="eastAsia"/>
          <w:highlight w:val="none"/>
        </w:rPr>
        <w:t>移装</w:t>
      </w:r>
      <w:r>
        <w:rPr>
          <w:rFonts w:hint="eastAsia"/>
          <w:highlight w:val="none"/>
          <w:lang w:eastAsia="zh-CN"/>
        </w:rPr>
        <w:t>、</w:t>
      </w:r>
      <w:r>
        <w:rPr>
          <w:rFonts w:hint="eastAsia"/>
          <w:highlight w:val="none"/>
        </w:rPr>
        <w:t>改造</w:t>
      </w:r>
      <w:r>
        <w:rPr>
          <w:rFonts w:hint="eastAsia"/>
          <w:highlight w:val="none"/>
          <w:lang w:val="en-US" w:eastAsia="zh-CN"/>
        </w:rPr>
        <w:t>应符合TSG 08的要求。</w:t>
      </w:r>
    </w:p>
    <w:p w14:paraId="49DBDBAD">
      <w:pPr>
        <w:pStyle w:val="162"/>
        <w:numPr>
          <w:ilvl w:val="2"/>
          <w:numId w:val="2"/>
        </w:numPr>
        <w:rPr>
          <w:highlight w:val="none"/>
        </w:rPr>
      </w:pPr>
      <w:r>
        <w:rPr>
          <w:rFonts w:hint="eastAsia"/>
          <w:highlight w:val="none"/>
          <w:lang w:eastAsia="zh-CN"/>
        </w:rPr>
        <w:t>撬装式承压设备系统</w:t>
      </w:r>
      <w:r>
        <w:rPr>
          <w:rFonts w:hint="eastAsia"/>
          <w:highlight w:val="none"/>
          <w:lang w:val="en-US" w:eastAsia="zh-CN"/>
        </w:rPr>
        <w:t>中的压力容器和压力管道，</w:t>
      </w:r>
      <w:r>
        <w:rPr>
          <w:rFonts w:hint="eastAsia"/>
          <w:highlight w:val="none"/>
        </w:rPr>
        <w:t>应</w:t>
      </w:r>
      <w:r>
        <w:rPr>
          <w:rFonts w:hint="eastAsia"/>
          <w:highlight w:val="none"/>
          <w:lang w:val="en-US" w:eastAsia="zh-CN"/>
        </w:rPr>
        <w:t>分别由具有相应级别压力容器或</w:t>
      </w:r>
      <w:r>
        <w:rPr>
          <w:rFonts w:hint="eastAsia"/>
          <w:highlight w:val="none"/>
        </w:rPr>
        <w:t>的压力管道</w:t>
      </w:r>
      <w:r>
        <w:rPr>
          <w:rFonts w:hint="eastAsia"/>
          <w:highlight w:val="none"/>
          <w:lang w:val="en-US" w:eastAsia="zh-CN"/>
        </w:rPr>
        <w:t>定期检验资质的机构</w:t>
      </w:r>
      <w:r>
        <w:rPr>
          <w:rFonts w:hint="eastAsia"/>
          <w:highlight w:val="none"/>
        </w:rPr>
        <w:t>进行定期检验，且符合</w:t>
      </w:r>
      <w:r>
        <w:rPr>
          <w:rFonts w:hint="eastAsia"/>
          <w:highlight w:val="none"/>
          <w:lang w:val="en-US" w:eastAsia="zh-CN"/>
        </w:rPr>
        <w:t>TSG 21和</w:t>
      </w:r>
      <w:r>
        <w:rPr>
          <w:rFonts w:hint="eastAsia"/>
          <w:highlight w:val="none"/>
        </w:rPr>
        <w:t>TSG D7005安全技术规范的相关要求。</w:t>
      </w:r>
    </w:p>
    <w:p w14:paraId="695DD622">
      <w:pPr>
        <w:pStyle w:val="199"/>
        <w:numPr>
          <w:ilvl w:val="0"/>
          <w:numId w:val="0"/>
        </w:numPr>
        <w:ind w:left="425"/>
        <w:jc w:val="both"/>
        <w:rPr>
          <w:vanish w:val="0"/>
          <w:highlight w:val="none"/>
        </w:rPr>
      </w:pPr>
    </w:p>
    <w:bookmarkEnd w:id="30"/>
    <w:p w14:paraId="1C9D0A24">
      <w:pPr>
        <w:pStyle w:val="56"/>
        <w:ind w:firstLine="420"/>
        <w:rPr>
          <w:highlight w:val="none"/>
        </w:rPr>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pPr>
      <w:bookmarkStart w:id="130" w:name="BookMark6"/>
    </w:p>
    <w:p w14:paraId="40778BEB">
      <w:pPr>
        <w:pStyle w:val="63"/>
        <w:spacing w:after="156"/>
        <w:rPr>
          <w:highlight w:val="none"/>
        </w:rPr>
      </w:pPr>
      <w:bookmarkStart w:id="131" w:name="_Toc169271266"/>
      <w:bookmarkStart w:id="132" w:name="_Toc169275898"/>
      <w:r>
        <w:rPr>
          <w:rFonts w:hint="eastAsia"/>
          <w:spacing w:val="105"/>
          <w:highlight w:val="none"/>
        </w:rPr>
        <w:t>参考文</w:t>
      </w:r>
      <w:r>
        <w:rPr>
          <w:rFonts w:hint="eastAsia"/>
          <w:highlight w:val="none"/>
        </w:rPr>
        <w:t>献</w:t>
      </w:r>
      <w:bookmarkEnd w:id="131"/>
      <w:bookmarkEnd w:id="132"/>
    </w:p>
    <w:p w14:paraId="2E7A6875">
      <w:pPr>
        <w:pStyle w:val="56"/>
        <w:numPr>
          <w:ilvl w:val="0"/>
          <w:numId w:val="41"/>
        </w:numPr>
        <w:ind w:firstLine="420"/>
        <w:rPr>
          <w:rFonts w:hint="eastAsia"/>
          <w:highlight w:val="none"/>
        </w:rPr>
      </w:pPr>
      <w:r>
        <w:rPr>
          <w:rFonts w:hint="eastAsia"/>
          <w:highlight w:val="none"/>
        </w:rPr>
        <w:t>TSG 07 特种设备生产和充装单位许可规则</w:t>
      </w:r>
    </w:p>
    <w:p w14:paraId="1BAE81CD">
      <w:pPr>
        <w:pStyle w:val="56"/>
        <w:numPr>
          <w:ilvl w:val="0"/>
          <w:numId w:val="41"/>
        </w:numPr>
        <w:ind w:firstLine="420"/>
        <w:rPr>
          <w:rFonts w:hint="eastAsia"/>
          <w:highlight w:val="none"/>
        </w:rPr>
      </w:pPr>
      <w:r>
        <w:rPr>
          <w:rFonts w:hint="eastAsia"/>
          <w:highlight w:val="none"/>
        </w:rPr>
        <w:t>TSG 0</w:t>
      </w:r>
      <w:r>
        <w:rPr>
          <w:rFonts w:hint="eastAsia"/>
          <w:highlight w:val="none"/>
          <w:lang w:val="en-US" w:eastAsia="zh-CN"/>
        </w:rPr>
        <w:t>8</w:t>
      </w:r>
      <w:r>
        <w:rPr>
          <w:rFonts w:hint="eastAsia"/>
          <w:highlight w:val="none"/>
        </w:rPr>
        <w:t xml:space="preserve"> 特种设备</w:t>
      </w:r>
      <w:r>
        <w:rPr>
          <w:rFonts w:hint="eastAsia"/>
          <w:highlight w:val="none"/>
          <w:lang w:val="en-US" w:eastAsia="zh-CN"/>
        </w:rPr>
        <w:t>使用管理规则</w:t>
      </w:r>
    </w:p>
    <w:p w14:paraId="15B5C934">
      <w:pPr>
        <w:pStyle w:val="56"/>
        <w:numPr>
          <w:ilvl w:val="0"/>
          <w:numId w:val="41"/>
        </w:numPr>
        <w:ind w:firstLine="420"/>
        <w:rPr>
          <w:rFonts w:hint="eastAsia"/>
          <w:highlight w:val="none"/>
        </w:rPr>
      </w:pPr>
      <w:r>
        <w:rPr>
          <w:rFonts w:hint="eastAsia"/>
          <w:highlight w:val="none"/>
          <w:lang w:val="en-US" w:eastAsia="zh-CN"/>
        </w:rPr>
        <w:t>TSG 21 固定式压力容器安全技术监察规程</w:t>
      </w:r>
    </w:p>
    <w:p w14:paraId="6D063E77">
      <w:pPr>
        <w:pStyle w:val="56"/>
        <w:ind w:firstLine="420"/>
        <w:rPr>
          <w:highlight w:val="none"/>
        </w:rPr>
      </w:pPr>
      <w:r>
        <w:rPr>
          <w:rFonts w:hint="eastAsia"/>
          <w:highlight w:val="none"/>
        </w:rPr>
        <w:t>[</w:t>
      </w:r>
      <w:r>
        <w:rPr>
          <w:rFonts w:hint="eastAsia"/>
          <w:highlight w:val="none"/>
          <w:lang w:val="en-US" w:eastAsia="zh-CN"/>
        </w:rPr>
        <w:t>4</w:t>
      </w:r>
      <w:r>
        <w:rPr>
          <w:rFonts w:hint="eastAsia"/>
          <w:highlight w:val="none"/>
        </w:rPr>
        <w:t>] TSG Z6002 特种设备焊接操作人员考核细则</w:t>
      </w:r>
    </w:p>
    <w:p w14:paraId="7ED55780">
      <w:pPr>
        <w:pStyle w:val="56"/>
        <w:ind w:firstLine="420"/>
        <w:rPr>
          <w:highlight w:val="none"/>
        </w:rPr>
      </w:pPr>
      <w:r>
        <w:rPr>
          <w:rFonts w:hint="eastAsia"/>
          <w:highlight w:val="none"/>
        </w:rPr>
        <w:t>[</w:t>
      </w:r>
      <w:r>
        <w:rPr>
          <w:rFonts w:hint="eastAsia"/>
          <w:highlight w:val="none"/>
          <w:lang w:val="en-US" w:eastAsia="zh-CN"/>
        </w:rPr>
        <w:t>6</w:t>
      </w:r>
      <w:r>
        <w:rPr>
          <w:rFonts w:hint="eastAsia"/>
          <w:highlight w:val="none"/>
        </w:rPr>
        <w:t>] TSG D7005 压力管道定期检验规则—工业管道</w:t>
      </w:r>
    </w:p>
    <w:bookmarkEnd w:id="130"/>
    <w:p w14:paraId="4BE109F4">
      <w:pPr>
        <w:pStyle w:val="56"/>
        <w:ind w:firstLine="0" w:firstLineChars="0"/>
        <w:jc w:val="center"/>
        <w:rPr>
          <w:highlight w:val="none"/>
        </w:rPr>
      </w:pPr>
      <w:bookmarkStart w:id="133" w:name="BookMark8"/>
      <w:r>
        <w:rPr>
          <w:rFonts w:hint="eastAsia"/>
          <w:highlight w:val="none"/>
        </w:rPr>
        <w:drawing>
          <wp:inline distT="0" distB="0" distL="0" distR="0">
            <wp:extent cx="1485900" cy="317500"/>
            <wp:effectExtent l="0" t="0" r="0" b="6350"/>
            <wp:docPr id="1246255695" name="图片 3"/>
            <wp:cNvGraphicFramePr/>
            <a:graphic xmlns:a="http://schemas.openxmlformats.org/drawingml/2006/main">
              <a:graphicData uri="http://schemas.openxmlformats.org/drawingml/2006/picture">
                <pic:pic xmlns:pic="http://schemas.openxmlformats.org/drawingml/2006/picture">
                  <pic:nvPicPr>
                    <pic:cNvPr id="1246255695" name="图片 3"/>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3"/>
    </w:p>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DC48D">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DCECC">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D10EC">
    <w:pPr>
      <w:pStyle w:val="51"/>
    </w:pPr>
    <w:r>
      <w:fldChar w:fldCharType="begin"/>
    </w:r>
    <w:r>
      <w:instrText xml:space="preserve"> PAGE   \* MERGEFORMAT \* MERGEFORMAT </w:instrText>
    </w:r>
    <w:r>
      <w:fldChar w:fldCharType="separate"/>
    </w:r>
    <w: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D131F">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6B3D4">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F2DD79">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5B4D1">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E41BB">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CA56C">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A28AA">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0D353D">
    <w:pPr>
      <w:pStyle w:val="51"/>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13D66">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70E5D">
    <w:pPr>
      <w:pStyle w:val="61"/>
    </w:pPr>
    <w:r>
      <w:fldChar w:fldCharType="begin"/>
    </w:r>
    <w:r>
      <w:instrText xml:space="preserve"> STYLEREF  标准文件_文件编号  \* MERGEFORMAT </w:instrText>
    </w:r>
    <w:r>
      <w:fldChar w:fldCharType="separate"/>
    </w:r>
    <w:r>
      <w:t>DB 14/T XXXX—2025</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BE157">
    <w:pPr>
      <w:pStyle w:val="62"/>
    </w:pPr>
    <w:r>
      <w:fldChar w:fldCharType="begin"/>
    </w:r>
    <w:r>
      <w:instrText xml:space="preserve"> STYLEREF  标准文件_文件编号 \* MERGEFORMAT </w:instrText>
    </w:r>
    <w:r>
      <w:fldChar w:fldCharType="separate"/>
    </w:r>
    <w:r>
      <w:t>DB 14/T XXXX—2025</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DF7BB">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CEF15">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E6055">
    <w:pPr>
      <w:pStyle w:val="61"/>
    </w:pPr>
    <w:r>
      <w:fldChar w:fldCharType="begin"/>
    </w:r>
    <w:r>
      <w:instrText xml:space="preserve"> STYLEREF  标准文件_文件编号  \* MERGEFORMAT </w:instrText>
    </w:r>
    <w:r>
      <w:fldChar w:fldCharType="separate"/>
    </w:r>
    <w:r>
      <w:t>DB 14/T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A8198">
    <w:pPr>
      <w:pStyle w:val="62"/>
    </w:pPr>
    <w:r>
      <w:fldChar w:fldCharType="begin"/>
    </w:r>
    <w:r>
      <w:instrText xml:space="preserve"> STYLEREF  标准文件_文件编号 \* MERGEFORMAT </w:instrText>
    </w:r>
    <w:r>
      <w:fldChar w:fldCharType="separate"/>
    </w:r>
    <w:r>
      <w:t>DB 14/T XXXX—2025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944A2">
    <w:pPr>
      <w:pStyle w:val="61"/>
    </w:pPr>
    <w:r>
      <w:fldChar w:fldCharType="begin"/>
    </w:r>
    <w:r>
      <w:instrText xml:space="preserve"> STYLEREF  标准文件_文件编号  \* MERGEFORMAT </w:instrText>
    </w:r>
    <w:r>
      <w:fldChar w:fldCharType="separate"/>
    </w:r>
    <w:r>
      <w:t>DB 14/T XXXX—2025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11596">
    <w:pPr>
      <w:pStyle w:val="62"/>
    </w:pPr>
    <w:r>
      <w:fldChar w:fldCharType="begin"/>
    </w:r>
    <w:r>
      <w:instrText xml:space="preserve"> STYLEREF  标准文件_文件编号 \* MERGEFORMAT </w:instrText>
    </w:r>
    <w:r>
      <w:fldChar w:fldCharType="separate"/>
    </w:r>
    <w:r>
      <w:t>DB 14/T XXXX—2025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1D2E0">
    <w:pPr>
      <w:pStyle w:val="61"/>
    </w:pPr>
    <w:r>
      <w:fldChar w:fldCharType="begin"/>
    </w:r>
    <w:r>
      <w:instrText xml:space="preserve"> STYLEREF  标准文件_文件编号  \* MERGEFORMAT </w:instrText>
    </w:r>
    <w:r>
      <w:fldChar w:fldCharType="separate"/>
    </w:r>
    <w:r>
      <w:t>DB 14/T XXXX—2025</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5E280">
    <w:pPr>
      <w:pStyle w:val="62"/>
    </w:pPr>
    <w:r>
      <w:fldChar w:fldCharType="begin"/>
    </w:r>
    <w:r>
      <w:instrText xml:space="preserve"> STYLEREF  标准文件_文件编号 \* MERGEFORMAT </w:instrText>
    </w:r>
    <w:r>
      <w:fldChar w:fldCharType="separate"/>
    </w:r>
    <w:r>
      <w:t>DB 14/T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3D0FD2"/>
    <w:multiLevelType w:val="singleLevel"/>
    <w:tmpl w:val="DF3D0FD2"/>
    <w:lvl w:ilvl="0" w:tentative="0">
      <w:start w:val="1"/>
      <w:numFmt w:val="decimal"/>
      <w:suff w:val="nothing"/>
      <w:lvlText w:val="%1）"/>
      <w:lvlJc w:val="left"/>
      <w:pPr>
        <w:ind w:left="845" w:leftChars="0" w:firstLine="0" w:firstLineChars="0"/>
      </w:pPr>
    </w:lvl>
  </w:abstractNum>
  <w:abstractNum w:abstractNumId="1">
    <w:nsid w:val="F260B6D6"/>
    <w:multiLevelType w:val="singleLevel"/>
    <w:tmpl w:val="F260B6D6"/>
    <w:lvl w:ilvl="0" w:tentative="0">
      <w:start w:val="1"/>
      <w:numFmt w:val="decimal"/>
      <w:suff w:val="space"/>
      <w:lvlText w:val="[%1]"/>
      <w:lvlJc w:val="left"/>
    </w:lvl>
  </w:abstractNum>
  <w:abstractNum w:abstractNumId="2">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4"/>
      <w:lvlText w:val="%1)"/>
      <w:lvlJc w:val="left"/>
      <w:pPr>
        <w:tabs>
          <w:tab w:val="left" w:pos="851"/>
        </w:tabs>
        <w:ind w:left="851" w:hanging="426"/>
      </w:pPr>
      <w:rPr>
        <w:rFonts w:hint="default" w:ascii="宋体" w:hAnsi="Times New Roman" w:eastAsia="宋体"/>
        <w:color w:val="auto"/>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29"/>
  </w:num>
  <w:num w:numId="3">
    <w:abstractNumId w:val="7"/>
  </w:num>
  <w:num w:numId="4">
    <w:abstractNumId w:val="25"/>
  </w:num>
  <w:num w:numId="5">
    <w:abstractNumId w:val="20"/>
  </w:num>
  <w:num w:numId="6">
    <w:abstractNumId w:val="15"/>
  </w:num>
  <w:num w:numId="7">
    <w:abstractNumId w:val="10"/>
  </w:num>
  <w:num w:numId="8">
    <w:abstractNumId w:val="5"/>
  </w:num>
  <w:num w:numId="9">
    <w:abstractNumId w:val="11"/>
  </w:num>
  <w:num w:numId="10">
    <w:abstractNumId w:val="18"/>
  </w:num>
  <w:num w:numId="11">
    <w:abstractNumId w:val="27"/>
  </w:num>
  <w:num w:numId="12">
    <w:abstractNumId w:val="13"/>
  </w:num>
  <w:num w:numId="13">
    <w:abstractNumId w:val="14"/>
  </w:num>
  <w:num w:numId="14">
    <w:abstractNumId w:val="9"/>
  </w:num>
  <w:num w:numId="15">
    <w:abstractNumId w:val="21"/>
  </w:num>
  <w:num w:numId="16">
    <w:abstractNumId w:val="23"/>
  </w:num>
  <w:num w:numId="17">
    <w:abstractNumId w:val="19"/>
  </w:num>
  <w:num w:numId="18">
    <w:abstractNumId w:val="31"/>
  </w:num>
  <w:num w:numId="19">
    <w:abstractNumId w:val="17"/>
  </w:num>
  <w:num w:numId="20">
    <w:abstractNumId w:val="3"/>
  </w:num>
  <w:num w:numId="21">
    <w:abstractNumId w:val="12"/>
  </w:num>
  <w:num w:numId="22">
    <w:abstractNumId w:val="32"/>
  </w:num>
  <w:num w:numId="23">
    <w:abstractNumId w:val="22"/>
  </w:num>
  <w:num w:numId="24">
    <w:abstractNumId w:val="8"/>
  </w:num>
  <w:num w:numId="25">
    <w:abstractNumId w:val="28"/>
  </w:num>
  <w:num w:numId="26">
    <w:abstractNumId w:val="30"/>
  </w:num>
  <w:num w:numId="27">
    <w:abstractNumId w:val="4"/>
  </w:num>
  <w:num w:numId="28">
    <w:abstractNumId w:val="6"/>
  </w:num>
  <w:num w:numId="29">
    <w:abstractNumId w:val="16"/>
  </w:num>
  <w:num w:numId="30">
    <w:abstractNumId w:val="26"/>
  </w:num>
  <w:num w:numId="31">
    <w:abstractNumId w:val="24"/>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UwYWVkZjFjNzc1ZWQ4Y2EwMzY4MDQzNGNjOTZkOGYifQ=="/>
  </w:docVars>
  <w:rsids>
    <w:rsidRoot w:val="00475723"/>
    <w:rsid w:val="0000040A"/>
    <w:rsid w:val="00000A94"/>
    <w:rsid w:val="00001972"/>
    <w:rsid w:val="00001D9A"/>
    <w:rsid w:val="000069B7"/>
    <w:rsid w:val="00007B3A"/>
    <w:rsid w:val="000107E0"/>
    <w:rsid w:val="00011FDE"/>
    <w:rsid w:val="00012FFD"/>
    <w:rsid w:val="00014162"/>
    <w:rsid w:val="00014340"/>
    <w:rsid w:val="00014800"/>
    <w:rsid w:val="00016A9C"/>
    <w:rsid w:val="00022184"/>
    <w:rsid w:val="00022762"/>
    <w:rsid w:val="000238E0"/>
    <w:rsid w:val="000249DB"/>
    <w:rsid w:val="00024CC5"/>
    <w:rsid w:val="000254B7"/>
    <w:rsid w:val="0002595E"/>
    <w:rsid w:val="000303C3"/>
    <w:rsid w:val="000331D3"/>
    <w:rsid w:val="000346A5"/>
    <w:rsid w:val="000359C3"/>
    <w:rsid w:val="00035A7D"/>
    <w:rsid w:val="000365ED"/>
    <w:rsid w:val="00042004"/>
    <w:rsid w:val="0004249A"/>
    <w:rsid w:val="00043282"/>
    <w:rsid w:val="00044286"/>
    <w:rsid w:val="00047F28"/>
    <w:rsid w:val="000503AA"/>
    <w:rsid w:val="000506A1"/>
    <w:rsid w:val="000515DD"/>
    <w:rsid w:val="0005265A"/>
    <w:rsid w:val="000539DD"/>
    <w:rsid w:val="00053BD3"/>
    <w:rsid w:val="000556ED"/>
    <w:rsid w:val="00055FE2"/>
    <w:rsid w:val="0005616F"/>
    <w:rsid w:val="00057D78"/>
    <w:rsid w:val="00060C2E"/>
    <w:rsid w:val="00061033"/>
    <w:rsid w:val="000619E9"/>
    <w:rsid w:val="000622D4"/>
    <w:rsid w:val="0006357D"/>
    <w:rsid w:val="00066C4A"/>
    <w:rsid w:val="00067F1E"/>
    <w:rsid w:val="00071CC0"/>
    <w:rsid w:val="00073C8C"/>
    <w:rsid w:val="00077B64"/>
    <w:rsid w:val="00080A1C"/>
    <w:rsid w:val="00082317"/>
    <w:rsid w:val="00083D2C"/>
    <w:rsid w:val="00086AA1"/>
    <w:rsid w:val="00086FF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3D2"/>
    <w:rsid w:val="000B285B"/>
    <w:rsid w:val="000B3CDA"/>
    <w:rsid w:val="000B5E96"/>
    <w:rsid w:val="000B6A0B"/>
    <w:rsid w:val="000C0F6C"/>
    <w:rsid w:val="000C11DB"/>
    <w:rsid w:val="000C1492"/>
    <w:rsid w:val="000C2FBD"/>
    <w:rsid w:val="000C4A37"/>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4667"/>
    <w:rsid w:val="0011711C"/>
    <w:rsid w:val="0012059C"/>
    <w:rsid w:val="00124E4F"/>
    <w:rsid w:val="001260B7"/>
    <w:rsid w:val="001265CB"/>
    <w:rsid w:val="001321C6"/>
    <w:rsid w:val="001325C4"/>
    <w:rsid w:val="00133010"/>
    <w:rsid w:val="0013339D"/>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06C"/>
    <w:rsid w:val="00165434"/>
    <w:rsid w:val="0016580B"/>
    <w:rsid w:val="00165F49"/>
    <w:rsid w:val="00166B88"/>
    <w:rsid w:val="0016770A"/>
    <w:rsid w:val="00170804"/>
    <w:rsid w:val="001708E9"/>
    <w:rsid w:val="0017340B"/>
    <w:rsid w:val="00173FB1"/>
    <w:rsid w:val="00176DFD"/>
    <w:rsid w:val="001801D3"/>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6917"/>
    <w:rsid w:val="001E73AB"/>
    <w:rsid w:val="001F092D"/>
    <w:rsid w:val="001F143A"/>
    <w:rsid w:val="001F1605"/>
    <w:rsid w:val="001F2508"/>
    <w:rsid w:val="001F4816"/>
    <w:rsid w:val="001F4EE9"/>
    <w:rsid w:val="001F69B4"/>
    <w:rsid w:val="001F77C7"/>
    <w:rsid w:val="001F7B83"/>
    <w:rsid w:val="00200183"/>
    <w:rsid w:val="00200333"/>
    <w:rsid w:val="0020107D"/>
    <w:rsid w:val="00202AA4"/>
    <w:rsid w:val="002031F7"/>
    <w:rsid w:val="002040E6"/>
    <w:rsid w:val="0020527B"/>
    <w:rsid w:val="00205F2C"/>
    <w:rsid w:val="00210B15"/>
    <w:rsid w:val="002142EA"/>
    <w:rsid w:val="002204BB"/>
    <w:rsid w:val="00220EA7"/>
    <w:rsid w:val="00221B79"/>
    <w:rsid w:val="00221C6B"/>
    <w:rsid w:val="002253A1"/>
    <w:rsid w:val="00225CF8"/>
    <w:rsid w:val="0022794E"/>
    <w:rsid w:val="00233D64"/>
    <w:rsid w:val="0023482A"/>
    <w:rsid w:val="002359CB"/>
    <w:rsid w:val="00241FF3"/>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7AC"/>
    <w:rsid w:val="00294D34"/>
    <w:rsid w:val="00294E3B"/>
    <w:rsid w:val="00296193"/>
    <w:rsid w:val="00296C66"/>
    <w:rsid w:val="00296EBE"/>
    <w:rsid w:val="002974E3"/>
    <w:rsid w:val="0029780D"/>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0A7B"/>
    <w:rsid w:val="002D42B5"/>
    <w:rsid w:val="002D4F1A"/>
    <w:rsid w:val="002D6EC6"/>
    <w:rsid w:val="002D79AC"/>
    <w:rsid w:val="002E039D"/>
    <w:rsid w:val="002E4D5A"/>
    <w:rsid w:val="002E6326"/>
    <w:rsid w:val="002F0D72"/>
    <w:rsid w:val="002F30E0"/>
    <w:rsid w:val="002F35E4"/>
    <w:rsid w:val="002F3730"/>
    <w:rsid w:val="002F38E1"/>
    <w:rsid w:val="002F7AF6"/>
    <w:rsid w:val="00300E63"/>
    <w:rsid w:val="00302F5F"/>
    <w:rsid w:val="003030C1"/>
    <w:rsid w:val="0030441D"/>
    <w:rsid w:val="00304BE7"/>
    <w:rsid w:val="00306063"/>
    <w:rsid w:val="00313B85"/>
    <w:rsid w:val="00317988"/>
    <w:rsid w:val="003221B4"/>
    <w:rsid w:val="0032258D"/>
    <w:rsid w:val="00322E62"/>
    <w:rsid w:val="00324D13"/>
    <w:rsid w:val="00324D2A"/>
    <w:rsid w:val="00324DA5"/>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6D0"/>
    <w:rsid w:val="00370D58"/>
    <w:rsid w:val="00371316"/>
    <w:rsid w:val="00376713"/>
    <w:rsid w:val="00381815"/>
    <w:rsid w:val="003819AF"/>
    <w:rsid w:val="003820E9"/>
    <w:rsid w:val="00382DE7"/>
    <w:rsid w:val="00383841"/>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2405"/>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738"/>
    <w:rsid w:val="00407D39"/>
    <w:rsid w:val="00411759"/>
    <w:rsid w:val="0041477A"/>
    <w:rsid w:val="004167A3"/>
    <w:rsid w:val="00417910"/>
    <w:rsid w:val="00432DAA"/>
    <w:rsid w:val="00434305"/>
    <w:rsid w:val="00435DF7"/>
    <w:rsid w:val="0044083F"/>
    <w:rsid w:val="00441AE7"/>
    <w:rsid w:val="00445574"/>
    <w:rsid w:val="004456C1"/>
    <w:rsid w:val="004467FB"/>
    <w:rsid w:val="00452D6B"/>
    <w:rsid w:val="00454484"/>
    <w:rsid w:val="0045517B"/>
    <w:rsid w:val="00463B77"/>
    <w:rsid w:val="00463C7B"/>
    <w:rsid w:val="004644A6"/>
    <w:rsid w:val="004659BD"/>
    <w:rsid w:val="00466A93"/>
    <w:rsid w:val="00470775"/>
    <w:rsid w:val="004746B1"/>
    <w:rsid w:val="00475723"/>
    <w:rsid w:val="0047583F"/>
    <w:rsid w:val="00475DE8"/>
    <w:rsid w:val="00481C44"/>
    <w:rsid w:val="00484936"/>
    <w:rsid w:val="00485C89"/>
    <w:rsid w:val="00486BE3"/>
    <w:rsid w:val="004905E4"/>
    <w:rsid w:val="00490974"/>
    <w:rsid w:val="00490A89"/>
    <w:rsid w:val="00490AB4"/>
    <w:rsid w:val="004915F7"/>
    <w:rsid w:val="00492195"/>
    <w:rsid w:val="00492F02"/>
    <w:rsid w:val="004939AE"/>
    <w:rsid w:val="004A12DF"/>
    <w:rsid w:val="004A17E6"/>
    <w:rsid w:val="004A1BA8"/>
    <w:rsid w:val="004A4B57"/>
    <w:rsid w:val="004A63FA"/>
    <w:rsid w:val="004B0272"/>
    <w:rsid w:val="004B2701"/>
    <w:rsid w:val="004B2E1B"/>
    <w:rsid w:val="004B3AA8"/>
    <w:rsid w:val="004B3D26"/>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0E9B"/>
    <w:rsid w:val="004E1156"/>
    <w:rsid w:val="004E127B"/>
    <w:rsid w:val="004E1C0A"/>
    <w:rsid w:val="004E2B06"/>
    <w:rsid w:val="004E30C5"/>
    <w:rsid w:val="004E3E9C"/>
    <w:rsid w:val="004E4AA5"/>
    <w:rsid w:val="004E4AEE"/>
    <w:rsid w:val="004E59E3"/>
    <w:rsid w:val="004E67C0"/>
    <w:rsid w:val="004F16D0"/>
    <w:rsid w:val="004F391A"/>
    <w:rsid w:val="004F3CFB"/>
    <w:rsid w:val="004F6456"/>
    <w:rsid w:val="004F696E"/>
    <w:rsid w:val="004F6C71"/>
    <w:rsid w:val="00501139"/>
    <w:rsid w:val="0050363E"/>
    <w:rsid w:val="005039BC"/>
    <w:rsid w:val="00503D2E"/>
    <w:rsid w:val="005043BB"/>
    <w:rsid w:val="00504A3D"/>
    <w:rsid w:val="00505767"/>
    <w:rsid w:val="005073F0"/>
    <w:rsid w:val="00510A7B"/>
    <w:rsid w:val="00512F6E"/>
    <w:rsid w:val="00513038"/>
    <w:rsid w:val="00514174"/>
    <w:rsid w:val="00516088"/>
    <w:rsid w:val="00516B0B"/>
    <w:rsid w:val="005220EC"/>
    <w:rsid w:val="00523415"/>
    <w:rsid w:val="00523F95"/>
    <w:rsid w:val="00524D65"/>
    <w:rsid w:val="00525B16"/>
    <w:rsid w:val="00533D04"/>
    <w:rsid w:val="00534804"/>
    <w:rsid w:val="00534BDF"/>
    <w:rsid w:val="005354EA"/>
    <w:rsid w:val="0053585F"/>
    <w:rsid w:val="00535EC4"/>
    <w:rsid w:val="00535ED9"/>
    <w:rsid w:val="0053692B"/>
    <w:rsid w:val="00540D27"/>
    <w:rsid w:val="00541853"/>
    <w:rsid w:val="00543BDA"/>
    <w:rsid w:val="005441CC"/>
    <w:rsid w:val="005479DA"/>
    <w:rsid w:val="00547BCC"/>
    <w:rsid w:val="0055013B"/>
    <w:rsid w:val="00551F6F"/>
    <w:rsid w:val="00555044"/>
    <w:rsid w:val="00561475"/>
    <w:rsid w:val="0056487B"/>
    <w:rsid w:val="00564FB9"/>
    <w:rsid w:val="00573D9E"/>
    <w:rsid w:val="005801E3"/>
    <w:rsid w:val="0058140E"/>
    <w:rsid w:val="00581802"/>
    <w:rsid w:val="005836A8"/>
    <w:rsid w:val="0058409C"/>
    <w:rsid w:val="00584262"/>
    <w:rsid w:val="00586630"/>
    <w:rsid w:val="00587ADD"/>
    <w:rsid w:val="00591E27"/>
    <w:rsid w:val="00592B10"/>
    <w:rsid w:val="00593764"/>
    <w:rsid w:val="00596160"/>
    <w:rsid w:val="005966E2"/>
    <w:rsid w:val="00597007"/>
    <w:rsid w:val="005A045C"/>
    <w:rsid w:val="005A0966"/>
    <w:rsid w:val="005A11B7"/>
    <w:rsid w:val="005A260B"/>
    <w:rsid w:val="005A4A1B"/>
    <w:rsid w:val="005A7830"/>
    <w:rsid w:val="005A7AE3"/>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07D5C"/>
    <w:rsid w:val="00612952"/>
    <w:rsid w:val="0061340D"/>
    <w:rsid w:val="00614CC1"/>
    <w:rsid w:val="00615A9D"/>
    <w:rsid w:val="00617387"/>
    <w:rsid w:val="006205D6"/>
    <w:rsid w:val="006252D8"/>
    <w:rsid w:val="006259BC"/>
    <w:rsid w:val="0062636B"/>
    <w:rsid w:val="00631601"/>
    <w:rsid w:val="00632182"/>
    <w:rsid w:val="00632AE0"/>
    <w:rsid w:val="00633C17"/>
    <w:rsid w:val="00634D9E"/>
    <w:rsid w:val="00636E3E"/>
    <w:rsid w:val="006379F7"/>
    <w:rsid w:val="00637E4D"/>
    <w:rsid w:val="00640620"/>
    <w:rsid w:val="00641A1F"/>
    <w:rsid w:val="00645904"/>
    <w:rsid w:val="006518EC"/>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A8F"/>
    <w:rsid w:val="006850CD"/>
    <w:rsid w:val="00685AAB"/>
    <w:rsid w:val="00695D22"/>
    <w:rsid w:val="006A07AA"/>
    <w:rsid w:val="006A2354"/>
    <w:rsid w:val="006A25E5"/>
    <w:rsid w:val="006A2B46"/>
    <w:rsid w:val="006A336D"/>
    <w:rsid w:val="006A37B9"/>
    <w:rsid w:val="006B2672"/>
    <w:rsid w:val="006B2D4F"/>
    <w:rsid w:val="006B5458"/>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6357"/>
    <w:rsid w:val="006F03A8"/>
    <w:rsid w:val="006F2ACA"/>
    <w:rsid w:val="006F2ADC"/>
    <w:rsid w:val="006F2BFE"/>
    <w:rsid w:val="006F31E9"/>
    <w:rsid w:val="006F5480"/>
    <w:rsid w:val="006F6284"/>
    <w:rsid w:val="007002C5"/>
    <w:rsid w:val="007005D1"/>
    <w:rsid w:val="00704387"/>
    <w:rsid w:val="00707669"/>
    <w:rsid w:val="0071002C"/>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73E"/>
    <w:rsid w:val="007501A8"/>
    <w:rsid w:val="00750D61"/>
    <w:rsid w:val="00750EE1"/>
    <w:rsid w:val="00751B37"/>
    <w:rsid w:val="0075220D"/>
    <w:rsid w:val="00752B4D"/>
    <w:rsid w:val="00755402"/>
    <w:rsid w:val="00756B26"/>
    <w:rsid w:val="00756EDF"/>
    <w:rsid w:val="007600E3"/>
    <w:rsid w:val="007608B4"/>
    <w:rsid w:val="00765C43"/>
    <w:rsid w:val="00765EFB"/>
    <w:rsid w:val="007671CA"/>
    <w:rsid w:val="00767C61"/>
    <w:rsid w:val="0077008A"/>
    <w:rsid w:val="00773C1F"/>
    <w:rsid w:val="00774DA4"/>
    <w:rsid w:val="00776599"/>
    <w:rsid w:val="0078114B"/>
    <w:rsid w:val="00781DD2"/>
    <w:rsid w:val="00783ECF"/>
    <w:rsid w:val="0078413A"/>
    <w:rsid w:val="00786253"/>
    <w:rsid w:val="007959E8"/>
    <w:rsid w:val="00795E9C"/>
    <w:rsid w:val="00796D71"/>
    <w:rsid w:val="007A0521"/>
    <w:rsid w:val="007A2E12"/>
    <w:rsid w:val="007A3475"/>
    <w:rsid w:val="007A41C8"/>
    <w:rsid w:val="007A54CE"/>
    <w:rsid w:val="007A6FD9"/>
    <w:rsid w:val="007A7522"/>
    <w:rsid w:val="007A7FFA"/>
    <w:rsid w:val="007B04EB"/>
    <w:rsid w:val="007B0D4F"/>
    <w:rsid w:val="007B39AB"/>
    <w:rsid w:val="007B5A3D"/>
    <w:rsid w:val="007B5B95"/>
    <w:rsid w:val="007B68EA"/>
    <w:rsid w:val="007B7453"/>
    <w:rsid w:val="007C079A"/>
    <w:rsid w:val="007C1E8B"/>
    <w:rsid w:val="007C2D89"/>
    <w:rsid w:val="007C4593"/>
    <w:rsid w:val="007C5309"/>
    <w:rsid w:val="007C6069"/>
    <w:rsid w:val="007D06C4"/>
    <w:rsid w:val="007D1352"/>
    <w:rsid w:val="007D2494"/>
    <w:rsid w:val="007D2508"/>
    <w:rsid w:val="007D346A"/>
    <w:rsid w:val="007D6518"/>
    <w:rsid w:val="007D76BD"/>
    <w:rsid w:val="007E0BF1"/>
    <w:rsid w:val="007F0ED8"/>
    <w:rsid w:val="007F0F63"/>
    <w:rsid w:val="007F75CE"/>
    <w:rsid w:val="00800131"/>
    <w:rsid w:val="008013A4"/>
    <w:rsid w:val="008027CE"/>
    <w:rsid w:val="00802F42"/>
    <w:rsid w:val="00804383"/>
    <w:rsid w:val="00804BB7"/>
    <w:rsid w:val="00804C18"/>
    <w:rsid w:val="00804D41"/>
    <w:rsid w:val="00810257"/>
    <w:rsid w:val="008104F5"/>
    <w:rsid w:val="00811072"/>
    <w:rsid w:val="00811369"/>
    <w:rsid w:val="00814D15"/>
    <w:rsid w:val="00815419"/>
    <w:rsid w:val="008163C8"/>
    <w:rsid w:val="008164A1"/>
    <w:rsid w:val="00817325"/>
    <w:rsid w:val="0082047B"/>
    <w:rsid w:val="008209E6"/>
    <w:rsid w:val="00823303"/>
    <w:rsid w:val="008233B2"/>
    <w:rsid w:val="00823A9F"/>
    <w:rsid w:val="00823C85"/>
    <w:rsid w:val="00825138"/>
    <w:rsid w:val="008269DD"/>
    <w:rsid w:val="00830621"/>
    <w:rsid w:val="0083348C"/>
    <w:rsid w:val="008354A2"/>
    <w:rsid w:val="008373D3"/>
    <w:rsid w:val="00840617"/>
    <w:rsid w:val="00840F84"/>
    <w:rsid w:val="00842A47"/>
    <w:rsid w:val="00843C13"/>
    <w:rsid w:val="008454F8"/>
    <w:rsid w:val="0085173A"/>
    <w:rsid w:val="008549C4"/>
    <w:rsid w:val="00856316"/>
    <w:rsid w:val="008603CE"/>
    <w:rsid w:val="008620FC"/>
    <w:rsid w:val="008627A5"/>
    <w:rsid w:val="00863E05"/>
    <w:rsid w:val="00865ACA"/>
    <w:rsid w:val="00865D28"/>
    <w:rsid w:val="00865F85"/>
    <w:rsid w:val="00867C10"/>
    <w:rsid w:val="00870439"/>
    <w:rsid w:val="00870DA1"/>
    <w:rsid w:val="00876B2B"/>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6FE"/>
    <w:rsid w:val="008E1B3E"/>
    <w:rsid w:val="008E2319"/>
    <w:rsid w:val="008E4BB6"/>
    <w:rsid w:val="008E5518"/>
    <w:rsid w:val="008E6A84"/>
    <w:rsid w:val="008E7615"/>
    <w:rsid w:val="008F0CDC"/>
    <w:rsid w:val="008F17A3"/>
    <w:rsid w:val="008F1ED3"/>
    <w:rsid w:val="008F23A5"/>
    <w:rsid w:val="008F4C29"/>
    <w:rsid w:val="008F70BD"/>
    <w:rsid w:val="008F788F"/>
    <w:rsid w:val="008F7EA2"/>
    <w:rsid w:val="00902722"/>
    <w:rsid w:val="009027BC"/>
    <w:rsid w:val="00905ED2"/>
    <w:rsid w:val="009062E6"/>
    <w:rsid w:val="00911BE5"/>
    <w:rsid w:val="00913CA9"/>
    <w:rsid w:val="009145AE"/>
    <w:rsid w:val="009146CE"/>
    <w:rsid w:val="00914CA7"/>
    <w:rsid w:val="00915C3E"/>
    <w:rsid w:val="009161A8"/>
    <w:rsid w:val="00917C85"/>
    <w:rsid w:val="00920277"/>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12DB"/>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57EE"/>
    <w:rsid w:val="009D112C"/>
    <w:rsid w:val="009D47FA"/>
    <w:rsid w:val="009D4C5B"/>
    <w:rsid w:val="009D50D2"/>
    <w:rsid w:val="009D6BCA"/>
    <w:rsid w:val="009E0F62"/>
    <w:rsid w:val="009E273C"/>
    <w:rsid w:val="009E4A58"/>
    <w:rsid w:val="009E5A2D"/>
    <w:rsid w:val="009E5A31"/>
    <w:rsid w:val="009E5AB2"/>
    <w:rsid w:val="009E6219"/>
    <w:rsid w:val="009F03B3"/>
    <w:rsid w:val="00A0096C"/>
    <w:rsid w:val="00A01757"/>
    <w:rsid w:val="00A028C0"/>
    <w:rsid w:val="00A02BAE"/>
    <w:rsid w:val="00A03DBE"/>
    <w:rsid w:val="00A06A6B"/>
    <w:rsid w:val="00A07E47"/>
    <w:rsid w:val="00A129D0"/>
    <w:rsid w:val="00A12C33"/>
    <w:rsid w:val="00A138BA"/>
    <w:rsid w:val="00A14C8E"/>
    <w:rsid w:val="00A153D9"/>
    <w:rsid w:val="00A15F09"/>
    <w:rsid w:val="00A169B6"/>
    <w:rsid w:val="00A2271D"/>
    <w:rsid w:val="00A23473"/>
    <w:rsid w:val="00A237D5"/>
    <w:rsid w:val="00A27A28"/>
    <w:rsid w:val="00A30EFC"/>
    <w:rsid w:val="00A31984"/>
    <w:rsid w:val="00A32176"/>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07BF"/>
    <w:rsid w:val="00A50E44"/>
    <w:rsid w:val="00A55BD6"/>
    <w:rsid w:val="00A55D50"/>
    <w:rsid w:val="00A57142"/>
    <w:rsid w:val="00A6215B"/>
    <w:rsid w:val="00A648CD"/>
    <w:rsid w:val="00A6537A"/>
    <w:rsid w:val="00A670BE"/>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1365"/>
    <w:rsid w:val="00AB41D5"/>
    <w:rsid w:val="00AB5BD7"/>
    <w:rsid w:val="00AB6309"/>
    <w:rsid w:val="00AB6C5F"/>
    <w:rsid w:val="00AB7129"/>
    <w:rsid w:val="00AC27A6"/>
    <w:rsid w:val="00AC30F7"/>
    <w:rsid w:val="00AC3A5A"/>
    <w:rsid w:val="00AC4D95"/>
    <w:rsid w:val="00AC5DF4"/>
    <w:rsid w:val="00AC76FA"/>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555D"/>
    <w:rsid w:val="00B049AF"/>
    <w:rsid w:val="00B061B4"/>
    <w:rsid w:val="00B07242"/>
    <w:rsid w:val="00B10534"/>
    <w:rsid w:val="00B113DB"/>
    <w:rsid w:val="00B11D8A"/>
    <w:rsid w:val="00B12981"/>
    <w:rsid w:val="00B147DD"/>
    <w:rsid w:val="00B156FD"/>
    <w:rsid w:val="00B21F61"/>
    <w:rsid w:val="00B23465"/>
    <w:rsid w:val="00B261F1"/>
    <w:rsid w:val="00B265BC"/>
    <w:rsid w:val="00B26C64"/>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1C09"/>
    <w:rsid w:val="00B827A6"/>
    <w:rsid w:val="00B831CE"/>
    <w:rsid w:val="00B86677"/>
    <w:rsid w:val="00B87131"/>
    <w:rsid w:val="00B9085D"/>
    <w:rsid w:val="00B92A58"/>
    <w:rsid w:val="00B939B1"/>
    <w:rsid w:val="00B96D40"/>
    <w:rsid w:val="00B97386"/>
    <w:rsid w:val="00BA25B0"/>
    <w:rsid w:val="00BA263B"/>
    <w:rsid w:val="00BA42B2"/>
    <w:rsid w:val="00BA58D4"/>
    <w:rsid w:val="00BA5B9E"/>
    <w:rsid w:val="00BA7C9A"/>
    <w:rsid w:val="00BB203B"/>
    <w:rsid w:val="00BB5F8F"/>
    <w:rsid w:val="00BB657A"/>
    <w:rsid w:val="00BC0CE1"/>
    <w:rsid w:val="00BC1A4E"/>
    <w:rsid w:val="00BC4790"/>
    <w:rsid w:val="00BC5DC7"/>
    <w:rsid w:val="00BC6B8B"/>
    <w:rsid w:val="00BC73D8"/>
    <w:rsid w:val="00BD52D7"/>
    <w:rsid w:val="00BD5AD2"/>
    <w:rsid w:val="00BE22F3"/>
    <w:rsid w:val="00BE2D7E"/>
    <w:rsid w:val="00BE5B52"/>
    <w:rsid w:val="00BE7B8D"/>
    <w:rsid w:val="00BF0993"/>
    <w:rsid w:val="00BF10A9"/>
    <w:rsid w:val="00BF1703"/>
    <w:rsid w:val="00BF231C"/>
    <w:rsid w:val="00BF51E5"/>
    <w:rsid w:val="00BF74A6"/>
    <w:rsid w:val="00C013AD"/>
    <w:rsid w:val="00C04904"/>
    <w:rsid w:val="00C056B3"/>
    <w:rsid w:val="00C07D71"/>
    <w:rsid w:val="00C103E5"/>
    <w:rsid w:val="00C13319"/>
    <w:rsid w:val="00C13EE9"/>
    <w:rsid w:val="00C13F03"/>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6CC7"/>
    <w:rsid w:val="00C71372"/>
    <w:rsid w:val="00C72410"/>
    <w:rsid w:val="00C7287F"/>
    <w:rsid w:val="00C80CB8"/>
    <w:rsid w:val="00C819F8"/>
    <w:rsid w:val="00C8248C"/>
    <w:rsid w:val="00C84E33"/>
    <w:rsid w:val="00C86D6F"/>
    <w:rsid w:val="00C905FC"/>
    <w:rsid w:val="00C91BC8"/>
    <w:rsid w:val="00C92D03"/>
    <w:rsid w:val="00C92EF7"/>
    <w:rsid w:val="00C9319C"/>
    <w:rsid w:val="00C9435D"/>
    <w:rsid w:val="00C94DF2"/>
    <w:rsid w:val="00C96741"/>
    <w:rsid w:val="00CA2D1B"/>
    <w:rsid w:val="00CA375D"/>
    <w:rsid w:val="00CA4179"/>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CB6"/>
    <w:rsid w:val="00CC5DE6"/>
    <w:rsid w:val="00CC6E4E"/>
    <w:rsid w:val="00CC6FE8"/>
    <w:rsid w:val="00CC7202"/>
    <w:rsid w:val="00CD1006"/>
    <w:rsid w:val="00CD2808"/>
    <w:rsid w:val="00CD28BF"/>
    <w:rsid w:val="00CD3E87"/>
    <w:rsid w:val="00CD4092"/>
    <w:rsid w:val="00CD4A20"/>
    <w:rsid w:val="00CD50A1"/>
    <w:rsid w:val="00CD519E"/>
    <w:rsid w:val="00CD561D"/>
    <w:rsid w:val="00CE0C4F"/>
    <w:rsid w:val="00CE30EA"/>
    <w:rsid w:val="00CF048A"/>
    <w:rsid w:val="00CF155A"/>
    <w:rsid w:val="00CF2947"/>
    <w:rsid w:val="00CF686F"/>
    <w:rsid w:val="00CF6E60"/>
    <w:rsid w:val="00CF7BCA"/>
    <w:rsid w:val="00D0083C"/>
    <w:rsid w:val="00D008FD"/>
    <w:rsid w:val="00D0321C"/>
    <w:rsid w:val="00D035EC"/>
    <w:rsid w:val="00D036AF"/>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82E"/>
    <w:rsid w:val="00D71F25"/>
    <w:rsid w:val="00D72A9C"/>
    <w:rsid w:val="00D77031"/>
    <w:rsid w:val="00D802DA"/>
    <w:rsid w:val="00D833CD"/>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0F87"/>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4CA7"/>
    <w:rsid w:val="00E06404"/>
    <w:rsid w:val="00E065D2"/>
    <w:rsid w:val="00E11A85"/>
    <w:rsid w:val="00E12495"/>
    <w:rsid w:val="00E15CCD"/>
    <w:rsid w:val="00E202EF"/>
    <w:rsid w:val="00E20943"/>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7B3"/>
    <w:rsid w:val="00E62FF9"/>
    <w:rsid w:val="00E635D6"/>
    <w:rsid w:val="00E639BC"/>
    <w:rsid w:val="00E664CC"/>
    <w:rsid w:val="00E70388"/>
    <w:rsid w:val="00E70F92"/>
    <w:rsid w:val="00E74C54"/>
    <w:rsid w:val="00E77A03"/>
    <w:rsid w:val="00E822E8"/>
    <w:rsid w:val="00E82554"/>
    <w:rsid w:val="00E82606"/>
    <w:rsid w:val="00E83052"/>
    <w:rsid w:val="00E846C8"/>
    <w:rsid w:val="00E84957"/>
    <w:rsid w:val="00E84A55"/>
    <w:rsid w:val="00E85BFF"/>
    <w:rsid w:val="00E90391"/>
    <w:rsid w:val="00E906C2"/>
    <w:rsid w:val="00E90A7F"/>
    <w:rsid w:val="00E9311F"/>
    <w:rsid w:val="00E934D1"/>
    <w:rsid w:val="00E94AF0"/>
    <w:rsid w:val="00E95D13"/>
    <w:rsid w:val="00E95DD3"/>
    <w:rsid w:val="00E969D5"/>
    <w:rsid w:val="00EA58D1"/>
    <w:rsid w:val="00EA61BC"/>
    <w:rsid w:val="00EA681A"/>
    <w:rsid w:val="00EA735B"/>
    <w:rsid w:val="00EB17DE"/>
    <w:rsid w:val="00EB1E69"/>
    <w:rsid w:val="00EB2086"/>
    <w:rsid w:val="00EB3D7D"/>
    <w:rsid w:val="00EB5EDF"/>
    <w:rsid w:val="00EB60FE"/>
    <w:rsid w:val="00EB74DB"/>
    <w:rsid w:val="00EB77B5"/>
    <w:rsid w:val="00EC5359"/>
    <w:rsid w:val="00EC562A"/>
    <w:rsid w:val="00ED067A"/>
    <w:rsid w:val="00ED2B50"/>
    <w:rsid w:val="00EE0350"/>
    <w:rsid w:val="00EE0719"/>
    <w:rsid w:val="00EE0E80"/>
    <w:rsid w:val="00EE54A6"/>
    <w:rsid w:val="00EE613F"/>
    <w:rsid w:val="00EE7295"/>
    <w:rsid w:val="00EE7869"/>
    <w:rsid w:val="00EF054A"/>
    <w:rsid w:val="00EF25D8"/>
    <w:rsid w:val="00EF2E57"/>
    <w:rsid w:val="00EF3235"/>
    <w:rsid w:val="00EF7E72"/>
    <w:rsid w:val="00F06D37"/>
    <w:rsid w:val="00F07B9D"/>
    <w:rsid w:val="00F11551"/>
    <w:rsid w:val="00F11586"/>
    <w:rsid w:val="00F1183B"/>
    <w:rsid w:val="00F11C9F"/>
    <w:rsid w:val="00F12263"/>
    <w:rsid w:val="00F1409D"/>
    <w:rsid w:val="00F14214"/>
    <w:rsid w:val="00F157A9"/>
    <w:rsid w:val="00F25BB6"/>
    <w:rsid w:val="00F26B7E"/>
    <w:rsid w:val="00F27A3B"/>
    <w:rsid w:val="00F33817"/>
    <w:rsid w:val="00F35842"/>
    <w:rsid w:val="00F3710D"/>
    <w:rsid w:val="00F420D5"/>
    <w:rsid w:val="00F431BA"/>
    <w:rsid w:val="00F451EA"/>
    <w:rsid w:val="00F45447"/>
    <w:rsid w:val="00F456C6"/>
    <w:rsid w:val="00F4577B"/>
    <w:rsid w:val="00F46496"/>
    <w:rsid w:val="00F474D0"/>
    <w:rsid w:val="00F50179"/>
    <w:rsid w:val="00F515EE"/>
    <w:rsid w:val="00F56511"/>
    <w:rsid w:val="00F566EB"/>
    <w:rsid w:val="00F56844"/>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12E8"/>
    <w:rsid w:val="00FA4DAC"/>
    <w:rsid w:val="00FA662D"/>
    <w:rsid w:val="00FA73B1"/>
    <w:rsid w:val="00FB0CB9"/>
    <w:rsid w:val="00FB231D"/>
    <w:rsid w:val="00FB45F1"/>
    <w:rsid w:val="00FB4A72"/>
    <w:rsid w:val="00FB54E8"/>
    <w:rsid w:val="00FB7054"/>
    <w:rsid w:val="00FC17B7"/>
    <w:rsid w:val="00FC2CB7"/>
    <w:rsid w:val="00FC4090"/>
    <w:rsid w:val="00FC55B4"/>
    <w:rsid w:val="00FC7494"/>
    <w:rsid w:val="00FD00E6"/>
    <w:rsid w:val="00FD09A1"/>
    <w:rsid w:val="00FD2A7C"/>
    <w:rsid w:val="00FD59EB"/>
    <w:rsid w:val="00FD7299"/>
    <w:rsid w:val="00FE1FBE"/>
    <w:rsid w:val="00FE20EB"/>
    <w:rsid w:val="00FE3901"/>
    <w:rsid w:val="00FE39D3"/>
    <w:rsid w:val="00FE4BCE"/>
    <w:rsid w:val="00FE54AE"/>
    <w:rsid w:val="00FE576A"/>
    <w:rsid w:val="00FE6F95"/>
    <w:rsid w:val="00FE7E79"/>
    <w:rsid w:val="00FF15A5"/>
    <w:rsid w:val="00FF3E7D"/>
    <w:rsid w:val="00FF5B99"/>
    <w:rsid w:val="00FF730C"/>
    <w:rsid w:val="00FF73F4"/>
    <w:rsid w:val="00FF7CE4"/>
    <w:rsid w:val="00FF7E39"/>
    <w:rsid w:val="035C68C9"/>
    <w:rsid w:val="03885A8E"/>
    <w:rsid w:val="04473600"/>
    <w:rsid w:val="05BC3E47"/>
    <w:rsid w:val="05C94876"/>
    <w:rsid w:val="06F16842"/>
    <w:rsid w:val="08DF203A"/>
    <w:rsid w:val="0940081A"/>
    <w:rsid w:val="0A827C3F"/>
    <w:rsid w:val="0B116A10"/>
    <w:rsid w:val="0C341DDC"/>
    <w:rsid w:val="0CE25AC2"/>
    <w:rsid w:val="0FC91E59"/>
    <w:rsid w:val="13213A8A"/>
    <w:rsid w:val="15E9301E"/>
    <w:rsid w:val="166554B1"/>
    <w:rsid w:val="17E160FD"/>
    <w:rsid w:val="18C15FEC"/>
    <w:rsid w:val="1D282D9E"/>
    <w:rsid w:val="1DAC7A23"/>
    <w:rsid w:val="1ED27EB8"/>
    <w:rsid w:val="215064DE"/>
    <w:rsid w:val="22A824A1"/>
    <w:rsid w:val="238C2E5C"/>
    <w:rsid w:val="23A16047"/>
    <w:rsid w:val="23FF584D"/>
    <w:rsid w:val="255851C6"/>
    <w:rsid w:val="26AF6C09"/>
    <w:rsid w:val="26C4461A"/>
    <w:rsid w:val="28763319"/>
    <w:rsid w:val="28A377A5"/>
    <w:rsid w:val="297A2B93"/>
    <w:rsid w:val="2B823197"/>
    <w:rsid w:val="2EF263D6"/>
    <w:rsid w:val="2F5D7177"/>
    <w:rsid w:val="304A5AD5"/>
    <w:rsid w:val="31E25E0E"/>
    <w:rsid w:val="33323549"/>
    <w:rsid w:val="33607132"/>
    <w:rsid w:val="356A77EF"/>
    <w:rsid w:val="36350700"/>
    <w:rsid w:val="37FE07A1"/>
    <w:rsid w:val="38993E43"/>
    <w:rsid w:val="39642E28"/>
    <w:rsid w:val="3CA56B0C"/>
    <w:rsid w:val="3CB8472C"/>
    <w:rsid w:val="3CF71BE8"/>
    <w:rsid w:val="3D376222"/>
    <w:rsid w:val="41AF3FB7"/>
    <w:rsid w:val="41D17F84"/>
    <w:rsid w:val="42D61E2D"/>
    <w:rsid w:val="465C5383"/>
    <w:rsid w:val="48C1181D"/>
    <w:rsid w:val="4B6A7C20"/>
    <w:rsid w:val="4C865EF7"/>
    <w:rsid w:val="4DB03590"/>
    <w:rsid w:val="4F4E6307"/>
    <w:rsid w:val="502D711A"/>
    <w:rsid w:val="504428BE"/>
    <w:rsid w:val="52127A76"/>
    <w:rsid w:val="54F478A3"/>
    <w:rsid w:val="55764148"/>
    <w:rsid w:val="57C313F3"/>
    <w:rsid w:val="58252630"/>
    <w:rsid w:val="59BB5797"/>
    <w:rsid w:val="5D4138BE"/>
    <w:rsid w:val="5DBB55A0"/>
    <w:rsid w:val="5E4529DC"/>
    <w:rsid w:val="5E5D506F"/>
    <w:rsid w:val="60121E89"/>
    <w:rsid w:val="66616A58"/>
    <w:rsid w:val="670F407F"/>
    <w:rsid w:val="67AA3C86"/>
    <w:rsid w:val="67B33A43"/>
    <w:rsid w:val="69F267A5"/>
    <w:rsid w:val="6B9E7720"/>
    <w:rsid w:val="6F9D4000"/>
    <w:rsid w:val="70D46FAB"/>
    <w:rsid w:val="71B06F3E"/>
    <w:rsid w:val="729B3BDC"/>
    <w:rsid w:val="753E0F8C"/>
    <w:rsid w:val="75AC4433"/>
    <w:rsid w:val="76AB7FEE"/>
    <w:rsid w:val="79FE7748"/>
    <w:rsid w:val="7B083DED"/>
    <w:rsid w:val="7C297DB3"/>
    <w:rsid w:val="7C9A4CDC"/>
    <w:rsid w:val="7FEB1D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字符"/>
    <w:link w:val="2"/>
    <w:autoRedefine/>
    <w:qFormat/>
    <w:uiPriority w:val="0"/>
    <w:rPr>
      <w:b/>
      <w:bCs/>
      <w:kern w:val="44"/>
      <w:sz w:val="44"/>
      <w:szCs w:val="44"/>
    </w:rPr>
  </w:style>
  <w:style w:type="character" w:customStyle="1" w:styleId="35">
    <w:name w:val="标题 2 字符"/>
    <w:link w:val="3"/>
    <w:autoRedefine/>
    <w:qFormat/>
    <w:uiPriority w:val="0"/>
    <w:rPr>
      <w:rFonts w:ascii="Arial" w:hAnsi="Arial" w:eastAsia="黑体"/>
      <w:b/>
      <w:bCs/>
      <w:kern w:val="2"/>
      <w:sz w:val="32"/>
      <w:szCs w:val="32"/>
    </w:rPr>
  </w:style>
  <w:style w:type="character" w:customStyle="1" w:styleId="36">
    <w:name w:val="标题 3 字符"/>
    <w:link w:val="4"/>
    <w:autoRedefine/>
    <w:qFormat/>
    <w:uiPriority w:val="0"/>
    <w:rPr>
      <w:b/>
      <w:bCs/>
      <w:kern w:val="2"/>
      <w:sz w:val="32"/>
      <w:szCs w:val="32"/>
    </w:rPr>
  </w:style>
  <w:style w:type="character" w:customStyle="1" w:styleId="37">
    <w:name w:val="标题 4 字符"/>
    <w:link w:val="5"/>
    <w:autoRedefine/>
    <w:qFormat/>
    <w:uiPriority w:val="0"/>
    <w:rPr>
      <w:rFonts w:ascii="Arial" w:hAnsi="Arial" w:eastAsia="黑体"/>
      <w:b/>
      <w:bCs/>
      <w:kern w:val="2"/>
      <w:sz w:val="28"/>
      <w:szCs w:val="28"/>
    </w:rPr>
  </w:style>
  <w:style w:type="character" w:customStyle="1" w:styleId="38">
    <w:name w:val="标题 5 字符"/>
    <w:link w:val="6"/>
    <w:autoRedefine/>
    <w:qFormat/>
    <w:uiPriority w:val="0"/>
    <w:rPr>
      <w:b/>
      <w:bCs/>
      <w:kern w:val="2"/>
      <w:sz w:val="28"/>
      <w:szCs w:val="28"/>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autoRedefine/>
    <w:qFormat/>
    <w:uiPriority w:val="0"/>
    <w:rPr>
      <w:b/>
      <w:bCs/>
      <w:kern w:val="2"/>
      <w:sz w:val="24"/>
      <w:szCs w:val="24"/>
    </w:rPr>
  </w:style>
  <w:style w:type="character" w:customStyle="1" w:styleId="41">
    <w:name w:val="标题 8 字符"/>
    <w:link w:val="9"/>
    <w:autoRedefine/>
    <w:qFormat/>
    <w:uiPriority w:val="0"/>
    <w:rPr>
      <w:rFonts w:ascii="Arial" w:hAnsi="Arial" w:eastAsia="黑体"/>
      <w:kern w:val="2"/>
      <w:sz w:val="24"/>
      <w:szCs w:val="24"/>
    </w:rPr>
  </w:style>
  <w:style w:type="character" w:customStyle="1" w:styleId="42">
    <w:name w:val="标题 9 字符"/>
    <w:link w:val="10"/>
    <w:autoRedefine/>
    <w:qFormat/>
    <w:uiPriority w:val="0"/>
    <w:rPr>
      <w:rFonts w:ascii="Arial" w:hAnsi="Arial" w:eastAsia="黑体"/>
      <w:kern w:val="2"/>
      <w:sz w:val="21"/>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autoRedefine/>
    <w:qFormat/>
    <w:uiPriority w:val="99"/>
    <w:rPr>
      <w:rFonts w:ascii="宋体"/>
      <w:kern w:val="2"/>
      <w:sz w:val="18"/>
      <w:szCs w:val="18"/>
    </w:rPr>
  </w:style>
  <w:style w:type="character" w:customStyle="1" w:styleId="45">
    <w:name w:val="批注框文本 字符"/>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字符"/>
    <w:link w:val="46"/>
    <w:autoRedefine/>
    <w:qFormat/>
    <w:uiPriority w:val="29"/>
    <w:rPr>
      <w:i/>
      <w:iCs/>
      <w:color w:val="000000"/>
      <w:kern w:val="2"/>
      <w:sz w:val="21"/>
      <w:szCs w:val="21"/>
    </w:rPr>
  </w:style>
  <w:style w:type="character" w:customStyle="1" w:styleId="48">
    <w:name w:val="标题 字符"/>
    <w:link w:val="25"/>
    <w:autoRedefine/>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glossaryDocument" Target="glossary/document.xml"/><Relationship Id="rId32" Type="http://schemas.openxmlformats.org/officeDocument/2006/relationships/fontTable" Target="fontTable.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2.jpeg"/><Relationship Id="rId28" Type="http://schemas.openxmlformats.org/officeDocument/2006/relationships/image" Target="media/image1.tiff"/><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C6AE642631F43C2A05B75463ABCC22D"/>
        <w:style w:val=""/>
        <w:category>
          <w:name w:val="常规"/>
          <w:gallery w:val="placeholder"/>
        </w:category>
        <w:types>
          <w:type w:val="bbPlcHdr"/>
        </w:types>
        <w:behaviors>
          <w:behavior w:val="content"/>
        </w:behaviors>
        <w:description w:val=""/>
        <w:guid w:val="{4D2BB0A5-0083-4A4D-BF83-8AFFC3119C01}"/>
      </w:docPartPr>
      <w:docPartBody>
        <w:p w14:paraId="2D1335AA">
          <w:pPr>
            <w:pStyle w:val="5"/>
          </w:pPr>
          <w:r>
            <w:rPr>
              <w:rStyle w:val="4"/>
              <w:rFonts w:hint="eastAsia"/>
            </w:rPr>
            <w:t>单击或点击此处输入文字。</w:t>
          </w:r>
        </w:p>
      </w:docPartBody>
    </w:docPart>
    <w:docPart>
      <w:docPartPr>
        <w:name w:val="137AA3FA9D474496A1507ABA1C679877"/>
        <w:style w:val=""/>
        <w:category>
          <w:name w:val="常规"/>
          <w:gallery w:val="placeholder"/>
        </w:category>
        <w:types>
          <w:type w:val="bbPlcHdr"/>
        </w:types>
        <w:behaviors>
          <w:behavior w:val="content"/>
        </w:behaviors>
        <w:description w:val=""/>
        <w:guid w:val="{548502B1-8616-4AE9-940B-195FEF2855FD}"/>
      </w:docPartPr>
      <w:docPartBody>
        <w:p w14:paraId="0BD18F1F">
          <w:pPr>
            <w:pStyle w:val="6"/>
          </w:pPr>
          <w:r>
            <w:rPr>
              <w:rStyle w:val="4"/>
              <w:rFonts w:hint="eastAsia"/>
            </w:rPr>
            <w:t>选择一项。</w:t>
          </w:r>
        </w:p>
      </w:docPartBody>
    </w:docPart>
    <w:docPart>
      <w:docPartPr>
        <w:name w:val="{0499f0cd-06f7-4fea-9408-b285485ed92a}"/>
        <w:style w:val=""/>
        <w:category>
          <w:name w:val="常规"/>
          <w:gallery w:val="placeholder"/>
        </w:category>
        <w:types>
          <w:type w:val="bbPlcHdr"/>
        </w:types>
        <w:behaviors>
          <w:behavior w:val="content"/>
        </w:behaviors>
        <w:description w:val=""/>
        <w:guid w:val="{0499f0cd-06f7-4fea-9408-b285485ed92a}"/>
      </w:docPartPr>
      <w:docPartBody>
        <w:p w14:paraId="51282057">
          <w:pPr>
            <w:pStyle w:val="8"/>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9FE"/>
    <w:rsid w:val="000069B7"/>
    <w:rsid w:val="00161BBB"/>
    <w:rsid w:val="002D0A7B"/>
    <w:rsid w:val="003706D0"/>
    <w:rsid w:val="00417910"/>
    <w:rsid w:val="00492195"/>
    <w:rsid w:val="00494A38"/>
    <w:rsid w:val="005434CC"/>
    <w:rsid w:val="0057429F"/>
    <w:rsid w:val="00620FFE"/>
    <w:rsid w:val="00775C7A"/>
    <w:rsid w:val="00796D71"/>
    <w:rsid w:val="008354A2"/>
    <w:rsid w:val="00876B2B"/>
    <w:rsid w:val="009709FE"/>
    <w:rsid w:val="00991523"/>
    <w:rsid w:val="009C57EE"/>
    <w:rsid w:val="00A32176"/>
    <w:rsid w:val="00AB1365"/>
    <w:rsid w:val="00BE3385"/>
    <w:rsid w:val="00CC5CB6"/>
    <w:rsid w:val="00DE296C"/>
    <w:rsid w:val="00E73FB4"/>
    <w:rsid w:val="00EF4410"/>
    <w:rsid w:val="00F115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2C6AE642631F43C2A05B75463ABCC22D"/>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137AA3FA9D474496A1507ABA1C679877"/>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8ACCC68FD4E47C3903414238B72DC19"/>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BED56527D7C146EEA790D3C064F7525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12</Pages>
  <Words>5667</Words>
  <Characters>6030</Characters>
  <Lines>11</Lines>
  <Paragraphs>10</Paragraphs>
  <TotalTime>2</TotalTime>
  <ScaleCrop>false</ScaleCrop>
  <LinksUpToDate>false</LinksUpToDate>
  <CharactersWithSpaces>6162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2023-07-05T02:47:00Z</dcterms:created>
  <dc:creator>张莉</dc:creator>
  <dc:description>&lt;config cover="true" show_menu="true" version="1.0.0" doctype="SDKXY"&gt;_x000d_
&lt;/config&gt;</dc:description>
  <cp:lastModifiedBy>刘建</cp:lastModifiedBy>
  <cp:lastPrinted>2023-09-05T03:14:00Z</cp:lastPrinted>
  <dcterms:modified xsi:type="dcterms:W3CDTF">2025-03-17T02:32:17Z</dcterms:modified>
  <dc:title>地方标准</dc:title>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2052-12.1.0.20305</vt:lpwstr>
  </property>
  <property fmtid="{D5CDD505-2E9C-101B-9397-08002B2CF9AE}" pid="16" name="ICV">
    <vt:lpwstr>62DB01E1217E46CBB40BD3827F898444_13</vt:lpwstr>
  </property>
  <property fmtid="{D5CDD505-2E9C-101B-9397-08002B2CF9AE}" pid="17" name="KSOTemplateDocerSaveRecord">
    <vt:lpwstr>eyJoZGlkIjoiMTk5MDRiYjU5NzJiZTYxYTEyMzI2ZTMwMDQ4OThhNGYiLCJ1c2VySWQiOiI0Mzc1MTMzNTAifQ==</vt:lpwstr>
  </property>
</Properties>
</file>