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16FF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D9A965F">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E878E6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14:paraId="5657E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39CC2C">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45AB1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3D6430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5FF7272">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3DD52AB2">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山</w:t>
      </w:r>
      <w:r>
        <w:rPr>
          <w:rFonts w:hint="eastAsia" w:ascii="黑体" w:eastAsia="黑体"/>
          <w:b w:val="0"/>
          <w:w w:val="100"/>
          <w:sz w:val="48"/>
        </w:rPr>
        <w:t>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5D3C462">
      <w:pPr>
        <w:pStyle w:val="195"/>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821B5A7">
      <w:pPr>
        <w:pStyle w:val="196"/>
        <w:framePr w:wrap="around"/>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042772C">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0E2B2F7">
      <w:pPr>
        <w:pStyle w:val="50"/>
        <w:framePr w:w="9639" w:h="6976" w:hRule="exact" w:hSpace="0" w:vSpace="0" w:wrap="around" w:hAnchor="page" w:y="6408"/>
        <w:jc w:val="center"/>
        <w:rPr>
          <w:rFonts w:hint="eastAsia" w:ascii="黑体" w:hAnsi="黑体" w:eastAsia="黑体"/>
          <w:b w:val="0"/>
          <w:bCs w:val="0"/>
          <w:w w:val="100"/>
        </w:rPr>
      </w:pPr>
    </w:p>
    <w:p w14:paraId="43F8A1B8">
      <w:pPr>
        <w:pStyle w:val="197"/>
        <w:framePr w:h="6974" w:hRule="exact" w:wrap="around" w:x="1419" w:anchorLock="1"/>
        <w:jc w:val="both"/>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 xml:space="preserve">   既有</w:t>
      </w:r>
      <w:r>
        <w:rPr>
          <w:rFonts w:hint="eastAsia"/>
        </w:rPr>
        <w:t>多层</w:t>
      </w:r>
      <w:r>
        <w:t>住宅加装电梯</w:t>
      </w:r>
      <w:r>
        <w:rPr>
          <w:rFonts w:hint="eastAsia"/>
        </w:rPr>
        <w:t>使用管理规范</w:t>
      </w:r>
    </w:p>
    <w:p w14:paraId="3460F094">
      <w:pPr>
        <w:pStyle w:val="197"/>
        <w:framePr w:h="6974" w:hRule="exact" w:wrap="around" w:x="1419" w:anchorLock="1"/>
        <w:rPr>
          <w:rFonts w:hint="eastAsia"/>
        </w:rPr>
      </w:pPr>
      <w:r>
        <w:fldChar w:fldCharType="end"/>
      </w:r>
      <w:bookmarkEnd w:id="9"/>
    </w:p>
    <w:p w14:paraId="05FA245A">
      <w:pPr>
        <w:framePr w:w="9639" w:h="6974" w:hRule="exact" w:wrap="around" w:vAnchor="page" w:hAnchor="page" w:x="1419" w:y="6408" w:anchorLock="1"/>
        <w:ind w:left="-1418"/>
      </w:pPr>
    </w:p>
    <w:p w14:paraId="68514837">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0"/>
    </w:p>
    <w:p w14:paraId="114C56AD">
      <w:pPr>
        <w:framePr w:w="9639" w:h="6974" w:hRule="exact" w:wrap="around" w:vAnchor="page" w:hAnchor="page" w:x="1419" w:y="6408" w:anchorLock="1"/>
        <w:spacing w:line="760" w:lineRule="exact"/>
        <w:ind w:left="-1418"/>
      </w:pPr>
    </w:p>
    <w:p w14:paraId="38A5E584">
      <w:pPr>
        <w:pStyle w:val="125"/>
        <w:framePr w:w="9639" w:h="6974" w:hRule="exact" w:wrap="around" w:vAnchor="page" w:hAnchor="page" w:x="1419" w:y="6408" w:anchorLock="1"/>
        <w:textAlignment w:val="bottom"/>
        <w:rPr>
          <w:rFonts w:eastAsia="黑体"/>
          <w:szCs w:val="28"/>
        </w:rPr>
      </w:pPr>
    </w:p>
    <w:p w14:paraId="4F62DB69">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E88188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6227EAF">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462F8E2">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3F2D2DC">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5903D2E">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987DFE8">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CA5AB15">
      <w:pPr>
        <w:pStyle w:val="91"/>
        <w:spacing w:after="468"/>
      </w:pPr>
      <w:bookmarkStart w:id="21" w:name="BookMark1"/>
      <w:bookmarkStart w:id="22" w:name="_Toc128743349"/>
      <w:r>
        <w:rPr>
          <w:rFonts w:hint="eastAsia"/>
          <w:spacing w:val="320"/>
        </w:rPr>
        <w:t>目</w:t>
      </w:r>
      <w:r>
        <w:rPr>
          <w:rFonts w:hint="eastAsia"/>
        </w:rPr>
        <w:t>次</w:t>
      </w:r>
    </w:p>
    <w:p w14:paraId="746AFF59">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_Toc26966 </w:instrText>
      </w:r>
      <w:r>
        <w:fldChar w:fldCharType="separate"/>
      </w:r>
      <w:r>
        <w:rPr>
          <w:spacing w:val="320"/>
        </w:rPr>
        <w:t>前</w:t>
      </w:r>
      <w:r>
        <w:t>言</w:t>
      </w:r>
      <w:r>
        <w:tab/>
      </w:r>
      <w:r>
        <w:fldChar w:fldCharType="begin"/>
      </w:r>
      <w:r>
        <w:instrText xml:space="preserve"> PAGEREF _Toc26966 \h </w:instrText>
      </w:r>
      <w:r>
        <w:fldChar w:fldCharType="separate"/>
      </w:r>
      <w:r>
        <w:t>II</w:t>
      </w:r>
      <w:r>
        <w:fldChar w:fldCharType="end"/>
      </w:r>
      <w:r>
        <w:fldChar w:fldCharType="end"/>
      </w:r>
    </w:p>
    <w:p w14:paraId="3CC60D82">
      <w:pPr>
        <w:pStyle w:val="19"/>
        <w:tabs>
          <w:tab w:val="right" w:leader="dot" w:pos="9354"/>
        </w:tabs>
      </w:pPr>
      <w:r>
        <w:fldChar w:fldCharType="begin"/>
      </w:r>
      <w:r>
        <w:instrText xml:space="preserve"> HYPERLINK \l _Toc130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_Toc130 \h </w:instrText>
      </w:r>
      <w:r>
        <w:fldChar w:fldCharType="separate"/>
      </w:r>
      <w:r>
        <w:t>3</w:t>
      </w:r>
      <w:r>
        <w:fldChar w:fldCharType="end"/>
      </w:r>
      <w:r>
        <w:fldChar w:fldCharType="end"/>
      </w:r>
    </w:p>
    <w:p w14:paraId="6F4A2538">
      <w:pPr>
        <w:pStyle w:val="19"/>
        <w:tabs>
          <w:tab w:val="right" w:leader="dot" w:pos="9354"/>
        </w:tabs>
      </w:pPr>
      <w:r>
        <w:fldChar w:fldCharType="begin"/>
      </w:r>
      <w:r>
        <w:instrText xml:space="preserve"> HYPERLINK \l _Toc17264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_Toc17264 \h </w:instrText>
      </w:r>
      <w:r>
        <w:fldChar w:fldCharType="separate"/>
      </w:r>
      <w:r>
        <w:t>3</w:t>
      </w:r>
      <w:r>
        <w:fldChar w:fldCharType="end"/>
      </w:r>
      <w:r>
        <w:fldChar w:fldCharType="end"/>
      </w:r>
    </w:p>
    <w:p w14:paraId="79B9801B">
      <w:pPr>
        <w:pStyle w:val="19"/>
        <w:tabs>
          <w:tab w:val="right" w:leader="dot" w:pos="9354"/>
        </w:tabs>
      </w:pPr>
      <w:r>
        <w:fldChar w:fldCharType="begin"/>
      </w:r>
      <w:r>
        <w:instrText xml:space="preserve"> HYPERLINK \l _Toc23940 </w:instrText>
      </w:r>
      <w: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_Toc23940 \h </w:instrText>
      </w:r>
      <w:r>
        <w:fldChar w:fldCharType="separate"/>
      </w:r>
      <w:r>
        <w:t>3</w:t>
      </w:r>
      <w:r>
        <w:fldChar w:fldCharType="end"/>
      </w:r>
      <w:r>
        <w:fldChar w:fldCharType="end"/>
      </w:r>
    </w:p>
    <w:p w14:paraId="4035C969">
      <w:pPr>
        <w:pStyle w:val="19"/>
        <w:tabs>
          <w:tab w:val="right" w:leader="dot" w:pos="9354"/>
        </w:tabs>
      </w:pPr>
      <w:r>
        <w:fldChar w:fldCharType="begin"/>
      </w:r>
      <w:r>
        <w:instrText xml:space="preserve"> HYPERLINK \l _Toc12836 </w:instrText>
      </w:r>
      <w:r>
        <w:fldChar w:fldCharType="separate"/>
      </w:r>
      <w:r>
        <w:rPr>
          <w:rFonts w:hint="eastAsia" w:ascii="黑体" w:eastAsia="黑体"/>
          <w:i w:val="0"/>
        </w:rPr>
        <w:t xml:space="preserve">4 </w:t>
      </w:r>
      <w:r>
        <w:rPr>
          <w:rFonts w:hint="eastAsia"/>
        </w:rPr>
        <w:t>总体要求</w:t>
      </w:r>
      <w:r>
        <w:tab/>
      </w:r>
      <w:r>
        <w:fldChar w:fldCharType="begin"/>
      </w:r>
      <w:r>
        <w:instrText xml:space="preserve"> PAGEREF _Toc12836 \h </w:instrText>
      </w:r>
      <w:r>
        <w:fldChar w:fldCharType="separate"/>
      </w:r>
      <w:r>
        <w:t>3</w:t>
      </w:r>
      <w:r>
        <w:fldChar w:fldCharType="end"/>
      </w:r>
      <w:r>
        <w:fldChar w:fldCharType="end"/>
      </w:r>
    </w:p>
    <w:p w14:paraId="1C2D34BE">
      <w:pPr>
        <w:pStyle w:val="19"/>
        <w:tabs>
          <w:tab w:val="right" w:leader="dot" w:pos="9354"/>
        </w:tabs>
      </w:pPr>
      <w:r>
        <w:fldChar w:fldCharType="begin"/>
      </w:r>
      <w:r>
        <w:instrText xml:space="preserve"> HYPERLINK \l _Toc10592 </w:instrText>
      </w:r>
      <w:r>
        <w:fldChar w:fldCharType="separate"/>
      </w:r>
      <w:r>
        <w:rPr>
          <w:rFonts w:hint="eastAsia" w:ascii="黑体" w:eastAsia="黑体"/>
          <w:i w:val="0"/>
        </w:rPr>
        <w:t xml:space="preserve">5 </w:t>
      </w:r>
      <w:r>
        <w:rPr>
          <w:rFonts w:hint="eastAsia"/>
          <w:lang w:eastAsia="zh-CN"/>
        </w:rPr>
        <w:t>职责要求</w:t>
      </w:r>
      <w:r>
        <w:tab/>
      </w:r>
      <w:r>
        <w:fldChar w:fldCharType="begin"/>
      </w:r>
      <w:r>
        <w:instrText xml:space="preserve"> PAGEREF _Toc10592 \h </w:instrText>
      </w:r>
      <w:r>
        <w:fldChar w:fldCharType="separate"/>
      </w:r>
      <w:r>
        <w:t>4</w:t>
      </w:r>
      <w:r>
        <w:fldChar w:fldCharType="end"/>
      </w:r>
      <w:r>
        <w:fldChar w:fldCharType="end"/>
      </w:r>
    </w:p>
    <w:p w14:paraId="6685FCD1">
      <w:pPr>
        <w:pStyle w:val="19"/>
        <w:tabs>
          <w:tab w:val="right" w:leader="dot" w:pos="9354"/>
        </w:tabs>
      </w:pPr>
      <w:r>
        <w:fldChar w:fldCharType="begin"/>
      </w:r>
      <w:r>
        <w:instrText xml:space="preserve"> HYPERLINK \l _Toc2885 </w:instrText>
      </w:r>
      <w:r>
        <w:fldChar w:fldCharType="separate"/>
      </w:r>
      <w:r>
        <w:rPr>
          <w:rFonts w:hint="eastAsia" w:ascii="黑体" w:eastAsia="黑体"/>
          <w:i w:val="0"/>
        </w:rPr>
        <w:t xml:space="preserve">6 </w:t>
      </w:r>
      <w:r>
        <w:rPr>
          <w:rFonts w:hint="eastAsia"/>
          <w:lang w:eastAsia="zh-CN"/>
        </w:rPr>
        <w:t>使用管理</w:t>
      </w:r>
      <w:r>
        <w:tab/>
      </w:r>
      <w:r>
        <w:fldChar w:fldCharType="begin"/>
      </w:r>
      <w:r>
        <w:instrText xml:space="preserve"> PAGEREF _Toc2885 \h </w:instrText>
      </w:r>
      <w:r>
        <w:fldChar w:fldCharType="separate"/>
      </w:r>
      <w:r>
        <w:t>4</w:t>
      </w:r>
      <w:r>
        <w:fldChar w:fldCharType="end"/>
      </w:r>
      <w:r>
        <w:fldChar w:fldCharType="end"/>
      </w:r>
    </w:p>
    <w:p w14:paraId="0530D96D">
      <w:pPr>
        <w:pStyle w:val="19"/>
        <w:tabs>
          <w:tab w:val="right" w:leader="dot" w:pos="9354"/>
        </w:tabs>
      </w:pPr>
      <w:r>
        <w:fldChar w:fldCharType="begin"/>
      </w:r>
      <w:r>
        <w:instrText xml:space="preserve"> HYPERLINK \l _Toc23035 </w:instrText>
      </w:r>
      <w:r>
        <w:fldChar w:fldCharType="separate"/>
      </w:r>
      <w:r>
        <w:rPr>
          <w:rFonts w:hint="eastAsia" w:ascii="黑体" w:eastAsia="黑体"/>
          <w:i w:val="0"/>
          <w:spacing w:val="-4"/>
        </w:rPr>
        <w:t xml:space="preserve">7 </w:t>
      </w:r>
      <w:r>
        <w:rPr>
          <w:rFonts w:hint="eastAsia"/>
        </w:rPr>
        <w:t>应急处置</w:t>
      </w:r>
      <w:r>
        <w:tab/>
      </w:r>
      <w:r>
        <w:fldChar w:fldCharType="begin"/>
      </w:r>
      <w:r>
        <w:instrText xml:space="preserve"> PAGEREF _Toc23035 \h </w:instrText>
      </w:r>
      <w:r>
        <w:fldChar w:fldCharType="separate"/>
      </w:r>
      <w:r>
        <w:t>6</w:t>
      </w:r>
      <w:r>
        <w:fldChar w:fldCharType="end"/>
      </w:r>
      <w:r>
        <w:fldChar w:fldCharType="end"/>
      </w:r>
    </w:p>
    <w:p w14:paraId="79E67862">
      <w:pPr>
        <w:pStyle w:val="19"/>
        <w:tabs>
          <w:tab w:val="right" w:leader="dot" w:pos="9354"/>
        </w:tabs>
      </w:pPr>
      <w:r>
        <w:fldChar w:fldCharType="begin"/>
      </w:r>
      <w:r>
        <w:instrText xml:space="preserve"> HYPERLINK \l _Toc28441 </w:instrText>
      </w:r>
      <w:r>
        <w:fldChar w:fldCharType="separate"/>
      </w:r>
      <w:r>
        <w:rPr>
          <w:rFonts w:hint="eastAsia"/>
          <w:spacing w:val="105"/>
        </w:rPr>
        <w:t>参考文</w:t>
      </w:r>
      <w:r>
        <w:rPr>
          <w:rFonts w:hint="eastAsia"/>
        </w:rPr>
        <w:t>献</w:t>
      </w:r>
      <w:r>
        <w:tab/>
      </w:r>
      <w:r>
        <w:fldChar w:fldCharType="begin"/>
      </w:r>
      <w:r>
        <w:instrText xml:space="preserve"> PAGEREF _Toc28441 \h </w:instrText>
      </w:r>
      <w:r>
        <w:fldChar w:fldCharType="separate"/>
      </w:r>
      <w:r>
        <w:t>7</w:t>
      </w:r>
      <w:r>
        <w:fldChar w:fldCharType="end"/>
      </w:r>
      <w:r>
        <w:fldChar w:fldCharType="end"/>
      </w:r>
    </w:p>
    <w:p w14:paraId="3D88CC57">
      <w:pPr>
        <w:pStyle w:val="91"/>
        <w:spacing w:after="468" w:line="300" w:lineRule="exact"/>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bookmarkStart w:id="60" w:name="_GoBack"/>
      <w:bookmarkEnd w:id="60"/>
    </w:p>
    <w:bookmarkEnd w:id="21"/>
    <w:p w14:paraId="4413F195">
      <w:pPr>
        <w:pStyle w:val="89"/>
        <w:spacing w:after="468"/>
      </w:pPr>
      <w:bookmarkStart w:id="23" w:name="_Toc26966"/>
      <w:bookmarkStart w:id="24" w:name="BookMark2"/>
      <w:r>
        <w:rPr>
          <w:spacing w:val="320"/>
        </w:rPr>
        <w:t>前</w:t>
      </w:r>
      <w:r>
        <w:t>言</w:t>
      </w:r>
      <w:bookmarkEnd w:id="22"/>
      <w:bookmarkEnd w:id="23"/>
    </w:p>
    <w:p w14:paraId="4C27C203">
      <w:pPr>
        <w:pStyle w:val="56"/>
        <w:ind w:firstLine="420"/>
      </w:pPr>
      <w:r>
        <w:rPr>
          <w:rFonts w:hint="eastAsia"/>
        </w:rPr>
        <w:t>本文件按照GB/T 1.1—2020《标准化工作导则  第1部分：标准化文件的结构和起草规则》的规定起草。</w:t>
      </w:r>
    </w:p>
    <w:p w14:paraId="2C4AC19C">
      <w:pPr>
        <w:pStyle w:val="56"/>
        <w:ind w:firstLine="420"/>
      </w:pPr>
      <w:r>
        <w:rPr>
          <w:rFonts w:hint="eastAsia"/>
        </w:rPr>
        <w:t>本文件由山西省市场监督管理局提出、组织实施和监督检查。</w:t>
      </w:r>
    </w:p>
    <w:p w14:paraId="4AF25351">
      <w:pPr>
        <w:pStyle w:val="56"/>
        <w:ind w:firstLine="420"/>
      </w:pPr>
      <w:r>
        <w:rPr>
          <w:rFonts w:hint="eastAsia"/>
        </w:rPr>
        <w:t>山西省市场监督管理局对标准的组织实施情况进行监督检查。</w:t>
      </w:r>
    </w:p>
    <w:p w14:paraId="4D731581">
      <w:pPr>
        <w:pStyle w:val="56"/>
        <w:ind w:firstLine="420"/>
      </w:pPr>
      <w:r>
        <w:rPr>
          <w:rFonts w:hint="eastAsia"/>
        </w:rPr>
        <w:t>本文件由山西省特种设备安全标准化技术委员会归口。</w:t>
      </w:r>
    </w:p>
    <w:p w14:paraId="530CCFDA">
      <w:pPr>
        <w:pStyle w:val="56"/>
        <w:ind w:firstLine="420"/>
      </w:pPr>
      <w:r>
        <w:rPr>
          <w:rFonts w:hint="eastAsia"/>
        </w:rPr>
        <w:t>本文件起草单位：山西省检验检测中心（山西省标准计量技术研究院）</w:t>
      </w:r>
    </w:p>
    <w:p w14:paraId="2D8EBDCE">
      <w:pPr>
        <w:pStyle w:val="56"/>
        <w:ind w:firstLine="420"/>
      </w:pPr>
      <w:r>
        <w:rPr>
          <w:rFonts w:hint="eastAsia"/>
        </w:rPr>
        <w:t>本文件主要起草人：张斌、郑广、常莹松、赵广立、赵世军、魏志坚、王嘉祥、曹凌燕、李雪勤、杨瑞芳。</w:t>
      </w:r>
    </w:p>
    <w:p w14:paraId="581458FB">
      <w:pPr>
        <w:pStyle w:val="56"/>
        <w:ind w:firstLine="420"/>
      </w:pPr>
    </w:p>
    <w:p w14:paraId="1FA68A86">
      <w:pPr>
        <w:pStyle w:val="56"/>
        <w:ind w:firstLine="420"/>
        <w:sectPr>
          <w:headerReference r:id="rId15" w:type="default"/>
          <w:footerReference r:id="rId17" w:type="default"/>
          <w:headerReference r:id="rId16" w:type="even"/>
          <w:footerReference r:id="rId18" w:type="even"/>
          <w:pgSz w:w="11906" w:h="16838"/>
          <w:pgMar w:top="2410" w:right="1134" w:bottom="1134" w:left="1134" w:header="1418" w:footer="1134" w:gutter="284"/>
          <w:pgNumType w:fmt="upperRoman"/>
          <w:cols w:space="425" w:num="1"/>
          <w:formProt w:val="0"/>
          <w:docGrid w:type="lines" w:linePitch="312" w:charSpace="0"/>
        </w:sectPr>
      </w:pPr>
    </w:p>
    <w:bookmarkEnd w:id="24"/>
    <w:p w14:paraId="531CFB63">
      <w:pPr>
        <w:spacing w:line="20" w:lineRule="exact"/>
        <w:jc w:val="center"/>
        <w:rPr>
          <w:rFonts w:hint="eastAsia" w:ascii="黑体" w:hAnsi="黑体" w:eastAsia="黑体"/>
          <w:sz w:val="32"/>
          <w:szCs w:val="32"/>
        </w:rPr>
      </w:pPr>
      <w:bookmarkStart w:id="25" w:name="BookMark4"/>
    </w:p>
    <w:p w14:paraId="19E4F476">
      <w:pPr>
        <w:spacing w:line="20" w:lineRule="exact"/>
        <w:jc w:val="center"/>
        <w:rPr>
          <w:rFonts w:hint="eastAsia" w:ascii="黑体" w:hAnsi="黑体" w:eastAsia="黑体"/>
          <w:sz w:val="32"/>
          <w:szCs w:val="32"/>
        </w:rPr>
      </w:pPr>
    </w:p>
    <w:sdt>
      <w:sdtPr>
        <w:tag w:val="NEW_STAND_NAME"/>
        <w:id w:val="595910757"/>
        <w:lock w:val="sdtLocked"/>
        <w:placeholder>
          <w:docPart w:val="66A15C655DF4486591F74A1574B223EC"/>
        </w:placeholder>
      </w:sdtPr>
      <w:sdtContent>
        <w:p w14:paraId="7F831121">
          <w:pPr>
            <w:pStyle w:val="177"/>
            <w:spacing w:before="3" w:beforeLines="1" w:after="686" w:afterLines="220"/>
            <w:rPr>
              <w:rFonts w:hint="eastAsia"/>
            </w:rPr>
          </w:pPr>
          <w:bookmarkStart w:id="26" w:name="NEW_STAND_NAME"/>
          <w:r>
            <w:t xml:space="preserve">   既有</w:t>
          </w:r>
          <w:r>
            <w:rPr>
              <w:rFonts w:hint="eastAsia"/>
            </w:rPr>
            <w:t>多层</w:t>
          </w:r>
          <w:r>
            <w:t>住宅加装电梯</w:t>
          </w:r>
          <w:r>
            <w:rPr>
              <w:rFonts w:hint="eastAsia"/>
            </w:rPr>
            <w:t>使用管理规范</w:t>
          </w:r>
          <w:r>
            <w:t> </w:t>
          </w:r>
        </w:p>
      </w:sdtContent>
    </w:sdt>
    <w:bookmarkEnd w:id="26"/>
    <w:p w14:paraId="62351D04">
      <w:pPr>
        <w:pStyle w:val="104"/>
        <w:spacing w:before="312" w:after="312"/>
      </w:pPr>
      <w:bookmarkStart w:id="27" w:name="_Toc24884211"/>
      <w:bookmarkStart w:id="28" w:name="_Toc128743350"/>
      <w:bookmarkStart w:id="29" w:name="_Toc26986530"/>
      <w:bookmarkStart w:id="30" w:name="_Toc24884218"/>
      <w:bookmarkStart w:id="31" w:name="_Toc17233333"/>
      <w:bookmarkStart w:id="32" w:name="_Toc26718930"/>
      <w:bookmarkStart w:id="33" w:name="_Toc17233325"/>
      <w:bookmarkStart w:id="34" w:name="_Toc26648465"/>
      <w:bookmarkStart w:id="35" w:name="_Toc26986771"/>
      <w:bookmarkStart w:id="36" w:name="_Toc130"/>
      <w:r>
        <w:rPr>
          <w:rFonts w:hint="eastAsia"/>
        </w:rPr>
        <w:t>范围</w:t>
      </w:r>
      <w:bookmarkEnd w:id="27"/>
      <w:bookmarkEnd w:id="28"/>
      <w:bookmarkEnd w:id="29"/>
      <w:bookmarkEnd w:id="30"/>
      <w:bookmarkEnd w:id="31"/>
      <w:bookmarkEnd w:id="32"/>
      <w:bookmarkEnd w:id="33"/>
      <w:bookmarkEnd w:id="34"/>
      <w:bookmarkEnd w:id="35"/>
      <w:bookmarkEnd w:id="36"/>
    </w:p>
    <w:p w14:paraId="2AA71060">
      <w:pPr>
        <w:pStyle w:val="13"/>
        <w:autoSpaceDE w:val="0"/>
        <w:autoSpaceDN w:val="0"/>
        <w:adjustRightInd/>
        <w:spacing w:before="1" w:line="278" w:lineRule="auto"/>
        <w:ind w:left="420" w:leftChars="200" w:right="418" w:firstLine="420"/>
        <w:rPr>
          <w:spacing w:val="-2"/>
        </w:rPr>
      </w:pPr>
      <w:bookmarkStart w:id="37" w:name="_Toc24884212"/>
      <w:bookmarkStart w:id="38" w:name="_Toc26648466"/>
      <w:bookmarkStart w:id="39" w:name="_Toc26986531"/>
      <w:bookmarkStart w:id="40" w:name="_Toc26718931"/>
      <w:bookmarkStart w:id="41" w:name="_Toc17233334"/>
      <w:bookmarkStart w:id="42" w:name="_Toc128743351"/>
      <w:bookmarkStart w:id="43" w:name="_Toc17233326"/>
      <w:bookmarkStart w:id="44" w:name="_Toc24884219"/>
      <w:bookmarkStart w:id="45" w:name="_Toc26986772"/>
      <w:r>
        <w:rPr>
          <w:spacing w:val="-4"/>
        </w:rPr>
        <w:t>本标准规定了</w:t>
      </w:r>
      <w:r>
        <w:rPr>
          <w:rFonts w:hint="eastAsia"/>
          <w:spacing w:val="-4"/>
        </w:rPr>
        <w:t>山西省内</w:t>
      </w:r>
      <w:r>
        <w:rPr>
          <w:spacing w:val="-4"/>
        </w:rPr>
        <w:t>既有</w:t>
      </w:r>
      <w:r>
        <w:rPr>
          <w:rFonts w:hint="eastAsia"/>
          <w:spacing w:val="-4"/>
        </w:rPr>
        <w:t>多层</w:t>
      </w:r>
      <w:r>
        <w:rPr>
          <w:spacing w:val="-4"/>
        </w:rPr>
        <w:t>住宅加装电梯的术语和定义、</w:t>
      </w:r>
      <w:r>
        <w:rPr>
          <w:rFonts w:hint="eastAsia"/>
          <w:spacing w:val="-4"/>
        </w:rPr>
        <w:t>总体要求</w:t>
      </w:r>
      <w:r>
        <w:rPr>
          <w:spacing w:val="-4"/>
        </w:rPr>
        <w:t>、使用单位</w:t>
      </w:r>
      <w:r>
        <w:rPr>
          <w:rFonts w:hint="eastAsia"/>
          <w:spacing w:val="-4"/>
        </w:rPr>
        <w:t>职责</w:t>
      </w:r>
      <w:r>
        <w:rPr>
          <w:spacing w:val="-4"/>
        </w:rPr>
        <w:t>、维护</w:t>
      </w:r>
      <w:r>
        <w:rPr>
          <w:rFonts w:hint="eastAsia"/>
          <w:spacing w:val="-4"/>
        </w:rPr>
        <w:t>保养单位职责</w:t>
      </w:r>
      <w:r>
        <w:rPr>
          <w:spacing w:val="-4"/>
        </w:rPr>
        <w:t>、</w:t>
      </w:r>
      <w:r>
        <w:rPr>
          <w:rFonts w:hint="eastAsia"/>
          <w:spacing w:val="-4"/>
        </w:rPr>
        <w:t>应急处置相关</w:t>
      </w:r>
      <w:r>
        <w:rPr>
          <w:spacing w:val="-2"/>
        </w:rPr>
        <w:t>要求。</w:t>
      </w:r>
    </w:p>
    <w:p w14:paraId="662BF842">
      <w:pPr>
        <w:pStyle w:val="56"/>
        <w:ind w:left="420" w:leftChars="200" w:firstLine="420"/>
      </w:pPr>
      <w:r>
        <w:rPr>
          <w:rFonts w:hint="eastAsia"/>
        </w:rPr>
        <w:t>本文件适用于山西省内在既有多层住宅适当位置新建钢结构电梯井道加装的曳引驱动电梯。</w:t>
      </w:r>
    </w:p>
    <w:p w14:paraId="3FDFDD75">
      <w:pPr>
        <w:pStyle w:val="104"/>
        <w:spacing w:before="312" w:after="312"/>
      </w:pPr>
      <w:bookmarkStart w:id="46" w:name="_Toc17264"/>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3BCCA5F8CD4F4C70A753C476DACCE9D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A3FB76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96BEBD2">
      <w:pPr>
        <w:pStyle w:val="13"/>
        <w:spacing w:after="0" w:line="269" w:lineRule="exact"/>
        <w:ind w:firstLine="420"/>
        <w:rPr>
          <w:rFonts w:ascii="宋体" w:hAnsi="Times New Roman"/>
        </w:rPr>
      </w:pPr>
      <w:r>
        <w:rPr>
          <w:rFonts w:hint="eastAsia" w:ascii="宋体" w:hAnsi="Times New Roman"/>
        </w:rPr>
        <w:t>GB/T 7024 电梯、自动扶梯、自动人行道术语</w:t>
      </w:r>
    </w:p>
    <w:p w14:paraId="4C42A55D">
      <w:pPr>
        <w:pStyle w:val="13"/>
        <w:spacing w:after="0"/>
        <w:ind w:firstLine="420"/>
        <w:rPr>
          <w:rFonts w:ascii="宋体" w:hAnsi="Times New Roman"/>
        </w:rPr>
      </w:pPr>
      <w:r>
        <w:rPr>
          <w:rFonts w:hint="eastAsia" w:ascii="宋体" w:hAnsi="Times New Roman"/>
        </w:rPr>
        <w:t>GB 7588.1-2020电梯制造与安装安全规范</w:t>
      </w:r>
    </w:p>
    <w:p w14:paraId="33CEC4F7">
      <w:pPr>
        <w:pStyle w:val="13"/>
        <w:spacing w:after="0"/>
        <w:ind w:firstLine="420"/>
        <w:rPr>
          <w:rFonts w:ascii="宋体" w:hAnsi="Times New Roman"/>
        </w:rPr>
      </w:pPr>
      <w:r>
        <w:rPr>
          <w:rFonts w:hint="eastAsia" w:ascii="宋体" w:hAnsi="Times New Roman"/>
        </w:rPr>
        <w:t>GB/T 18775 电梯、自动扶梯和自动人行道维修规范</w:t>
      </w:r>
    </w:p>
    <w:p w14:paraId="1E670BF4">
      <w:pPr>
        <w:pStyle w:val="13"/>
        <w:spacing w:after="0"/>
        <w:ind w:firstLine="420"/>
        <w:rPr>
          <w:rFonts w:ascii="宋体" w:hAnsi="Times New Roman"/>
        </w:rPr>
      </w:pPr>
      <w:r>
        <w:rPr>
          <w:rFonts w:hint="eastAsia" w:ascii="宋体" w:hAnsi="Times New Roman"/>
        </w:rPr>
        <w:t>GB/T 24475 电梯远程报警系统</w:t>
      </w:r>
    </w:p>
    <w:p w14:paraId="72424968">
      <w:pPr>
        <w:pStyle w:val="13"/>
        <w:spacing w:after="0"/>
        <w:ind w:firstLine="420"/>
        <w:rPr>
          <w:rFonts w:ascii="宋体" w:hAnsi="Times New Roman"/>
        </w:rPr>
      </w:pPr>
      <w:r>
        <w:rPr>
          <w:rFonts w:hint="eastAsia" w:ascii="宋体" w:hAnsi="Times New Roman"/>
        </w:rPr>
        <w:t>GB/T 31200 电梯、自动扶梯和自动人行道乘用图形标志及其使用导则</w:t>
      </w:r>
    </w:p>
    <w:p w14:paraId="74071CB4">
      <w:pPr>
        <w:pStyle w:val="13"/>
        <w:spacing w:after="0"/>
        <w:ind w:firstLine="420"/>
        <w:rPr>
          <w:rFonts w:ascii="宋体" w:hAnsi="Times New Roman"/>
        </w:rPr>
      </w:pPr>
      <w:r>
        <w:rPr>
          <w:rFonts w:hint="eastAsia" w:ascii="宋体" w:hAnsi="Times New Roman"/>
        </w:rPr>
        <w:t>DB14/T 3096.3-2024 特种设备风险分级管控与隐患排查治理规范 第3部分：电梯</w:t>
      </w:r>
    </w:p>
    <w:p w14:paraId="4FE52465">
      <w:pPr>
        <w:pStyle w:val="13"/>
        <w:spacing w:after="0"/>
        <w:ind w:firstLine="420"/>
        <w:rPr>
          <w:rFonts w:ascii="宋体" w:hAnsi="Times New Roman"/>
        </w:rPr>
      </w:pPr>
      <w:r>
        <w:rPr>
          <w:rFonts w:hint="eastAsia" w:ascii="宋体" w:hAnsi="Times New Roman"/>
        </w:rPr>
        <w:t xml:space="preserve">DB14/T 1663-2018 </w:t>
      </w:r>
      <w:r>
        <w:fldChar w:fldCharType="begin"/>
      </w:r>
      <w:r>
        <w:instrText xml:space="preserve"> HYPERLINK "https://dbba.sacinfo.org.cn/stdDetail/17b9f346fec26f18436e0c2821e9a852280c6c59f188daa1c1e28d20e34a3b73" \t "https://dbba.sacinfo.org.cn/stdList?key=DB37/_blank" </w:instrText>
      </w:r>
      <w:r>
        <w:fldChar w:fldCharType="separate"/>
      </w:r>
      <w:r>
        <w:rPr>
          <w:rFonts w:ascii="宋体" w:hAnsi="Times New Roman"/>
        </w:rPr>
        <w:t>曳引驱动电梯维护保养操作安全规范</w:t>
      </w:r>
      <w:r>
        <w:rPr>
          <w:rFonts w:ascii="宋体" w:hAnsi="Times New Roman"/>
        </w:rPr>
        <w:fldChar w:fldCharType="end"/>
      </w:r>
    </w:p>
    <w:p w14:paraId="24B20C09">
      <w:pPr>
        <w:pStyle w:val="104"/>
        <w:spacing w:before="312" w:after="312"/>
      </w:pPr>
      <w:bookmarkStart w:id="47" w:name="_Toc128743352"/>
      <w:bookmarkStart w:id="48" w:name="_Toc23940"/>
      <w:r>
        <w:rPr>
          <w:rFonts w:hint="eastAsia"/>
        </w:rPr>
        <w:t>术语和定义</w:t>
      </w:r>
      <w:bookmarkEnd w:id="47"/>
      <w:bookmarkEnd w:id="48"/>
    </w:p>
    <w:sdt>
      <w:sdtPr>
        <w:rPr>
          <w:rFonts w:hAnsi="宋体"/>
          <w:sz w:val="24"/>
          <w:szCs w:val="24"/>
        </w:rPr>
        <w:id w:val="-1909835108"/>
        <w:placeholder>
          <w:docPart w:val="0F0692A07D1345A394DBE6CBA7AE53E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Ansi="宋体"/>
          <w:sz w:val="24"/>
          <w:szCs w:val="24"/>
        </w:rPr>
      </w:sdtEndPr>
      <w:sdtContent>
        <w:p w14:paraId="5D848AD6">
          <w:pPr>
            <w:pStyle w:val="56"/>
            <w:ind w:firstLine="199" w:firstLineChars="83"/>
          </w:pPr>
          <w:bookmarkStart w:id="49" w:name="_Toc26986532"/>
          <w:bookmarkEnd w:id="49"/>
          <w:r>
            <w:rPr>
              <w:rFonts w:hAnsi="宋体"/>
              <w:sz w:val="24"/>
              <w:szCs w:val="24"/>
            </w:rPr>
            <w:t>下列术语和定义适用于本文件。</w:t>
          </w:r>
        </w:p>
      </w:sdtContent>
    </w:sdt>
    <w:p w14:paraId="41A80B97">
      <w:pPr>
        <w:pStyle w:val="223"/>
        <w:numPr>
          <w:ilvl w:val="0"/>
          <w:numId w:val="0"/>
        </w:numPr>
      </w:pPr>
    </w:p>
    <w:p w14:paraId="66D17486">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加装电梯</w:t>
      </w:r>
    </w:p>
    <w:p w14:paraId="0C701C43">
      <w:pPr>
        <w:pStyle w:val="56"/>
        <w:ind w:firstLine="420"/>
      </w:pPr>
      <w:r>
        <w:rPr>
          <w:rFonts w:hint="eastAsia"/>
        </w:rPr>
        <w:t>在既有多层住宅外部新建井道内安装的新的曳引驱动电梯。（包括在既有建筑物内部通过改造，新建电梯井道加装电梯的情况）。</w:t>
      </w:r>
    </w:p>
    <w:p w14:paraId="43F8F92D">
      <w:pPr>
        <w:pStyle w:val="56"/>
        <w:ind w:firstLine="420"/>
      </w:pPr>
    </w:p>
    <w:p w14:paraId="417C0E16">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新增建（构）筑物</w:t>
      </w:r>
    </w:p>
    <w:p w14:paraId="4F353A8F">
      <w:pPr>
        <w:pStyle w:val="180"/>
        <w:numPr>
          <w:ilvl w:val="0"/>
          <w:numId w:val="0"/>
        </w:numPr>
        <w:ind w:firstLine="420" w:firstLineChars="200"/>
        <w:rPr>
          <w:sz w:val="21"/>
          <w:szCs w:val="20"/>
        </w:rPr>
      </w:pPr>
      <w:r>
        <w:rPr>
          <w:rFonts w:hint="eastAsia"/>
          <w:sz w:val="21"/>
          <w:szCs w:val="20"/>
        </w:rPr>
        <w:t>指因加装电梯需要，在既有住宅外（内）部新增的电梯井道，以及电梯井道与原既有住宅连接的连廊等土建结构，主要包括基坑、井道、连廊等。</w:t>
      </w:r>
    </w:p>
    <w:p w14:paraId="48144E40">
      <w:pPr>
        <w:pStyle w:val="104"/>
        <w:spacing w:before="312" w:after="312"/>
      </w:pPr>
      <w:r>
        <w:rPr>
          <w:rFonts w:hint="eastAsia"/>
        </w:rPr>
        <w:t xml:space="preserve"> </w:t>
      </w:r>
      <w:bookmarkStart w:id="50" w:name="_Toc128743353"/>
      <w:bookmarkStart w:id="51" w:name="_Toc12836"/>
      <w:r>
        <w:rPr>
          <w:rFonts w:hint="eastAsia"/>
        </w:rPr>
        <w:t>总体要求</w:t>
      </w:r>
      <w:bookmarkEnd w:id="50"/>
      <w:bookmarkEnd w:id="51"/>
    </w:p>
    <w:p w14:paraId="4E0ABFF8">
      <w:pPr>
        <w:pStyle w:val="162"/>
      </w:pPr>
      <w:r>
        <w:rPr>
          <w:spacing w:val="-2"/>
        </w:rPr>
        <w:t>加装电梯</w:t>
      </w:r>
      <w:r>
        <w:rPr>
          <w:rFonts w:hint="eastAsia"/>
          <w:spacing w:val="-2"/>
        </w:rPr>
        <w:t>施工单位</w:t>
      </w:r>
      <w:r>
        <w:rPr>
          <w:spacing w:val="-2"/>
        </w:rPr>
        <w:t>完成</w:t>
      </w:r>
      <w:r>
        <w:rPr>
          <w:rFonts w:hint="eastAsia"/>
          <w:spacing w:val="-2"/>
        </w:rPr>
        <w:t>竣工</w:t>
      </w:r>
      <w:r>
        <w:rPr>
          <w:spacing w:val="-2"/>
        </w:rPr>
        <w:t>验收后，</w:t>
      </w:r>
      <w:r>
        <w:rPr>
          <w:rFonts w:hint="eastAsia"/>
          <w:spacing w:val="-2"/>
        </w:rPr>
        <w:t>施工单位</w:t>
      </w:r>
      <w:r>
        <w:rPr>
          <w:spacing w:val="-2"/>
        </w:rPr>
        <w:t>应</w:t>
      </w:r>
      <w:r>
        <w:rPr>
          <w:rFonts w:hint="eastAsia"/>
          <w:spacing w:val="-2"/>
        </w:rPr>
        <w:t>向产权单位或产权人</w:t>
      </w:r>
      <w:r>
        <w:rPr>
          <w:spacing w:val="-2"/>
        </w:rPr>
        <w:t>完成产权移交，</w:t>
      </w:r>
      <w:r>
        <w:rPr>
          <w:rFonts w:hint="eastAsia"/>
          <w:spacing w:val="-2"/>
        </w:rPr>
        <w:t>产权单位或产权人应按照国家市场监督管理局第74号令（以下简称74号令）的要求确认电梯使用单位，并按照TSG 08 的要求办理电梯使用登记证。</w:t>
      </w:r>
    </w:p>
    <w:p w14:paraId="0D737B51">
      <w:pPr>
        <w:pStyle w:val="162"/>
      </w:pPr>
      <w:r>
        <w:rPr>
          <w:rFonts w:hint="eastAsia"/>
        </w:rPr>
        <w:t>如果电梯使用单位不具备对新增建（构）筑物的维护管理能力，宜由具备相应资质的专业技术单位或人员对新增建（构）筑物进行维护管理，对新增建（构）筑物安全负责。</w:t>
      </w:r>
    </w:p>
    <w:p w14:paraId="224E8D52">
      <w:pPr>
        <w:pStyle w:val="162"/>
      </w:pPr>
      <w:r>
        <w:rPr>
          <w:rFonts w:hint="eastAsia"/>
        </w:rPr>
        <w:t>电梯使用单位应与符合相应资质的电梯维护保养单位签订电梯维护保养合同，履行合同义务。</w:t>
      </w:r>
    </w:p>
    <w:p w14:paraId="3A9053CA">
      <w:pPr>
        <w:pStyle w:val="162"/>
      </w:pPr>
      <w:r>
        <w:rPr>
          <w:rFonts w:hint="eastAsia"/>
        </w:rPr>
        <w:t>电梯维护保养单位应取得与所维护保养电梯相匹配的资质，严格按照 TSG 5002 的要求和电梯制造单位提供的维护保养说明书进行维保，同时应遵守相关法律、法规、规章、安全技术规范和相关要求。</w:t>
      </w:r>
    </w:p>
    <w:p w14:paraId="4DEB2D6C">
      <w:pPr>
        <w:pStyle w:val="162"/>
      </w:pPr>
      <w:r>
        <w:rPr>
          <w:rFonts w:hint="eastAsia"/>
        </w:rPr>
        <w:t>电梯使用单位应严格遵守国家法律法规和特种设备安全监督管理部门的各项规定，积极配合相关监督、检验部门的工作，保证电梯安全运行。</w:t>
      </w:r>
    </w:p>
    <w:p w14:paraId="523A552F">
      <w:pPr>
        <w:pStyle w:val="104"/>
        <w:spacing w:before="312" w:after="312"/>
        <w:rPr>
          <w:color w:val="auto"/>
        </w:rPr>
      </w:pPr>
      <w:bookmarkStart w:id="52" w:name="_Toc10592"/>
      <w:r>
        <w:rPr>
          <w:rFonts w:hint="eastAsia"/>
          <w:color w:val="auto"/>
          <w:lang w:eastAsia="zh-CN"/>
        </w:rPr>
        <w:t>职责要求</w:t>
      </w:r>
      <w:bookmarkEnd w:id="52"/>
    </w:p>
    <w:p w14:paraId="22E2DAD2">
      <w:pPr>
        <w:pStyle w:val="162"/>
      </w:pPr>
      <w:r>
        <w:rPr>
          <w:rFonts w:hint="eastAsia"/>
        </w:rPr>
        <w:t>电梯使用单位应按照74号令、TSG 08及相关要求履行使用管理主体责任。</w:t>
      </w:r>
    </w:p>
    <w:p w14:paraId="167DF0A5">
      <w:pPr>
        <w:pStyle w:val="162"/>
      </w:pPr>
      <w:r>
        <w:rPr>
          <w:rFonts w:hint="eastAsia"/>
        </w:rPr>
        <w:t>电梯使用单位应在电梯轿厢显著位置张贴维护保养单位的名称、联系人及联系方式，以便电梯使用者及时获取。</w:t>
      </w:r>
    </w:p>
    <w:p w14:paraId="58087EB2">
      <w:pPr>
        <w:pStyle w:val="162"/>
      </w:pPr>
      <w:r>
        <w:rPr>
          <w:rFonts w:hint="eastAsia"/>
        </w:rPr>
        <w:t>电梯使用单位应妥善保管机房门、层门、安全门、消防用防坠落装备箱、以及通道门等钥匙，以保证紧急救援人员及时获取。</w:t>
      </w:r>
    </w:p>
    <w:p w14:paraId="58F15737">
      <w:pPr>
        <w:pStyle w:val="162"/>
      </w:pPr>
      <w:r>
        <w:rPr>
          <w:rFonts w:hint="eastAsia"/>
        </w:rPr>
        <w:t>电梯使用单位应确保供维护保养人员进入工作区域的通道畅通，有义务向维护保养单位告知相关工作区域或通道存在的危险情况。</w:t>
      </w:r>
    </w:p>
    <w:p w14:paraId="3DABD00B">
      <w:pPr>
        <w:pStyle w:val="162"/>
      </w:pPr>
      <w:r>
        <w:rPr>
          <w:rFonts w:hint="eastAsia"/>
        </w:rPr>
        <w:t>电梯使用单位应确保电梯报警系统符合 GB/T 24475 的规定。</w:t>
      </w:r>
    </w:p>
    <w:p w14:paraId="7624604E">
      <w:pPr>
        <w:pStyle w:val="162"/>
      </w:pPr>
      <w:r>
        <w:rPr>
          <w:rFonts w:hint="eastAsia" w:hAnsi="宋体" w:cs="宋体"/>
        </w:rPr>
        <w:t>如果电梯无法通过日常维护保养保证其安全运行，使用单位应对该电梯进行安全评估。</w:t>
      </w:r>
    </w:p>
    <w:p w14:paraId="3F3DC894">
      <w:pPr>
        <w:pStyle w:val="162"/>
      </w:pPr>
      <w:r>
        <w:rPr>
          <w:rFonts w:hint="eastAsia"/>
        </w:rPr>
        <w:t>电梯使用单位建立和完善电梯安全管理制度。电梯安全管理制度至少包括以下内容：</w:t>
      </w:r>
    </w:p>
    <w:p w14:paraId="4044BD8B">
      <w:pPr>
        <w:pStyle w:val="56"/>
        <w:ind w:firstLine="420"/>
      </w:pPr>
      <w:r>
        <w:rPr>
          <w:rFonts w:hint="eastAsia"/>
        </w:rPr>
        <w:t>a)相关人员的职责；</w:t>
      </w:r>
    </w:p>
    <w:p w14:paraId="28285264">
      <w:pPr>
        <w:pStyle w:val="56"/>
        <w:ind w:firstLine="420"/>
      </w:pPr>
      <w:r>
        <w:rPr>
          <w:rFonts w:hint="eastAsia"/>
        </w:rPr>
        <w:t>b)日管控、周排查、月调度制度；</w:t>
      </w:r>
    </w:p>
    <w:p w14:paraId="2DED9873">
      <w:pPr>
        <w:pStyle w:val="56"/>
        <w:ind w:firstLine="420"/>
      </w:pPr>
      <w:r>
        <w:rPr>
          <w:rFonts w:hint="eastAsia"/>
        </w:rPr>
        <w:t>c)使用登记和定期报检制度；</w:t>
      </w:r>
    </w:p>
    <w:p w14:paraId="0EFE509E">
      <w:pPr>
        <w:pStyle w:val="56"/>
        <w:ind w:firstLine="420"/>
      </w:pPr>
      <w:r>
        <w:rPr>
          <w:rFonts w:hint="eastAsia"/>
        </w:rPr>
        <w:t>d)电梯安全管理员的培训制度；</w:t>
      </w:r>
    </w:p>
    <w:p w14:paraId="4D6772E6">
      <w:pPr>
        <w:pStyle w:val="56"/>
        <w:ind w:firstLine="420"/>
      </w:pPr>
      <w:r>
        <w:rPr>
          <w:rFonts w:hint="eastAsia"/>
        </w:rPr>
        <w:t>e)突发事件或事故的应急救援预案及应急救援演练制度；</w:t>
      </w:r>
    </w:p>
    <w:p w14:paraId="14AFAF8F">
      <w:pPr>
        <w:pStyle w:val="56"/>
        <w:ind w:firstLine="420"/>
      </w:pPr>
      <w:r>
        <w:rPr>
          <w:rFonts w:hint="eastAsia"/>
        </w:rPr>
        <w:t>f)安全技术档案管理制度；</w:t>
      </w:r>
    </w:p>
    <w:p w14:paraId="32EEB7CC">
      <w:pPr>
        <w:pStyle w:val="56"/>
        <w:ind w:firstLine="420"/>
      </w:pPr>
      <w:r>
        <w:rPr>
          <w:rFonts w:hint="eastAsia"/>
        </w:rPr>
        <w:t>g)层门钥匙管理制度。</w:t>
      </w:r>
    </w:p>
    <w:p w14:paraId="19F7696C">
      <w:pPr>
        <w:pStyle w:val="104"/>
        <w:spacing w:before="312" w:after="312"/>
      </w:pPr>
      <w:bookmarkStart w:id="53" w:name="_Toc2885"/>
      <w:r>
        <w:rPr>
          <w:rFonts w:hint="eastAsia"/>
          <w:lang w:eastAsia="zh-CN"/>
        </w:rPr>
        <w:t>使用管理</w:t>
      </w:r>
      <w:bookmarkEnd w:id="53"/>
    </w:p>
    <w:p w14:paraId="23710657">
      <w:pPr>
        <w:pStyle w:val="162"/>
        <w:rPr>
          <w:rFonts w:hint="eastAsia"/>
        </w:rPr>
      </w:pPr>
      <w:r>
        <w:rPr>
          <w:rFonts w:hint="eastAsia"/>
          <w:lang w:val="en-US" w:eastAsia="zh-CN"/>
        </w:rPr>
        <w:t>电梯设备的维护保养应按照TSG T5002、TSG T7001 和 DB14/T 1663-2018 的要求进行。</w:t>
      </w:r>
    </w:p>
    <w:p w14:paraId="06AE7EC4">
      <w:pPr>
        <w:pStyle w:val="162"/>
        <w:rPr>
          <w:rFonts w:hint="eastAsia"/>
        </w:rPr>
      </w:pPr>
      <w:r>
        <w:rPr>
          <w:rFonts w:hint="eastAsia"/>
        </w:rPr>
        <w:t>电梯使用单位应对维保人员从业资格进行核查，确保维保人员持证上岗且与维保单位签订正式的劳动合同</w:t>
      </w:r>
      <w:r>
        <w:rPr>
          <w:rFonts w:hint="eastAsia"/>
          <w:lang w:eastAsia="zh-CN"/>
        </w:rPr>
        <w:t>。</w:t>
      </w:r>
    </w:p>
    <w:p w14:paraId="4EA63FEA">
      <w:pPr>
        <w:pStyle w:val="162"/>
        <w:rPr>
          <w:rFonts w:hint="eastAsia"/>
        </w:rPr>
      </w:pPr>
      <w:r>
        <w:rPr>
          <w:rFonts w:hint="eastAsia"/>
        </w:rPr>
        <w:t>在电梯设备投入使用前，或者停用后再次投入使用前，使用单位应要求维护保养单位对电梯进行全面维护检查，如停用超过一年，使用单位应按照相关规定向特种设备检验机构申请定期检验。</w:t>
      </w:r>
    </w:p>
    <w:p w14:paraId="594D7D30">
      <w:pPr>
        <w:pStyle w:val="162"/>
        <w:rPr>
          <w:rFonts w:hint="eastAsia"/>
        </w:rPr>
      </w:pPr>
      <w:r>
        <w:rPr>
          <w:rFonts w:hint="eastAsia"/>
        </w:rPr>
        <w:t>电梯使用单位在与维护保养单位确定维护频率时，至少应考虑下列因素：</w:t>
      </w:r>
    </w:p>
    <w:p w14:paraId="0CC8818B">
      <w:pPr>
        <w:pStyle w:val="65"/>
        <w:numPr>
          <w:ilvl w:val="3"/>
          <w:numId w:val="0"/>
        </w:numPr>
        <w:spacing w:before="156" w:after="156"/>
        <w:ind w:firstLine="420" w:firstLineChars="200"/>
        <w:rPr>
          <w:rFonts w:hint="eastAsia" w:ascii="宋体" w:hAnsi="宋体" w:eastAsia="宋体" w:cs="宋体"/>
          <w:color w:val="auto"/>
          <w:kern w:val="2"/>
          <w:szCs w:val="21"/>
        </w:rPr>
      </w:pPr>
      <w:r>
        <w:rPr>
          <w:rFonts w:hint="eastAsia" w:ascii="宋体" w:hAnsi="宋体" w:eastAsia="宋体" w:cs="宋体"/>
          <w:color w:val="auto"/>
        </w:rPr>
        <w:t>a)</w:t>
      </w:r>
      <w:r>
        <w:rPr>
          <w:rFonts w:hint="eastAsia" w:ascii="宋体" w:hAnsi="宋体" w:eastAsia="宋体" w:cs="宋体"/>
          <w:color w:val="auto"/>
          <w:kern w:val="2"/>
          <w:szCs w:val="21"/>
        </w:rPr>
        <w:t>电梯使用年限，运行工况、次数及工作时间；</w:t>
      </w:r>
    </w:p>
    <w:p w14:paraId="031E6294">
      <w:pPr>
        <w:pStyle w:val="65"/>
        <w:numPr>
          <w:ilvl w:val="3"/>
          <w:numId w:val="0"/>
        </w:numPr>
        <w:spacing w:before="156" w:after="156"/>
        <w:ind w:firstLine="420" w:firstLineChars="200"/>
        <w:rPr>
          <w:rFonts w:hint="eastAsia" w:ascii="宋体" w:hAnsi="宋体" w:eastAsia="宋体" w:cs="宋体"/>
          <w:color w:val="auto"/>
          <w:kern w:val="2"/>
          <w:szCs w:val="21"/>
        </w:rPr>
      </w:pPr>
      <w:r>
        <w:rPr>
          <w:rFonts w:hint="eastAsia" w:ascii="宋体" w:hAnsi="宋体" w:eastAsia="宋体" w:cs="宋体"/>
          <w:color w:val="auto"/>
          <w:kern w:val="2"/>
          <w:szCs w:val="21"/>
        </w:rPr>
        <w:t>b)用户的需求以及运送物的类型；</w:t>
      </w:r>
    </w:p>
    <w:p w14:paraId="3FB87A45">
      <w:pPr>
        <w:pStyle w:val="65"/>
        <w:numPr>
          <w:ilvl w:val="3"/>
          <w:numId w:val="0"/>
        </w:numPr>
        <w:spacing w:before="156" w:after="156"/>
        <w:ind w:firstLine="420" w:firstLineChars="200"/>
        <w:rPr>
          <w:rFonts w:hint="eastAsia" w:ascii="宋体" w:hAnsi="宋体" w:eastAsia="宋体" w:cs="宋体"/>
          <w:color w:val="auto"/>
          <w:kern w:val="2"/>
          <w:szCs w:val="21"/>
        </w:rPr>
      </w:pPr>
      <w:r>
        <w:rPr>
          <w:rFonts w:hint="eastAsia" w:ascii="宋体" w:hAnsi="宋体" w:eastAsia="宋体" w:cs="宋体"/>
          <w:color w:val="auto"/>
          <w:kern w:val="2"/>
          <w:szCs w:val="21"/>
        </w:rPr>
        <w:t>c)电梯的外部环境要素，例如气候条件（雨雪、雷电、高温、严寒等）；</w:t>
      </w:r>
    </w:p>
    <w:p w14:paraId="23376CE2">
      <w:pPr>
        <w:pStyle w:val="56"/>
        <w:ind w:firstLine="420"/>
        <w:rPr>
          <w:color w:val="auto"/>
        </w:rPr>
      </w:pPr>
      <w:r>
        <w:rPr>
          <w:rFonts w:hint="eastAsia" w:hAnsi="宋体" w:cs="宋体"/>
          <w:color w:val="auto"/>
          <w:kern w:val="2"/>
          <w:szCs w:val="21"/>
        </w:rPr>
        <w:t>d）电梯历史故障情况。</w:t>
      </w:r>
    </w:p>
    <w:p w14:paraId="2058CCFB">
      <w:pPr>
        <w:pStyle w:val="162"/>
        <w:rPr>
          <w:rFonts w:hint="eastAsia"/>
          <w:lang w:val="en-US" w:eastAsia="zh-CN"/>
        </w:rPr>
      </w:pPr>
      <w:r>
        <w:rPr>
          <w:rFonts w:hint="eastAsia"/>
          <w:lang w:val="en-US" w:eastAsia="zh-CN"/>
        </w:rPr>
        <w:t>使用单位应对电梯设备故障做出详细记录，包含故障的时间、原因、处理方式及结果，以便后续有效预防。</w:t>
      </w:r>
    </w:p>
    <w:p w14:paraId="11F0DFC6">
      <w:pPr>
        <w:pStyle w:val="162"/>
        <w:rPr>
          <w:rFonts w:hint="eastAsia"/>
          <w:lang w:val="en-US" w:eastAsia="zh-CN"/>
        </w:rPr>
      </w:pPr>
      <w:r>
        <w:rPr>
          <w:rFonts w:hint="eastAsia"/>
          <w:lang w:val="en-US" w:eastAsia="zh-CN"/>
        </w:rPr>
        <w:t>电梯维护保养记录、自行检测记录保存期应不少于6年。</w:t>
      </w:r>
    </w:p>
    <w:p w14:paraId="28246871">
      <w:pPr>
        <w:pStyle w:val="162"/>
        <w:rPr>
          <w:rFonts w:hint="eastAsia"/>
          <w:lang w:val="en-US" w:eastAsia="zh-CN"/>
        </w:rPr>
      </w:pPr>
      <w:r>
        <w:rPr>
          <w:rFonts w:hint="eastAsia"/>
          <w:lang w:val="en-US" w:eastAsia="zh-CN"/>
        </w:rPr>
        <w:t>使用单位应定期对电梯进行抗震性能的检查和维护，确保其始终处于最佳状态。</w:t>
      </w:r>
    </w:p>
    <w:p w14:paraId="17C76FED">
      <w:pPr>
        <w:pStyle w:val="162"/>
        <w:rPr>
          <w:rFonts w:hint="eastAsia"/>
          <w:lang w:val="en-US" w:eastAsia="zh-CN"/>
        </w:rPr>
      </w:pPr>
      <w:r>
        <w:rPr>
          <w:rFonts w:hint="eastAsia"/>
          <w:lang w:val="en-US" w:eastAsia="zh-CN"/>
        </w:rPr>
        <w:t>对于连廊和井道与原建筑之间采用刚性连接的，使用单位应定期对其连接部位进行检查，发现异常应立即停梯。</w:t>
      </w:r>
    </w:p>
    <w:p w14:paraId="6D92393F">
      <w:pPr>
        <w:pStyle w:val="162"/>
        <w:rPr>
          <w:rFonts w:hint="eastAsia"/>
          <w:lang w:val="en-US" w:eastAsia="zh-CN"/>
        </w:rPr>
      </w:pPr>
      <w:r>
        <w:rPr>
          <w:rFonts w:hint="eastAsia"/>
          <w:lang w:val="en-US" w:eastAsia="zh-CN"/>
        </w:rPr>
        <w:t>电梯使用单位宜按照 DB 14/T 3096.3-2024的相关规定，定期对电梯进行风险分级管控与隐患排查治理。</w:t>
      </w:r>
    </w:p>
    <w:p w14:paraId="1DAB214C">
      <w:pPr>
        <w:pStyle w:val="162"/>
        <w:rPr>
          <w:rFonts w:hint="eastAsia"/>
          <w:lang w:val="en-US" w:eastAsia="zh-CN"/>
        </w:rPr>
      </w:pPr>
      <w:r>
        <w:rPr>
          <w:rFonts w:hint="eastAsia"/>
          <w:lang w:val="en-US" w:eastAsia="zh-CN"/>
        </w:rPr>
        <w:t>电梯使用单位在发现下列情况时，应立即停梯并告知电梯维护保养单位协助排查。</w:t>
      </w:r>
    </w:p>
    <w:p w14:paraId="49291A61">
      <w:pPr>
        <w:pStyle w:val="65"/>
        <w:numPr>
          <w:ilvl w:val="3"/>
          <w:numId w:val="0"/>
        </w:numPr>
        <w:spacing w:before="156" w:after="156"/>
        <w:ind w:leftChars="0"/>
        <w:rPr>
          <w:rFonts w:hint="eastAsia" w:ascii="宋体" w:hAnsi="宋体" w:eastAsia="宋体" w:cs="宋体"/>
          <w:color w:val="auto"/>
        </w:rPr>
      </w:pPr>
      <w:r>
        <w:rPr>
          <w:rFonts w:hint="eastAsia" w:ascii="宋体" w:hAnsi="宋体" w:eastAsia="宋体" w:cs="宋体"/>
          <w:b w:val="0"/>
          <w:bCs w:val="0"/>
          <w:color w:val="auto"/>
          <w:lang w:val="en-US" w:eastAsia="zh-CN"/>
        </w:rPr>
        <w:t>6.10.1</w:t>
      </w:r>
      <w:r>
        <w:rPr>
          <w:rFonts w:hint="eastAsia" w:ascii="宋体" w:hAnsi="宋体" w:eastAsia="宋体" w:cs="宋体"/>
          <w:color w:val="auto"/>
        </w:rPr>
        <w:t>电梯设备</w:t>
      </w:r>
    </w:p>
    <w:p w14:paraId="48E5D6CD">
      <w:pPr>
        <w:numPr>
          <w:ilvl w:val="0"/>
          <w:numId w:val="32"/>
        </w:numPr>
        <w:ind w:left="0" w:firstLine="420" w:firstLineChars="200"/>
        <w:rPr>
          <w:color w:val="auto"/>
        </w:rPr>
      </w:pPr>
      <w:r>
        <w:rPr>
          <w:rFonts w:hint="eastAsia"/>
          <w:color w:val="auto"/>
        </w:rPr>
        <w:t>电梯设备运行出现异响或异常抖动；</w:t>
      </w:r>
    </w:p>
    <w:p w14:paraId="346E4EF7">
      <w:pPr>
        <w:numPr>
          <w:ilvl w:val="0"/>
          <w:numId w:val="32"/>
        </w:numPr>
        <w:ind w:left="0" w:firstLine="420" w:firstLineChars="200"/>
        <w:rPr>
          <w:color w:val="auto"/>
        </w:rPr>
      </w:pPr>
      <w:r>
        <w:rPr>
          <w:rFonts w:hint="eastAsia"/>
          <w:color w:val="auto"/>
        </w:rPr>
        <w:t>电梯设备在危险状况下运行时；</w:t>
      </w:r>
    </w:p>
    <w:p w14:paraId="06D82111">
      <w:pPr>
        <w:numPr>
          <w:ilvl w:val="0"/>
          <w:numId w:val="32"/>
        </w:numPr>
        <w:ind w:left="0" w:firstLine="420" w:firstLineChars="200"/>
        <w:rPr>
          <w:color w:val="auto"/>
        </w:rPr>
      </w:pPr>
      <w:r>
        <w:rPr>
          <w:rFonts w:hint="eastAsia"/>
          <w:color w:val="auto"/>
        </w:rPr>
        <w:t>电梯未按指令正常运行时。</w:t>
      </w:r>
    </w:p>
    <w:p w14:paraId="2C7939A8">
      <w:pPr>
        <w:pStyle w:val="65"/>
        <w:numPr>
          <w:ilvl w:val="3"/>
          <w:numId w:val="0"/>
        </w:numPr>
        <w:spacing w:before="156" w:after="156"/>
        <w:ind w:leftChars="0"/>
        <w:rPr>
          <w:rFonts w:hint="eastAsia" w:ascii="宋体" w:hAnsi="宋体" w:eastAsia="宋体" w:cs="宋体"/>
          <w:color w:val="auto"/>
        </w:rPr>
      </w:pPr>
      <w:r>
        <w:rPr>
          <w:rFonts w:hint="eastAsia" w:ascii="宋体" w:hAnsi="宋体" w:eastAsia="宋体" w:cs="宋体"/>
          <w:color w:val="auto"/>
          <w:lang w:val="en-US" w:eastAsia="zh-CN"/>
        </w:rPr>
        <w:t>6.10.2</w:t>
      </w:r>
      <w:r>
        <w:rPr>
          <w:rFonts w:hint="eastAsia" w:ascii="宋体" w:hAnsi="宋体" w:eastAsia="宋体" w:cs="宋体"/>
          <w:color w:val="auto"/>
        </w:rPr>
        <w:t>新增建（构）筑物</w:t>
      </w:r>
    </w:p>
    <w:p w14:paraId="41A5A983">
      <w:pPr>
        <w:numPr>
          <w:ilvl w:val="0"/>
          <w:numId w:val="33"/>
        </w:numPr>
        <w:ind w:left="0" w:firstLine="420" w:firstLineChars="200"/>
        <w:rPr>
          <w:color w:val="auto"/>
        </w:rPr>
      </w:pPr>
      <w:r>
        <w:rPr>
          <w:rFonts w:hint="eastAsia"/>
          <w:color w:val="auto"/>
        </w:rPr>
        <w:t>新建井道（尤其是顶部）、连廊密封不良，出现漏雨时：</w:t>
      </w:r>
    </w:p>
    <w:p w14:paraId="0B64EB5F">
      <w:pPr>
        <w:numPr>
          <w:ilvl w:val="0"/>
          <w:numId w:val="33"/>
        </w:numPr>
        <w:ind w:left="0" w:firstLine="420" w:firstLineChars="200"/>
        <w:rPr>
          <w:color w:val="auto"/>
        </w:rPr>
      </w:pPr>
      <w:r>
        <w:rPr>
          <w:rFonts w:hint="eastAsia"/>
          <w:color w:val="auto"/>
        </w:rPr>
        <w:t>电梯底坑发生渗水，漏水情况时；</w:t>
      </w:r>
    </w:p>
    <w:p w14:paraId="39A65AC0">
      <w:pPr>
        <w:numPr>
          <w:ilvl w:val="0"/>
          <w:numId w:val="33"/>
        </w:numPr>
        <w:ind w:left="0" w:firstLine="420" w:firstLineChars="200"/>
        <w:rPr>
          <w:color w:val="auto"/>
        </w:rPr>
      </w:pPr>
      <w:r>
        <w:rPr>
          <w:rFonts w:hint="eastAsia"/>
          <w:color w:val="auto"/>
        </w:rPr>
        <w:t>连廊安全护栏、窗户出现破损等情况时；</w:t>
      </w:r>
    </w:p>
    <w:p w14:paraId="3DF45D47">
      <w:pPr>
        <w:numPr>
          <w:ilvl w:val="0"/>
          <w:numId w:val="33"/>
        </w:numPr>
        <w:ind w:left="0" w:firstLine="420" w:firstLineChars="200"/>
        <w:rPr>
          <w:color w:val="auto"/>
        </w:rPr>
      </w:pPr>
      <w:r>
        <w:rPr>
          <w:rFonts w:hint="eastAsia"/>
          <w:color w:val="auto"/>
        </w:rPr>
        <w:t>电梯底坑地基和井道外立面出现破损情况时；</w:t>
      </w:r>
    </w:p>
    <w:p w14:paraId="62AB4B5A">
      <w:pPr>
        <w:numPr>
          <w:ilvl w:val="0"/>
          <w:numId w:val="33"/>
        </w:numPr>
        <w:ind w:left="0" w:firstLine="420" w:firstLineChars="200"/>
        <w:rPr>
          <w:color w:val="auto"/>
        </w:rPr>
      </w:pPr>
      <w:r>
        <w:rPr>
          <w:rFonts w:hint="eastAsia"/>
          <w:color w:val="auto"/>
        </w:rPr>
        <w:t>电梯井道异常沉降、连廊及其与和原建筑物接口变形、移位时；</w:t>
      </w:r>
    </w:p>
    <w:p w14:paraId="60769E60">
      <w:pPr>
        <w:numPr>
          <w:ilvl w:val="0"/>
          <w:numId w:val="33"/>
        </w:numPr>
        <w:ind w:left="0" w:firstLine="420" w:firstLineChars="200"/>
        <w:rPr>
          <w:color w:val="auto"/>
        </w:rPr>
      </w:pPr>
      <w:r>
        <w:rPr>
          <w:rFonts w:hint="eastAsia" w:ascii="宋体" w:hAnsi="宋体" w:cs="宋体"/>
          <w:color w:val="auto"/>
        </w:rPr>
        <w:t>钢结构井道内部焊缝出现缺陷等；</w:t>
      </w:r>
    </w:p>
    <w:p w14:paraId="41A6AB2E">
      <w:pPr>
        <w:numPr>
          <w:ilvl w:val="0"/>
          <w:numId w:val="33"/>
        </w:numPr>
        <w:ind w:left="0" w:firstLine="420" w:firstLineChars="200"/>
        <w:rPr>
          <w:rFonts w:hint="eastAsia" w:ascii="宋体" w:hAnsi="宋体" w:cs="宋体"/>
          <w:color w:val="auto"/>
        </w:rPr>
      </w:pPr>
      <w:r>
        <w:rPr>
          <w:rFonts w:hint="eastAsia" w:ascii="宋体" w:hAnsi="宋体" w:cs="宋体"/>
          <w:color w:val="auto"/>
        </w:rPr>
        <w:t>跨越管线（水、电、气、热）的基坑出现变形或下沉时；</w:t>
      </w:r>
    </w:p>
    <w:p w14:paraId="3201E98A">
      <w:pPr>
        <w:numPr>
          <w:ilvl w:val="0"/>
          <w:numId w:val="33"/>
        </w:numPr>
        <w:ind w:left="0" w:firstLine="420" w:firstLineChars="200"/>
        <w:rPr>
          <w:color w:val="auto"/>
        </w:rPr>
      </w:pPr>
      <w:r>
        <w:rPr>
          <w:rFonts w:hint="eastAsia" w:ascii="宋体" w:hAnsi="宋体" w:cs="宋体"/>
          <w:color w:val="auto"/>
        </w:rPr>
        <w:t>电梯井道、连廊出现外墙、玻璃破损或脱落时</w:t>
      </w:r>
      <w:r>
        <w:rPr>
          <w:rFonts w:hint="eastAsia" w:ascii="宋体" w:hAnsi="宋体" w:cs="宋体"/>
          <w:color w:val="auto"/>
          <w:lang w:eastAsia="zh-CN"/>
        </w:rPr>
        <w:t>。</w:t>
      </w:r>
    </w:p>
    <w:p w14:paraId="0E692735">
      <w:pPr>
        <w:pStyle w:val="162"/>
        <w:rPr>
          <w:rFonts w:hint="eastAsia"/>
          <w:lang w:val="en-US" w:eastAsia="zh-CN"/>
        </w:rPr>
      </w:pPr>
      <w:r>
        <w:rPr>
          <w:rFonts w:hint="eastAsia"/>
          <w:lang w:val="en-US" w:eastAsia="zh-CN"/>
        </w:rPr>
        <w:t>电梯使用单位应在下列情况下进行充分的风险评价：</w:t>
      </w:r>
    </w:p>
    <w:p w14:paraId="7311C816">
      <w:pPr>
        <w:numPr>
          <w:ilvl w:val="0"/>
          <w:numId w:val="34"/>
        </w:numPr>
        <w:ind w:left="0" w:firstLine="420" w:firstLineChars="200"/>
        <w:rPr>
          <w:color w:val="auto"/>
        </w:rPr>
      </w:pPr>
      <w:r>
        <w:rPr>
          <w:rFonts w:hint="eastAsia"/>
          <w:color w:val="auto"/>
        </w:rPr>
        <w:t>电梯维护保养单位不再满足相应能力要求，需要更换维护保养单位；</w:t>
      </w:r>
    </w:p>
    <w:p w14:paraId="0C35D7CD">
      <w:pPr>
        <w:numPr>
          <w:ilvl w:val="0"/>
          <w:numId w:val="34"/>
        </w:numPr>
        <w:ind w:left="0" w:firstLine="420" w:firstLineChars="200"/>
        <w:rPr>
          <w:color w:val="auto"/>
        </w:rPr>
      </w:pPr>
      <w:r>
        <w:rPr>
          <w:rFonts w:hint="eastAsia"/>
          <w:color w:val="auto"/>
        </w:rPr>
        <w:t>电梯设备经改造后；</w:t>
      </w:r>
    </w:p>
    <w:p w14:paraId="08A484DB">
      <w:pPr>
        <w:numPr>
          <w:ilvl w:val="0"/>
          <w:numId w:val="34"/>
        </w:numPr>
        <w:ind w:left="0" w:firstLine="420" w:firstLineChars="200"/>
        <w:rPr>
          <w:color w:val="auto"/>
        </w:rPr>
      </w:pPr>
      <w:r>
        <w:rPr>
          <w:rFonts w:hint="eastAsia"/>
          <w:color w:val="auto"/>
        </w:rPr>
        <w:t>电梯设备发生安全事故后。</w:t>
      </w:r>
    </w:p>
    <w:p w14:paraId="2A896D92">
      <w:pPr>
        <w:pStyle w:val="162"/>
        <w:rPr>
          <w:rFonts w:hint="eastAsia"/>
          <w:lang w:val="en-US" w:eastAsia="zh-CN"/>
        </w:rPr>
      </w:pPr>
      <w:r>
        <w:rPr>
          <w:rFonts w:hint="eastAsia"/>
          <w:lang w:val="en-US" w:eastAsia="zh-CN"/>
        </w:rPr>
        <w:t>电梯使用单位应为每台电梯建立单独的台账，主要包括：</w:t>
      </w:r>
    </w:p>
    <w:p w14:paraId="753D53BA">
      <w:pPr>
        <w:numPr>
          <w:ilvl w:val="0"/>
          <w:numId w:val="35"/>
        </w:numPr>
        <w:spacing w:line="240" w:lineRule="auto"/>
        <w:ind w:left="0" w:firstLine="420" w:firstLineChars="200"/>
        <w:rPr>
          <w:color w:val="auto"/>
        </w:rPr>
      </w:pPr>
      <w:r>
        <w:rPr>
          <w:rFonts w:hint="eastAsia"/>
          <w:color w:val="auto"/>
        </w:rPr>
        <w:t>电梯出厂随机资料；</w:t>
      </w:r>
    </w:p>
    <w:p w14:paraId="4CC1F0AB">
      <w:pPr>
        <w:numPr>
          <w:ilvl w:val="0"/>
          <w:numId w:val="35"/>
        </w:numPr>
        <w:spacing w:line="240" w:lineRule="auto"/>
        <w:ind w:left="0" w:firstLine="420" w:firstLineChars="200"/>
        <w:rPr>
          <w:color w:val="auto"/>
        </w:rPr>
      </w:pPr>
      <w:r>
        <w:rPr>
          <w:rFonts w:hint="eastAsia"/>
          <w:color w:val="auto"/>
        </w:rPr>
        <w:t>使用登记证；</w:t>
      </w:r>
    </w:p>
    <w:p w14:paraId="473AB1C1">
      <w:pPr>
        <w:numPr>
          <w:ilvl w:val="0"/>
          <w:numId w:val="35"/>
        </w:numPr>
        <w:spacing w:line="240" w:lineRule="auto"/>
        <w:ind w:left="0" w:firstLine="420" w:firstLineChars="200"/>
        <w:rPr>
          <w:color w:val="auto"/>
        </w:rPr>
      </w:pPr>
      <w:r>
        <w:rPr>
          <w:rFonts w:hint="eastAsia"/>
          <w:color w:val="auto"/>
        </w:rPr>
        <w:t>监督检验报告；</w:t>
      </w:r>
    </w:p>
    <w:p w14:paraId="31C20697">
      <w:pPr>
        <w:numPr>
          <w:ilvl w:val="0"/>
          <w:numId w:val="35"/>
        </w:numPr>
        <w:spacing w:line="240" w:lineRule="auto"/>
        <w:ind w:left="0" w:firstLine="420" w:firstLineChars="200"/>
        <w:rPr>
          <w:color w:val="auto"/>
        </w:rPr>
      </w:pPr>
      <w:r>
        <w:rPr>
          <w:rFonts w:hint="eastAsia"/>
          <w:color w:val="auto"/>
        </w:rPr>
        <w:t>定期检验、检测报告；</w:t>
      </w:r>
    </w:p>
    <w:p w14:paraId="7B83A1A6">
      <w:pPr>
        <w:numPr>
          <w:ilvl w:val="0"/>
          <w:numId w:val="35"/>
        </w:numPr>
        <w:spacing w:line="240" w:lineRule="auto"/>
        <w:ind w:left="0" w:firstLine="420" w:firstLineChars="200"/>
        <w:rPr>
          <w:color w:val="auto"/>
        </w:rPr>
      </w:pPr>
      <w:r>
        <w:rPr>
          <w:rFonts w:hint="eastAsia"/>
          <w:color w:val="auto"/>
        </w:rPr>
        <w:t>维护保养合同；</w:t>
      </w:r>
    </w:p>
    <w:p w14:paraId="03DD527F">
      <w:pPr>
        <w:numPr>
          <w:ilvl w:val="0"/>
          <w:numId w:val="35"/>
        </w:numPr>
        <w:spacing w:line="240" w:lineRule="auto"/>
        <w:ind w:left="0" w:firstLine="420" w:firstLineChars="200"/>
        <w:rPr>
          <w:color w:val="auto"/>
        </w:rPr>
      </w:pPr>
      <w:r>
        <w:rPr>
          <w:rFonts w:hint="eastAsia"/>
          <w:color w:val="auto"/>
        </w:rPr>
        <w:t>更换零配件记录；</w:t>
      </w:r>
    </w:p>
    <w:p w14:paraId="5CB288E8">
      <w:pPr>
        <w:numPr>
          <w:ilvl w:val="0"/>
          <w:numId w:val="35"/>
        </w:numPr>
        <w:spacing w:line="240" w:lineRule="auto"/>
        <w:ind w:left="0" w:firstLine="420" w:firstLineChars="200"/>
        <w:rPr>
          <w:color w:val="auto"/>
        </w:rPr>
      </w:pPr>
      <w:r>
        <w:rPr>
          <w:rFonts w:hint="eastAsia"/>
          <w:color w:val="auto"/>
        </w:rPr>
        <w:t>安全管理制度、应急预案和应急演练记录；</w:t>
      </w:r>
    </w:p>
    <w:p w14:paraId="483B2404">
      <w:pPr>
        <w:numPr>
          <w:ilvl w:val="0"/>
          <w:numId w:val="35"/>
        </w:numPr>
        <w:spacing w:line="240" w:lineRule="auto"/>
        <w:ind w:left="0" w:firstLine="420" w:firstLineChars="200"/>
        <w:rPr>
          <w:color w:val="auto"/>
        </w:rPr>
      </w:pPr>
      <w:r>
        <w:rPr>
          <w:rFonts w:hint="eastAsia"/>
          <w:color w:val="auto"/>
        </w:rPr>
        <w:t>安全总监、安全管理员任命文件；</w:t>
      </w:r>
    </w:p>
    <w:p w14:paraId="1FE19156">
      <w:pPr>
        <w:numPr>
          <w:ilvl w:val="0"/>
          <w:numId w:val="35"/>
        </w:numPr>
        <w:spacing w:line="240" w:lineRule="auto"/>
        <w:ind w:left="0" w:firstLine="420" w:firstLineChars="200"/>
        <w:rPr>
          <w:color w:val="auto"/>
        </w:rPr>
      </w:pPr>
      <w:r>
        <w:rPr>
          <w:rFonts w:hint="eastAsia"/>
          <w:color w:val="auto"/>
        </w:rPr>
        <w:t>日管控、周排查、月调度记录。</w:t>
      </w:r>
    </w:p>
    <w:bookmarkEnd w:id="25"/>
    <w:p w14:paraId="108C9BA0">
      <w:pPr>
        <w:pStyle w:val="104"/>
        <w:spacing w:before="312" w:after="312"/>
        <w:rPr>
          <w:spacing w:val="-4"/>
        </w:rPr>
      </w:pPr>
      <w:bookmarkStart w:id="54" w:name="_Toc23035"/>
      <w:bookmarkStart w:id="55" w:name="BookMark5"/>
      <w:r>
        <w:rPr>
          <w:rFonts w:hint="eastAsia"/>
        </w:rPr>
        <w:t>应急处置</w:t>
      </w:r>
      <w:bookmarkEnd w:id="54"/>
    </w:p>
    <w:p w14:paraId="7D3B0F41">
      <w:pPr>
        <w:pStyle w:val="162"/>
      </w:pPr>
      <w:r>
        <w:rPr>
          <w:rFonts w:hint="eastAsia"/>
        </w:rPr>
        <w:t>电梯使用单位首次开展加装电梯管理工作，应每半年进行一次应急救援演练。</w:t>
      </w:r>
    </w:p>
    <w:p w14:paraId="5DC5316A">
      <w:pPr>
        <w:pStyle w:val="162"/>
      </w:pPr>
      <w:r>
        <w:rPr>
          <w:rFonts w:hint="eastAsia"/>
          <w:color w:val="002060"/>
        </w:rPr>
        <w:t>电梯困人时</w:t>
      </w:r>
      <w:r>
        <w:rPr>
          <w:rFonts w:hint="eastAsia"/>
        </w:rPr>
        <w:t>，电梯维护人员应在接到救援电话30分钟内抵达救援现场，开展救援，救援期间应与被困人保持沟通，持续做好乘客安抚工作。</w:t>
      </w:r>
    </w:p>
    <w:p w14:paraId="710592A3">
      <w:pPr>
        <w:pStyle w:val="162"/>
      </w:pPr>
      <w:r>
        <w:rPr>
          <w:rFonts w:hint="eastAsia"/>
        </w:rPr>
        <w:t>事故发生后，使用单位应积极配合相关部门做好事故调查工作。调查结束后，电梯维护保养单位应配合使用单位完成整改工作。</w:t>
      </w:r>
    </w:p>
    <w:p w14:paraId="7DD75CF7">
      <w:r>
        <w:rPr>
          <w:rFonts w:hint="eastAsia"/>
        </w:rPr>
        <w:br w:type="page"/>
      </w:r>
    </w:p>
    <w:p w14:paraId="4A166358">
      <w:pPr>
        <w:pStyle w:val="56"/>
        <w:ind w:firstLine="199" w:firstLineChars="95"/>
      </w:pPr>
    </w:p>
    <w:bookmarkEnd w:id="55"/>
    <w:p w14:paraId="57EE0B4C">
      <w:pPr>
        <w:pStyle w:val="63"/>
        <w:spacing w:before="124" w:after="156"/>
      </w:pPr>
      <w:bookmarkStart w:id="56" w:name="_Toc128743367"/>
      <w:bookmarkStart w:id="57" w:name="_Toc28441"/>
      <w:bookmarkStart w:id="58" w:name="BookMark6"/>
      <w:r>
        <w:rPr>
          <w:rFonts w:hint="eastAsia"/>
          <w:spacing w:val="105"/>
        </w:rPr>
        <w:t>参考文</w:t>
      </w:r>
      <w:r>
        <w:rPr>
          <w:rFonts w:hint="eastAsia"/>
        </w:rPr>
        <w:t>献</w:t>
      </w:r>
      <w:bookmarkEnd w:id="56"/>
      <w:bookmarkEnd w:id="57"/>
    </w:p>
    <w:bookmarkEnd w:id="58"/>
    <w:p w14:paraId="623444C4">
      <w:pPr>
        <w:pStyle w:val="13"/>
        <w:autoSpaceDE w:val="0"/>
        <w:autoSpaceDN w:val="0"/>
        <w:adjustRightInd/>
        <w:snapToGrid w:val="0"/>
        <w:spacing w:after="0"/>
        <w:ind w:left="420" w:leftChars="200"/>
        <w:jc w:val="left"/>
        <w:rPr>
          <w:sz w:val="20"/>
        </w:rPr>
      </w:pPr>
      <w:bookmarkStart w:id="59" w:name="BookMark7"/>
      <w:r>
        <w:rPr>
          <w:rFonts w:hint="eastAsia"/>
          <w:sz w:val="20"/>
        </w:rPr>
        <w:t>[1] TSG 07-2019 《特种设备生产和充装单位许可规则》</w:t>
      </w:r>
    </w:p>
    <w:p w14:paraId="0A3EEB19">
      <w:pPr>
        <w:pStyle w:val="13"/>
        <w:autoSpaceDE w:val="0"/>
        <w:autoSpaceDN w:val="0"/>
        <w:adjustRightInd/>
        <w:snapToGrid w:val="0"/>
        <w:spacing w:after="0"/>
        <w:ind w:left="420" w:leftChars="200"/>
        <w:jc w:val="left"/>
        <w:rPr>
          <w:sz w:val="20"/>
        </w:rPr>
      </w:pPr>
      <w:r>
        <w:rPr>
          <w:rFonts w:hint="eastAsia"/>
        </w:rPr>
        <w:t>[2</w:t>
      </w:r>
      <w:r>
        <w:t>]</w:t>
      </w:r>
      <w:r>
        <w:rPr>
          <w:rFonts w:hint="eastAsia"/>
          <w:sz w:val="20"/>
        </w:rPr>
        <w:t xml:space="preserve"> TSG 08-2017 《特种设备使用管理规则》</w:t>
      </w:r>
    </w:p>
    <w:p w14:paraId="2ACDD408">
      <w:pPr>
        <w:pStyle w:val="13"/>
        <w:autoSpaceDE w:val="0"/>
        <w:autoSpaceDN w:val="0"/>
        <w:adjustRightInd/>
        <w:snapToGrid w:val="0"/>
        <w:spacing w:after="0"/>
        <w:ind w:left="420" w:leftChars="200"/>
        <w:jc w:val="left"/>
        <w:rPr>
          <w:sz w:val="20"/>
        </w:rPr>
      </w:pPr>
      <w:r>
        <w:rPr>
          <w:rFonts w:hint="eastAsia"/>
          <w:sz w:val="20"/>
        </w:rPr>
        <w:t>[3] TSG 5002 《电梯维护保养规则》</w:t>
      </w:r>
    </w:p>
    <w:p w14:paraId="354C085B">
      <w:pPr>
        <w:pStyle w:val="13"/>
        <w:autoSpaceDE w:val="0"/>
        <w:autoSpaceDN w:val="0"/>
        <w:adjustRightInd/>
        <w:snapToGrid w:val="0"/>
        <w:spacing w:after="0"/>
        <w:ind w:left="420" w:leftChars="200"/>
        <w:jc w:val="left"/>
        <w:rPr>
          <w:sz w:val="20"/>
        </w:rPr>
      </w:pPr>
      <w:r>
        <w:rPr>
          <w:rFonts w:hint="eastAsia"/>
          <w:sz w:val="20"/>
        </w:rPr>
        <w:t>[4] 特种设备使用单位落实使用安全主体责任监督管理规定（国家市场监督管理总局令第74号）</w:t>
      </w:r>
    </w:p>
    <w:p w14:paraId="40E94F8B">
      <w:pPr>
        <w:pStyle w:val="109"/>
        <w:numPr>
          <w:ilvl w:val="0"/>
          <w:numId w:val="0"/>
        </w:numPr>
        <w:ind w:left="1276" w:hanging="425"/>
      </w:pPr>
    </w:p>
    <w:p w14:paraId="6B6E8513">
      <w:pPr>
        <w:pStyle w:val="109"/>
        <w:numPr>
          <w:ilvl w:val="0"/>
          <w:numId w:val="0"/>
        </w:numPr>
        <w:ind w:left="1276" w:hanging="425"/>
      </w:pPr>
    </w:p>
    <w:p w14:paraId="46696B31">
      <w:pPr>
        <w:pStyle w:val="109"/>
        <w:numPr>
          <w:ilvl w:val="0"/>
          <w:numId w:val="0"/>
        </w:numPr>
        <w:ind w:left="1276" w:hanging="425"/>
      </w:pPr>
    </w:p>
    <w:p w14:paraId="4F4473B1">
      <w:pPr>
        <w:pStyle w:val="109"/>
        <w:numPr>
          <w:ilvl w:val="0"/>
          <w:numId w:val="0"/>
        </w:numPr>
        <w:ind w:left="1276" w:hanging="425"/>
      </w:pPr>
    </w:p>
    <w:p w14:paraId="1C2BD3CF">
      <w:pPr>
        <w:pStyle w:val="109"/>
        <w:numPr>
          <w:ilvl w:val="0"/>
          <w:numId w:val="0"/>
        </w:numPr>
        <w:ind w:left="1276" w:hanging="425"/>
      </w:pPr>
    </w:p>
    <w:p w14:paraId="0C29F6B6">
      <w:pPr>
        <w:pStyle w:val="109"/>
        <w:numPr>
          <w:ilvl w:val="0"/>
          <w:numId w:val="0"/>
        </w:numPr>
        <w:ind w:left="1276" w:hanging="425"/>
      </w:pPr>
    </w:p>
    <w:p w14:paraId="6032A6E8">
      <w:pPr>
        <w:pStyle w:val="109"/>
        <w:numPr>
          <w:ilvl w:val="0"/>
          <w:numId w:val="0"/>
        </w:numPr>
        <w:ind w:left="1276" w:hanging="425"/>
      </w:pPr>
    </w:p>
    <w:p w14:paraId="03FBF1B3">
      <w:pPr>
        <w:pStyle w:val="109"/>
        <w:numPr>
          <w:ilvl w:val="0"/>
          <w:numId w:val="0"/>
        </w:numPr>
        <w:ind w:left="1276" w:hanging="425"/>
      </w:pPr>
    </w:p>
    <w:p w14:paraId="5A4CBA77">
      <w:pPr>
        <w:pStyle w:val="109"/>
        <w:numPr>
          <w:ilvl w:val="0"/>
          <w:numId w:val="0"/>
        </w:numPr>
        <w:ind w:left="1276" w:hanging="425"/>
      </w:pPr>
    </w:p>
    <w:p w14:paraId="07247E61">
      <w:pPr>
        <w:pStyle w:val="109"/>
        <w:numPr>
          <w:ilvl w:val="0"/>
          <w:numId w:val="0"/>
        </w:numPr>
        <w:ind w:left="1276" w:hanging="425"/>
      </w:pPr>
    </w:p>
    <w:p w14:paraId="0272281E">
      <w:pPr>
        <w:pStyle w:val="109"/>
        <w:numPr>
          <w:ilvl w:val="0"/>
          <w:numId w:val="0"/>
        </w:numPr>
        <w:ind w:left="1276" w:hanging="425"/>
      </w:pPr>
    </w:p>
    <w:p w14:paraId="23DAA53F">
      <w:pPr>
        <w:pStyle w:val="109"/>
        <w:numPr>
          <w:ilvl w:val="0"/>
          <w:numId w:val="0"/>
        </w:numPr>
        <w:ind w:left="1276" w:hanging="425"/>
      </w:pPr>
    </w:p>
    <w:p w14:paraId="70818DBF">
      <w:pPr>
        <w:pStyle w:val="109"/>
        <w:numPr>
          <w:ilvl w:val="0"/>
          <w:numId w:val="0"/>
        </w:numPr>
        <w:ind w:left="1276" w:hanging="425"/>
      </w:pPr>
    </w:p>
    <w:p w14:paraId="2CF10727">
      <w:pPr>
        <w:pStyle w:val="109"/>
        <w:numPr>
          <w:ilvl w:val="0"/>
          <w:numId w:val="0"/>
        </w:numPr>
        <w:ind w:left="1276" w:hanging="425"/>
      </w:pPr>
    </w:p>
    <w:p w14:paraId="31E1E43B">
      <w:pPr>
        <w:pStyle w:val="109"/>
        <w:numPr>
          <w:ilvl w:val="0"/>
          <w:numId w:val="0"/>
        </w:numPr>
        <w:ind w:left="1276" w:hanging="425"/>
      </w:pPr>
    </w:p>
    <w:p w14:paraId="6BF9DEC7">
      <w:pPr>
        <w:pStyle w:val="109"/>
        <w:numPr>
          <w:ilvl w:val="0"/>
          <w:numId w:val="0"/>
        </w:numPr>
        <w:ind w:left="1276" w:hanging="425"/>
      </w:pPr>
    </w:p>
    <w:p w14:paraId="0EEB7BD7">
      <w:pPr>
        <w:pStyle w:val="109"/>
        <w:numPr>
          <w:ilvl w:val="0"/>
          <w:numId w:val="0"/>
        </w:numPr>
        <w:ind w:left="1276" w:hanging="425"/>
      </w:pPr>
    </w:p>
    <w:p w14:paraId="5ADAA1D6">
      <w:pPr>
        <w:pStyle w:val="109"/>
        <w:numPr>
          <w:ilvl w:val="0"/>
          <w:numId w:val="0"/>
        </w:numPr>
        <w:ind w:left="1276" w:hanging="425"/>
      </w:pPr>
    </w:p>
    <w:p w14:paraId="44E1A174">
      <w:pPr>
        <w:pStyle w:val="109"/>
        <w:numPr>
          <w:ilvl w:val="0"/>
          <w:numId w:val="0"/>
        </w:numPr>
        <w:ind w:left="1276" w:hanging="425"/>
      </w:pPr>
    </w:p>
    <w:p w14:paraId="660A38B2">
      <w:pPr>
        <w:pStyle w:val="109"/>
        <w:numPr>
          <w:ilvl w:val="0"/>
          <w:numId w:val="0"/>
        </w:numPr>
        <w:ind w:left="1276" w:hanging="425"/>
      </w:pPr>
    </w:p>
    <w:p w14:paraId="2B49647E">
      <w:pPr>
        <w:pStyle w:val="109"/>
        <w:numPr>
          <w:ilvl w:val="0"/>
          <w:numId w:val="0"/>
        </w:numPr>
        <w:ind w:left="1276" w:hanging="425"/>
      </w:pPr>
    </w:p>
    <w:p w14:paraId="1E1FE62E">
      <w:pPr>
        <w:pStyle w:val="109"/>
        <w:numPr>
          <w:ilvl w:val="0"/>
          <w:numId w:val="0"/>
        </w:numPr>
        <w:ind w:left="1276" w:hanging="425"/>
      </w:pPr>
    </w:p>
    <w:p w14:paraId="3830CC17">
      <w:pPr>
        <w:pStyle w:val="109"/>
        <w:numPr>
          <w:ilvl w:val="0"/>
          <w:numId w:val="0"/>
        </w:numPr>
        <w:ind w:left="1276" w:hanging="425"/>
      </w:pPr>
    </w:p>
    <w:p w14:paraId="46D049AD">
      <w:pPr>
        <w:pStyle w:val="109"/>
        <w:numPr>
          <w:ilvl w:val="0"/>
          <w:numId w:val="0"/>
        </w:numPr>
        <w:ind w:left="1276" w:hanging="425"/>
      </w:pPr>
    </w:p>
    <w:p w14:paraId="3FD27719">
      <w:pPr>
        <w:pStyle w:val="109"/>
        <w:numPr>
          <w:ilvl w:val="0"/>
          <w:numId w:val="0"/>
        </w:numPr>
        <w:ind w:left="1276" w:hanging="425"/>
      </w:pPr>
    </w:p>
    <w:p w14:paraId="247CFD34">
      <w:pPr>
        <w:pStyle w:val="109"/>
        <w:numPr>
          <w:ilvl w:val="0"/>
          <w:numId w:val="0"/>
        </w:numPr>
        <w:ind w:left="1276" w:hanging="425"/>
      </w:pPr>
    </w:p>
    <w:p w14:paraId="51196F18">
      <w:pPr>
        <w:pStyle w:val="109"/>
        <w:numPr>
          <w:ilvl w:val="0"/>
          <w:numId w:val="0"/>
        </w:numPr>
        <w:ind w:left="1276" w:hanging="425"/>
      </w:pPr>
    </w:p>
    <w:p w14:paraId="5ADDA773">
      <w:pPr>
        <w:pStyle w:val="109"/>
        <w:numPr>
          <w:ilvl w:val="0"/>
          <w:numId w:val="0"/>
        </w:numPr>
        <w:ind w:left="1276" w:hanging="425"/>
      </w:pPr>
    </w:p>
    <w:p w14:paraId="15EDEBF4">
      <w:pPr>
        <w:pStyle w:val="109"/>
        <w:numPr>
          <w:ilvl w:val="0"/>
          <w:numId w:val="0"/>
        </w:numPr>
        <w:ind w:left="1276" w:hanging="425"/>
      </w:pPr>
    </w:p>
    <w:p w14:paraId="4E421154">
      <w:pPr>
        <w:pStyle w:val="109"/>
        <w:numPr>
          <w:ilvl w:val="0"/>
          <w:numId w:val="0"/>
        </w:numPr>
        <w:ind w:left="1276" w:hanging="425"/>
      </w:pPr>
    </w:p>
    <w:p w14:paraId="0F4884D2">
      <w:pPr>
        <w:pStyle w:val="109"/>
        <w:numPr>
          <w:ilvl w:val="0"/>
          <w:numId w:val="0"/>
        </w:numPr>
        <w:ind w:left="1276" w:hanging="425"/>
      </w:pPr>
    </w:p>
    <w:p w14:paraId="0DFB0FFF">
      <w:pPr>
        <w:pStyle w:val="109"/>
        <w:numPr>
          <w:ilvl w:val="0"/>
          <w:numId w:val="0"/>
        </w:numPr>
        <w:ind w:left="1276" w:hanging="425"/>
      </w:pPr>
    </w:p>
    <w:bookmarkEnd w:id="59"/>
    <w:p w14:paraId="519D6215">
      <w:pPr>
        <w:pStyle w:val="174"/>
        <w:numPr>
          <w:ilvl w:val="0"/>
          <w:numId w:val="0"/>
        </w:numPr>
        <w:spacing w:line="20" w:lineRule="exact"/>
      </w:pPr>
    </w:p>
    <w:sectPr>
      <w:headerReference r:id="rId19" w:type="default"/>
      <w:footerReference r:id="rId21" w:type="default"/>
      <w:headerReference r:id="rId20" w:type="even"/>
      <w:footerReference r:id="rId22" w:type="even"/>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auto"/>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DECA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293E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03D4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4A7E3">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4E5F9">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6B98A">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C6582">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3681C">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F8EC2">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26A34">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DDFF2">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6939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8DE19">
    <w:pPr>
      <w:pStyle w:val="61"/>
      <w:rPr>
        <w:rFonts w:hint="eastAsia"/>
      </w:rPr>
    </w:pPr>
    <w:r>
      <w:fldChar w:fldCharType="begin"/>
    </w:r>
    <w:r>
      <w:instrText xml:space="preserve"> STYLEREF  标准文件_文件编号  \* MERGEFORMAT </w:instrText>
    </w:r>
    <w:r>
      <w:fldChar w:fldCharType="separate"/>
    </w:r>
    <w:r>
      <w:t>DB 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653CA">
    <w:pPr>
      <w:pStyle w:val="62"/>
      <w:rPr>
        <w:rFonts w:hint="eastAsia"/>
      </w:rPr>
    </w:pPr>
    <w:r>
      <w:fldChar w:fldCharType="begin"/>
    </w:r>
    <w:r>
      <w:instrText xml:space="preserve"> STYLEREF  标准文件_文件编号 \* MERGEFORMAT </w:instrText>
    </w:r>
    <w:r>
      <w:fldChar w:fldCharType="separate"/>
    </w:r>
    <w:r>
      <w:t>DB 14/T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B57D2">
    <w:pPr>
      <w:pStyle w:val="61"/>
      <w:rPr>
        <w:rFonts w:hint="eastAsia"/>
      </w:rPr>
    </w:pPr>
    <w:r>
      <w:fldChar w:fldCharType="begin"/>
    </w:r>
    <w:r>
      <w:instrText xml:space="preserve"> STYLEREF  标准文件_文件编号  \* MERGEFORMAT </w:instrText>
    </w:r>
    <w:r>
      <w:fldChar w:fldCharType="separate"/>
    </w:r>
    <w:r>
      <w:t>DB 14/T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FB2C6">
    <w:pPr>
      <w:pStyle w:val="62"/>
      <w:rPr>
        <w:rFonts w:hint="eastAsia"/>
      </w:rPr>
    </w:pPr>
    <w:r>
      <w:fldChar w:fldCharType="begin"/>
    </w:r>
    <w:r>
      <w:instrText xml:space="preserve"> STYLEREF  标准文件_文件编号 \* MERGEFORMAT </w:instrText>
    </w:r>
    <w:r>
      <w:fldChar w:fldCharType="separate"/>
    </w:r>
    <w:r>
      <w:t>DB 14/T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AB959">
    <w:pPr>
      <w:pStyle w:val="61"/>
      <w:rPr>
        <w:rFonts w:hint="eastAsia"/>
      </w:rPr>
    </w:pPr>
    <w:r>
      <w:fldChar w:fldCharType="begin"/>
    </w:r>
    <w:r>
      <w:instrText xml:space="preserve"> STYLEREF  标准文件_文件编号  \* MERGEFORMAT </w:instrText>
    </w:r>
    <w:r>
      <w:fldChar w:fldCharType="separate"/>
    </w:r>
    <w:r>
      <w:t>DB 14/T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E80CF">
    <w:pPr>
      <w:pStyle w:val="62"/>
      <w:rPr>
        <w:rFonts w:hint="eastAsia"/>
      </w:rPr>
    </w:pPr>
    <w:r>
      <w:fldChar w:fldCharType="begin"/>
    </w:r>
    <w:r>
      <w:instrText xml:space="preserve"> STYLEREF  标准文件_文件编号 \* MERGEFORMAT </w:instrText>
    </w:r>
    <w:r>
      <w:fldChar w:fldCharType="separate"/>
    </w:r>
    <w:r>
      <w:t>DB 14/T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CEA1CAA"/>
    <w:multiLevelType w:val="multilevel"/>
    <w:tmpl w:val="4CEA1CAA"/>
    <w:lvl w:ilvl="0" w:tentative="0">
      <w:start w:val="1"/>
      <w:numFmt w:val="lowerLetter"/>
      <w:lvlText w:val="%1)"/>
      <w:lvlJc w:val="left"/>
      <w:pPr>
        <w:ind w:left="1266" w:hanging="420"/>
        <w:jc w:val="left"/>
      </w:pPr>
      <w:rPr>
        <w:rFonts w:hint="default" w:ascii="宋体" w:hAnsi="宋体" w:eastAsia="宋体" w:cs="宋体"/>
        <w:b w:val="0"/>
        <w:bCs w:val="0"/>
        <w:i w:val="0"/>
        <w:iCs w:val="0"/>
        <w:spacing w:val="0"/>
        <w:w w:val="99"/>
        <w:sz w:val="20"/>
        <w:szCs w:val="20"/>
        <w:lang w:val="en-US" w:eastAsia="en-US" w:bidi="ar-SA"/>
      </w:rPr>
    </w:lvl>
    <w:lvl w:ilvl="1" w:tentative="0">
      <w:start w:val="0"/>
      <w:numFmt w:val="bullet"/>
      <w:lvlText w:val="•"/>
      <w:lvlJc w:val="left"/>
      <w:pPr>
        <w:ind w:left="2154" w:hanging="420"/>
      </w:pPr>
      <w:rPr>
        <w:rFonts w:hint="default"/>
        <w:lang w:val="en-US" w:eastAsia="en-US" w:bidi="ar-SA"/>
      </w:rPr>
    </w:lvl>
    <w:lvl w:ilvl="2" w:tentative="0">
      <w:start w:val="0"/>
      <w:numFmt w:val="bullet"/>
      <w:lvlText w:val="•"/>
      <w:lvlJc w:val="left"/>
      <w:pPr>
        <w:ind w:left="3049" w:hanging="420"/>
      </w:pPr>
      <w:rPr>
        <w:rFonts w:hint="default"/>
        <w:lang w:val="en-US" w:eastAsia="en-US" w:bidi="ar-SA"/>
      </w:rPr>
    </w:lvl>
    <w:lvl w:ilvl="3" w:tentative="0">
      <w:start w:val="0"/>
      <w:numFmt w:val="bullet"/>
      <w:lvlText w:val="•"/>
      <w:lvlJc w:val="left"/>
      <w:pPr>
        <w:ind w:left="3943" w:hanging="420"/>
      </w:pPr>
      <w:rPr>
        <w:rFonts w:hint="default"/>
        <w:lang w:val="en-US" w:eastAsia="en-US" w:bidi="ar-SA"/>
      </w:rPr>
    </w:lvl>
    <w:lvl w:ilvl="4" w:tentative="0">
      <w:start w:val="0"/>
      <w:numFmt w:val="bullet"/>
      <w:lvlText w:val="•"/>
      <w:lvlJc w:val="left"/>
      <w:pPr>
        <w:ind w:left="4838" w:hanging="420"/>
      </w:pPr>
      <w:rPr>
        <w:rFonts w:hint="default"/>
        <w:lang w:val="en-US" w:eastAsia="en-US" w:bidi="ar-SA"/>
      </w:rPr>
    </w:lvl>
    <w:lvl w:ilvl="5" w:tentative="0">
      <w:start w:val="0"/>
      <w:numFmt w:val="bullet"/>
      <w:lvlText w:val="•"/>
      <w:lvlJc w:val="left"/>
      <w:pPr>
        <w:ind w:left="5733" w:hanging="420"/>
      </w:pPr>
      <w:rPr>
        <w:rFonts w:hint="default"/>
        <w:lang w:val="en-US" w:eastAsia="en-US" w:bidi="ar-SA"/>
      </w:rPr>
    </w:lvl>
    <w:lvl w:ilvl="6" w:tentative="0">
      <w:start w:val="0"/>
      <w:numFmt w:val="bullet"/>
      <w:lvlText w:val="•"/>
      <w:lvlJc w:val="left"/>
      <w:pPr>
        <w:ind w:left="6627" w:hanging="420"/>
      </w:pPr>
      <w:rPr>
        <w:rFonts w:hint="default"/>
        <w:lang w:val="en-US" w:eastAsia="en-US" w:bidi="ar-SA"/>
      </w:rPr>
    </w:lvl>
    <w:lvl w:ilvl="7" w:tentative="0">
      <w:start w:val="0"/>
      <w:numFmt w:val="bullet"/>
      <w:lvlText w:val="•"/>
      <w:lvlJc w:val="left"/>
      <w:pPr>
        <w:ind w:left="7522" w:hanging="420"/>
      </w:pPr>
      <w:rPr>
        <w:rFonts w:hint="default"/>
        <w:lang w:val="en-US" w:eastAsia="en-US" w:bidi="ar-SA"/>
      </w:rPr>
    </w:lvl>
    <w:lvl w:ilvl="8" w:tentative="0">
      <w:start w:val="0"/>
      <w:numFmt w:val="bullet"/>
      <w:lvlText w:val="•"/>
      <w:lvlJc w:val="left"/>
      <w:pPr>
        <w:ind w:left="8417" w:hanging="420"/>
      </w:pPr>
      <w:rPr>
        <w:rFonts w:hint="default"/>
        <w:lang w:val="en-US" w:eastAsia="en-US" w:bidi="ar-S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1276" w:firstLine="0"/>
      </w:pPr>
      <w:rPr>
        <w:rFonts w:hint="eastAsia" w:ascii="黑体" w:eastAsia="黑体"/>
        <w:b w:val="0"/>
        <w:i w:val="0"/>
        <w:sz w:val="21"/>
      </w:rPr>
    </w:lvl>
    <w:lvl w:ilvl="4" w:tentative="0">
      <w:start w:val="1"/>
      <w:numFmt w:val="decimal"/>
      <w:pStyle w:val="94"/>
      <w:suff w:val="nothing"/>
      <w:lvlText w:val="%1%2.%3.%4.%5　"/>
      <w:lvlJc w:val="left"/>
      <w:pPr>
        <w:ind w:left="156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76C013A5"/>
    <w:multiLevelType w:val="multilevel"/>
    <w:tmpl w:val="76C013A5"/>
    <w:lvl w:ilvl="0" w:tentative="0">
      <w:start w:val="1"/>
      <w:numFmt w:val="lowerLetter"/>
      <w:lvlText w:val="%1)"/>
      <w:lvlJc w:val="left"/>
      <w:pPr>
        <w:ind w:left="1266" w:hanging="420"/>
        <w:jc w:val="left"/>
      </w:pPr>
      <w:rPr>
        <w:rFonts w:hint="default" w:ascii="宋体" w:hAnsi="宋体" w:eastAsia="宋体" w:cs="宋体"/>
        <w:b w:val="0"/>
        <w:bCs w:val="0"/>
        <w:i w:val="0"/>
        <w:iCs w:val="0"/>
        <w:spacing w:val="0"/>
        <w:w w:val="99"/>
        <w:sz w:val="20"/>
        <w:szCs w:val="20"/>
        <w:lang w:val="en-US" w:eastAsia="en-US" w:bidi="ar-SA"/>
      </w:rPr>
    </w:lvl>
    <w:lvl w:ilvl="1" w:tentative="0">
      <w:start w:val="0"/>
      <w:numFmt w:val="bullet"/>
      <w:lvlText w:val="•"/>
      <w:lvlJc w:val="left"/>
      <w:pPr>
        <w:ind w:left="2154" w:hanging="420"/>
      </w:pPr>
      <w:rPr>
        <w:rFonts w:hint="default"/>
        <w:lang w:val="en-US" w:eastAsia="en-US" w:bidi="ar-SA"/>
      </w:rPr>
    </w:lvl>
    <w:lvl w:ilvl="2" w:tentative="0">
      <w:start w:val="0"/>
      <w:numFmt w:val="bullet"/>
      <w:lvlText w:val="•"/>
      <w:lvlJc w:val="left"/>
      <w:pPr>
        <w:ind w:left="3049" w:hanging="420"/>
      </w:pPr>
      <w:rPr>
        <w:rFonts w:hint="default"/>
        <w:lang w:val="en-US" w:eastAsia="en-US" w:bidi="ar-SA"/>
      </w:rPr>
    </w:lvl>
    <w:lvl w:ilvl="3" w:tentative="0">
      <w:start w:val="0"/>
      <w:numFmt w:val="bullet"/>
      <w:lvlText w:val="•"/>
      <w:lvlJc w:val="left"/>
      <w:pPr>
        <w:ind w:left="3943" w:hanging="420"/>
      </w:pPr>
      <w:rPr>
        <w:rFonts w:hint="default"/>
        <w:lang w:val="en-US" w:eastAsia="en-US" w:bidi="ar-SA"/>
      </w:rPr>
    </w:lvl>
    <w:lvl w:ilvl="4" w:tentative="0">
      <w:start w:val="0"/>
      <w:numFmt w:val="bullet"/>
      <w:lvlText w:val="•"/>
      <w:lvlJc w:val="left"/>
      <w:pPr>
        <w:ind w:left="4838" w:hanging="420"/>
      </w:pPr>
      <w:rPr>
        <w:rFonts w:hint="default"/>
        <w:lang w:val="en-US" w:eastAsia="en-US" w:bidi="ar-SA"/>
      </w:rPr>
    </w:lvl>
    <w:lvl w:ilvl="5" w:tentative="0">
      <w:start w:val="0"/>
      <w:numFmt w:val="bullet"/>
      <w:lvlText w:val="•"/>
      <w:lvlJc w:val="left"/>
      <w:pPr>
        <w:ind w:left="5733" w:hanging="420"/>
      </w:pPr>
      <w:rPr>
        <w:rFonts w:hint="default"/>
        <w:lang w:val="en-US" w:eastAsia="en-US" w:bidi="ar-SA"/>
      </w:rPr>
    </w:lvl>
    <w:lvl w:ilvl="6" w:tentative="0">
      <w:start w:val="0"/>
      <w:numFmt w:val="bullet"/>
      <w:lvlText w:val="•"/>
      <w:lvlJc w:val="left"/>
      <w:pPr>
        <w:ind w:left="6627" w:hanging="420"/>
      </w:pPr>
      <w:rPr>
        <w:rFonts w:hint="default"/>
        <w:lang w:val="en-US" w:eastAsia="en-US" w:bidi="ar-SA"/>
      </w:rPr>
    </w:lvl>
    <w:lvl w:ilvl="7" w:tentative="0">
      <w:start w:val="0"/>
      <w:numFmt w:val="bullet"/>
      <w:lvlText w:val="•"/>
      <w:lvlJc w:val="left"/>
      <w:pPr>
        <w:ind w:left="7522" w:hanging="420"/>
      </w:pPr>
      <w:rPr>
        <w:rFonts w:hint="default"/>
        <w:lang w:val="en-US" w:eastAsia="en-US" w:bidi="ar-SA"/>
      </w:rPr>
    </w:lvl>
    <w:lvl w:ilvl="8" w:tentative="0">
      <w:start w:val="0"/>
      <w:numFmt w:val="bullet"/>
      <w:lvlText w:val="•"/>
      <w:lvlJc w:val="left"/>
      <w:pPr>
        <w:ind w:left="8417" w:hanging="420"/>
      </w:pPr>
      <w:rPr>
        <w:rFonts w:hint="default"/>
        <w:lang w:val="en-US" w:eastAsia="en-US" w:bidi="ar-SA"/>
      </w:rPr>
    </w:lvl>
  </w:abstractNum>
  <w:abstractNum w:abstractNumId="33">
    <w:nsid w:val="77FEA18A"/>
    <w:multiLevelType w:val="multilevel"/>
    <w:tmpl w:val="77FEA18A"/>
    <w:lvl w:ilvl="0" w:tentative="0">
      <w:start w:val="1"/>
      <w:numFmt w:val="lowerLetter"/>
      <w:lvlText w:val="%1)"/>
      <w:lvlJc w:val="left"/>
      <w:pPr>
        <w:ind w:left="1266" w:hanging="420"/>
        <w:jc w:val="left"/>
      </w:pPr>
      <w:rPr>
        <w:rFonts w:hint="default" w:ascii="宋体" w:hAnsi="宋体" w:eastAsia="宋体" w:cs="宋体"/>
        <w:b w:val="0"/>
        <w:bCs w:val="0"/>
        <w:i w:val="0"/>
        <w:iCs w:val="0"/>
        <w:spacing w:val="0"/>
        <w:w w:val="99"/>
        <w:sz w:val="20"/>
        <w:szCs w:val="20"/>
        <w:lang w:val="en-US" w:eastAsia="en-US" w:bidi="ar-SA"/>
      </w:rPr>
    </w:lvl>
    <w:lvl w:ilvl="1" w:tentative="0">
      <w:start w:val="0"/>
      <w:numFmt w:val="bullet"/>
      <w:lvlText w:val="•"/>
      <w:lvlJc w:val="left"/>
      <w:pPr>
        <w:ind w:left="2154" w:hanging="420"/>
      </w:pPr>
      <w:rPr>
        <w:rFonts w:hint="default"/>
        <w:lang w:val="en-US" w:eastAsia="en-US" w:bidi="ar-SA"/>
      </w:rPr>
    </w:lvl>
    <w:lvl w:ilvl="2" w:tentative="0">
      <w:start w:val="0"/>
      <w:numFmt w:val="bullet"/>
      <w:lvlText w:val="•"/>
      <w:lvlJc w:val="left"/>
      <w:pPr>
        <w:ind w:left="3049" w:hanging="420"/>
      </w:pPr>
      <w:rPr>
        <w:rFonts w:hint="default"/>
        <w:lang w:val="en-US" w:eastAsia="en-US" w:bidi="ar-SA"/>
      </w:rPr>
    </w:lvl>
    <w:lvl w:ilvl="3" w:tentative="0">
      <w:start w:val="0"/>
      <w:numFmt w:val="bullet"/>
      <w:lvlText w:val="•"/>
      <w:lvlJc w:val="left"/>
      <w:pPr>
        <w:ind w:left="3943" w:hanging="420"/>
      </w:pPr>
      <w:rPr>
        <w:rFonts w:hint="default"/>
        <w:lang w:val="en-US" w:eastAsia="en-US" w:bidi="ar-SA"/>
      </w:rPr>
    </w:lvl>
    <w:lvl w:ilvl="4" w:tentative="0">
      <w:start w:val="0"/>
      <w:numFmt w:val="bullet"/>
      <w:lvlText w:val="•"/>
      <w:lvlJc w:val="left"/>
      <w:pPr>
        <w:ind w:left="4838" w:hanging="420"/>
      </w:pPr>
      <w:rPr>
        <w:rFonts w:hint="default"/>
        <w:lang w:val="en-US" w:eastAsia="en-US" w:bidi="ar-SA"/>
      </w:rPr>
    </w:lvl>
    <w:lvl w:ilvl="5" w:tentative="0">
      <w:start w:val="0"/>
      <w:numFmt w:val="bullet"/>
      <w:lvlText w:val="•"/>
      <w:lvlJc w:val="left"/>
      <w:pPr>
        <w:ind w:left="5733" w:hanging="420"/>
      </w:pPr>
      <w:rPr>
        <w:rFonts w:hint="default"/>
        <w:lang w:val="en-US" w:eastAsia="en-US" w:bidi="ar-SA"/>
      </w:rPr>
    </w:lvl>
    <w:lvl w:ilvl="6" w:tentative="0">
      <w:start w:val="0"/>
      <w:numFmt w:val="bullet"/>
      <w:lvlText w:val="•"/>
      <w:lvlJc w:val="left"/>
      <w:pPr>
        <w:ind w:left="6627" w:hanging="420"/>
      </w:pPr>
      <w:rPr>
        <w:rFonts w:hint="default"/>
        <w:lang w:val="en-US" w:eastAsia="en-US" w:bidi="ar-SA"/>
      </w:rPr>
    </w:lvl>
    <w:lvl w:ilvl="7" w:tentative="0">
      <w:start w:val="0"/>
      <w:numFmt w:val="bullet"/>
      <w:lvlText w:val="•"/>
      <w:lvlJc w:val="left"/>
      <w:pPr>
        <w:ind w:left="7522" w:hanging="420"/>
      </w:pPr>
      <w:rPr>
        <w:rFonts w:hint="default"/>
        <w:lang w:val="en-US" w:eastAsia="en-US" w:bidi="ar-SA"/>
      </w:rPr>
    </w:lvl>
    <w:lvl w:ilvl="8" w:tentative="0">
      <w:start w:val="0"/>
      <w:numFmt w:val="bullet"/>
      <w:lvlText w:val="•"/>
      <w:lvlJc w:val="left"/>
      <w:pPr>
        <w:ind w:left="8417" w:hanging="420"/>
      </w:pPr>
      <w:rPr>
        <w:rFonts w:hint="default"/>
        <w:lang w:val="en-US" w:eastAsia="en-US" w:bidi="ar-SA"/>
      </w:rPr>
    </w:lvl>
  </w:abstractNum>
  <w:abstractNum w:abstractNumId="34">
    <w:nsid w:val="7C007312"/>
    <w:multiLevelType w:val="multilevel"/>
    <w:tmpl w:val="7C007312"/>
    <w:lvl w:ilvl="0" w:tentative="0">
      <w:start w:val="1"/>
      <w:numFmt w:val="lowerLetter"/>
      <w:lvlText w:val="%1)"/>
      <w:lvlJc w:val="left"/>
      <w:pPr>
        <w:ind w:left="1266" w:hanging="420"/>
        <w:jc w:val="left"/>
      </w:pPr>
      <w:rPr>
        <w:rFonts w:hint="default" w:ascii="宋体" w:hAnsi="宋体" w:eastAsia="宋体" w:cs="宋体"/>
        <w:b w:val="0"/>
        <w:bCs w:val="0"/>
        <w:i w:val="0"/>
        <w:iCs w:val="0"/>
        <w:spacing w:val="0"/>
        <w:w w:val="99"/>
        <w:sz w:val="20"/>
        <w:szCs w:val="20"/>
        <w:lang w:val="en-US" w:eastAsia="en-US" w:bidi="ar-SA"/>
      </w:rPr>
    </w:lvl>
    <w:lvl w:ilvl="1" w:tentative="0">
      <w:start w:val="0"/>
      <w:numFmt w:val="bullet"/>
      <w:lvlText w:val="•"/>
      <w:lvlJc w:val="left"/>
      <w:pPr>
        <w:ind w:left="2154" w:hanging="420"/>
      </w:pPr>
      <w:rPr>
        <w:rFonts w:hint="default"/>
        <w:lang w:val="en-US" w:eastAsia="en-US" w:bidi="ar-SA"/>
      </w:rPr>
    </w:lvl>
    <w:lvl w:ilvl="2" w:tentative="0">
      <w:start w:val="0"/>
      <w:numFmt w:val="bullet"/>
      <w:lvlText w:val="•"/>
      <w:lvlJc w:val="left"/>
      <w:pPr>
        <w:ind w:left="3049" w:hanging="420"/>
      </w:pPr>
      <w:rPr>
        <w:rFonts w:hint="default"/>
        <w:lang w:val="en-US" w:eastAsia="en-US" w:bidi="ar-SA"/>
      </w:rPr>
    </w:lvl>
    <w:lvl w:ilvl="3" w:tentative="0">
      <w:start w:val="0"/>
      <w:numFmt w:val="bullet"/>
      <w:lvlText w:val="•"/>
      <w:lvlJc w:val="left"/>
      <w:pPr>
        <w:ind w:left="3943" w:hanging="420"/>
      </w:pPr>
      <w:rPr>
        <w:rFonts w:hint="default"/>
        <w:lang w:val="en-US" w:eastAsia="en-US" w:bidi="ar-SA"/>
      </w:rPr>
    </w:lvl>
    <w:lvl w:ilvl="4" w:tentative="0">
      <w:start w:val="0"/>
      <w:numFmt w:val="bullet"/>
      <w:lvlText w:val="•"/>
      <w:lvlJc w:val="left"/>
      <w:pPr>
        <w:ind w:left="4838" w:hanging="420"/>
      </w:pPr>
      <w:rPr>
        <w:rFonts w:hint="default"/>
        <w:lang w:val="en-US" w:eastAsia="en-US" w:bidi="ar-SA"/>
      </w:rPr>
    </w:lvl>
    <w:lvl w:ilvl="5" w:tentative="0">
      <w:start w:val="0"/>
      <w:numFmt w:val="bullet"/>
      <w:lvlText w:val="•"/>
      <w:lvlJc w:val="left"/>
      <w:pPr>
        <w:ind w:left="5733" w:hanging="420"/>
      </w:pPr>
      <w:rPr>
        <w:rFonts w:hint="default"/>
        <w:lang w:val="en-US" w:eastAsia="en-US" w:bidi="ar-SA"/>
      </w:rPr>
    </w:lvl>
    <w:lvl w:ilvl="6" w:tentative="0">
      <w:start w:val="0"/>
      <w:numFmt w:val="bullet"/>
      <w:lvlText w:val="•"/>
      <w:lvlJc w:val="left"/>
      <w:pPr>
        <w:ind w:left="6627" w:hanging="420"/>
      </w:pPr>
      <w:rPr>
        <w:rFonts w:hint="default"/>
        <w:lang w:val="en-US" w:eastAsia="en-US" w:bidi="ar-SA"/>
      </w:rPr>
    </w:lvl>
    <w:lvl w:ilvl="7" w:tentative="0">
      <w:start w:val="0"/>
      <w:numFmt w:val="bullet"/>
      <w:lvlText w:val="•"/>
      <w:lvlJc w:val="left"/>
      <w:pPr>
        <w:ind w:left="7522" w:hanging="420"/>
      </w:pPr>
      <w:rPr>
        <w:rFonts w:hint="default"/>
        <w:lang w:val="en-US" w:eastAsia="en-US" w:bidi="ar-SA"/>
      </w:rPr>
    </w:lvl>
    <w:lvl w:ilvl="8" w:tentative="0">
      <w:start w:val="0"/>
      <w:numFmt w:val="bullet"/>
      <w:lvlText w:val="•"/>
      <w:lvlJc w:val="left"/>
      <w:pPr>
        <w:ind w:left="8417" w:hanging="420"/>
      </w:pPr>
      <w:rPr>
        <w:rFonts w:hint="default"/>
        <w:lang w:val="en-US" w:eastAsia="en-US" w:bidi="ar-SA"/>
      </w:r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34"/>
  </w:num>
  <w:num w:numId="33">
    <w:abstractNumId w:val="33"/>
  </w:num>
  <w:num w:numId="34">
    <w:abstractNumId w:val="15"/>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Mx/sLcBIxMThKc4JSOHQX8wXz01GU9E3L6tEUbsyw5PE2OiPeNq/zZYHeSnXjkRvlOIBO7LAWInMW4GPijtFTQ==" w:salt="13xivzs7BvJaa5H/xb4KJQ=="/>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lYmI5Zjk1YWU2YjMwZjNlMzllNjY3YWU1NzQwYjIifQ=="/>
  </w:docVars>
  <w:rsids>
    <w:rsidRoot w:val="0083212D"/>
    <w:rsid w:val="0000040A"/>
    <w:rsid w:val="00000A94"/>
    <w:rsid w:val="00001972"/>
    <w:rsid w:val="00001D9A"/>
    <w:rsid w:val="0000728E"/>
    <w:rsid w:val="00007B3A"/>
    <w:rsid w:val="000107E0"/>
    <w:rsid w:val="00011FDE"/>
    <w:rsid w:val="00012FFD"/>
    <w:rsid w:val="00014162"/>
    <w:rsid w:val="00014340"/>
    <w:rsid w:val="00014EE5"/>
    <w:rsid w:val="00016A9C"/>
    <w:rsid w:val="00022184"/>
    <w:rsid w:val="00022762"/>
    <w:rsid w:val="000238E0"/>
    <w:rsid w:val="000243B4"/>
    <w:rsid w:val="000249DB"/>
    <w:rsid w:val="0002595E"/>
    <w:rsid w:val="000303C3"/>
    <w:rsid w:val="000331D3"/>
    <w:rsid w:val="000346A5"/>
    <w:rsid w:val="000359C3"/>
    <w:rsid w:val="00035A7D"/>
    <w:rsid w:val="000365ED"/>
    <w:rsid w:val="0004249A"/>
    <w:rsid w:val="000430D8"/>
    <w:rsid w:val="00043282"/>
    <w:rsid w:val="00044286"/>
    <w:rsid w:val="00047F28"/>
    <w:rsid w:val="000503AA"/>
    <w:rsid w:val="000506A1"/>
    <w:rsid w:val="000515DD"/>
    <w:rsid w:val="0005265A"/>
    <w:rsid w:val="00052859"/>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CA2"/>
    <w:rsid w:val="00082317"/>
    <w:rsid w:val="000829D3"/>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9F3"/>
    <w:rsid w:val="000B1592"/>
    <w:rsid w:val="000B1FF2"/>
    <w:rsid w:val="000B3CDA"/>
    <w:rsid w:val="000B5BF5"/>
    <w:rsid w:val="000B6A0B"/>
    <w:rsid w:val="000C0F6C"/>
    <w:rsid w:val="000C11DB"/>
    <w:rsid w:val="000C1492"/>
    <w:rsid w:val="000C2FBD"/>
    <w:rsid w:val="000C4B41"/>
    <w:rsid w:val="000C57D6"/>
    <w:rsid w:val="000C6362"/>
    <w:rsid w:val="000C7047"/>
    <w:rsid w:val="000C7666"/>
    <w:rsid w:val="000D0A9C"/>
    <w:rsid w:val="000D1795"/>
    <w:rsid w:val="000D329A"/>
    <w:rsid w:val="000D4B9C"/>
    <w:rsid w:val="000D4EB6"/>
    <w:rsid w:val="000D753B"/>
    <w:rsid w:val="000E4C9E"/>
    <w:rsid w:val="000E6FD7"/>
    <w:rsid w:val="000E7B98"/>
    <w:rsid w:val="000F06E1"/>
    <w:rsid w:val="000F0E3C"/>
    <w:rsid w:val="000F19D5"/>
    <w:rsid w:val="000F224A"/>
    <w:rsid w:val="000F3A6C"/>
    <w:rsid w:val="000F4AEA"/>
    <w:rsid w:val="000F633F"/>
    <w:rsid w:val="000F67E9"/>
    <w:rsid w:val="00104926"/>
    <w:rsid w:val="00105F25"/>
    <w:rsid w:val="00113B1E"/>
    <w:rsid w:val="0011711C"/>
    <w:rsid w:val="0012059C"/>
    <w:rsid w:val="00124E4F"/>
    <w:rsid w:val="001260B7"/>
    <w:rsid w:val="001265CB"/>
    <w:rsid w:val="001321C6"/>
    <w:rsid w:val="001325C4"/>
    <w:rsid w:val="00133010"/>
    <w:rsid w:val="001338EE"/>
    <w:rsid w:val="00133AAE"/>
    <w:rsid w:val="00135323"/>
    <w:rsid w:val="001356C4"/>
    <w:rsid w:val="00137540"/>
    <w:rsid w:val="00141114"/>
    <w:rsid w:val="00142969"/>
    <w:rsid w:val="001446C2"/>
    <w:rsid w:val="001457E7"/>
    <w:rsid w:val="00145D9D"/>
    <w:rsid w:val="00146388"/>
    <w:rsid w:val="001529E5"/>
    <w:rsid w:val="00153C7E"/>
    <w:rsid w:val="00156B25"/>
    <w:rsid w:val="00156E1A"/>
    <w:rsid w:val="00157894"/>
    <w:rsid w:val="00157B55"/>
    <w:rsid w:val="00163A1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4BA"/>
    <w:rsid w:val="00176DFD"/>
    <w:rsid w:val="001852C9"/>
    <w:rsid w:val="00190087"/>
    <w:rsid w:val="001913C4"/>
    <w:rsid w:val="0019348F"/>
    <w:rsid w:val="00193A07"/>
    <w:rsid w:val="00194C95"/>
    <w:rsid w:val="00195C34"/>
    <w:rsid w:val="00196EF5"/>
    <w:rsid w:val="001A1A53"/>
    <w:rsid w:val="001A234A"/>
    <w:rsid w:val="001A4CF3"/>
    <w:rsid w:val="001B06E8"/>
    <w:rsid w:val="001B3E24"/>
    <w:rsid w:val="001B71D0"/>
    <w:rsid w:val="001B71EE"/>
    <w:rsid w:val="001C04A8"/>
    <w:rsid w:val="001C2C03"/>
    <w:rsid w:val="001C42F7"/>
    <w:rsid w:val="001C49E5"/>
    <w:rsid w:val="001C680C"/>
    <w:rsid w:val="001C7FEA"/>
    <w:rsid w:val="001D0499"/>
    <w:rsid w:val="001D0BBE"/>
    <w:rsid w:val="001D0ED4"/>
    <w:rsid w:val="001D212F"/>
    <w:rsid w:val="001D29D7"/>
    <w:rsid w:val="001D2BE0"/>
    <w:rsid w:val="001D2DE7"/>
    <w:rsid w:val="001D411C"/>
    <w:rsid w:val="001E1B6A"/>
    <w:rsid w:val="001E2484"/>
    <w:rsid w:val="001E3CC4"/>
    <w:rsid w:val="001E4882"/>
    <w:rsid w:val="001E73AB"/>
    <w:rsid w:val="001F092D"/>
    <w:rsid w:val="001F143A"/>
    <w:rsid w:val="001F1605"/>
    <w:rsid w:val="001F2508"/>
    <w:rsid w:val="001F2F74"/>
    <w:rsid w:val="001F4816"/>
    <w:rsid w:val="001F4EE9"/>
    <w:rsid w:val="001F6745"/>
    <w:rsid w:val="001F69B4"/>
    <w:rsid w:val="001F77C7"/>
    <w:rsid w:val="00200183"/>
    <w:rsid w:val="00200333"/>
    <w:rsid w:val="00200F21"/>
    <w:rsid w:val="0020107D"/>
    <w:rsid w:val="00202AA4"/>
    <w:rsid w:val="002031F7"/>
    <w:rsid w:val="002040E6"/>
    <w:rsid w:val="0020527B"/>
    <w:rsid w:val="00205F2C"/>
    <w:rsid w:val="00206255"/>
    <w:rsid w:val="00210B15"/>
    <w:rsid w:val="00211CFA"/>
    <w:rsid w:val="002142EA"/>
    <w:rsid w:val="002204BB"/>
    <w:rsid w:val="00221B79"/>
    <w:rsid w:val="00221C6B"/>
    <w:rsid w:val="002253A1"/>
    <w:rsid w:val="00225CF8"/>
    <w:rsid w:val="0022794E"/>
    <w:rsid w:val="00233D57"/>
    <w:rsid w:val="00233D64"/>
    <w:rsid w:val="0023482A"/>
    <w:rsid w:val="002359CB"/>
    <w:rsid w:val="00243540"/>
    <w:rsid w:val="0024497B"/>
    <w:rsid w:val="0024515B"/>
    <w:rsid w:val="00245EE2"/>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816"/>
    <w:rsid w:val="002A7F44"/>
    <w:rsid w:val="002B0C40"/>
    <w:rsid w:val="002B1966"/>
    <w:rsid w:val="002B1F11"/>
    <w:rsid w:val="002B4508"/>
    <w:rsid w:val="002B5779"/>
    <w:rsid w:val="002B5A34"/>
    <w:rsid w:val="002B7332"/>
    <w:rsid w:val="002B7F51"/>
    <w:rsid w:val="002C09E7"/>
    <w:rsid w:val="002C13BC"/>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D7B"/>
    <w:rsid w:val="0030441D"/>
    <w:rsid w:val="00306063"/>
    <w:rsid w:val="0031329D"/>
    <w:rsid w:val="00313B85"/>
    <w:rsid w:val="00317988"/>
    <w:rsid w:val="003221B4"/>
    <w:rsid w:val="0032258D"/>
    <w:rsid w:val="00322E62"/>
    <w:rsid w:val="00324D13"/>
    <w:rsid w:val="00324D2A"/>
    <w:rsid w:val="00324EDD"/>
    <w:rsid w:val="003331E4"/>
    <w:rsid w:val="003337ED"/>
    <w:rsid w:val="00336C64"/>
    <w:rsid w:val="00337162"/>
    <w:rsid w:val="0034194F"/>
    <w:rsid w:val="00344605"/>
    <w:rsid w:val="003474AA"/>
    <w:rsid w:val="00350D1D"/>
    <w:rsid w:val="00352C83"/>
    <w:rsid w:val="003571F6"/>
    <w:rsid w:val="003615D2"/>
    <w:rsid w:val="0036429C"/>
    <w:rsid w:val="00364A53"/>
    <w:rsid w:val="003654CB"/>
    <w:rsid w:val="00365AA9"/>
    <w:rsid w:val="00365F86"/>
    <w:rsid w:val="00365F87"/>
    <w:rsid w:val="00366E89"/>
    <w:rsid w:val="003705F4"/>
    <w:rsid w:val="00370D58"/>
    <w:rsid w:val="00371316"/>
    <w:rsid w:val="00376713"/>
    <w:rsid w:val="00377967"/>
    <w:rsid w:val="00381815"/>
    <w:rsid w:val="003819AF"/>
    <w:rsid w:val="003820E9"/>
    <w:rsid w:val="00382DE7"/>
    <w:rsid w:val="00384FFC"/>
    <w:rsid w:val="003872FC"/>
    <w:rsid w:val="00387ADC"/>
    <w:rsid w:val="00390020"/>
    <w:rsid w:val="003903D6"/>
    <w:rsid w:val="00390EE6"/>
    <w:rsid w:val="0039118F"/>
    <w:rsid w:val="00391E58"/>
    <w:rsid w:val="00392AD7"/>
    <w:rsid w:val="00392DEC"/>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22F"/>
    <w:rsid w:val="003D0519"/>
    <w:rsid w:val="003D0FF6"/>
    <w:rsid w:val="003D262C"/>
    <w:rsid w:val="003D642D"/>
    <w:rsid w:val="003D6D61"/>
    <w:rsid w:val="003E091D"/>
    <w:rsid w:val="003E1C53"/>
    <w:rsid w:val="003E2A69"/>
    <w:rsid w:val="003E2D49"/>
    <w:rsid w:val="003E2FD4"/>
    <w:rsid w:val="003E49F6"/>
    <w:rsid w:val="003E4F7B"/>
    <w:rsid w:val="003E660F"/>
    <w:rsid w:val="003E7D31"/>
    <w:rsid w:val="003F0841"/>
    <w:rsid w:val="003F23D3"/>
    <w:rsid w:val="003F3F08"/>
    <w:rsid w:val="003F49F1"/>
    <w:rsid w:val="003F6272"/>
    <w:rsid w:val="00400E72"/>
    <w:rsid w:val="00401400"/>
    <w:rsid w:val="00402388"/>
    <w:rsid w:val="00404869"/>
    <w:rsid w:val="00405884"/>
    <w:rsid w:val="00407D39"/>
    <w:rsid w:val="0041477A"/>
    <w:rsid w:val="004167A3"/>
    <w:rsid w:val="0042433E"/>
    <w:rsid w:val="00432DAA"/>
    <w:rsid w:val="00434305"/>
    <w:rsid w:val="00435DF7"/>
    <w:rsid w:val="0044083F"/>
    <w:rsid w:val="00441AE7"/>
    <w:rsid w:val="00445574"/>
    <w:rsid w:val="004467FB"/>
    <w:rsid w:val="00446D8C"/>
    <w:rsid w:val="00452D6B"/>
    <w:rsid w:val="004539B7"/>
    <w:rsid w:val="00454484"/>
    <w:rsid w:val="0045517B"/>
    <w:rsid w:val="00463B77"/>
    <w:rsid w:val="00463C7B"/>
    <w:rsid w:val="004644A6"/>
    <w:rsid w:val="004659BD"/>
    <w:rsid w:val="00470775"/>
    <w:rsid w:val="004746B1"/>
    <w:rsid w:val="0047583F"/>
    <w:rsid w:val="00475DE8"/>
    <w:rsid w:val="00481C44"/>
    <w:rsid w:val="0048344E"/>
    <w:rsid w:val="00484936"/>
    <w:rsid w:val="00484BCA"/>
    <w:rsid w:val="00485C89"/>
    <w:rsid w:val="00486BE3"/>
    <w:rsid w:val="004905E4"/>
    <w:rsid w:val="00490A89"/>
    <w:rsid w:val="00490AB4"/>
    <w:rsid w:val="004918B8"/>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529"/>
    <w:rsid w:val="004E127B"/>
    <w:rsid w:val="004E1C0A"/>
    <w:rsid w:val="004E2B06"/>
    <w:rsid w:val="004E30C5"/>
    <w:rsid w:val="004E4AA5"/>
    <w:rsid w:val="004E4AEE"/>
    <w:rsid w:val="004E59E3"/>
    <w:rsid w:val="004E67C0"/>
    <w:rsid w:val="004F391A"/>
    <w:rsid w:val="004F3CFB"/>
    <w:rsid w:val="004F5AAA"/>
    <w:rsid w:val="004F6456"/>
    <w:rsid w:val="004F696E"/>
    <w:rsid w:val="004F6C71"/>
    <w:rsid w:val="00501139"/>
    <w:rsid w:val="0050123A"/>
    <w:rsid w:val="00501996"/>
    <w:rsid w:val="0050363E"/>
    <w:rsid w:val="005039BC"/>
    <w:rsid w:val="005043BB"/>
    <w:rsid w:val="00504A3D"/>
    <w:rsid w:val="00505767"/>
    <w:rsid w:val="005073F0"/>
    <w:rsid w:val="00510A7B"/>
    <w:rsid w:val="00512F6E"/>
    <w:rsid w:val="00513038"/>
    <w:rsid w:val="00514174"/>
    <w:rsid w:val="005146F5"/>
    <w:rsid w:val="00516088"/>
    <w:rsid w:val="00516B0B"/>
    <w:rsid w:val="005220EC"/>
    <w:rsid w:val="00523F95"/>
    <w:rsid w:val="00524D65"/>
    <w:rsid w:val="00524F42"/>
    <w:rsid w:val="0052545A"/>
    <w:rsid w:val="00525B16"/>
    <w:rsid w:val="00533D04"/>
    <w:rsid w:val="00534804"/>
    <w:rsid w:val="00534BDF"/>
    <w:rsid w:val="005350E5"/>
    <w:rsid w:val="005354EA"/>
    <w:rsid w:val="0053585F"/>
    <w:rsid w:val="00535EC4"/>
    <w:rsid w:val="00535ED9"/>
    <w:rsid w:val="0053692B"/>
    <w:rsid w:val="00541853"/>
    <w:rsid w:val="00543BDA"/>
    <w:rsid w:val="005441CC"/>
    <w:rsid w:val="005479DA"/>
    <w:rsid w:val="00547BCC"/>
    <w:rsid w:val="0055013B"/>
    <w:rsid w:val="00551F6F"/>
    <w:rsid w:val="00555044"/>
    <w:rsid w:val="00560EAC"/>
    <w:rsid w:val="00561475"/>
    <w:rsid w:val="00563BA6"/>
    <w:rsid w:val="0056487B"/>
    <w:rsid w:val="00564FB9"/>
    <w:rsid w:val="005700C6"/>
    <w:rsid w:val="0057384F"/>
    <w:rsid w:val="00573D9E"/>
    <w:rsid w:val="005768B8"/>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8B"/>
    <w:rsid w:val="005C29B8"/>
    <w:rsid w:val="005C4FBB"/>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3E50"/>
    <w:rsid w:val="005F448D"/>
    <w:rsid w:val="005F4712"/>
    <w:rsid w:val="005F613C"/>
    <w:rsid w:val="005F674E"/>
    <w:rsid w:val="005F7F5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0C2"/>
    <w:rsid w:val="00640620"/>
    <w:rsid w:val="00641A1F"/>
    <w:rsid w:val="00644F2E"/>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0B7"/>
    <w:rsid w:val="0068026D"/>
    <w:rsid w:val="00680A27"/>
    <w:rsid w:val="006816A4"/>
    <w:rsid w:val="006819B8"/>
    <w:rsid w:val="006840A6"/>
    <w:rsid w:val="006850CD"/>
    <w:rsid w:val="00685AAB"/>
    <w:rsid w:val="0069375C"/>
    <w:rsid w:val="00695D22"/>
    <w:rsid w:val="006A07AA"/>
    <w:rsid w:val="006A0FDD"/>
    <w:rsid w:val="006A25E5"/>
    <w:rsid w:val="006A2B46"/>
    <w:rsid w:val="006A336D"/>
    <w:rsid w:val="006A37B9"/>
    <w:rsid w:val="006B2672"/>
    <w:rsid w:val="006B2D62"/>
    <w:rsid w:val="006B3E14"/>
    <w:rsid w:val="006B54BF"/>
    <w:rsid w:val="006B5F44"/>
    <w:rsid w:val="006B5F90"/>
    <w:rsid w:val="006B62E4"/>
    <w:rsid w:val="006C1BBA"/>
    <w:rsid w:val="006C2079"/>
    <w:rsid w:val="006C2941"/>
    <w:rsid w:val="006C5A62"/>
    <w:rsid w:val="006C5D68"/>
    <w:rsid w:val="006C6976"/>
    <w:rsid w:val="006C6DD0"/>
    <w:rsid w:val="006D04EA"/>
    <w:rsid w:val="006D16C4"/>
    <w:rsid w:val="006D3E96"/>
    <w:rsid w:val="006D4515"/>
    <w:rsid w:val="006D4BB1"/>
    <w:rsid w:val="006D6593"/>
    <w:rsid w:val="006E23EA"/>
    <w:rsid w:val="006E7A9F"/>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292"/>
    <w:rsid w:val="00750D61"/>
    <w:rsid w:val="00750EE1"/>
    <w:rsid w:val="00752B4D"/>
    <w:rsid w:val="00755402"/>
    <w:rsid w:val="00756B26"/>
    <w:rsid w:val="00756EDF"/>
    <w:rsid w:val="007600E3"/>
    <w:rsid w:val="00765C43"/>
    <w:rsid w:val="00765EFB"/>
    <w:rsid w:val="007671CA"/>
    <w:rsid w:val="00767C61"/>
    <w:rsid w:val="0077008A"/>
    <w:rsid w:val="00773C1F"/>
    <w:rsid w:val="00773DAA"/>
    <w:rsid w:val="00774DA4"/>
    <w:rsid w:val="00776599"/>
    <w:rsid w:val="0078114B"/>
    <w:rsid w:val="00781DD2"/>
    <w:rsid w:val="00783ECF"/>
    <w:rsid w:val="0078413A"/>
    <w:rsid w:val="00790D95"/>
    <w:rsid w:val="007959E8"/>
    <w:rsid w:val="00795E9C"/>
    <w:rsid w:val="007A0521"/>
    <w:rsid w:val="007A1BED"/>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2F1"/>
    <w:rsid w:val="008104F5"/>
    <w:rsid w:val="00811072"/>
    <w:rsid w:val="00811369"/>
    <w:rsid w:val="00812BBC"/>
    <w:rsid w:val="008135DE"/>
    <w:rsid w:val="00815419"/>
    <w:rsid w:val="008163C8"/>
    <w:rsid w:val="008164A1"/>
    <w:rsid w:val="00817325"/>
    <w:rsid w:val="008209E6"/>
    <w:rsid w:val="00823303"/>
    <w:rsid w:val="008233B2"/>
    <w:rsid w:val="00823A9F"/>
    <w:rsid w:val="00823C85"/>
    <w:rsid w:val="00825138"/>
    <w:rsid w:val="008269DD"/>
    <w:rsid w:val="00827118"/>
    <w:rsid w:val="00830621"/>
    <w:rsid w:val="0083212D"/>
    <w:rsid w:val="0083348C"/>
    <w:rsid w:val="008373D3"/>
    <w:rsid w:val="00840617"/>
    <w:rsid w:val="00840CF4"/>
    <w:rsid w:val="00840F84"/>
    <w:rsid w:val="00842A47"/>
    <w:rsid w:val="00843C13"/>
    <w:rsid w:val="008454F8"/>
    <w:rsid w:val="0085173A"/>
    <w:rsid w:val="00853FD9"/>
    <w:rsid w:val="00856316"/>
    <w:rsid w:val="008603CE"/>
    <w:rsid w:val="00860C75"/>
    <w:rsid w:val="008620FC"/>
    <w:rsid w:val="008627A5"/>
    <w:rsid w:val="00863E05"/>
    <w:rsid w:val="00865ACA"/>
    <w:rsid w:val="00865D28"/>
    <w:rsid w:val="00865F85"/>
    <w:rsid w:val="00867C10"/>
    <w:rsid w:val="00870439"/>
    <w:rsid w:val="00870DA1"/>
    <w:rsid w:val="008745E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350A"/>
    <w:rsid w:val="008A57E6"/>
    <w:rsid w:val="008A59E1"/>
    <w:rsid w:val="008A6F81"/>
    <w:rsid w:val="008A769A"/>
    <w:rsid w:val="008B0C9C"/>
    <w:rsid w:val="008B166D"/>
    <w:rsid w:val="008B17F4"/>
    <w:rsid w:val="008B27FD"/>
    <w:rsid w:val="008B3615"/>
    <w:rsid w:val="008B4AC4"/>
    <w:rsid w:val="008B50C8"/>
    <w:rsid w:val="008B5281"/>
    <w:rsid w:val="008B7E05"/>
    <w:rsid w:val="008C1797"/>
    <w:rsid w:val="008C219C"/>
    <w:rsid w:val="008C475E"/>
    <w:rsid w:val="008C619A"/>
    <w:rsid w:val="008D0CE8"/>
    <w:rsid w:val="008D2D1D"/>
    <w:rsid w:val="008D453D"/>
    <w:rsid w:val="008D4DC8"/>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0D73"/>
    <w:rsid w:val="008F17A3"/>
    <w:rsid w:val="008F1ED3"/>
    <w:rsid w:val="008F23A5"/>
    <w:rsid w:val="008F4C29"/>
    <w:rsid w:val="008F70BD"/>
    <w:rsid w:val="008F788F"/>
    <w:rsid w:val="008F7EA2"/>
    <w:rsid w:val="009025AF"/>
    <w:rsid w:val="00902722"/>
    <w:rsid w:val="009027BC"/>
    <w:rsid w:val="009062E6"/>
    <w:rsid w:val="0090767B"/>
    <w:rsid w:val="00911BE5"/>
    <w:rsid w:val="00913CA9"/>
    <w:rsid w:val="009145AE"/>
    <w:rsid w:val="009146CE"/>
    <w:rsid w:val="00914CA7"/>
    <w:rsid w:val="00915C3E"/>
    <w:rsid w:val="009161A8"/>
    <w:rsid w:val="009239BE"/>
    <w:rsid w:val="009245F5"/>
    <w:rsid w:val="009249EC"/>
    <w:rsid w:val="009273B3"/>
    <w:rsid w:val="009305B5"/>
    <w:rsid w:val="00934BC6"/>
    <w:rsid w:val="009372F9"/>
    <w:rsid w:val="009429D5"/>
    <w:rsid w:val="00942BF1"/>
    <w:rsid w:val="00945180"/>
    <w:rsid w:val="00945428"/>
    <w:rsid w:val="00945D63"/>
    <w:rsid w:val="0094607B"/>
    <w:rsid w:val="00953604"/>
    <w:rsid w:val="0095496B"/>
    <w:rsid w:val="00954B1C"/>
    <w:rsid w:val="009610DC"/>
    <w:rsid w:val="00961250"/>
    <w:rsid w:val="00961490"/>
    <w:rsid w:val="009625C8"/>
    <w:rsid w:val="0096381A"/>
    <w:rsid w:val="00965E04"/>
    <w:rsid w:val="009674AD"/>
    <w:rsid w:val="00970CDC"/>
    <w:rsid w:val="00974FA0"/>
    <w:rsid w:val="00977010"/>
    <w:rsid w:val="00977D02"/>
    <w:rsid w:val="009809BB"/>
    <w:rsid w:val="0098364B"/>
    <w:rsid w:val="00986864"/>
    <w:rsid w:val="00990CAB"/>
    <w:rsid w:val="009911AF"/>
    <w:rsid w:val="00991875"/>
    <w:rsid w:val="00991F92"/>
    <w:rsid w:val="00992985"/>
    <w:rsid w:val="00993889"/>
    <w:rsid w:val="0099551B"/>
    <w:rsid w:val="00996CA5"/>
    <w:rsid w:val="00997BF1"/>
    <w:rsid w:val="009A089C"/>
    <w:rsid w:val="009A118E"/>
    <w:rsid w:val="009A15E1"/>
    <w:rsid w:val="009A21CD"/>
    <w:rsid w:val="009A278C"/>
    <w:rsid w:val="009A2BC2"/>
    <w:rsid w:val="009A3BEE"/>
    <w:rsid w:val="009A42C1"/>
    <w:rsid w:val="009A5429"/>
    <w:rsid w:val="009A72AD"/>
    <w:rsid w:val="009B09E0"/>
    <w:rsid w:val="009B0BC5"/>
    <w:rsid w:val="009B1247"/>
    <w:rsid w:val="009B5F86"/>
    <w:rsid w:val="009B6029"/>
    <w:rsid w:val="009B6971"/>
    <w:rsid w:val="009C27F1"/>
    <w:rsid w:val="009C3152"/>
    <w:rsid w:val="009C4CFA"/>
    <w:rsid w:val="009C5070"/>
    <w:rsid w:val="009C64DF"/>
    <w:rsid w:val="009D112C"/>
    <w:rsid w:val="009D2BAD"/>
    <w:rsid w:val="009D47FA"/>
    <w:rsid w:val="009D4C5B"/>
    <w:rsid w:val="009D50D2"/>
    <w:rsid w:val="009D6BCA"/>
    <w:rsid w:val="009E0F62"/>
    <w:rsid w:val="009E4A58"/>
    <w:rsid w:val="009E5A2D"/>
    <w:rsid w:val="009E5AB2"/>
    <w:rsid w:val="009E6219"/>
    <w:rsid w:val="009F03B3"/>
    <w:rsid w:val="00A0096C"/>
    <w:rsid w:val="00A01757"/>
    <w:rsid w:val="00A019F3"/>
    <w:rsid w:val="00A028C0"/>
    <w:rsid w:val="00A02BAE"/>
    <w:rsid w:val="00A0476D"/>
    <w:rsid w:val="00A05CBB"/>
    <w:rsid w:val="00A06A6B"/>
    <w:rsid w:val="00A07E47"/>
    <w:rsid w:val="00A10FA2"/>
    <w:rsid w:val="00A129D0"/>
    <w:rsid w:val="00A12C33"/>
    <w:rsid w:val="00A138BA"/>
    <w:rsid w:val="00A14C8E"/>
    <w:rsid w:val="00A153D9"/>
    <w:rsid w:val="00A15F09"/>
    <w:rsid w:val="00A169B6"/>
    <w:rsid w:val="00A22286"/>
    <w:rsid w:val="00A2271D"/>
    <w:rsid w:val="00A237D5"/>
    <w:rsid w:val="00A2456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404"/>
    <w:rsid w:val="00A648CD"/>
    <w:rsid w:val="00A6537A"/>
    <w:rsid w:val="00A67866"/>
    <w:rsid w:val="00A70B07"/>
    <w:rsid w:val="00A723F8"/>
    <w:rsid w:val="00A77CCB"/>
    <w:rsid w:val="00A806B5"/>
    <w:rsid w:val="00A83D8D"/>
    <w:rsid w:val="00A8446B"/>
    <w:rsid w:val="00A8473F"/>
    <w:rsid w:val="00A862D6"/>
    <w:rsid w:val="00A8715E"/>
    <w:rsid w:val="00A9295B"/>
    <w:rsid w:val="00A93B09"/>
    <w:rsid w:val="00A94247"/>
    <w:rsid w:val="00A952D7"/>
    <w:rsid w:val="00A963F7"/>
    <w:rsid w:val="00A96AD8"/>
    <w:rsid w:val="00AA052C"/>
    <w:rsid w:val="00AA1E45"/>
    <w:rsid w:val="00AA424C"/>
    <w:rsid w:val="00AA4286"/>
    <w:rsid w:val="00AA456B"/>
    <w:rsid w:val="00AA57F5"/>
    <w:rsid w:val="00AA672E"/>
    <w:rsid w:val="00AA6EC9"/>
    <w:rsid w:val="00AB41D5"/>
    <w:rsid w:val="00AB6309"/>
    <w:rsid w:val="00AB6C5F"/>
    <w:rsid w:val="00AB7129"/>
    <w:rsid w:val="00AC0514"/>
    <w:rsid w:val="00AC14F5"/>
    <w:rsid w:val="00AC27A6"/>
    <w:rsid w:val="00AC30F7"/>
    <w:rsid w:val="00AC377B"/>
    <w:rsid w:val="00AC3A5A"/>
    <w:rsid w:val="00AC4D95"/>
    <w:rsid w:val="00AC5DF4"/>
    <w:rsid w:val="00AD0AEF"/>
    <w:rsid w:val="00AD11B7"/>
    <w:rsid w:val="00AD1A94"/>
    <w:rsid w:val="00AD1C05"/>
    <w:rsid w:val="00AD4126"/>
    <w:rsid w:val="00AD421C"/>
    <w:rsid w:val="00AD44FA"/>
    <w:rsid w:val="00AE070A"/>
    <w:rsid w:val="00AE101C"/>
    <w:rsid w:val="00AE2E57"/>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56D3"/>
    <w:rsid w:val="00B261F1"/>
    <w:rsid w:val="00B26296"/>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0FC8"/>
    <w:rsid w:val="00B62B58"/>
    <w:rsid w:val="00B65149"/>
    <w:rsid w:val="00B66567"/>
    <w:rsid w:val="00B66DED"/>
    <w:rsid w:val="00B66F52"/>
    <w:rsid w:val="00B66FE5"/>
    <w:rsid w:val="00B72880"/>
    <w:rsid w:val="00B758BF"/>
    <w:rsid w:val="00B77EC8"/>
    <w:rsid w:val="00B827A6"/>
    <w:rsid w:val="00B831CE"/>
    <w:rsid w:val="00B86677"/>
    <w:rsid w:val="00B866AC"/>
    <w:rsid w:val="00B87131"/>
    <w:rsid w:val="00B939B1"/>
    <w:rsid w:val="00B96D40"/>
    <w:rsid w:val="00B972CA"/>
    <w:rsid w:val="00B97386"/>
    <w:rsid w:val="00BA263B"/>
    <w:rsid w:val="00BA37FB"/>
    <w:rsid w:val="00BA42B2"/>
    <w:rsid w:val="00BA58D4"/>
    <w:rsid w:val="00BA5B9E"/>
    <w:rsid w:val="00BA7C9A"/>
    <w:rsid w:val="00BB0066"/>
    <w:rsid w:val="00BB5F8F"/>
    <w:rsid w:val="00BB657A"/>
    <w:rsid w:val="00BC1A4E"/>
    <w:rsid w:val="00BC5DC7"/>
    <w:rsid w:val="00BC6B8B"/>
    <w:rsid w:val="00BC73D8"/>
    <w:rsid w:val="00BD52D7"/>
    <w:rsid w:val="00BD5AD2"/>
    <w:rsid w:val="00BD7B4B"/>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0BE"/>
    <w:rsid w:val="00C33E50"/>
    <w:rsid w:val="00C34C20"/>
    <w:rsid w:val="00C35A3E"/>
    <w:rsid w:val="00C42130"/>
    <w:rsid w:val="00C423A4"/>
    <w:rsid w:val="00C42E3B"/>
    <w:rsid w:val="00C44BF5"/>
    <w:rsid w:val="00C521D6"/>
    <w:rsid w:val="00C55232"/>
    <w:rsid w:val="00C552B2"/>
    <w:rsid w:val="00C553A4"/>
    <w:rsid w:val="00C55A06"/>
    <w:rsid w:val="00C55D03"/>
    <w:rsid w:val="00C601BC"/>
    <w:rsid w:val="00C631A9"/>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966"/>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0C"/>
    <w:rsid w:val="00CC5DE6"/>
    <w:rsid w:val="00CC6E4E"/>
    <w:rsid w:val="00CC6FE8"/>
    <w:rsid w:val="00CC7202"/>
    <w:rsid w:val="00CD05D1"/>
    <w:rsid w:val="00CD073A"/>
    <w:rsid w:val="00CD2808"/>
    <w:rsid w:val="00CD28BF"/>
    <w:rsid w:val="00CD3536"/>
    <w:rsid w:val="00CD4092"/>
    <w:rsid w:val="00CD4A20"/>
    <w:rsid w:val="00CD50A1"/>
    <w:rsid w:val="00CD519E"/>
    <w:rsid w:val="00CE0C4F"/>
    <w:rsid w:val="00CE30EA"/>
    <w:rsid w:val="00CE65A2"/>
    <w:rsid w:val="00CE7864"/>
    <w:rsid w:val="00CF048A"/>
    <w:rsid w:val="00CF09C2"/>
    <w:rsid w:val="00CF155A"/>
    <w:rsid w:val="00CF2947"/>
    <w:rsid w:val="00CF686F"/>
    <w:rsid w:val="00CF6E60"/>
    <w:rsid w:val="00CF7BCA"/>
    <w:rsid w:val="00D008FD"/>
    <w:rsid w:val="00D00A08"/>
    <w:rsid w:val="00D0321C"/>
    <w:rsid w:val="00D035EC"/>
    <w:rsid w:val="00D06AB1"/>
    <w:rsid w:val="00D072ED"/>
    <w:rsid w:val="00D07A16"/>
    <w:rsid w:val="00D1067E"/>
    <w:rsid w:val="00D10F50"/>
    <w:rsid w:val="00D1110A"/>
    <w:rsid w:val="00D11272"/>
    <w:rsid w:val="00D126F5"/>
    <w:rsid w:val="00D142E9"/>
    <w:rsid w:val="00D1489E"/>
    <w:rsid w:val="00D15792"/>
    <w:rsid w:val="00D15C3B"/>
    <w:rsid w:val="00D20737"/>
    <w:rsid w:val="00D21E81"/>
    <w:rsid w:val="00D22395"/>
    <w:rsid w:val="00D223DE"/>
    <w:rsid w:val="00D25E37"/>
    <w:rsid w:val="00D2661A"/>
    <w:rsid w:val="00D27582"/>
    <w:rsid w:val="00D27EC4"/>
    <w:rsid w:val="00D32719"/>
    <w:rsid w:val="00D33333"/>
    <w:rsid w:val="00D33457"/>
    <w:rsid w:val="00D33A9D"/>
    <w:rsid w:val="00D352A2"/>
    <w:rsid w:val="00D4162B"/>
    <w:rsid w:val="00D4514F"/>
    <w:rsid w:val="00D451E2"/>
    <w:rsid w:val="00D45E89"/>
    <w:rsid w:val="00D45E8D"/>
    <w:rsid w:val="00D466AE"/>
    <w:rsid w:val="00D4734F"/>
    <w:rsid w:val="00D47F46"/>
    <w:rsid w:val="00D51BF3"/>
    <w:rsid w:val="00D60600"/>
    <w:rsid w:val="00D60A6B"/>
    <w:rsid w:val="00D66846"/>
    <w:rsid w:val="00D675FB"/>
    <w:rsid w:val="00D71F25"/>
    <w:rsid w:val="00D72A9C"/>
    <w:rsid w:val="00D77031"/>
    <w:rsid w:val="00D77D10"/>
    <w:rsid w:val="00D84941"/>
    <w:rsid w:val="00D84FA1"/>
    <w:rsid w:val="00D851F0"/>
    <w:rsid w:val="00D86DB7"/>
    <w:rsid w:val="00D926D0"/>
    <w:rsid w:val="00D93030"/>
    <w:rsid w:val="00D950E1"/>
    <w:rsid w:val="00D952A6"/>
    <w:rsid w:val="00D9657A"/>
    <w:rsid w:val="00D97F99"/>
    <w:rsid w:val="00DA1E08"/>
    <w:rsid w:val="00DA24F8"/>
    <w:rsid w:val="00DA28E8"/>
    <w:rsid w:val="00DA38D3"/>
    <w:rsid w:val="00DA3932"/>
    <w:rsid w:val="00DA3AFC"/>
    <w:rsid w:val="00DA64F8"/>
    <w:rsid w:val="00DA6C15"/>
    <w:rsid w:val="00DB0258"/>
    <w:rsid w:val="00DB21F9"/>
    <w:rsid w:val="00DB38EE"/>
    <w:rsid w:val="00DB498B"/>
    <w:rsid w:val="00DB66CA"/>
    <w:rsid w:val="00DB6BCA"/>
    <w:rsid w:val="00DB73F7"/>
    <w:rsid w:val="00DC0321"/>
    <w:rsid w:val="00DC3067"/>
    <w:rsid w:val="00DC370B"/>
    <w:rsid w:val="00DC5B90"/>
    <w:rsid w:val="00DD00FF"/>
    <w:rsid w:val="00DD0619"/>
    <w:rsid w:val="00DD07FB"/>
    <w:rsid w:val="00DD149C"/>
    <w:rsid w:val="00DD25C6"/>
    <w:rsid w:val="00DD3B6B"/>
    <w:rsid w:val="00DD4FE5"/>
    <w:rsid w:val="00DD54B0"/>
    <w:rsid w:val="00DD57EE"/>
    <w:rsid w:val="00DD62FB"/>
    <w:rsid w:val="00DD6BCC"/>
    <w:rsid w:val="00DE0A4B"/>
    <w:rsid w:val="00DE0B5D"/>
    <w:rsid w:val="00DE2410"/>
    <w:rsid w:val="00DE2939"/>
    <w:rsid w:val="00DE6E81"/>
    <w:rsid w:val="00DE703F"/>
    <w:rsid w:val="00DE7595"/>
    <w:rsid w:val="00DF1961"/>
    <w:rsid w:val="00DF1AE4"/>
    <w:rsid w:val="00DF44DE"/>
    <w:rsid w:val="00DF5F11"/>
    <w:rsid w:val="00E01138"/>
    <w:rsid w:val="00E02DFB"/>
    <w:rsid w:val="00E030F9"/>
    <w:rsid w:val="00E0311A"/>
    <w:rsid w:val="00E03138"/>
    <w:rsid w:val="00E06404"/>
    <w:rsid w:val="00E11A85"/>
    <w:rsid w:val="00E12495"/>
    <w:rsid w:val="00E15CCD"/>
    <w:rsid w:val="00E202EF"/>
    <w:rsid w:val="00E210B5"/>
    <w:rsid w:val="00E21D8D"/>
    <w:rsid w:val="00E23D99"/>
    <w:rsid w:val="00E2552F"/>
    <w:rsid w:val="00E3137A"/>
    <w:rsid w:val="00E32CCF"/>
    <w:rsid w:val="00E34A98"/>
    <w:rsid w:val="00E34B4C"/>
    <w:rsid w:val="00E35D1E"/>
    <w:rsid w:val="00E364F9"/>
    <w:rsid w:val="00E365FA"/>
    <w:rsid w:val="00E36789"/>
    <w:rsid w:val="00E44A83"/>
    <w:rsid w:val="00E46638"/>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229"/>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B7775"/>
    <w:rsid w:val="00EC5359"/>
    <w:rsid w:val="00EC53DC"/>
    <w:rsid w:val="00EC562A"/>
    <w:rsid w:val="00EC583E"/>
    <w:rsid w:val="00ED067A"/>
    <w:rsid w:val="00ED2B50"/>
    <w:rsid w:val="00ED4FD6"/>
    <w:rsid w:val="00EE0350"/>
    <w:rsid w:val="00EE0719"/>
    <w:rsid w:val="00EE0E80"/>
    <w:rsid w:val="00EE499D"/>
    <w:rsid w:val="00EE54A6"/>
    <w:rsid w:val="00EE613F"/>
    <w:rsid w:val="00EE7295"/>
    <w:rsid w:val="00EE7869"/>
    <w:rsid w:val="00EF01D7"/>
    <w:rsid w:val="00EF054A"/>
    <w:rsid w:val="00EF3235"/>
    <w:rsid w:val="00EF3801"/>
    <w:rsid w:val="00EF7E72"/>
    <w:rsid w:val="00F06D37"/>
    <w:rsid w:val="00F07B9D"/>
    <w:rsid w:val="00F11586"/>
    <w:rsid w:val="00F1183B"/>
    <w:rsid w:val="00F11C9F"/>
    <w:rsid w:val="00F12263"/>
    <w:rsid w:val="00F1409D"/>
    <w:rsid w:val="00F14214"/>
    <w:rsid w:val="00F144EA"/>
    <w:rsid w:val="00F157A9"/>
    <w:rsid w:val="00F24672"/>
    <w:rsid w:val="00F25BB6"/>
    <w:rsid w:val="00F26B7E"/>
    <w:rsid w:val="00F27A3B"/>
    <w:rsid w:val="00F27D63"/>
    <w:rsid w:val="00F33817"/>
    <w:rsid w:val="00F41979"/>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C63"/>
    <w:rsid w:val="00F71E22"/>
    <w:rsid w:val="00F72142"/>
    <w:rsid w:val="00F72AE7"/>
    <w:rsid w:val="00F81141"/>
    <w:rsid w:val="00F833BA"/>
    <w:rsid w:val="00F84FD0"/>
    <w:rsid w:val="00F8568C"/>
    <w:rsid w:val="00F859A8"/>
    <w:rsid w:val="00F85D39"/>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5166A0"/>
    <w:rsid w:val="04DF234D"/>
    <w:rsid w:val="05FD044D"/>
    <w:rsid w:val="06086E09"/>
    <w:rsid w:val="066B57C6"/>
    <w:rsid w:val="074A1D85"/>
    <w:rsid w:val="080B2C3A"/>
    <w:rsid w:val="08884E6D"/>
    <w:rsid w:val="0A86548F"/>
    <w:rsid w:val="0D4E1CDE"/>
    <w:rsid w:val="0DEA1BCB"/>
    <w:rsid w:val="0E1704E7"/>
    <w:rsid w:val="0EF16F8A"/>
    <w:rsid w:val="0F112C3D"/>
    <w:rsid w:val="0F957915"/>
    <w:rsid w:val="0FE4264A"/>
    <w:rsid w:val="10E338E8"/>
    <w:rsid w:val="136715C8"/>
    <w:rsid w:val="142E1FC2"/>
    <w:rsid w:val="15DD0268"/>
    <w:rsid w:val="15ED646A"/>
    <w:rsid w:val="169F551D"/>
    <w:rsid w:val="192424C3"/>
    <w:rsid w:val="1A7C4F96"/>
    <w:rsid w:val="1AAB4490"/>
    <w:rsid w:val="1AFF2A2E"/>
    <w:rsid w:val="1B1A1616"/>
    <w:rsid w:val="1B495A57"/>
    <w:rsid w:val="1B8A442F"/>
    <w:rsid w:val="1BBE3EF3"/>
    <w:rsid w:val="1C2F2E9F"/>
    <w:rsid w:val="1C744D56"/>
    <w:rsid w:val="1D73631E"/>
    <w:rsid w:val="1E51534F"/>
    <w:rsid w:val="1FD91AA0"/>
    <w:rsid w:val="20543EFF"/>
    <w:rsid w:val="20EE3329"/>
    <w:rsid w:val="219A4E11"/>
    <w:rsid w:val="23EA427B"/>
    <w:rsid w:val="240C774A"/>
    <w:rsid w:val="246D4199"/>
    <w:rsid w:val="246F4781"/>
    <w:rsid w:val="24F829C8"/>
    <w:rsid w:val="24FB6014"/>
    <w:rsid w:val="26630315"/>
    <w:rsid w:val="2670332E"/>
    <w:rsid w:val="2714160F"/>
    <w:rsid w:val="28377363"/>
    <w:rsid w:val="28E45BBB"/>
    <w:rsid w:val="29B037C8"/>
    <w:rsid w:val="2A441FD2"/>
    <w:rsid w:val="2AF53506"/>
    <w:rsid w:val="2B9E76FA"/>
    <w:rsid w:val="2BD33419"/>
    <w:rsid w:val="2C7843EE"/>
    <w:rsid w:val="2D4367AA"/>
    <w:rsid w:val="2ED83D5F"/>
    <w:rsid w:val="2FC260AC"/>
    <w:rsid w:val="305C4EA9"/>
    <w:rsid w:val="30C9346B"/>
    <w:rsid w:val="3135465C"/>
    <w:rsid w:val="32101E62"/>
    <w:rsid w:val="32FE389F"/>
    <w:rsid w:val="34592D57"/>
    <w:rsid w:val="34DD1293"/>
    <w:rsid w:val="355A3369"/>
    <w:rsid w:val="358270BF"/>
    <w:rsid w:val="36EC7EB3"/>
    <w:rsid w:val="387737AC"/>
    <w:rsid w:val="3A8507A3"/>
    <w:rsid w:val="3C37397E"/>
    <w:rsid w:val="3CB467A9"/>
    <w:rsid w:val="3DC6580E"/>
    <w:rsid w:val="3F15104A"/>
    <w:rsid w:val="40C003E6"/>
    <w:rsid w:val="40DE7316"/>
    <w:rsid w:val="4105122B"/>
    <w:rsid w:val="416B7CF1"/>
    <w:rsid w:val="420112F0"/>
    <w:rsid w:val="421107CE"/>
    <w:rsid w:val="43E208D0"/>
    <w:rsid w:val="443609BF"/>
    <w:rsid w:val="45432BA5"/>
    <w:rsid w:val="45587E3D"/>
    <w:rsid w:val="45DE4E6B"/>
    <w:rsid w:val="46492C2C"/>
    <w:rsid w:val="46501E69"/>
    <w:rsid w:val="46902609"/>
    <w:rsid w:val="471A45C8"/>
    <w:rsid w:val="49C820BA"/>
    <w:rsid w:val="4A0B01F8"/>
    <w:rsid w:val="4AF73BB0"/>
    <w:rsid w:val="4C4252D4"/>
    <w:rsid w:val="4CD81DED"/>
    <w:rsid w:val="4CDB0356"/>
    <w:rsid w:val="4ECA54C7"/>
    <w:rsid w:val="50502E09"/>
    <w:rsid w:val="51CE0489"/>
    <w:rsid w:val="51F83758"/>
    <w:rsid w:val="53F5754B"/>
    <w:rsid w:val="54AB306A"/>
    <w:rsid w:val="55846B0F"/>
    <w:rsid w:val="55F7313A"/>
    <w:rsid w:val="560C77D2"/>
    <w:rsid w:val="56FC15F5"/>
    <w:rsid w:val="57D305A7"/>
    <w:rsid w:val="589C308F"/>
    <w:rsid w:val="58B775C3"/>
    <w:rsid w:val="5B0140B8"/>
    <w:rsid w:val="5C1B251D"/>
    <w:rsid w:val="5D704AEA"/>
    <w:rsid w:val="5DCB4293"/>
    <w:rsid w:val="5EBD281C"/>
    <w:rsid w:val="5ECB647C"/>
    <w:rsid w:val="5F2C67EF"/>
    <w:rsid w:val="5F9623B2"/>
    <w:rsid w:val="60D34606"/>
    <w:rsid w:val="616F59F0"/>
    <w:rsid w:val="63DE1526"/>
    <w:rsid w:val="66B46C6A"/>
    <w:rsid w:val="67A55390"/>
    <w:rsid w:val="68EF7BE3"/>
    <w:rsid w:val="6EDF562C"/>
    <w:rsid w:val="6EF248FA"/>
    <w:rsid w:val="6F54601A"/>
    <w:rsid w:val="72D51220"/>
    <w:rsid w:val="73AD3F4B"/>
    <w:rsid w:val="748051BB"/>
    <w:rsid w:val="757E1D29"/>
    <w:rsid w:val="76047518"/>
    <w:rsid w:val="76BC7008"/>
    <w:rsid w:val="78275132"/>
    <w:rsid w:val="784F5AE1"/>
    <w:rsid w:val="78E51A91"/>
    <w:rsid w:val="79627585"/>
    <w:rsid w:val="7B076FE6"/>
    <w:rsid w:val="7BB340C8"/>
    <w:rsid w:val="7C55517F"/>
    <w:rsid w:val="7C72188D"/>
    <w:rsid w:val="7D125C63"/>
    <w:rsid w:val="7F623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ind w:left="0"/>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wrap="around"/>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styleId="230">
    <w:name w:val="List Paragraph"/>
    <w:basedOn w:val="1"/>
    <w:qFormat/>
    <w:uiPriority w:val="1"/>
    <w:pPr>
      <w:ind w:left="426"/>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glossaryDocument" Target="glossary/document.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6A15C655DF4486591F74A1574B223EC"/>
        <w:style w:val=""/>
        <w:category>
          <w:name w:val="常规"/>
          <w:gallery w:val="placeholder"/>
        </w:category>
        <w:types>
          <w:type w:val="bbPlcHdr"/>
        </w:types>
        <w:behaviors>
          <w:behavior w:val="content"/>
        </w:behaviors>
        <w:description w:val=""/>
        <w:guid w:val="{03C095D4-936E-4CBA-B82B-97727161C83D}"/>
      </w:docPartPr>
      <w:docPartBody>
        <w:p w14:paraId="5AC5AE5A">
          <w:pPr>
            <w:pStyle w:val="5"/>
            <w:rPr>
              <w:rFonts w:hint="eastAsia"/>
            </w:rPr>
          </w:pPr>
          <w:r>
            <w:rPr>
              <w:rStyle w:val="4"/>
              <w:rFonts w:hint="eastAsia"/>
            </w:rPr>
            <w:t>单击或点击此处输入文字。</w:t>
          </w:r>
        </w:p>
      </w:docPartBody>
    </w:docPart>
    <w:docPart>
      <w:docPartPr>
        <w:name w:val="3BCCA5F8CD4F4C70A753C476DACCE9D1"/>
        <w:style w:val=""/>
        <w:category>
          <w:name w:val="常规"/>
          <w:gallery w:val="placeholder"/>
        </w:category>
        <w:types>
          <w:type w:val="bbPlcHdr"/>
        </w:types>
        <w:behaviors>
          <w:behavior w:val="content"/>
        </w:behaviors>
        <w:description w:val=""/>
        <w:guid w:val="{BE4BD515-030A-4BFA-A252-CF2204B58E11}"/>
      </w:docPartPr>
      <w:docPartBody>
        <w:p w14:paraId="0786690F">
          <w:pPr>
            <w:pStyle w:val="6"/>
            <w:rPr>
              <w:rFonts w:hint="eastAsia"/>
            </w:rPr>
          </w:pPr>
          <w:r>
            <w:rPr>
              <w:rStyle w:val="4"/>
              <w:rFonts w:hint="eastAsia"/>
            </w:rPr>
            <w:t>选择一项。</w:t>
          </w:r>
        </w:p>
      </w:docPartBody>
    </w:docPart>
    <w:docPart>
      <w:docPartPr>
        <w:name w:val="0F0692A07D1345A394DBE6CBA7AE53EF"/>
        <w:style w:val=""/>
        <w:category>
          <w:name w:val="常规"/>
          <w:gallery w:val="placeholder"/>
        </w:category>
        <w:types>
          <w:type w:val="bbPlcHdr"/>
        </w:types>
        <w:behaviors>
          <w:behavior w:val="content"/>
        </w:behaviors>
        <w:description w:val=""/>
        <w:guid w:val="{660AED5E-8722-4145-8F51-7B273E78A226}"/>
      </w:docPartPr>
      <w:docPartBody>
        <w:p w14:paraId="061D243D">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8ED"/>
    <w:rsid w:val="00060B35"/>
    <w:rsid w:val="001471A1"/>
    <w:rsid w:val="00180298"/>
    <w:rsid w:val="001F6E2D"/>
    <w:rsid w:val="0043003A"/>
    <w:rsid w:val="00496D0D"/>
    <w:rsid w:val="006B3E14"/>
    <w:rsid w:val="00707F3F"/>
    <w:rsid w:val="007B1B10"/>
    <w:rsid w:val="009B18ED"/>
    <w:rsid w:val="00B256D3"/>
    <w:rsid w:val="00C15BF1"/>
    <w:rsid w:val="00D04923"/>
    <w:rsid w:val="00D33A9D"/>
    <w:rsid w:val="00DC6E36"/>
    <w:rsid w:val="00EA2261"/>
    <w:rsid w:val="00F15F25"/>
    <w:rsid w:val="00F60635"/>
    <w:rsid w:val="00F84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6A15C655DF4486591F74A1574B223E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BCCA5F8CD4F4C70A753C476DACCE9D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F0692A07D1345A394DBE6CBA7AE53E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2782</Words>
  <Characters>3041</Characters>
  <Lines>32</Lines>
  <Paragraphs>9</Paragraphs>
  <TotalTime>4</TotalTime>
  <ScaleCrop>false</ScaleCrop>
  <LinksUpToDate>false</LinksUpToDate>
  <CharactersWithSpaces>3124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2023-03-02T08:43:00Z</dcterms:created>
  <dc:creator>libin</dc:creator>
  <dc:description>&lt;config cover="true" show_menu="true" version="1.0.0" doctype="SDKXY"&gt;_x000d_
&lt;/config&gt;</dc:description>
  <cp:lastModifiedBy>Administrator</cp:lastModifiedBy>
  <cp:lastPrinted>2025-02-17T05:17:00Z</cp:lastPrinted>
  <dcterms:modified xsi:type="dcterms:W3CDTF">2025-03-13T07:26:25Z</dcterms:modified>
  <dc:title>地方标准</dc:title>
  <cp:revision>231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2052-12.1.0.20305</vt:lpwstr>
  </property>
  <property fmtid="{D5CDD505-2E9C-101B-9397-08002B2CF9AE}" pid="16" name="ICV">
    <vt:lpwstr>D51722AA2A014512B6C30D65C69380E3_13</vt:lpwstr>
  </property>
  <property fmtid="{D5CDD505-2E9C-101B-9397-08002B2CF9AE}" pid="17" name="KSOTemplateDocerSaveRecord">
    <vt:lpwstr>eyJoZGlkIjoiZDI4NGIxN2FjMDQzZTc2NTIwNWI1NmI2ODQ5MWM3NzEifQ==</vt:lpwstr>
  </property>
</Properties>
</file>