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CF32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19BEA0C">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56E8BBA">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5E8DB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86C20ED">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7381BC3">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61D61F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7ECDBECB">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14:paraId="204504A6">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2D010B3">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14/T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14:paraId="531D65F0">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9DC89E5">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CA2EAA4">
      <w:pPr>
        <w:pStyle w:val="51"/>
        <w:framePr w:w="9639" w:h="6976" w:hRule="exact" w:hSpace="0" w:vSpace="0" w:wrap="around" w:hAnchor="page" w:y="6408"/>
        <w:jc w:val="center"/>
        <w:rPr>
          <w:rFonts w:ascii="黑体" w:hAnsi="黑体" w:eastAsia="黑体"/>
          <w:b w:val="0"/>
          <w:bCs w:val="0"/>
          <w:w w:val="100"/>
        </w:rPr>
      </w:pPr>
    </w:p>
    <w:p w14:paraId="61103DE3">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曳引驱动电梯水砝码载荷试验操作规范</w:t>
      </w:r>
      <w:r>
        <w:fldChar w:fldCharType="end"/>
      </w:r>
      <w:bookmarkEnd w:id="9"/>
    </w:p>
    <w:p w14:paraId="47232307">
      <w:pPr>
        <w:framePr w:w="9639" w:h="6974" w:hRule="exact" w:wrap="around" w:vAnchor="page" w:hAnchor="page" w:x="1419" w:y="6408" w:anchorLock="1"/>
        <w:ind w:left="-1418"/>
      </w:pPr>
    </w:p>
    <w:p w14:paraId="2A039D29">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点击此处添加标准名称的英文译名</w:t>
      </w:r>
      <w:r>
        <w:rPr>
          <w:rFonts w:eastAsia="黑体"/>
          <w:szCs w:val="28"/>
        </w:rPr>
        <w:fldChar w:fldCharType="end"/>
      </w:r>
      <w:bookmarkEnd w:id="10"/>
    </w:p>
    <w:p w14:paraId="67B0EAA9">
      <w:pPr>
        <w:framePr w:w="9639" w:h="6974" w:hRule="exact" w:wrap="around" w:vAnchor="page" w:hAnchor="page" w:x="1419" w:y="6408" w:anchorLock="1"/>
        <w:spacing w:line="760" w:lineRule="exact"/>
        <w:ind w:left="-1418"/>
      </w:pPr>
    </w:p>
    <w:p w14:paraId="09273B27">
      <w:pPr>
        <w:pStyle w:val="126"/>
        <w:framePr w:w="9639" w:h="6974" w:hRule="exact" w:wrap="around" w:vAnchor="page" w:hAnchor="page" w:x="1419" w:y="6408" w:anchorLock="1"/>
        <w:textAlignment w:val="bottom"/>
        <w:rPr>
          <w:rFonts w:eastAsia="黑体"/>
          <w:szCs w:val="28"/>
        </w:rPr>
      </w:pPr>
    </w:p>
    <w:p w14:paraId="4114EDE8">
      <w:pPr>
        <w:pStyle w:val="126"/>
        <w:framePr w:w="9639" w:h="6974" w:hRule="exact" w:wrap="around" w:vAnchor="page" w:hAnchor="page" w:x="1419" w:y="6408" w:anchorLock="1"/>
        <w:spacing w:before="440" w:after="160"/>
        <w:textAlignment w:val="bottom"/>
        <w:rPr>
          <w:sz w:val="24"/>
          <w:szCs w:val="28"/>
        </w:rPr>
      </w:pPr>
      <w:bookmarkStart w:id="116" w:name="_GoBack"/>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bookmarkEnd w:id="116"/>
    </w:p>
    <w:p w14:paraId="5AF7B399">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BB1D802">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0B8C65B">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B9E4DD3">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331C7D68">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6703CC08">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4CDE6C8">
      <w:pPr>
        <w:pStyle w:val="92"/>
        <w:spacing w:after="468"/>
      </w:pPr>
      <w:bookmarkStart w:id="21" w:name="BookMark1"/>
      <w:bookmarkStart w:id="22" w:name="_Toc191382356"/>
      <w:bookmarkStart w:id="23" w:name="_Toc19343"/>
      <w:bookmarkStart w:id="24" w:name="_Toc191382337"/>
      <w:r>
        <w:rPr>
          <w:rFonts w:hint="eastAsia"/>
          <w:spacing w:val="320"/>
        </w:rPr>
        <w:t>目</w:t>
      </w:r>
      <w:r>
        <w:rPr>
          <w:rFonts w:hint="eastAsia"/>
        </w:rPr>
        <w:t>次</w:t>
      </w:r>
    </w:p>
    <w:p w14:paraId="5B65C1DC">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"_Toc191382375" </w:instrText>
      </w:r>
      <w:r>
        <w:fldChar w:fldCharType="separate"/>
      </w:r>
      <w:r>
        <w:rPr>
          <w:rStyle w:val="33"/>
          <w:rFonts w:hint="eastAsia"/>
        </w:rPr>
        <w:t>前言</w:t>
      </w:r>
      <w:r>
        <w:rPr>
          <w:rFonts w:hint="eastAsia"/>
        </w:rPr>
        <w:tab/>
      </w:r>
      <w:r>
        <w:rPr>
          <w:rFonts w:hint="eastAsia"/>
        </w:rPr>
        <w:fldChar w:fldCharType="begin"/>
      </w:r>
      <w:r>
        <w:rPr>
          <w:rFonts w:hint="eastAsia"/>
        </w:rPr>
        <w:instrText xml:space="preserve"> </w:instrText>
      </w:r>
      <w:r>
        <w:instrText xml:space="preserve">PAGEREF _Toc191382375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69CAEF95">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"_Toc191382376" </w:instrText>
      </w:r>
      <w:r>
        <w:fldChar w:fldCharType="separate"/>
      </w:r>
      <w:r>
        <w:rPr>
          <w:rStyle w:val="33"/>
          <w:rFonts w:hint="eastAsia"/>
        </w:rPr>
        <w:t>1</w:t>
      </w:r>
      <w:r>
        <w:rPr>
          <w:rStyle w:val="33"/>
        </w:rPr>
        <w:t xml:space="preserve"> </w:t>
      </w:r>
      <w:r>
        <w:rPr>
          <w:rStyle w:val="33"/>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_Toc191382376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9561F17">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"_Toc191382377" </w:instrText>
      </w:r>
      <w:r>
        <w:fldChar w:fldCharType="separate"/>
      </w:r>
      <w:r>
        <w:rPr>
          <w:rStyle w:val="33"/>
          <w:rFonts w:hint="eastAsia"/>
        </w:rPr>
        <w:t>2</w:t>
      </w:r>
      <w:r>
        <w:rPr>
          <w:rStyle w:val="33"/>
        </w:rPr>
        <w:t xml:space="preserve"> </w:t>
      </w:r>
      <w:r>
        <w:rPr>
          <w:rStyle w:val="33"/>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_Toc191382377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7F387C6">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"_Toc191382378" </w:instrText>
      </w:r>
      <w:r>
        <w:fldChar w:fldCharType="separate"/>
      </w:r>
      <w:r>
        <w:rPr>
          <w:rStyle w:val="33"/>
          <w:rFonts w:hint="eastAsia"/>
        </w:rPr>
        <w:t>3</w:t>
      </w:r>
      <w:r>
        <w:rPr>
          <w:rStyle w:val="33"/>
        </w:rPr>
        <w:t xml:space="preserve"> </w:t>
      </w:r>
      <w:r>
        <w:rPr>
          <w:rStyle w:val="33"/>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_Toc191382378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4ACAFA5">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"_Toc191382379" </w:instrText>
      </w:r>
      <w:r>
        <w:fldChar w:fldCharType="separate"/>
      </w:r>
      <w:r>
        <w:rPr>
          <w:rStyle w:val="33"/>
          <w:rFonts w:hint="eastAsia"/>
        </w:rPr>
        <w:t>4</w:t>
      </w:r>
      <w:r>
        <w:rPr>
          <w:rStyle w:val="33"/>
        </w:rPr>
        <w:t xml:space="preserve"> </w:t>
      </w:r>
      <w:r>
        <w:rPr>
          <w:rStyle w:val="33"/>
          <w:rFonts w:hint="eastAsia"/>
        </w:rPr>
        <w:t xml:space="preserve"> 水砝码质量计算方法</w:t>
      </w:r>
      <w:r>
        <w:rPr>
          <w:rFonts w:hint="eastAsia"/>
        </w:rPr>
        <w:tab/>
      </w:r>
      <w:r>
        <w:rPr>
          <w:rFonts w:hint="eastAsia"/>
        </w:rPr>
        <w:fldChar w:fldCharType="begin"/>
      </w:r>
      <w:r>
        <w:rPr>
          <w:rFonts w:hint="eastAsia"/>
        </w:rPr>
        <w:instrText xml:space="preserve"> </w:instrText>
      </w:r>
      <w:r>
        <w:instrText xml:space="preserve">PAGEREF _Toc191382379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FDAF1F4">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"_Toc191382380" </w:instrText>
      </w:r>
      <w:r>
        <w:fldChar w:fldCharType="separate"/>
      </w:r>
      <w:r>
        <w:rPr>
          <w:rStyle w:val="33"/>
          <w:rFonts w:hint="eastAsia"/>
        </w:rPr>
        <w:t>5</w:t>
      </w:r>
      <w:r>
        <w:rPr>
          <w:rStyle w:val="33"/>
        </w:rPr>
        <w:t xml:space="preserve"> </w:t>
      </w:r>
      <w:r>
        <w:rPr>
          <w:rStyle w:val="33"/>
          <w:rFonts w:hint="eastAsia"/>
        </w:rPr>
        <w:t xml:space="preserve"> 试验条件</w:t>
      </w:r>
      <w:r>
        <w:rPr>
          <w:rFonts w:hint="eastAsia"/>
        </w:rPr>
        <w:tab/>
      </w:r>
      <w:r>
        <w:rPr>
          <w:rFonts w:hint="eastAsia"/>
        </w:rPr>
        <w:fldChar w:fldCharType="begin"/>
      </w:r>
      <w:r>
        <w:rPr>
          <w:rFonts w:hint="eastAsia"/>
        </w:rPr>
        <w:instrText xml:space="preserve"> </w:instrText>
      </w:r>
      <w:r>
        <w:instrText xml:space="preserve">PAGEREF _Toc191382380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3D811381">
      <w:pPr>
        <w:pStyle w:val="24"/>
        <w:rPr>
          <w:rFonts w:asciiTheme="minorHAnsi" w:hAnsiTheme="minorHAnsi" w:eastAsiaTheme="minorEastAsia" w:cstheme="minorBidi"/>
          <w:sz w:val="22"/>
          <w:szCs w:val="24"/>
          <w14:ligatures w14:val="standardContextual"/>
        </w:rPr>
      </w:pPr>
      <w:r>
        <w:fldChar w:fldCharType="begin"/>
      </w:r>
      <w:r>
        <w:instrText xml:space="preserve"> HYPERLINK \l "_Toc191382381" </w:instrText>
      </w:r>
      <w:r>
        <w:fldChar w:fldCharType="separate"/>
      </w:r>
      <w:r>
        <w:rPr>
          <w:rStyle w:val="33"/>
          <w:rFonts w:hint="eastAsia"/>
          <w14:scene3d>
            <w14:lightRig w14:rig="threePt" w14:dir="t">
              <w14:rot w14:lat="0" w14:lon="0" w14:rev="0"/>
            </w14:lightRig>
          </w14:scene3d>
        </w:rPr>
        <w:t>5.1</w:t>
      </w:r>
      <w:r>
        <w:rPr>
          <w:rStyle w:val="33"/>
          <w14:scene3d>
            <w14:lightRig w14:rig="threePt" w14:dir="t">
              <w14:rot w14:lat="0" w14:lon="0" w14:rev="0"/>
            </w14:lightRig>
          </w14:scene3d>
        </w:rPr>
        <w:t xml:space="preserve"> </w:t>
      </w:r>
      <w:r>
        <w:rPr>
          <w:rStyle w:val="33"/>
          <w:rFonts w:hint="eastAsia"/>
        </w:rPr>
        <w:t xml:space="preserve"> 设备条件</w:t>
      </w:r>
      <w:r>
        <w:rPr>
          <w:rFonts w:hint="eastAsia"/>
        </w:rPr>
        <w:tab/>
      </w:r>
      <w:r>
        <w:rPr>
          <w:rFonts w:hint="eastAsia"/>
        </w:rPr>
        <w:fldChar w:fldCharType="begin"/>
      </w:r>
      <w:r>
        <w:rPr>
          <w:rFonts w:hint="eastAsia"/>
        </w:rPr>
        <w:instrText xml:space="preserve"> </w:instrText>
      </w:r>
      <w:r>
        <w:instrText xml:space="preserve">PAGEREF _Toc191382381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BD60B11">
      <w:pPr>
        <w:pStyle w:val="24"/>
        <w:rPr>
          <w:rFonts w:asciiTheme="minorHAnsi" w:hAnsiTheme="minorHAnsi" w:eastAsiaTheme="minorEastAsia" w:cstheme="minorBidi"/>
          <w:sz w:val="22"/>
          <w:szCs w:val="24"/>
          <w14:ligatures w14:val="standardContextual"/>
        </w:rPr>
      </w:pPr>
      <w:r>
        <w:fldChar w:fldCharType="begin"/>
      </w:r>
      <w:r>
        <w:instrText xml:space="preserve"> HYPERLINK \l "_Toc191382382" </w:instrText>
      </w:r>
      <w:r>
        <w:fldChar w:fldCharType="separate"/>
      </w:r>
      <w:r>
        <w:rPr>
          <w:rStyle w:val="33"/>
          <w:rFonts w:hint="eastAsia"/>
          <w14:scene3d>
            <w14:lightRig w14:rig="threePt" w14:dir="t">
              <w14:rot w14:lat="0" w14:lon="0" w14:rev="0"/>
            </w14:lightRig>
          </w14:scene3d>
        </w:rPr>
        <w:t>5.2</w:t>
      </w:r>
      <w:r>
        <w:rPr>
          <w:rStyle w:val="33"/>
          <w14:scene3d>
            <w14:lightRig w14:rig="threePt" w14:dir="t">
              <w14:rot w14:lat="0" w14:lon="0" w14:rev="0"/>
            </w14:lightRig>
          </w14:scene3d>
        </w:rPr>
        <w:t xml:space="preserve"> </w:t>
      </w:r>
      <w:r>
        <w:rPr>
          <w:rStyle w:val="33"/>
          <w:rFonts w:hint="eastAsia"/>
        </w:rPr>
        <w:t xml:space="preserve"> 环境条件</w:t>
      </w:r>
      <w:r>
        <w:rPr>
          <w:rFonts w:hint="eastAsia"/>
        </w:rPr>
        <w:tab/>
      </w:r>
      <w:r>
        <w:rPr>
          <w:rFonts w:hint="eastAsia"/>
        </w:rPr>
        <w:fldChar w:fldCharType="begin"/>
      </w:r>
      <w:r>
        <w:rPr>
          <w:rFonts w:hint="eastAsia"/>
        </w:rPr>
        <w:instrText xml:space="preserve"> </w:instrText>
      </w:r>
      <w:r>
        <w:instrText xml:space="preserve">PAGEREF _Toc191382382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D733E6C">
      <w:pPr>
        <w:pStyle w:val="24"/>
        <w:rPr>
          <w:rFonts w:asciiTheme="minorHAnsi" w:hAnsiTheme="minorHAnsi" w:eastAsiaTheme="minorEastAsia" w:cstheme="minorBidi"/>
          <w:sz w:val="22"/>
          <w:szCs w:val="24"/>
          <w14:ligatures w14:val="standardContextual"/>
        </w:rPr>
      </w:pPr>
      <w:r>
        <w:fldChar w:fldCharType="begin"/>
      </w:r>
      <w:r>
        <w:instrText xml:space="preserve"> HYPERLINK \l "_Toc191382383" </w:instrText>
      </w:r>
      <w:r>
        <w:fldChar w:fldCharType="separate"/>
      </w:r>
      <w:r>
        <w:rPr>
          <w:rStyle w:val="33"/>
          <w:rFonts w:hint="eastAsia"/>
          <w14:scene3d>
            <w14:lightRig w14:rig="threePt" w14:dir="t">
              <w14:rot w14:lat="0" w14:lon="0" w14:rev="0"/>
            </w14:lightRig>
          </w14:scene3d>
        </w:rPr>
        <w:t>5.3</w:t>
      </w:r>
      <w:r>
        <w:rPr>
          <w:rStyle w:val="33"/>
          <w14:scene3d>
            <w14:lightRig w14:rig="threePt" w14:dir="t">
              <w14:rot w14:lat="0" w14:lon="0" w14:rev="0"/>
            </w14:lightRig>
          </w14:scene3d>
        </w:rPr>
        <w:t xml:space="preserve"> </w:t>
      </w:r>
      <w:r>
        <w:rPr>
          <w:rStyle w:val="33"/>
          <w:rFonts w:hint="eastAsia"/>
        </w:rPr>
        <w:t xml:space="preserve"> 试验项目</w:t>
      </w:r>
      <w:r>
        <w:rPr>
          <w:rFonts w:hint="eastAsia"/>
        </w:rPr>
        <w:tab/>
      </w:r>
      <w:r>
        <w:rPr>
          <w:rFonts w:hint="eastAsia"/>
        </w:rPr>
        <w:fldChar w:fldCharType="begin"/>
      </w:r>
      <w:r>
        <w:rPr>
          <w:rFonts w:hint="eastAsia"/>
        </w:rPr>
        <w:instrText xml:space="preserve"> </w:instrText>
      </w:r>
      <w:r>
        <w:instrText xml:space="preserve">PAGEREF _Toc191382383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92EBEBA">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"_Toc191382384" </w:instrText>
      </w:r>
      <w:r>
        <w:fldChar w:fldCharType="separate"/>
      </w:r>
      <w:r>
        <w:rPr>
          <w:rStyle w:val="33"/>
          <w:rFonts w:hint="eastAsia"/>
        </w:rPr>
        <w:t>6</w:t>
      </w:r>
      <w:r>
        <w:rPr>
          <w:rStyle w:val="33"/>
        </w:rPr>
        <w:t xml:space="preserve"> </w:t>
      </w:r>
      <w:r>
        <w:rPr>
          <w:rStyle w:val="33"/>
          <w:rFonts w:hint="eastAsia"/>
        </w:rPr>
        <w:t xml:space="preserve"> 现场试验</w:t>
      </w:r>
      <w:r>
        <w:rPr>
          <w:rFonts w:hint="eastAsia"/>
        </w:rPr>
        <w:tab/>
      </w:r>
      <w:r>
        <w:rPr>
          <w:rFonts w:hint="eastAsia"/>
        </w:rPr>
        <w:fldChar w:fldCharType="begin"/>
      </w:r>
      <w:r>
        <w:rPr>
          <w:rFonts w:hint="eastAsia"/>
        </w:rPr>
        <w:instrText xml:space="preserve"> </w:instrText>
      </w:r>
      <w:r>
        <w:instrText xml:space="preserve">PAGEREF _Toc191382384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157CB66">
      <w:pPr>
        <w:pStyle w:val="24"/>
        <w:rPr>
          <w:rFonts w:asciiTheme="minorHAnsi" w:hAnsiTheme="minorHAnsi" w:eastAsiaTheme="minorEastAsia" w:cstheme="minorBidi"/>
          <w:sz w:val="22"/>
          <w:szCs w:val="24"/>
          <w14:ligatures w14:val="standardContextual"/>
        </w:rPr>
      </w:pPr>
      <w:r>
        <w:fldChar w:fldCharType="begin"/>
      </w:r>
      <w:r>
        <w:instrText xml:space="preserve"> HYPERLINK \l "_Toc191382385" </w:instrText>
      </w:r>
      <w:r>
        <w:fldChar w:fldCharType="separate"/>
      </w:r>
      <w:r>
        <w:rPr>
          <w:rStyle w:val="33"/>
          <w:rFonts w:hint="eastAsia"/>
          <w14:scene3d>
            <w14:lightRig w14:rig="threePt" w14:dir="t">
              <w14:rot w14:lat="0" w14:lon="0" w14:rev="0"/>
            </w14:lightRig>
          </w14:scene3d>
        </w:rPr>
        <w:t>6.1</w:t>
      </w:r>
      <w:r>
        <w:rPr>
          <w:rStyle w:val="33"/>
          <w14:scene3d>
            <w14:lightRig w14:rig="threePt" w14:dir="t">
              <w14:rot w14:lat="0" w14:lon="0" w14:rev="0"/>
            </w14:lightRig>
          </w14:scene3d>
        </w:rPr>
        <w:t xml:space="preserve"> </w:t>
      </w:r>
      <w:r>
        <w:rPr>
          <w:rStyle w:val="33"/>
          <w:rFonts w:hint="eastAsia"/>
        </w:rPr>
        <w:t xml:space="preserve"> 准备工作</w:t>
      </w:r>
      <w:r>
        <w:rPr>
          <w:rFonts w:hint="eastAsia"/>
        </w:rPr>
        <w:tab/>
      </w:r>
      <w:r>
        <w:rPr>
          <w:rFonts w:hint="eastAsia"/>
        </w:rPr>
        <w:fldChar w:fldCharType="begin"/>
      </w:r>
      <w:r>
        <w:rPr>
          <w:rFonts w:hint="eastAsia"/>
        </w:rPr>
        <w:instrText xml:space="preserve"> </w:instrText>
      </w:r>
      <w:r>
        <w:instrText xml:space="preserve">PAGEREF _Toc191382385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022DC20">
      <w:pPr>
        <w:pStyle w:val="24"/>
        <w:rPr>
          <w:rFonts w:asciiTheme="minorHAnsi" w:hAnsiTheme="minorHAnsi" w:eastAsiaTheme="minorEastAsia" w:cstheme="minorBidi"/>
          <w:sz w:val="22"/>
          <w:szCs w:val="24"/>
          <w14:ligatures w14:val="standardContextual"/>
        </w:rPr>
      </w:pPr>
      <w:r>
        <w:fldChar w:fldCharType="begin"/>
      </w:r>
      <w:r>
        <w:instrText xml:space="preserve"> HYPERLINK \l "_Toc191382386" </w:instrText>
      </w:r>
      <w:r>
        <w:fldChar w:fldCharType="separate"/>
      </w:r>
      <w:r>
        <w:rPr>
          <w:rStyle w:val="33"/>
          <w:rFonts w:hint="eastAsia"/>
          <w14:scene3d>
            <w14:lightRig w14:rig="threePt" w14:dir="t">
              <w14:rot w14:lat="0" w14:lon="0" w14:rev="0"/>
            </w14:lightRig>
          </w14:scene3d>
        </w:rPr>
        <w:t>6.2</w:t>
      </w:r>
      <w:r>
        <w:rPr>
          <w:rStyle w:val="33"/>
          <w14:scene3d>
            <w14:lightRig w14:rig="threePt" w14:dir="t">
              <w14:rot w14:lat="0" w14:lon="0" w14:rev="0"/>
            </w14:lightRig>
          </w14:scene3d>
        </w:rPr>
        <w:t xml:space="preserve"> </w:t>
      </w:r>
      <w:r>
        <w:rPr>
          <w:rStyle w:val="33"/>
          <w:rFonts w:hint="eastAsia"/>
        </w:rPr>
        <w:t xml:space="preserve"> 操作流程</w:t>
      </w:r>
      <w:r>
        <w:rPr>
          <w:rFonts w:hint="eastAsia"/>
        </w:rPr>
        <w:tab/>
      </w:r>
      <w:r>
        <w:rPr>
          <w:rFonts w:hint="eastAsia"/>
        </w:rPr>
        <w:fldChar w:fldCharType="begin"/>
      </w:r>
      <w:r>
        <w:rPr>
          <w:rFonts w:hint="eastAsia"/>
        </w:rPr>
        <w:instrText xml:space="preserve"> </w:instrText>
      </w:r>
      <w:r>
        <w:instrText xml:space="preserve">PAGEREF _Toc191382386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46389D3">
      <w:pPr>
        <w:pStyle w:val="24"/>
        <w:rPr>
          <w:rFonts w:asciiTheme="minorHAnsi" w:hAnsiTheme="minorHAnsi" w:eastAsiaTheme="minorEastAsia" w:cstheme="minorBidi"/>
          <w:sz w:val="22"/>
          <w:szCs w:val="24"/>
          <w14:ligatures w14:val="standardContextual"/>
        </w:rPr>
      </w:pPr>
      <w:r>
        <w:fldChar w:fldCharType="begin"/>
      </w:r>
      <w:r>
        <w:instrText xml:space="preserve"> HYPERLINK \l "_Toc191382387" </w:instrText>
      </w:r>
      <w:r>
        <w:fldChar w:fldCharType="separate"/>
      </w:r>
      <w:r>
        <w:rPr>
          <w:rStyle w:val="33"/>
          <w:rFonts w:hint="eastAsia"/>
          <w14:scene3d>
            <w14:lightRig w14:rig="threePt" w14:dir="t">
              <w14:rot w14:lat="0" w14:lon="0" w14:rev="0"/>
            </w14:lightRig>
          </w14:scene3d>
        </w:rPr>
        <w:t>6.3</w:t>
      </w:r>
      <w:r>
        <w:rPr>
          <w:rStyle w:val="33"/>
          <w14:scene3d>
            <w14:lightRig w14:rig="threePt" w14:dir="t">
              <w14:rot w14:lat="0" w14:lon="0" w14:rev="0"/>
            </w14:lightRig>
          </w14:scene3d>
        </w:rPr>
        <w:t xml:space="preserve"> </w:t>
      </w:r>
      <w:r>
        <w:rPr>
          <w:rStyle w:val="33"/>
          <w:rFonts w:hint="eastAsia"/>
        </w:rPr>
        <w:t xml:space="preserve"> 操作方法</w:t>
      </w:r>
      <w:r>
        <w:rPr>
          <w:rFonts w:hint="eastAsia"/>
        </w:rPr>
        <w:tab/>
      </w:r>
      <w:r>
        <w:rPr>
          <w:rFonts w:hint="eastAsia"/>
        </w:rPr>
        <w:fldChar w:fldCharType="begin"/>
      </w:r>
      <w:r>
        <w:rPr>
          <w:rFonts w:hint="eastAsia"/>
        </w:rPr>
        <w:instrText xml:space="preserve"> </w:instrText>
      </w:r>
      <w:r>
        <w:instrText xml:space="preserve">PAGEREF _Toc191382387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9AB2118">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"_Toc191382388" </w:instrText>
      </w:r>
      <w:r>
        <w:fldChar w:fldCharType="separate"/>
      </w:r>
      <w:r>
        <w:rPr>
          <w:rStyle w:val="33"/>
          <w:rFonts w:hint="eastAsia"/>
        </w:rPr>
        <w:t>7</w:t>
      </w:r>
      <w:r>
        <w:rPr>
          <w:rStyle w:val="33"/>
        </w:rPr>
        <w:t xml:space="preserve"> </w:t>
      </w:r>
      <w:r>
        <w:rPr>
          <w:rStyle w:val="33"/>
          <w:rFonts w:hint="eastAsia"/>
        </w:rPr>
        <w:t xml:space="preserve"> 安全要求与应急处理</w:t>
      </w:r>
      <w:r>
        <w:rPr>
          <w:rFonts w:hint="eastAsia"/>
        </w:rPr>
        <w:tab/>
      </w:r>
      <w:r>
        <w:rPr>
          <w:rFonts w:hint="eastAsia"/>
        </w:rPr>
        <w:fldChar w:fldCharType="begin"/>
      </w:r>
      <w:r>
        <w:rPr>
          <w:rFonts w:hint="eastAsia"/>
        </w:rPr>
        <w:instrText xml:space="preserve"> </w:instrText>
      </w:r>
      <w:r>
        <w:instrText xml:space="preserve">PAGEREF _Toc191382388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45216D76">
      <w:pPr>
        <w:pStyle w:val="24"/>
        <w:rPr>
          <w:rFonts w:asciiTheme="minorHAnsi" w:hAnsiTheme="minorHAnsi" w:eastAsiaTheme="minorEastAsia" w:cstheme="minorBidi"/>
          <w:sz w:val="22"/>
          <w:szCs w:val="24"/>
          <w14:ligatures w14:val="standardContextual"/>
        </w:rPr>
      </w:pPr>
      <w:r>
        <w:fldChar w:fldCharType="begin"/>
      </w:r>
      <w:r>
        <w:instrText xml:space="preserve"> HYPERLINK \l "_Toc191382389" </w:instrText>
      </w:r>
      <w:r>
        <w:fldChar w:fldCharType="separate"/>
      </w:r>
      <w:r>
        <w:rPr>
          <w:rStyle w:val="33"/>
          <w:rFonts w:hint="eastAsia"/>
          <w14:scene3d>
            <w14:lightRig w14:rig="threePt" w14:dir="t">
              <w14:rot w14:lat="0" w14:lon="0" w14:rev="0"/>
            </w14:lightRig>
          </w14:scene3d>
        </w:rPr>
        <w:t>7.1</w:t>
      </w:r>
      <w:r>
        <w:rPr>
          <w:rStyle w:val="33"/>
          <w14:scene3d>
            <w14:lightRig w14:rig="threePt" w14:dir="t">
              <w14:rot w14:lat="0" w14:lon="0" w14:rev="0"/>
            </w14:lightRig>
          </w14:scene3d>
        </w:rPr>
        <w:t xml:space="preserve"> </w:t>
      </w:r>
      <w:r>
        <w:rPr>
          <w:rStyle w:val="33"/>
          <w:rFonts w:hint="eastAsia"/>
        </w:rPr>
        <w:t xml:space="preserve"> 安全要求</w:t>
      </w:r>
      <w:r>
        <w:rPr>
          <w:rFonts w:hint="eastAsia"/>
        </w:rPr>
        <w:tab/>
      </w:r>
      <w:r>
        <w:rPr>
          <w:rFonts w:hint="eastAsia"/>
        </w:rPr>
        <w:fldChar w:fldCharType="begin"/>
      </w:r>
      <w:r>
        <w:rPr>
          <w:rFonts w:hint="eastAsia"/>
        </w:rPr>
        <w:instrText xml:space="preserve"> </w:instrText>
      </w:r>
      <w:r>
        <w:instrText xml:space="preserve">PAGEREF _Toc191382389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E71163E">
      <w:pPr>
        <w:pStyle w:val="24"/>
        <w:rPr>
          <w:rFonts w:asciiTheme="minorHAnsi" w:hAnsiTheme="minorHAnsi" w:eastAsiaTheme="minorEastAsia" w:cstheme="minorBidi"/>
          <w:sz w:val="22"/>
          <w:szCs w:val="24"/>
          <w14:ligatures w14:val="standardContextual"/>
        </w:rPr>
      </w:pPr>
      <w:r>
        <w:fldChar w:fldCharType="begin"/>
      </w:r>
      <w:r>
        <w:instrText xml:space="preserve"> HYPERLINK \l "_Toc191382390" </w:instrText>
      </w:r>
      <w:r>
        <w:fldChar w:fldCharType="separate"/>
      </w:r>
      <w:r>
        <w:rPr>
          <w:rStyle w:val="33"/>
          <w:rFonts w:hint="eastAsia"/>
          <w14:scene3d>
            <w14:lightRig w14:rig="threePt" w14:dir="t">
              <w14:rot w14:lat="0" w14:lon="0" w14:rev="0"/>
            </w14:lightRig>
          </w14:scene3d>
        </w:rPr>
        <w:t>7.2</w:t>
      </w:r>
      <w:r>
        <w:rPr>
          <w:rStyle w:val="33"/>
          <w14:scene3d>
            <w14:lightRig w14:rig="threePt" w14:dir="t">
              <w14:rot w14:lat="0" w14:lon="0" w14:rev="0"/>
            </w14:lightRig>
          </w14:scene3d>
        </w:rPr>
        <w:t xml:space="preserve"> </w:t>
      </w:r>
      <w:r>
        <w:rPr>
          <w:rStyle w:val="33"/>
          <w:rFonts w:hint="eastAsia"/>
        </w:rPr>
        <w:t xml:space="preserve"> 应急处理</w:t>
      </w:r>
      <w:r>
        <w:rPr>
          <w:rFonts w:hint="eastAsia"/>
        </w:rPr>
        <w:tab/>
      </w:r>
      <w:r>
        <w:rPr>
          <w:rFonts w:hint="eastAsia"/>
        </w:rPr>
        <w:fldChar w:fldCharType="begin"/>
      </w:r>
      <w:r>
        <w:rPr>
          <w:rFonts w:hint="eastAsia"/>
        </w:rPr>
        <w:instrText xml:space="preserve"> </w:instrText>
      </w:r>
      <w:r>
        <w:instrText xml:space="preserve">PAGEREF _Toc191382390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5B805D93">
      <w:pPr>
        <w:pStyle w:val="92"/>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64F5FA19">
      <w:pPr>
        <w:pStyle w:val="90"/>
        <w:spacing w:after="468"/>
      </w:pPr>
      <w:bookmarkStart w:id="25" w:name="_Toc191382375"/>
      <w:bookmarkStart w:id="26" w:name="BookMark2"/>
      <w:r>
        <w:rPr>
          <w:spacing w:val="320"/>
        </w:rPr>
        <w:t>前</w:t>
      </w:r>
      <w:r>
        <w:t>言</w:t>
      </w:r>
      <w:bookmarkEnd w:id="22"/>
      <w:bookmarkEnd w:id="23"/>
      <w:bookmarkEnd w:id="24"/>
      <w:bookmarkEnd w:id="25"/>
    </w:p>
    <w:p w14:paraId="4B8873B0">
      <w:pPr>
        <w:pStyle w:val="57"/>
        <w:ind w:firstLine="420"/>
      </w:pPr>
      <w:r>
        <w:rPr>
          <w:rFonts w:hint="eastAsia"/>
        </w:rPr>
        <w:t>本文件按照GB/T 1.1—2020《标准化工作导则  第1部分：标准化文件的结构和起草规则》的规定起草。</w:t>
      </w:r>
    </w:p>
    <w:p w14:paraId="4CCB0246">
      <w:pPr>
        <w:pStyle w:val="57"/>
        <w:ind w:firstLine="420"/>
      </w:pPr>
      <w:r>
        <w:rPr>
          <w:rFonts w:hint="eastAsia"/>
        </w:rPr>
        <w:t>本文件由山西省市场监督管理局提出、组织实施和监督检查。</w:t>
      </w:r>
    </w:p>
    <w:p w14:paraId="23232161">
      <w:pPr>
        <w:pStyle w:val="57"/>
        <w:ind w:firstLine="420"/>
      </w:pPr>
      <w:r>
        <w:rPr>
          <w:rFonts w:hint="eastAsia"/>
        </w:rPr>
        <w:t>山西省市场监督管理局对标准的组织实施情况进行监督检查。</w:t>
      </w:r>
    </w:p>
    <w:p w14:paraId="15C459F0">
      <w:pPr>
        <w:pStyle w:val="57"/>
        <w:ind w:firstLine="420"/>
      </w:pPr>
      <w:r>
        <w:rPr>
          <w:rFonts w:hint="eastAsia"/>
        </w:rPr>
        <w:t>本文件由山西省特种设备安全标准化技术委员会归口。</w:t>
      </w:r>
    </w:p>
    <w:p w14:paraId="28BAFB8B">
      <w:pPr>
        <w:pStyle w:val="57"/>
        <w:ind w:firstLine="420"/>
      </w:pPr>
      <w:r>
        <w:rPr>
          <w:rFonts w:hint="eastAsia"/>
        </w:rPr>
        <w:t>本文件起草单位：山西省检验检测中心（山西省标准计量技术研究院）。</w:t>
      </w:r>
    </w:p>
    <w:p w14:paraId="2850D58B">
      <w:pPr>
        <w:pStyle w:val="57"/>
        <w:ind w:firstLine="420"/>
      </w:pPr>
      <w:r>
        <w:rPr>
          <w:rFonts w:hint="eastAsia"/>
        </w:rPr>
        <w:t>本标准参与起草单位：山西工程科技职业大学，大连光程光电科技有限公司。</w:t>
      </w:r>
    </w:p>
    <w:p w14:paraId="401D0B5D">
      <w:pPr>
        <w:pStyle w:val="57"/>
        <w:ind w:firstLine="420"/>
      </w:pPr>
      <w:r>
        <w:rPr>
          <w:rFonts w:hint="eastAsia"/>
        </w:rPr>
        <w:t>本文件主要起草人：赵世军、海曼、芦永军、张志成、张斌、田成刚、李宇杰、张莉、毛振州、刘晋华。</w:t>
      </w:r>
    </w:p>
    <w:p w14:paraId="3549CEC5">
      <w:pPr>
        <w:pStyle w:val="57"/>
        <w:ind w:firstLine="420"/>
      </w:pPr>
    </w:p>
    <w:p w14:paraId="6B8E2931">
      <w:pPr>
        <w:pStyle w:val="57"/>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26"/>
    <w:p w14:paraId="47CF1D88">
      <w:pPr>
        <w:spacing w:line="20" w:lineRule="exact"/>
        <w:jc w:val="center"/>
        <w:rPr>
          <w:rFonts w:ascii="黑体" w:hAnsi="黑体" w:eastAsia="黑体"/>
          <w:sz w:val="32"/>
          <w:szCs w:val="32"/>
        </w:rPr>
      </w:pPr>
      <w:bookmarkStart w:id="27" w:name="BookMark4"/>
    </w:p>
    <w:p w14:paraId="6FACD76D">
      <w:pPr>
        <w:spacing w:line="20" w:lineRule="exact"/>
        <w:jc w:val="center"/>
        <w:rPr>
          <w:rFonts w:ascii="黑体" w:hAnsi="黑体" w:eastAsia="黑体"/>
          <w:sz w:val="32"/>
          <w:szCs w:val="32"/>
        </w:rPr>
      </w:pPr>
    </w:p>
    <w:sdt>
      <w:sdtPr>
        <w:tag w:val="NEW_STAND_NAME"/>
        <w:id w:val="595910757"/>
        <w:lock w:val="sdtLocked"/>
        <w:placeholder>
          <w:docPart w:val="F0BCE88BDEC145768FCEDF678F28BC12"/>
        </w:placeholder>
      </w:sdtPr>
      <w:sdtContent>
        <w:p w14:paraId="54D15573">
          <w:pPr>
            <w:pStyle w:val="178"/>
            <w:spacing w:before="312" w:beforeLines="100" w:after="686" w:afterLines="220"/>
          </w:pPr>
          <w:bookmarkStart w:id="28" w:name="NEW_STAND_NAME"/>
          <w:r>
            <w:rPr>
              <w:rFonts w:hint="eastAsia"/>
            </w:rPr>
            <w:t>曳引驱动电梯水砝码载荷试验操作规范</w:t>
          </w:r>
        </w:p>
      </w:sdtContent>
    </w:sdt>
    <w:bookmarkEnd w:id="28"/>
    <w:p w14:paraId="7DC8097F">
      <w:pPr>
        <w:pStyle w:val="105"/>
        <w:spacing w:before="312" w:after="312"/>
      </w:pPr>
      <w:bookmarkStart w:id="29" w:name="_Toc26986530"/>
      <w:bookmarkStart w:id="30" w:name="_Toc26986771"/>
      <w:bookmarkStart w:id="31" w:name="_Toc24884211"/>
      <w:bookmarkStart w:id="32" w:name="_Toc17233325"/>
      <w:bookmarkStart w:id="33" w:name="_Toc26718930"/>
      <w:bookmarkStart w:id="34" w:name="_Toc26648465"/>
      <w:bookmarkStart w:id="35" w:name="_Toc17233333"/>
      <w:bookmarkStart w:id="36" w:name="_Toc191382376"/>
      <w:bookmarkStart w:id="37" w:name="_Toc18503"/>
      <w:bookmarkStart w:id="38" w:name="_Toc24884218"/>
      <w:bookmarkStart w:id="39" w:name="_Toc97191423"/>
      <w:bookmarkStart w:id="40" w:name="_Toc191382357"/>
      <w:bookmarkStart w:id="41" w:name="_Toc19138233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14:paraId="7E213C7A">
      <w:pPr>
        <w:pStyle w:val="57"/>
        <w:ind w:firstLine="420"/>
      </w:pPr>
      <w:bookmarkStart w:id="42" w:name="_Toc26648466"/>
      <w:bookmarkStart w:id="43" w:name="_Toc24884219"/>
      <w:bookmarkStart w:id="44" w:name="_Toc24884212"/>
      <w:bookmarkStart w:id="45" w:name="_Toc17233326"/>
      <w:bookmarkStart w:id="46" w:name="_Toc17233334"/>
      <w:r>
        <w:rPr>
          <w:rFonts w:hint="eastAsia"/>
        </w:rPr>
        <w:t>本文件适用于山西省内使用水砝码进行曳引驱动电梯的载荷试验。</w:t>
      </w:r>
    </w:p>
    <w:p w14:paraId="5C1A1186">
      <w:pPr>
        <w:pStyle w:val="105"/>
        <w:spacing w:before="312" w:after="312"/>
      </w:pPr>
      <w:bookmarkStart w:id="47" w:name="_Toc26718931"/>
      <w:bookmarkStart w:id="48" w:name="_Toc26986772"/>
      <w:bookmarkStart w:id="49" w:name="_Toc26986531"/>
      <w:bookmarkStart w:id="50" w:name="_Toc97191424"/>
      <w:bookmarkStart w:id="51" w:name="_Toc191382377"/>
      <w:bookmarkStart w:id="52" w:name="_Toc191382358"/>
      <w:bookmarkStart w:id="53" w:name="_Toc5365"/>
      <w:bookmarkStart w:id="54" w:name="_Toc191382339"/>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41D9851C1A524273A0CBB43AD8ACD7D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F1F2F99">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A71EC55">
      <w:pPr>
        <w:pStyle w:val="57"/>
        <w:ind w:firstLine="420"/>
      </w:pPr>
      <w:r>
        <w:rPr>
          <w:rFonts w:hint="eastAsia"/>
        </w:rPr>
        <w:t>GB/T 7588.1</w:t>
      </w:r>
      <w:r>
        <w:t xml:space="preserve"> </w:t>
      </w:r>
      <w:r>
        <w:rPr>
          <w:rFonts w:hint="eastAsia"/>
        </w:rPr>
        <w:t>电梯制造与安装安全规范</w:t>
      </w:r>
    </w:p>
    <w:p w14:paraId="1F843426">
      <w:pPr>
        <w:pStyle w:val="57"/>
        <w:ind w:firstLine="420"/>
      </w:pPr>
      <w:r>
        <w:rPr>
          <w:rFonts w:hint="eastAsia"/>
        </w:rPr>
        <w:t>GB/T 10058</w:t>
      </w:r>
      <w:r>
        <w:t xml:space="preserve"> </w:t>
      </w:r>
      <w:r>
        <w:rPr>
          <w:rFonts w:hint="eastAsia"/>
        </w:rPr>
        <w:t>电梯技术条件</w:t>
      </w:r>
    </w:p>
    <w:p w14:paraId="2DD16348">
      <w:pPr>
        <w:pStyle w:val="57"/>
        <w:ind w:firstLine="420"/>
      </w:pPr>
      <w:r>
        <w:rPr>
          <w:rFonts w:hint="eastAsia"/>
        </w:rPr>
        <w:t>GB/T 10059</w:t>
      </w:r>
      <w:r>
        <w:t xml:space="preserve"> </w:t>
      </w:r>
      <w:r>
        <w:rPr>
          <w:rFonts w:hint="eastAsia"/>
        </w:rPr>
        <w:t>电梯试验方法</w:t>
      </w:r>
    </w:p>
    <w:p w14:paraId="54DA93F3">
      <w:pPr>
        <w:pStyle w:val="57"/>
        <w:ind w:firstLine="420"/>
      </w:pPr>
      <w:r>
        <w:rPr>
          <w:rFonts w:hint="eastAsia"/>
        </w:rPr>
        <w:t>TSG</w:t>
      </w:r>
      <w:r>
        <w:t xml:space="preserve"> </w:t>
      </w:r>
      <w:r>
        <w:rPr>
          <w:rFonts w:hint="eastAsia"/>
        </w:rPr>
        <w:t>T7001</w:t>
      </w:r>
      <w:r>
        <w:t xml:space="preserve"> </w:t>
      </w:r>
      <w:r>
        <w:rPr>
          <w:rFonts w:hint="eastAsia"/>
        </w:rPr>
        <w:t>电梯监督检验和定期检验规则</w:t>
      </w:r>
    </w:p>
    <w:p w14:paraId="606AC677">
      <w:pPr>
        <w:pStyle w:val="57"/>
        <w:ind w:firstLine="420"/>
      </w:pPr>
      <w:r>
        <w:rPr>
          <w:rFonts w:hint="eastAsia"/>
        </w:rPr>
        <w:t>TSG T7008 电梯自行检测规则</w:t>
      </w:r>
    </w:p>
    <w:p w14:paraId="7B4CA05D">
      <w:pPr>
        <w:pStyle w:val="57"/>
        <w:ind w:firstLine="420"/>
      </w:pPr>
      <w:r>
        <w:rPr>
          <w:rFonts w:hint="eastAsia"/>
        </w:rPr>
        <w:t>JJG 1037</w:t>
      </w:r>
      <w:r>
        <w:t xml:space="preserve"> </w:t>
      </w:r>
      <w:r>
        <w:rPr>
          <w:rFonts w:hint="eastAsia"/>
        </w:rPr>
        <w:t>涡轮流量计</w:t>
      </w:r>
    </w:p>
    <w:p w14:paraId="45B10785">
      <w:pPr>
        <w:pStyle w:val="57"/>
        <w:ind w:firstLine="420"/>
      </w:pPr>
      <w:r>
        <w:rPr>
          <w:rFonts w:hint="eastAsia"/>
        </w:rPr>
        <w:t xml:space="preserve">DB14/T 2166-2020 曳引驱动电梯 </w:t>
      </w:r>
      <w:r>
        <w:t>125%</w:t>
      </w:r>
      <w:r>
        <w:rPr>
          <w:rFonts w:hint="eastAsia"/>
        </w:rPr>
        <w:t>额定载荷制动试验规范</w:t>
      </w:r>
    </w:p>
    <w:p w14:paraId="337A5D59">
      <w:pPr>
        <w:pStyle w:val="105"/>
        <w:spacing w:before="312" w:after="312"/>
      </w:pPr>
      <w:bookmarkStart w:id="55" w:name="_Toc97191425"/>
      <w:bookmarkStart w:id="56" w:name="_Toc191382340"/>
      <w:bookmarkStart w:id="57" w:name="_Toc191382359"/>
      <w:bookmarkStart w:id="58" w:name="_Toc191382378"/>
      <w:bookmarkStart w:id="59" w:name="_Toc4631"/>
      <w:r>
        <w:rPr>
          <w:rFonts w:hint="eastAsia"/>
          <w:szCs w:val="21"/>
        </w:rPr>
        <w:t>术语和定义</w:t>
      </w:r>
      <w:bookmarkEnd w:id="55"/>
      <w:bookmarkEnd w:id="56"/>
      <w:bookmarkEnd w:id="57"/>
      <w:bookmarkEnd w:id="58"/>
      <w:bookmarkEnd w:id="59"/>
    </w:p>
    <w:sdt>
      <w:sdtPr>
        <w:id w:val="-1909835108"/>
        <w:placeholder>
          <w:docPart w:val="E24F3BDB38964CB7A5A56E69469AAF9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85BE59D">
          <w:pPr>
            <w:pStyle w:val="57"/>
            <w:ind w:firstLine="420"/>
          </w:pPr>
          <w:bookmarkStart w:id="60" w:name="_Toc26986532"/>
          <w:bookmarkEnd w:id="60"/>
          <w:r>
            <w:t>下列术语和定义适用于本文件。</w:t>
          </w:r>
        </w:p>
      </w:sdtContent>
    </w:sdt>
    <w:p w14:paraId="7884A068">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曳引驱动电梯</w:t>
      </w:r>
    </w:p>
    <w:p w14:paraId="130AB709">
      <w:pPr>
        <w:pStyle w:val="57"/>
        <w:ind w:firstLine="420"/>
      </w:pPr>
      <w:r>
        <w:rPr>
          <w:rFonts w:hint="eastAsia"/>
        </w:rPr>
        <w:t>通过悬挂钢丝绳或悬挂包覆带与驱动主机曳引轮槽的摩擦力驱动的电梯。</w:t>
      </w:r>
    </w:p>
    <w:p w14:paraId="1D1C947C">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额定载重量</w:t>
      </w:r>
    </w:p>
    <w:p w14:paraId="6C792612">
      <w:pPr>
        <w:pStyle w:val="57"/>
        <w:ind w:firstLine="420"/>
      </w:pPr>
      <w:r>
        <w:rPr>
          <w:rFonts w:hint="eastAsia"/>
        </w:rPr>
        <w:t>电梯设计所规定的轿厢载重量。</w:t>
      </w:r>
    </w:p>
    <w:p w14:paraId="7EB6763F">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平衡系数</w:t>
      </w:r>
    </w:p>
    <w:p w14:paraId="38E35CE0">
      <w:pPr>
        <w:pStyle w:val="57"/>
        <w:ind w:firstLine="420"/>
      </w:pPr>
      <w:r>
        <w:rPr>
          <w:rFonts w:hint="eastAsia"/>
        </w:rPr>
        <w:t>由对重平衡额定载荷的量，其值等于电梯对重系统质量和轿厢系统质量之差与电梯额定载荷之比。</w:t>
      </w:r>
    </w:p>
    <w:p w14:paraId="056EDF4F">
      <w:pPr>
        <w:pStyle w:val="57"/>
        <w:ind w:firstLine="420"/>
      </w:pPr>
      <w:r>
        <w:rPr>
          <w:rFonts w:hint="eastAsia"/>
        </w:rPr>
        <w:t>[来源</w:t>
      </w:r>
      <w:r>
        <w:t>:</w:t>
      </w:r>
      <w:r>
        <w:rPr>
          <w:rFonts w:hint="eastAsia"/>
        </w:rPr>
        <w:t>DB14</w:t>
      </w:r>
      <w:r>
        <w:t>/T</w:t>
      </w:r>
      <w:r>
        <w:rPr>
          <w:rFonts w:hint="eastAsia"/>
        </w:rPr>
        <w:t xml:space="preserve"> 2166-2020</w:t>
      </w:r>
      <w:r>
        <w:t>]</w:t>
      </w:r>
    </w:p>
    <w:p w14:paraId="09799CB0">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装卸层</w:t>
      </w:r>
    </w:p>
    <w:p w14:paraId="197CCE40">
      <w:pPr>
        <w:pStyle w:val="57"/>
        <w:ind w:firstLine="420"/>
      </w:pPr>
      <w:r>
        <w:rPr>
          <w:rFonts w:hint="eastAsia"/>
        </w:rPr>
        <w:t>往轿厢内搬入或搬出载荷时电梯所停靠的层站。</w:t>
      </w:r>
    </w:p>
    <w:p w14:paraId="64013D92">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水砝码</w:t>
      </w:r>
    </w:p>
    <w:p w14:paraId="1EA3FF74">
      <w:pPr>
        <w:pStyle w:val="57"/>
        <w:ind w:firstLine="420"/>
      </w:pPr>
      <w:r>
        <w:rPr>
          <w:rFonts w:hint="eastAsia"/>
        </w:rPr>
        <w:t>以水作为质量标准，辅以容器作为载体，通过精确动态控制容器内水量作为载荷的砝码型式。</w:t>
      </w:r>
    </w:p>
    <w:p w14:paraId="148BD0D2">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水砝码载荷试验</w:t>
      </w:r>
    </w:p>
    <w:p w14:paraId="52D6CD4C">
      <w:pPr>
        <w:pStyle w:val="57"/>
        <w:ind w:firstLine="420"/>
      </w:pPr>
      <w:r>
        <w:rPr>
          <w:rFonts w:hint="eastAsia"/>
        </w:rPr>
        <w:t>以载重车作为移动平台，以车载水箱作为储水装置，利用车的移动将水搬运至就近试验地点，通过车载泵及管路进行水的远距离输送，辅以流量计进行水量的精确测控，将水输送至轿厢中的水砝码内，以规定量的水砝码作为载荷进行试验。</w:t>
      </w:r>
    </w:p>
    <w:p w14:paraId="158EC19E">
      <w:pPr>
        <w:pStyle w:val="105"/>
        <w:spacing w:before="312" w:after="312"/>
      </w:pPr>
      <w:bookmarkStart w:id="61" w:name="_Toc191382341"/>
      <w:bookmarkStart w:id="62" w:name="_Toc11809"/>
      <w:bookmarkStart w:id="63" w:name="_Toc191382379"/>
      <w:bookmarkStart w:id="64" w:name="_Toc191382360"/>
      <w:r>
        <w:rPr>
          <w:rFonts w:hint="eastAsia"/>
        </w:rPr>
        <w:t>水砝码质量计算方法</w:t>
      </w:r>
      <w:bookmarkEnd w:id="61"/>
      <w:bookmarkEnd w:id="62"/>
      <w:bookmarkEnd w:id="63"/>
      <w:bookmarkEnd w:id="64"/>
    </w:p>
    <w:p w14:paraId="20A6782F">
      <w:pPr>
        <w:pStyle w:val="57"/>
        <w:ind w:firstLine="420"/>
      </w:pPr>
      <w:r>
        <w:rPr>
          <w:rFonts w:hint="eastAsia"/>
          <w:snapToGrid w:val="0"/>
        </w:rPr>
        <w:t>装置以水的流量及时间作为质量测算依据，按公式</w:t>
      </w:r>
      <w:r>
        <w:rPr>
          <w:rFonts w:hint="eastAsia" w:ascii="黑体" w:hAnsi="黑体" w:eastAsia="黑体" w:cs="黑体"/>
          <w:snapToGrid w:val="0"/>
        </w:rPr>
        <w:t>（1）</w:t>
      </w:r>
      <w:r>
        <w:rPr>
          <w:rFonts w:hint="eastAsia"/>
          <w:snapToGrid w:val="0"/>
        </w:rPr>
        <w:t>计算得到水砝码的质量：</w:t>
      </w:r>
    </w:p>
    <w:p w14:paraId="2D5D55E1">
      <w:pPr>
        <w:pStyle w:val="114"/>
        <w:ind w:firstLine="420" w:firstLineChars="200"/>
      </w:pPr>
      <w:r>
        <w:tab/>
      </w:r>
      <m:oMath>
        <m:r>
          <m:rPr>
            <m:sty m:val="p"/>
          </m:rPr>
          <w:rPr>
            <w:rFonts w:ascii="Cambria Math" w:hAnsi="Cambria Math"/>
          </w:rPr>
          <m:t>m=ρQt+s</m:t>
        </m:r>
        <m:r>
          <m:rPr>
            <m:sty m:val="p"/>
          </m:rPr>
          <w:rPr>
            <w:rFonts w:hint="eastAsia" w:hAnsi="Cambria Math"/>
          </w:rPr>
          <m:t>−</m:t>
        </m:r>
        <m:sSub>
          <m:sSubPr>
            <m:ctrlPr>
              <w:rPr>
                <w:rFonts w:hint="eastAsia" w:ascii="Cambria Math" w:hAnsi="Cambria Math"/>
              </w:rPr>
            </m:ctrlPr>
          </m:sSubPr>
          <m:e>
            <m:r>
              <m:rPr>
                <m:sty m:val="p"/>
              </m:rPr>
              <w:rPr>
                <w:rFonts w:ascii="Cambria Math" w:hAnsi="Cambria Math"/>
              </w:rPr>
              <m:t>m</m:t>
            </m:r>
            <m:ctrlPr>
              <w:rPr>
                <w:rFonts w:hint="eastAsia" w:ascii="Cambria Math" w:hAnsi="Cambria Math"/>
              </w:rPr>
            </m:ctrlPr>
          </m:e>
          <m:sub>
            <m:r>
              <m:rPr>
                <m:sty m:val="p"/>
              </m:rPr>
              <w:rPr>
                <w:rFonts w:ascii="Cambria Math" w:hAnsi="Cambria Math"/>
              </w:rPr>
              <m:t>1</m:t>
            </m:r>
            <m:ctrlPr>
              <w:rPr>
                <w:rFonts w:hint="eastAsia" w:ascii="Cambria Math" w:hAnsi="Cambria Math"/>
              </w:rPr>
            </m:ctrlPr>
          </m:sub>
        </m:sSub>
        <m:r>
          <m:rPr>
            <m:sty m:val="p"/>
          </m:rPr>
          <w:rPr>
            <w:rFonts w:ascii="Cambria Math" w:hAnsi="Cambria Math"/>
          </w:rPr>
          <m:t xml:space="preserve"> </m:t>
        </m:r>
      </m:oMath>
      <w:r>
        <w:rPr>
          <w:rFonts w:ascii="微软雅黑" w:hAnsi="微软雅黑" w:eastAsia="微软雅黑"/>
        </w:rPr>
        <w:tab/>
      </w:r>
      <w:r>
        <w:t>(</w:t>
      </w:r>
      <w:r>
        <w:fldChar w:fldCharType="begin"/>
      </w:r>
      <w:r>
        <w:instrText xml:space="preserve"> AUTONUM </w:instrText>
      </w:r>
      <w:r>
        <w:fldChar w:fldCharType="end"/>
      </w:r>
      <w:r>
        <w:t>)</w:t>
      </w:r>
    </w:p>
    <w:p w14:paraId="70B4520E">
      <w:pPr>
        <w:pStyle w:val="56"/>
        <w:ind w:firstLine="420"/>
      </w:pPr>
      <w:r>
        <w:rPr>
          <w:rFonts w:hint="eastAsia"/>
        </w:rPr>
        <w:t>式中：</w:t>
      </w:r>
    </w:p>
    <w:p w14:paraId="50BCE190">
      <w:pPr>
        <w:pStyle w:val="57"/>
        <w:ind w:firstLine="420"/>
      </w:pPr>
      <w:r>
        <w:rPr>
          <w:rFonts w:hint="eastAsia"/>
        </w:rPr>
        <w:t>m——水的质量，单位为千克（kg）；</w:t>
      </w:r>
    </w:p>
    <w:p w14:paraId="79264287">
      <w:pPr>
        <w:pStyle w:val="57"/>
        <w:ind w:firstLine="420"/>
      </w:pPr>
      <w:r>
        <w:rPr>
          <w:rFonts w:hint="eastAsia"/>
        </w:rPr>
        <w:t>ρ——水的密度，单位为千克/立方米（kg/m³），按照试验环境温度对应值带入计算；</w:t>
      </w:r>
    </w:p>
    <w:p w14:paraId="4BD3207D">
      <w:pPr>
        <w:pStyle w:val="57"/>
        <w:ind w:firstLine="420"/>
      </w:pPr>
      <w:r>
        <w:rPr>
          <w:rFonts w:hint="eastAsia"/>
        </w:rPr>
        <w:t>Q——水的流量，单位为立方米/秒（m³/h）；</w:t>
      </w:r>
    </w:p>
    <w:p w14:paraId="7D924787">
      <w:pPr>
        <w:pStyle w:val="57"/>
        <w:ind w:firstLine="420"/>
      </w:pPr>
      <w:r>
        <w:rPr>
          <w:rFonts w:hint="eastAsia"/>
        </w:rPr>
        <w:t>t——注水的时间，单位为小时（h）；</w:t>
      </w:r>
    </w:p>
    <w:p w14:paraId="6FCF0A5D">
      <w:pPr>
        <w:pStyle w:val="57"/>
        <w:ind w:firstLine="420"/>
      </w:pPr>
      <w:r>
        <w:rPr>
          <w:rFonts w:hint="eastAsia"/>
        </w:rPr>
        <w:t>s——水砝码容器的质量，单位为千克（kg）；</w:t>
      </w:r>
    </w:p>
    <w:p w14:paraId="74CD8998">
      <w:pPr>
        <w:pStyle w:val="57"/>
        <w:ind w:firstLine="420"/>
      </w:pPr>
      <w:r>
        <w:rPr>
          <w:rFonts w:hint="eastAsia"/>
        </w:rPr>
        <w:t>m</w:t>
      </w:r>
      <w:r>
        <w:rPr>
          <w:rFonts w:hint="eastAsia"/>
          <w:vertAlign w:val="subscript"/>
        </w:rPr>
        <w:t>1</w:t>
      </w:r>
      <w:r>
        <w:rPr>
          <w:rFonts w:hint="eastAsia"/>
        </w:rPr>
        <w:t>——管内水的质量，单位为千克（kg）。</w:t>
      </w:r>
    </w:p>
    <w:p w14:paraId="0C247725">
      <w:pPr>
        <w:pStyle w:val="105"/>
        <w:spacing w:before="312" w:after="312"/>
      </w:pPr>
      <w:bookmarkStart w:id="65" w:name="_Toc191382380"/>
      <w:bookmarkStart w:id="66" w:name="_Toc10465"/>
      <w:bookmarkStart w:id="67" w:name="_Toc191382361"/>
      <w:bookmarkStart w:id="68" w:name="_Toc191382342"/>
      <w:r>
        <w:rPr>
          <w:rFonts w:hint="eastAsia"/>
        </w:rPr>
        <w:t>试验条件</w:t>
      </w:r>
      <w:bookmarkEnd w:id="65"/>
      <w:bookmarkEnd w:id="66"/>
      <w:bookmarkEnd w:id="67"/>
      <w:bookmarkEnd w:id="68"/>
    </w:p>
    <w:p w14:paraId="6DFB81B5">
      <w:pPr>
        <w:pStyle w:val="106"/>
        <w:spacing w:before="156" w:after="156"/>
      </w:pPr>
      <w:bookmarkStart w:id="69" w:name="_Toc28790"/>
      <w:bookmarkStart w:id="70" w:name="_Toc191382381"/>
      <w:bookmarkStart w:id="71" w:name="_Toc191382362"/>
      <w:bookmarkStart w:id="72" w:name="_Toc191382343"/>
      <w:r>
        <w:rPr>
          <w:rFonts w:hint="eastAsia"/>
        </w:rPr>
        <w:t>设备条件</w:t>
      </w:r>
      <w:bookmarkEnd w:id="69"/>
      <w:bookmarkEnd w:id="70"/>
      <w:bookmarkEnd w:id="71"/>
      <w:bookmarkEnd w:id="72"/>
    </w:p>
    <w:p w14:paraId="64ABF097">
      <w:pPr>
        <w:pStyle w:val="57"/>
        <w:ind w:firstLine="420"/>
      </w:pPr>
      <w:r>
        <w:rPr>
          <w:rFonts w:hint="eastAsia"/>
        </w:rPr>
        <w:t>采用水砝码进行电梯载荷试验时，需要的设备及性能要求如下：</w:t>
      </w:r>
    </w:p>
    <w:p w14:paraId="3339CA2A">
      <w:pPr>
        <w:pStyle w:val="175"/>
      </w:pPr>
      <w:r>
        <w:t>载重车——</w:t>
      </w:r>
      <w:r>
        <w:rPr>
          <w:rFonts w:hint="eastAsia"/>
        </w:rPr>
        <w:t>作为移动平台，需实现水、水砝码容器及整套设备的快速移动</w:t>
      </w:r>
      <w:r>
        <w:t>；</w:t>
      </w:r>
    </w:p>
    <w:p w14:paraId="4B0D8A05">
      <w:pPr>
        <w:pStyle w:val="175"/>
      </w:pPr>
      <w:r>
        <w:t>水泵装置——</w:t>
      </w:r>
      <w:r>
        <w:rPr>
          <w:rFonts w:hint="eastAsia"/>
        </w:rPr>
        <w:t>可对水实施装载和回收，其水量的输入、输出速率应不低于2kg/s</w:t>
      </w:r>
      <w:r>
        <w:t>；</w:t>
      </w:r>
    </w:p>
    <w:p w14:paraId="6174B6B5">
      <w:pPr>
        <w:pStyle w:val="175"/>
      </w:pPr>
      <w:r>
        <w:t>储水装置——储存试验所需水量</w:t>
      </w:r>
      <w:r>
        <w:rPr>
          <w:rFonts w:hint="eastAsia"/>
        </w:rPr>
        <w:t>，总容量至少不低于2300kg</w:t>
      </w:r>
      <w:r>
        <w:t>；</w:t>
      </w:r>
    </w:p>
    <w:p w14:paraId="5592363D">
      <w:pPr>
        <w:pStyle w:val="175"/>
      </w:pPr>
      <w:r>
        <w:t>自动控制装置——</w:t>
      </w:r>
      <w:r>
        <w:rPr>
          <w:rFonts w:hint="eastAsia"/>
        </w:rPr>
        <w:t>实现注水及抽水量的精确测控</w:t>
      </w:r>
      <w:r>
        <w:t>；</w:t>
      </w:r>
    </w:p>
    <w:p w14:paraId="65379EFF">
      <w:pPr>
        <w:pStyle w:val="175"/>
      </w:pPr>
      <w:r>
        <w:t>输水管路——</w:t>
      </w:r>
      <w:r>
        <w:rPr>
          <w:rFonts w:hint="eastAsia"/>
        </w:rPr>
        <w:t>可远距离对轿厢内水砝码容器进行水的快速装载和回收</w:t>
      </w:r>
      <w:r>
        <w:t>；</w:t>
      </w:r>
    </w:p>
    <w:p w14:paraId="21DB7880">
      <w:pPr>
        <w:pStyle w:val="175"/>
      </w:pPr>
      <w:r>
        <w:t>砝码容器——</w:t>
      </w:r>
      <w:r>
        <w:rPr>
          <w:rFonts w:hint="eastAsia"/>
        </w:rPr>
        <w:t>可移动且可独立，若需将容器的重量折算到总载荷中，需提供足以证明该容器质量的资料</w:t>
      </w:r>
      <w:r>
        <w:t>；</w:t>
      </w:r>
    </w:p>
    <w:p w14:paraId="7BAA947F">
      <w:pPr>
        <w:pStyle w:val="175"/>
      </w:pPr>
      <w:r>
        <w:t>流量计——测量水量</w:t>
      </w:r>
      <w:r>
        <w:rPr>
          <w:rFonts w:hint="eastAsia"/>
        </w:rPr>
        <w:t>，精度应不低于±1%，应在检定有效期或校准周期内</w:t>
      </w:r>
      <w:r>
        <w:t>。</w:t>
      </w:r>
    </w:p>
    <w:p w14:paraId="5A0FCFB6">
      <w:pPr>
        <w:pStyle w:val="106"/>
        <w:spacing w:before="156" w:after="156"/>
      </w:pPr>
      <w:bookmarkStart w:id="73" w:name="_Toc191382363"/>
      <w:bookmarkStart w:id="74" w:name="_Toc17642"/>
      <w:bookmarkStart w:id="75" w:name="_Toc191382344"/>
      <w:bookmarkStart w:id="76" w:name="_Toc191382382"/>
      <w:r>
        <w:rPr>
          <w:rFonts w:hint="eastAsia"/>
        </w:rPr>
        <w:t>环境条件</w:t>
      </w:r>
      <w:bookmarkEnd w:id="73"/>
      <w:bookmarkEnd w:id="74"/>
      <w:bookmarkEnd w:id="75"/>
      <w:bookmarkEnd w:id="76"/>
    </w:p>
    <w:p w14:paraId="2BA05176">
      <w:pPr>
        <w:pStyle w:val="166"/>
      </w:pPr>
      <w:bookmarkStart w:id="77" w:name="_Toc191382364"/>
      <w:bookmarkStart w:id="78" w:name="_Toc191382345"/>
      <w:r>
        <w:rPr>
          <w:rFonts w:hint="eastAsia"/>
        </w:rPr>
        <w:t>水砝码载荷试验的操作条件应满足GB/T 10058中4.2的规定。</w:t>
      </w:r>
      <w:bookmarkEnd w:id="77"/>
      <w:bookmarkEnd w:id="78"/>
    </w:p>
    <w:p w14:paraId="4061D543">
      <w:pPr>
        <w:pStyle w:val="166"/>
      </w:pPr>
      <w:bookmarkStart w:id="79" w:name="_Toc191382346"/>
      <w:bookmarkStart w:id="80" w:name="_Toc191382365"/>
      <w:r>
        <w:rPr>
          <w:rFonts w:hint="eastAsia"/>
        </w:rPr>
        <w:t>载重车停靠位置与电梯装卸层的垂直高度差应在3m以内。</w:t>
      </w:r>
      <w:bookmarkEnd w:id="79"/>
      <w:bookmarkEnd w:id="80"/>
    </w:p>
    <w:p w14:paraId="043F4A6E">
      <w:pPr>
        <w:pStyle w:val="166"/>
      </w:pPr>
      <w:bookmarkStart w:id="81" w:name="_Toc191382347"/>
      <w:bookmarkStart w:id="82" w:name="_Toc191382366"/>
      <w:r>
        <w:rPr>
          <w:rFonts w:hint="eastAsia"/>
        </w:rPr>
        <w:t>室外环境温度应在0℃～40℃之间。</w:t>
      </w:r>
      <w:bookmarkEnd w:id="81"/>
      <w:bookmarkEnd w:id="82"/>
    </w:p>
    <w:p w14:paraId="0B16FE55">
      <w:pPr>
        <w:pStyle w:val="106"/>
        <w:spacing w:before="156" w:after="156"/>
      </w:pPr>
      <w:bookmarkStart w:id="83" w:name="_Toc191382367"/>
      <w:bookmarkStart w:id="84" w:name="_Toc191382383"/>
      <w:bookmarkStart w:id="85" w:name="_Toc3561"/>
      <w:bookmarkStart w:id="86" w:name="_Toc191382348"/>
      <w:r>
        <w:rPr>
          <w:rFonts w:hint="eastAsia"/>
        </w:rPr>
        <w:t>试验项目</w:t>
      </w:r>
      <w:bookmarkEnd w:id="83"/>
      <w:bookmarkEnd w:id="84"/>
      <w:bookmarkEnd w:id="85"/>
      <w:bookmarkEnd w:id="86"/>
    </w:p>
    <w:p w14:paraId="0C27C857">
      <w:pPr>
        <w:pStyle w:val="57"/>
        <w:ind w:firstLine="420"/>
      </w:pPr>
      <w:r>
        <w:rPr>
          <w:rFonts w:hint="eastAsia"/>
        </w:rPr>
        <w:t>水砝码载荷试验包括以下项目：平衡系数测试、轿厢超载保护装置试验、有载工况曳引能力试验、分组制动试验、125%额定载荷试验、限速器-安全钳联动试验。</w:t>
      </w:r>
    </w:p>
    <w:p w14:paraId="6D3D73B1">
      <w:pPr>
        <w:pStyle w:val="105"/>
        <w:spacing w:before="312" w:after="312"/>
      </w:pPr>
      <w:bookmarkStart w:id="87" w:name="_Toc191382384"/>
      <w:bookmarkStart w:id="88" w:name="_Toc18439"/>
      <w:bookmarkStart w:id="89" w:name="_Toc191382368"/>
      <w:bookmarkStart w:id="90" w:name="_Toc191382349"/>
      <w:r>
        <w:rPr>
          <w:rFonts w:hint="eastAsia"/>
        </w:rPr>
        <w:t>现场试验</w:t>
      </w:r>
      <w:bookmarkEnd w:id="87"/>
      <w:bookmarkEnd w:id="88"/>
      <w:bookmarkEnd w:id="89"/>
      <w:bookmarkEnd w:id="90"/>
    </w:p>
    <w:p w14:paraId="698C2F14">
      <w:pPr>
        <w:pStyle w:val="106"/>
        <w:spacing w:before="156" w:after="156"/>
      </w:pPr>
      <w:bookmarkStart w:id="91" w:name="_Toc191382369"/>
      <w:bookmarkStart w:id="92" w:name="_Toc191382385"/>
      <w:bookmarkStart w:id="93" w:name="_Toc191382350"/>
      <w:bookmarkStart w:id="94" w:name="_Toc25035"/>
      <w:r>
        <w:rPr>
          <w:rFonts w:hint="eastAsia"/>
        </w:rPr>
        <w:t>准备工作</w:t>
      </w:r>
      <w:bookmarkEnd w:id="91"/>
      <w:bookmarkEnd w:id="92"/>
      <w:bookmarkEnd w:id="93"/>
      <w:bookmarkEnd w:id="94"/>
    </w:p>
    <w:p w14:paraId="41F7141E">
      <w:pPr>
        <w:pStyle w:val="166"/>
      </w:pPr>
      <w:r>
        <w:rPr>
          <w:rFonts w:hint="eastAsia"/>
        </w:rPr>
        <w:t>使用外接电源工作时，连接前需确认接入电压是否满足设备额定电压的要求。</w:t>
      </w:r>
    </w:p>
    <w:p w14:paraId="3ECB946C">
      <w:pPr>
        <w:pStyle w:val="166"/>
      </w:pPr>
      <w:r>
        <w:rPr>
          <w:rFonts w:hint="eastAsia"/>
        </w:rPr>
        <w:t>使用车载电源工作时，连接前需检查设备车载电源的电量，确保车载设备电量足够支持完成本次水砝码载荷试验的全过程水量输送。</w:t>
      </w:r>
    </w:p>
    <w:p w14:paraId="2309BEB0">
      <w:pPr>
        <w:pStyle w:val="166"/>
      </w:pPr>
      <w:r>
        <w:rPr>
          <w:rFonts w:hint="eastAsia"/>
        </w:rPr>
        <w:t>试验前需确认水砝码容器和管路无明显的裂纹及损坏。</w:t>
      </w:r>
    </w:p>
    <w:p w14:paraId="47E53C68">
      <w:pPr>
        <w:pStyle w:val="166"/>
      </w:pPr>
      <w:r>
        <w:rPr>
          <w:rFonts w:hint="eastAsia"/>
        </w:rPr>
        <w:t>确认车载储水装置的储水量满足本次载荷试验的载重量需求。</w:t>
      </w:r>
    </w:p>
    <w:p w14:paraId="404B2CC9">
      <w:pPr>
        <w:pStyle w:val="166"/>
      </w:pPr>
      <w:r>
        <w:rPr>
          <w:rFonts w:hint="eastAsia"/>
        </w:rPr>
        <w:t>载重车需就近停靠，确保输送管路可有效到达电梯装卸层的轿厢位置。</w:t>
      </w:r>
    </w:p>
    <w:p w14:paraId="1F01EE0B">
      <w:pPr>
        <w:pStyle w:val="106"/>
        <w:spacing w:before="156" w:after="156"/>
      </w:pPr>
      <w:bookmarkStart w:id="95" w:name="_Toc191382351"/>
      <w:bookmarkStart w:id="96" w:name="_Toc26067"/>
      <w:bookmarkStart w:id="97" w:name="_Toc191382370"/>
      <w:bookmarkStart w:id="98" w:name="_Toc191382386"/>
      <w:r>
        <w:rPr>
          <w:rFonts w:hint="eastAsia"/>
        </w:rPr>
        <w:t>操作流程</w:t>
      </w:r>
      <w:bookmarkEnd w:id="95"/>
      <w:bookmarkEnd w:id="96"/>
      <w:bookmarkEnd w:id="97"/>
      <w:bookmarkEnd w:id="98"/>
    </w:p>
    <w:p w14:paraId="2815D95D">
      <w:pPr>
        <w:pStyle w:val="57"/>
        <w:ind w:firstLine="420"/>
      </w:pPr>
      <w:r>
        <w:rPr>
          <w:rFonts w:hint="eastAsia"/>
        </w:rPr>
        <w:t>操作流程如图1所示：</w:t>
      </w:r>
    </w:p>
    <w:p w14:paraId="6940958E">
      <w:pPr>
        <w:pStyle w:val="57"/>
        <w:ind w:firstLine="420"/>
        <w:jc w:val="center"/>
      </w:pPr>
      <w:r>
        <w:drawing>
          <wp:inline distT="0" distB="0" distL="0" distR="0">
            <wp:extent cx="2387600" cy="4319905"/>
            <wp:effectExtent l="0" t="0" r="0" b="0"/>
            <wp:docPr id="1" name="图片 1" descr="水砝码操作流程(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水砝码操作流程(4)"/>
                    <pic:cNvPicPr>
                      <a:picLocks noChangeAspect="1"/>
                    </pic:cNvPicPr>
                  </pic:nvPicPr>
                  <pic:blipFill>
                    <a:blip r:embed="rId25"/>
                    <a:stretch>
                      <a:fillRect/>
                    </a:stretch>
                  </pic:blipFill>
                  <pic:spPr>
                    <a:xfrm>
                      <a:off x="0" y="0"/>
                      <a:ext cx="2387600" cy="4319905"/>
                    </a:xfrm>
                    <a:prstGeom prst="rect">
                      <a:avLst/>
                    </a:prstGeom>
                  </pic:spPr>
                </pic:pic>
              </a:graphicData>
            </a:graphic>
          </wp:inline>
        </w:drawing>
      </w:r>
    </w:p>
    <w:p w14:paraId="6DB66171">
      <w:pPr>
        <w:pStyle w:val="115"/>
        <w:spacing w:before="156" w:after="156"/>
      </w:pPr>
      <w:r>
        <w:rPr>
          <w:rFonts w:hint="eastAsia"/>
        </w:rPr>
        <w:t>水砝码载荷试验操作流程图</w:t>
      </w:r>
    </w:p>
    <w:p w14:paraId="08C52BBB">
      <w:pPr>
        <w:pStyle w:val="106"/>
        <w:spacing w:before="156" w:after="156"/>
      </w:pPr>
      <w:bookmarkStart w:id="99" w:name="_Toc191382387"/>
      <w:bookmarkStart w:id="100" w:name="_Toc10415"/>
      <w:bookmarkStart w:id="101" w:name="_Toc191382371"/>
      <w:bookmarkStart w:id="102" w:name="_Toc191382352"/>
      <w:r>
        <w:rPr>
          <w:rFonts w:hint="eastAsia"/>
        </w:rPr>
        <w:t>操作方法</w:t>
      </w:r>
      <w:bookmarkEnd w:id="99"/>
      <w:bookmarkEnd w:id="100"/>
      <w:bookmarkEnd w:id="101"/>
      <w:bookmarkEnd w:id="102"/>
    </w:p>
    <w:p w14:paraId="0F2B6C32">
      <w:pPr>
        <w:pStyle w:val="175"/>
        <w:numPr>
          <w:ilvl w:val="0"/>
          <w:numId w:val="32"/>
        </w:numPr>
      </w:pPr>
      <w:r>
        <w:t>将载重车移动至电梯试验现场，停放在便于操作的位置。</w:t>
      </w:r>
    </w:p>
    <w:p w14:paraId="0FE263AD">
      <w:pPr>
        <w:pStyle w:val="175"/>
      </w:pPr>
      <w:r>
        <w:t>将水砝码搬运至电梯轿厢内，均匀、稳定摆放。</w:t>
      </w:r>
    </w:p>
    <w:p w14:paraId="7B16AF72">
      <w:pPr>
        <w:pStyle w:val="175"/>
      </w:pPr>
      <w:r>
        <w:rPr>
          <w:rFonts w:hint="eastAsia"/>
        </w:rPr>
        <w:t>将</w:t>
      </w:r>
      <w:r>
        <w:t>输水管路与水砝码的接口可靠连接。</w:t>
      </w:r>
    </w:p>
    <w:p w14:paraId="3055B32F">
      <w:pPr>
        <w:pStyle w:val="175"/>
      </w:pPr>
      <w:r>
        <w:t>启动自动控制装置，根据试验要求设定水的输送量。注水过程中，密切监控自动控制装置的运行状态。</w:t>
      </w:r>
    </w:p>
    <w:p w14:paraId="62C7D4D5">
      <w:pPr>
        <w:pStyle w:val="175"/>
      </w:pPr>
      <w:r>
        <w:t>达到设定的注水量后，断开输水管路与水砝码的连接，将输水管路移动至轿厢外。</w:t>
      </w:r>
    </w:p>
    <w:p w14:paraId="273CE984">
      <w:pPr>
        <w:pStyle w:val="175"/>
      </w:pPr>
      <w:r>
        <w:rPr>
          <w:rFonts w:hint="eastAsia"/>
        </w:rPr>
        <w:t>根据试验项目进行载荷试验</w:t>
      </w:r>
      <w:r>
        <w:rPr>
          <w:rFonts w:hint="eastAsia"/>
          <w:lang w:eastAsia="zh-CN"/>
        </w:rPr>
        <w:t>。</w:t>
      </w:r>
      <w:r>
        <w:t>试验过程中，密切关注试验数据的变化。</w:t>
      </w:r>
    </w:p>
    <w:p w14:paraId="66D72346">
      <w:pPr>
        <w:pStyle w:val="175"/>
      </w:pPr>
      <w:r>
        <w:rPr>
          <w:rFonts w:hint="eastAsia"/>
          <w:lang w:eastAsia="zh-CN"/>
        </w:rPr>
        <w:t>载荷</w:t>
      </w:r>
      <w:r>
        <w:t>试验完成后，再次将输水管路与水砝码可靠连接。</w:t>
      </w:r>
    </w:p>
    <w:p w14:paraId="667128B7">
      <w:pPr>
        <w:pStyle w:val="175"/>
      </w:pPr>
      <w:r>
        <w:t>启动自动控制装置，精确控制水的回收量</w:t>
      </w:r>
      <w:r>
        <w:rPr>
          <w:rFonts w:hint="eastAsia"/>
        </w:rPr>
        <w:t>，</w:t>
      </w:r>
      <w:r>
        <w:t>逐个将水砝码中的水排空。在回收过程中，</w:t>
      </w:r>
      <w:r>
        <w:rPr>
          <w:rFonts w:hint="eastAsia"/>
          <w:lang w:eastAsia="zh-CN"/>
        </w:rPr>
        <w:t>密切</w:t>
      </w:r>
      <w:r>
        <w:t>监控自动控制装置的运行状态。</w:t>
      </w:r>
    </w:p>
    <w:p w14:paraId="1E33F117">
      <w:pPr>
        <w:pStyle w:val="175"/>
      </w:pPr>
      <w:r>
        <w:t>水砝码排空后，将输水管路</w:t>
      </w:r>
      <w:r>
        <w:rPr>
          <w:rFonts w:hint="eastAsia"/>
        </w:rPr>
        <w:t>、</w:t>
      </w:r>
      <w:r>
        <w:t>水砝码搬运至</w:t>
      </w:r>
      <w:r>
        <w:rPr>
          <w:rFonts w:hint="eastAsia"/>
          <w:lang w:eastAsia="zh-CN"/>
        </w:rPr>
        <w:t>载重</w:t>
      </w:r>
      <w:r>
        <w:t>车上</w:t>
      </w:r>
      <w:r>
        <w:rPr>
          <w:rFonts w:hint="eastAsia"/>
        </w:rPr>
        <w:t>，</w:t>
      </w:r>
      <w:r>
        <w:t>同时清理试验现场。</w:t>
      </w:r>
    </w:p>
    <w:p w14:paraId="49B4B574">
      <w:pPr>
        <w:pStyle w:val="175"/>
      </w:pPr>
      <w:r>
        <w:t>对试验数据进行整理和分析，同时做好试验记录的保存和归档工作。</w:t>
      </w:r>
    </w:p>
    <w:p w14:paraId="4647B149">
      <w:pPr>
        <w:pStyle w:val="105"/>
        <w:spacing w:before="312" w:after="312"/>
      </w:pPr>
      <w:bookmarkStart w:id="103" w:name="_Toc191382372"/>
      <w:bookmarkStart w:id="104" w:name="_Toc191382353"/>
      <w:bookmarkStart w:id="105" w:name="_Toc27248"/>
      <w:bookmarkStart w:id="106" w:name="_Toc191382388"/>
      <w:r>
        <w:rPr>
          <w:rFonts w:hint="eastAsia"/>
        </w:rPr>
        <w:t>安全要求与应急处理</w:t>
      </w:r>
      <w:bookmarkEnd w:id="103"/>
      <w:bookmarkEnd w:id="104"/>
      <w:bookmarkEnd w:id="105"/>
      <w:bookmarkEnd w:id="106"/>
    </w:p>
    <w:p w14:paraId="476918DB">
      <w:pPr>
        <w:pStyle w:val="106"/>
        <w:spacing w:before="156" w:after="156"/>
      </w:pPr>
      <w:bookmarkStart w:id="107" w:name="_Toc191382354"/>
      <w:bookmarkStart w:id="108" w:name="_Toc24736"/>
      <w:bookmarkStart w:id="109" w:name="_Toc191382373"/>
      <w:bookmarkStart w:id="110" w:name="_Toc191382389"/>
      <w:r>
        <w:rPr>
          <w:rFonts w:hint="eastAsia"/>
        </w:rPr>
        <w:t>安全要求</w:t>
      </w:r>
      <w:bookmarkEnd w:id="107"/>
      <w:bookmarkEnd w:id="108"/>
      <w:bookmarkEnd w:id="109"/>
      <w:bookmarkEnd w:id="110"/>
    </w:p>
    <w:p w14:paraId="25EB7382">
      <w:pPr>
        <w:pStyle w:val="166"/>
      </w:pPr>
      <w:r>
        <w:rPr>
          <w:rFonts w:hint="eastAsia"/>
        </w:rPr>
        <w:t>试验现场人员须佩戴安全帽、劳保鞋等防护用品，调试好通讯工具，在装卸层、轿厢内及其他必要的地方设置安全防护栏和警示标志。对于人员密集场所，必要时安排专人负责疏导乘客，避免非专业人员进入试验区域。</w:t>
      </w:r>
    </w:p>
    <w:p w14:paraId="54BB15EC">
      <w:pPr>
        <w:pStyle w:val="166"/>
      </w:pPr>
      <w:r>
        <w:rPr>
          <w:rFonts w:hint="eastAsia"/>
          <w:lang w:val="en-US" w:eastAsia="zh-CN"/>
        </w:rPr>
        <w:t>暂</w:t>
      </w:r>
      <w:r>
        <w:rPr>
          <w:rFonts w:hint="eastAsia"/>
        </w:rPr>
        <w:t>时取消厅外选梯功能，在装卸层将水砝码搬运至轿厢内。水砝码应均匀可靠地放置在轿厢内，并踩下其制动踏板，确保不出现偏载、倾翻和滑动现象。</w:t>
      </w:r>
    </w:p>
    <w:p w14:paraId="2844D474">
      <w:pPr>
        <w:pStyle w:val="166"/>
      </w:pPr>
      <w:r>
        <w:rPr>
          <w:rFonts w:hint="eastAsia"/>
        </w:rPr>
        <w:t>加载接近完毕时，人员应尽量避免进入轿厢，加载过程中，应快进快出，不应停留在层、轿门之间。</w:t>
      </w:r>
    </w:p>
    <w:p w14:paraId="7397382F">
      <w:pPr>
        <w:pStyle w:val="166"/>
      </w:pPr>
      <w:r>
        <w:rPr>
          <w:rFonts w:hint="eastAsia"/>
        </w:rPr>
        <w:t>输水管路与水砝码连接时，应确保接头锁紧装置锁紧到位。</w:t>
      </w:r>
    </w:p>
    <w:p w14:paraId="0B535F4F">
      <w:pPr>
        <w:pStyle w:val="106"/>
        <w:spacing w:before="156" w:after="156"/>
      </w:pPr>
      <w:bookmarkStart w:id="111" w:name="_Toc31844"/>
      <w:bookmarkStart w:id="112" w:name="_Toc191382374"/>
      <w:bookmarkStart w:id="113" w:name="_Toc191382390"/>
      <w:bookmarkStart w:id="114" w:name="_Toc191382355"/>
      <w:r>
        <w:rPr>
          <w:rFonts w:hint="eastAsia"/>
        </w:rPr>
        <w:t>应急处理</w:t>
      </w:r>
      <w:bookmarkEnd w:id="111"/>
      <w:bookmarkEnd w:id="112"/>
      <w:bookmarkEnd w:id="113"/>
      <w:bookmarkEnd w:id="114"/>
    </w:p>
    <w:p w14:paraId="187C1379">
      <w:pPr>
        <w:pStyle w:val="166"/>
      </w:pPr>
      <w:r>
        <w:rPr>
          <w:rFonts w:hint="eastAsia"/>
        </w:rPr>
        <w:t>试验中出现紧急情况时，操作人员应立即启用应急处置专项预案，采取针对性处置措施。</w:t>
      </w:r>
    </w:p>
    <w:p w14:paraId="6B03BE27">
      <w:pPr>
        <w:pStyle w:val="166"/>
      </w:pPr>
      <w:r>
        <w:rPr>
          <w:rFonts w:hint="eastAsia"/>
        </w:rPr>
        <w:t>若管路连接处出现渗漏现象，</w:t>
      </w:r>
      <w:r>
        <w:rPr>
          <w:rFonts w:hint="eastAsia"/>
          <w:lang w:val="en-US" w:eastAsia="zh-CN"/>
        </w:rPr>
        <w:t>应</w:t>
      </w:r>
      <w:r>
        <w:rPr>
          <w:rFonts w:hint="eastAsia"/>
        </w:rPr>
        <w:t>立即将水砝码内的水排空并清理试验现场，更换水砝码</w:t>
      </w:r>
      <w:r>
        <w:rPr>
          <w:rFonts w:hint="eastAsia"/>
          <w:lang w:val="en-US" w:eastAsia="zh-CN"/>
        </w:rPr>
        <w:t>后</w:t>
      </w:r>
      <w:r>
        <w:rPr>
          <w:rFonts w:hint="eastAsia"/>
        </w:rPr>
        <w:t>继续完成试验。</w:t>
      </w:r>
    </w:p>
    <w:bookmarkEnd w:id="27"/>
    <w:p w14:paraId="09A2DD06">
      <w:pPr>
        <w:pStyle w:val="57"/>
        <w:ind w:firstLine="0" w:firstLineChars="0"/>
        <w:jc w:val="center"/>
      </w:pPr>
      <w:bookmarkStart w:id="115" w:name="BookMark8"/>
      <w:r>
        <w:rPr>
          <w:rFonts w:hint="eastAsia"/>
        </w:rP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5"/>
    </w:p>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102EE">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54DB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D72C9">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18992">
    <w:pPr>
      <w:pStyle w:val="53"/>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B37C8">
    <w:pPr>
      <w:pStyle w:val="52"/>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09B86">
    <w:pPr>
      <w:pStyle w:val="53"/>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926FA">
    <w:pPr>
      <w:pStyle w:val="52"/>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693F8">
    <w:pPr>
      <w:pStyle w:val="53"/>
    </w:pPr>
    <w:r>
      <w:fldChar w:fldCharType="begin"/>
    </w:r>
    <w:r>
      <w:instrText xml:space="preserve">PAGE   \* MERGEFORMAT</w:instrText>
    </w:r>
    <w:r>
      <w:fldChar w:fldCharType="separate"/>
    </w:r>
    <w:r>
      <w:rPr>
        <w:lang w:val="zh-CN"/>
      </w:rPr>
      <w:t>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F43F2">
    <w:pPr>
      <w:pStyle w:val="52"/>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87DCE">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FD157">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5F3C2">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13099">
    <w:pPr>
      <w:pStyle w:val="62"/>
    </w:pPr>
    <w:r>
      <w:fldChar w:fldCharType="begin"/>
    </w:r>
    <w:r>
      <w:instrText xml:space="preserve"> STYLEREF  标准文件_文件编号  \* MERGEFORMAT </w:instrText>
    </w:r>
    <w:r>
      <w:fldChar w:fldCharType="separate"/>
    </w:r>
    <w:r>
      <w:t>DB 14/T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E143F">
    <w:pPr>
      <w:pStyle w:val="63"/>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14/T XXXX—2024</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A5E88">
    <w:pPr>
      <w:pStyle w:val="62"/>
    </w:pPr>
    <w:r>
      <w:fldChar w:fldCharType="begin"/>
    </w:r>
    <w:r>
      <w:instrText xml:space="preserve"> STYLEREF  标准文件_文件编号  \* MERGEFORMAT </w:instrText>
    </w:r>
    <w:r>
      <w:fldChar w:fldCharType="separate"/>
    </w:r>
    <w:r>
      <w:t>DB 14/T XXXX—2024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72C25">
    <w:pPr>
      <w:pStyle w:val="63"/>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14/T XXXX—2024</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D5EE5">
    <w:pPr>
      <w:pStyle w:val="62"/>
    </w:pPr>
    <w:r>
      <w:fldChar w:fldCharType="begin"/>
    </w:r>
    <w:r>
      <w:instrText xml:space="preserve"> STYLEREF  标准文件_文件编号  \* MERGEFORMAT </w:instrText>
    </w:r>
    <w:r>
      <w:fldChar w:fldCharType="separate"/>
    </w:r>
    <w:r>
      <w:t>DB 14/T XXXX—2024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80F5D">
    <w:pPr>
      <w:pStyle w:val="63"/>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14/T XXXX—2024</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u3TfSVP5pHRPM3AiqGe/Cug6U6h2udpsrLzEgg2P+02GqUlECre1HGFPI1PY0zMZRBj06mwcNbXSA0DTxkpfgw==" w:salt="xcgQPMoNpI7RRSMq4lv58Q=="/>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1D1"/>
    <w:rsid w:val="0000040A"/>
    <w:rsid w:val="00000A94"/>
    <w:rsid w:val="00001972"/>
    <w:rsid w:val="00001D9A"/>
    <w:rsid w:val="00006F63"/>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4EEC"/>
    <w:rsid w:val="000C57D6"/>
    <w:rsid w:val="000C6362"/>
    <w:rsid w:val="000C7666"/>
    <w:rsid w:val="000D0A9C"/>
    <w:rsid w:val="000D1795"/>
    <w:rsid w:val="000D329A"/>
    <w:rsid w:val="000D4B9C"/>
    <w:rsid w:val="000D4EB6"/>
    <w:rsid w:val="000D4FEB"/>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140D"/>
    <w:rsid w:val="001421D1"/>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732"/>
    <w:rsid w:val="0017340B"/>
    <w:rsid w:val="00173FB1"/>
    <w:rsid w:val="00176DFD"/>
    <w:rsid w:val="001852C9"/>
    <w:rsid w:val="00185968"/>
    <w:rsid w:val="00190087"/>
    <w:rsid w:val="001913C4"/>
    <w:rsid w:val="0019348F"/>
    <w:rsid w:val="00193A07"/>
    <w:rsid w:val="00194C95"/>
    <w:rsid w:val="00195C34"/>
    <w:rsid w:val="00196EF5"/>
    <w:rsid w:val="0019732F"/>
    <w:rsid w:val="001A1A53"/>
    <w:rsid w:val="001A234A"/>
    <w:rsid w:val="001A4CF3"/>
    <w:rsid w:val="001A4D2A"/>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239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4F84"/>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1546"/>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259D"/>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E75AC"/>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4F766E"/>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756B"/>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461D"/>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2116"/>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013D"/>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431F"/>
    <w:rsid w:val="006B54BF"/>
    <w:rsid w:val="006B5F44"/>
    <w:rsid w:val="006B5F90"/>
    <w:rsid w:val="006B62E4"/>
    <w:rsid w:val="006C1BBA"/>
    <w:rsid w:val="006C2079"/>
    <w:rsid w:val="006C446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15B"/>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336"/>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38D2"/>
    <w:rsid w:val="00815419"/>
    <w:rsid w:val="008163C8"/>
    <w:rsid w:val="008164A1"/>
    <w:rsid w:val="00817325"/>
    <w:rsid w:val="008209E6"/>
    <w:rsid w:val="00821222"/>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18FD"/>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293"/>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4FFE"/>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2776D"/>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084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2CE"/>
    <w:rsid w:val="009F03B3"/>
    <w:rsid w:val="00A0096C"/>
    <w:rsid w:val="00A01513"/>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232"/>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775"/>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AE8"/>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979"/>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0CE9"/>
    <w:rsid w:val="00DE2410"/>
    <w:rsid w:val="00DE2939"/>
    <w:rsid w:val="00DE6E81"/>
    <w:rsid w:val="00DE703F"/>
    <w:rsid w:val="00DE7595"/>
    <w:rsid w:val="00DF1590"/>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42D1"/>
    <w:rsid w:val="00E664CC"/>
    <w:rsid w:val="00E70388"/>
    <w:rsid w:val="00E70F92"/>
    <w:rsid w:val="00E73CE6"/>
    <w:rsid w:val="00E74C54"/>
    <w:rsid w:val="00E77A03"/>
    <w:rsid w:val="00E822E8"/>
    <w:rsid w:val="00E82554"/>
    <w:rsid w:val="00E82606"/>
    <w:rsid w:val="00E846C8"/>
    <w:rsid w:val="00E84957"/>
    <w:rsid w:val="00E84A55"/>
    <w:rsid w:val="00E85BFF"/>
    <w:rsid w:val="00E86E59"/>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FDF"/>
    <w:rsid w:val="00F81141"/>
    <w:rsid w:val="00F833BA"/>
    <w:rsid w:val="00F84FD0"/>
    <w:rsid w:val="00F859A8"/>
    <w:rsid w:val="00F86D87"/>
    <w:rsid w:val="00F9108B"/>
    <w:rsid w:val="00F91349"/>
    <w:rsid w:val="00F92BA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A11388"/>
    <w:rsid w:val="1B93494F"/>
    <w:rsid w:val="1C7D1C1B"/>
    <w:rsid w:val="250550E5"/>
    <w:rsid w:val="383A4E1A"/>
    <w:rsid w:val="46181E88"/>
    <w:rsid w:val="57C226DC"/>
    <w:rsid w:val="647E1E29"/>
    <w:rsid w:val="75CC5DAF"/>
    <w:rsid w:val="7DAD0236"/>
    <w:rsid w:val="7E544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spacing w:beforeAutospacing="1" w:afterAutospacing="1"/>
      <w:jc w:val="left"/>
    </w:pPr>
    <w:rPr>
      <w:kern w:val="0"/>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link w:val="232"/>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link w:val="233"/>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71e7dc79-1ff7-45e8-997d-0ebda3762b91"/>
    <w:basedOn w:val="3"/>
    <w:link w:val="234"/>
    <w:qFormat/>
    <w:uiPriority w:val="0"/>
    <w:pPr>
      <w:spacing w:before="156" w:after="156"/>
    </w:pPr>
  </w:style>
  <w:style w:type="character" w:customStyle="1" w:styleId="232">
    <w:name w:val="标准文件_章标题 字符"/>
    <w:basedOn w:val="29"/>
    <w:link w:val="105"/>
    <w:qFormat/>
    <w:uiPriority w:val="0"/>
    <w:rPr>
      <w:rFonts w:ascii="黑体" w:eastAsia="黑体"/>
      <w:sz w:val="21"/>
    </w:rPr>
  </w:style>
  <w:style w:type="character" w:customStyle="1" w:styleId="233">
    <w:name w:val="标准文件_一级条标题 字符"/>
    <w:basedOn w:val="232"/>
    <w:link w:val="106"/>
    <w:uiPriority w:val="0"/>
    <w:rPr>
      <w:rFonts w:ascii="黑体" w:eastAsia="黑体"/>
      <w:sz w:val="21"/>
    </w:rPr>
  </w:style>
  <w:style w:type="character" w:customStyle="1" w:styleId="234">
    <w:name w:val="71e7dc79-1ff7-45e8-997d-0ebda3762b91 字符"/>
    <w:basedOn w:val="233"/>
    <w:link w:val="231"/>
    <w:qFormat/>
    <w:uiPriority w:val="0"/>
    <w:rPr>
      <w:rFonts w:ascii="Arial" w:hAnsi="Arial" w:eastAsia="黑体"/>
      <w:b/>
      <w:bCs/>
      <w:kern w:val="2"/>
      <w:sz w:val="32"/>
      <w:szCs w:val="32"/>
    </w:rPr>
  </w:style>
  <w:style w:type="paragraph" w:customStyle="1" w:styleId="235">
    <w:name w:val="acbfdd8b-e11b-4d36-88ff-6049b138f862"/>
    <w:basedOn w:val="13"/>
    <w:link w:val="236"/>
    <w:qFormat/>
    <w:uiPriority w:val="0"/>
    <w:pPr>
      <w:spacing w:after="0" w:line="288" w:lineRule="auto"/>
      <w:jc w:val="left"/>
    </w:pPr>
    <w:rPr>
      <w:rFonts w:eastAsia="黑体"/>
    </w:rPr>
  </w:style>
  <w:style w:type="character" w:customStyle="1" w:styleId="236">
    <w:name w:val="acbfdd8b-e11b-4d36-88ff-6049b138f862 字符"/>
    <w:basedOn w:val="233"/>
    <w:link w:val="235"/>
    <w:uiPriority w:val="0"/>
    <w:rPr>
      <w:rFonts w:ascii="Calibri" w:hAnsi="Calibri" w:eastAsia="黑体"/>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glossaryDocument" Target="glossary/document.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3.jpeg"/><Relationship Id="rId25" Type="http://schemas.openxmlformats.org/officeDocument/2006/relationships/image" Target="media/image2.pn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0BCE88BDEC145768FCEDF678F28BC12"/>
        <w:style w:val=""/>
        <w:category>
          <w:name w:val="常规"/>
          <w:gallery w:val="placeholder"/>
        </w:category>
        <w:types>
          <w:type w:val="bbPlcHdr"/>
        </w:types>
        <w:behaviors>
          <w:behavior w:val="content"/>
        </w:behaviors>
        <w:description w:val=""/>
        <w:guid w:val="{C33C9C61-C5F9-4694-A08D-57D6354ACE51}"/>
      </w:docPartPr>
      <w:docPartBody>
        <w:p w14:paraId="073DFD77">
          <w:pPr>
            <w:pStyle w:val="5"/>
          </w:pPr>
          <w:r>
            <w:rPr>
              <w:rStyle w:val="4"/>
              <w:rFonts w:hint="eastAsia"/>
            </w:rPr>
            <w:t>单击或点击此处输入文字。</w:t>
          </w:r>
        </w:p>
      </w:docPartBody>
    </w:docPart>
    <w:docPart>
      <w:docPartPr>
        <w:name w:val="41D9851C1A524273A0CBB43AD8ACD7DC"/>
        <w:style w:val=""/>
        <w:category>
          <w:name w:val="常规"/>
          <w:gallery w:val="placeholder"/>
        </w:category>
        <w:types>
          <w:type w:val="bbPlcHdr"/>
        </w:types>
        <w:behaviors>
          <w:behavior w:val="content"/>
        </w:behaviors>
        <w:description w:val=""/>
        <w:guid w:val="{5B406A25-5102-4DA8-8CED-AC93E560FC36}"/>
      </w:docPartPr>
      <w:docPartBody>
        <w:p w14:paraId="64E81082">
          <w:pPr>
            <w:pStyle w:val="6"/>
          </w:pPr>
          <w:r>
            <w:rPr>
              <w:rStyle w:val="4"/>
              <w:rFonts w:hint="eastAsia"/>
            </w:rPr>
            <w:t>选择一项。</w:t>
          </w:r>
        </w:p>
      </w:docPartBody>
    </w:docPart>
    <w:docPart>
      <w:docPartPr>
        <w:name w:val="E24F3BDB38964CB7A5A56E69469AAF9F"/>
        <w:style w:val=""/>
        <w:category>
          <w:name w:val="常规"/>
          <w:gallery w:val="placeholder"/>
        </w:category>
        <w:types>
          <w:type w:val="bbPlcHdr"/>
        </w:types>
        <w:behaviors>
          <w:behavior w:val="content"/>
        </w:behaviors>
        <w:description w:val=""/>
        <w:guid w:val="{C04DD35B-1486-4C49-9F93-6D31F8A43BD1}"/>
      </w:docPartPr>
      <w:docPartBody>
        <w:p w14:paraId="1590E034">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4E8"/>
    <w:rsid w:val="000273A8"/>
    <w:rsid w:val="000C1A9A"/>
    <w:rsid w:val="002151AB"/>
    <w:rsid w:val="0057461D"/>
    <w:rsid w:val="00591410"/>
    <w:rsid w:val="005A162C"/>
    <w:rsid w:val="005B1F22"/>
    <w:rsid w:val="006B4881"/>
    <w:rsid w:val="00886B25"/>
    <w:rsid w:val="009C0841"/>
    <w:rsid w:val="00A01513"/>
    <w:rsid w:val="00B60B5A"/>
    <w:rsid w:val="00B864E8"/>
    <w:rsid w:val="00C26908"/>
    <w:rsid w:val="00D622CA"/>
    <w:rsid w:val="00D83BE1"/>
    <w:rsid w:val="00DE0CE9"/>
    <w:rsid w:val="00E2588A"/>
    <w:rsid w:val="00E91E5E"/>
    <w:rsid w:val="00ED4E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0BCE88BDEC145768FCEDF678F28BC1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1D9851C1A524273A0CBB43AD8ACD7D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24F3BDB38964CB7A5A56E69469AAF9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473</Words>
  <Characters>534</Characters>
  <Lines>29</Lines>
  <Paragraphs>8</Paragraphs>
  <TotalTime>66</TotalTime>
  <ScaleCrop>false</ScaleCrop>
  <LinksUpToDate>false</LinksUpToDate>
  <CharactersWithSpaces>599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2025-02-21T04:30:00Z</dcterms:created>
  <dc:creator>张莉</dc:creator>
  <dc:description>&lt;config cover="true" show_menu="true" version="1.0.0" doctype="SDKXY"&gt;_x000d_
&lt;/config&gt;</dc:description>
  <cp:lastModifiedBy>风的旱冰鞋</cp:lastModifiedBy>
  <cp:lastPrinted>2020-08-30T10:00:00Z</cp:lastPrinted>
  <dcterms:modified xsi:type="dcterms:W3CDTF">2025-03-14T01:26:13Z</dcterms:modified>
  <dc:title>地方标准</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2052-12.1.0.20305</vt:lpwstr>
  </property>
  <property fmtid="{D5CDD505-2E9C-101B-9397-08002B2CF9AE}" pid="16" name="ICV">
    <vt:lpwstr>0055ABE2E3614E2D8038710442821E26_13</vt:lpwstr>
  </property>
  <property fmtid="{D5CDD505-2E9C-101B-9397-08002B2CF9AE}" pid="17" name="KSOTemplateDocerSaveRecord">
    <vt:lpwstr>eyJoZGlkIjoiNDk2MWRiZWM0MzgwZWJjZWU4YWMxMTVkNzM3ZjBhODUiLCJ1c2VySWQiOiIzOTA1OTQwMjkifQ==</vt:lpwstr>
  </property>
</Properties>
</file>