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EC68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C5128B">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F655DA7">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03.200</w:t>
            </w:r>
            <w:r>
              <w:rPr>
                <w:rFonts w:ascii="黑体" w:hAnsi="黑体" w:eastAsia="黑体"/>
                <w:sz w:val="21"/>
                <w:szCs w:val="21"/>
              </w:rPr>
              <w:fldChar w:fldCharType="end"/>
            </w:r>
            <w:bookmarkEnd w:id="0"/>
          </w:p>
        </w:tc>
      </w:tr>
      <w:tr w14:paraId="39912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20C23D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6C6F42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A12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15FF0C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1735A68">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28A476C1">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86CA500">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1503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0B02D781">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71235E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AB7234">
      <w:pPr>
        <w:pStyle w:val="50"/>
        <w:framePr w:w="9639" w:h="6976" w:hRule="exact" w:hSpace="0" w:vSpace="0" w:wrap="around" w:hAnchor="page" w:y="6408"/>
        <w:jc w:val="center"/>
        <w:rPr>
          <w:rFonts w:hint="eastAsia" w:ascii="黑体" w:hAnsi="黑体" w:eastAsia="黑体"/>
          <w:b w:val="0"/>
          <w:bCs w:val="0"/>
          <w:w w:val="100"/>
        </w:rPr>
      </w:pPr>
    </w:p>
    <w:p w14:paraId="2C491C12">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KTV娱乐场所服务规范</w:t>
      </w:r>
      <w:r>
        <w:fldChar w:fldCharType="end"/>
      </w:r>
      <w:bookmarkEnd w:id="9"/>
    </w:p>
    <w:p w14:paraId="0BC69697">
      <w:pPr>
        <w:framePr w:w="9639" w:h="6974" w:hRule="exact" w:wrap="around" w:vAnchor="page" w:hAnchor="page" w:x="1419" w:y="6408" w:anchorLock="1"/>
        <w:ind w:left="-1418"/>
      </w:pPr>
    </w:p>
    <w:p w14:paraId="5C8BCD3C">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Specifications for  KTV entertainment venues service </w:t>
      </w:r>
      <w:r>
        <w:rPr>
          <w:rFonts w:eastAsia="黑体"/>
          <w:szCs w:val="28"/>
        </w:rPr>
        <w:fldChar w:fldCharType="end"/>
      </w:r>
      <w:bookmarkEnd w:id="10"/>
    </w:p>
    <w:p w14:paraId="7A4D6157">
      <w:pPr>
        <w:framePr w:w="9639" w:h="6974" w:hRule="exact" w:wrap="around" w:vAnchor="page" w:hAnchor="page" w:x="1419" w:y="6408" w:anchorLock="1"/>
        <w:spacing w:line="760" w:lineRule="exact"/>
        <w:ind w:left="-1418"/>
      </w:pPr>
    </w:p>
    <w:p w14:paraId="059C520D">
      <w:pPr>
        <w:pStyle w:val="125"/>
        <w:framePr w:w="9639" w:h="6974" w:hRule="exact" w:wrap="around" w:vAnchor="page" w:hAnchor="page" w:x="1419" w:y="6408" w:anchorLock="1"/>
        <w:textAlignment w:val="bottom"/>
        <w:rPr>
          <w:rFonts w:eastAsia="黑体"/>
          <w:szCs w:val="28"/>
        </w:rPr>
      </w:pPr>
    </w:p>
    <w:p w14:paraId="5904718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A84E3E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726BDF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451E84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547922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5BDBC47">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8D1017D">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825A75B">
      <w:pPr>
        <w:pStyle w:val="91"/>
        <w:spacing w:after="468"/>
      </w:pPr>
      <w:bookmarkStart w:id="21" w:name="BookMark1"/>
      <w:bookmarkStart w:id="22" w:name="_Toc185668924"/>
      <w:bookmarkStart w:id="23" w:name="_Toc185672425"/>
      <w:bookmarkStart w:id="24" w:name="_Toc185672365"/>
      <w:bookmarkStart w:id="25" w:name="_Toc185672451"/>
      <w:r>
        <w:rPr>
          <w:rFonts w:hint="eastAsia"/>
          <w:spacing w:val="320"/>
        </w:rPr>
        <w:t>目</w:t>
      </w:r>
      <w:r>
        <w:rPr>
          <w:rFonts w:hint="eastAsia"/>
        </w:rPr>
        <w:t>次</w:t>
      </w:r>
    </w:p>
    <w:p w14:paraId="7792078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"_Toc185683011"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_Toc185683011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3837AC1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"_Toc185683012"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_Toc185683012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AD1FDD8">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"_Toc185683013"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_Toc185683013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5041B3C">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"_Toc185683014"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_Toc185683014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995CFD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"_Toc185683015" </w:instrText>
      </w:r>
      <w:r>
        <w:fldChar w:fldCharType="separate"/>
      </w:r>
      <w:r>
        <w:rPr>
          <w:rStyle w:val="32"/>
          <w:rFonts w:hint="eastAsia"/>
        </w:rPr>
        <w:t>4</w:t>
      </w:r>
      <w:r>
        <w:rPr>
          <w:rStyle w:val="32"/>
        </w:rPr>
        <w:t xml:space="preserve"> </w:t>
      </w:r>
      <w:r>
        <w:rPr>
          <w:rStyle w:val="32"/>
          <w:rFonts w:hint="eastAsia"/>
        </w:rPr>
        <w:t xml:space="preserve"> 总体原则</w:t>
      </w:r>
      <w:r>
        <w:rPr>
          <w:rFonts w:hint="eastAsia"/>
        </w:rPr>
        <w:tab/>
      </w:r>
      <w:r>
        <w:rPr>
          <w:rFonts w:hint="eastAsia"/>
        </w:rPr>
        <w:fldChar w:fldCharType="begin"/>
      </w:r>
      <w:r>
        <w:rPr>
          <w:rFonts w:hint="eastAsia"/>
        </w:rPr>
        <w:instrText xml:space="preserve"> </w:instrText>
      </w:r>
      <w:r>
        <w:instrText xml:space="preserve">PAGEREF _Toc185683015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35385D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"_Toc185683016" </w:instrText>
      </w:r>
      <w:r>
        <w:fldChar w:fldCharType="separate"/>
      </w:r>
      <w:r>
        <w:rPr>
          <w:rStyle w:val="32"/>
          <w:rFonts w:hint="eastAsia"/>
        </w:rPr>
        <w:t>5</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_Toc185683016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642199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"_Toc185683017" </w:instrText>
      </w:r>
      <w:r>
        <w:fldChar w:fldCharType="separate"/>
      </w:r>
      <w:r>
        <w:rPr>
          <w:rStyle w:val="32"/>
          <w:rFonts w:hint="eastAsia"/>
        </w:rPr>
        <w:t>6</w:t>
      </w:r>
      <w:r>
        <w:rPr>
          <w:rStyle w:val="32"/>
        </w:rPr>
        <w:t xml:space="preserve"> </w:t>
      </w:r>
      <w:r>
        <w:rPr>
          <w:rStyle w:val="32"/>
          <w:rFonts w:hint="eastAsia"/>
        </w:rPr>
        <w:t xml:space="preserve"> 服务设施与用品</w:t>
      </w:r>
      <w:r>
        <w:rPr>
          <w:rFonts w:hint="eastAsia"/>
        </w:rPr>
        <w:tab/>
      </w:r>
      <w:r>
        <w:rPr>
          <w:rFonts w:hint="eastAsia"/>
        </w:rPr>
        <w:fldChar w:fldCharType="begin"/>
      </w:r>
      <w:r>
        <w:rPr>
          <w:rFonts w:hint="eastAsia"/>
        </w:rPr>
        <w:instrText xml:space="preserve"> </w:instrText>
      </w:r>
      <w:r>
        <w:instrText xml:space="preserve">PAGEREF _Toc185683017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0DC8E32">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"_Toc185683018" </w:instrText>
      </w:r>
      <w:r>
        <w:fldChar w:fldCharType="separate"/>
      </w:r>
      <w:r>
        <w:rPr>
          <w:rStyle w:val="32"/>
          <w:rFonts w:hint="eastAsia"/>
        </w:rPr>
        <w:t>7</w:t>
      </w:r>
      <w:r>
        <w:rPr>
          <w:rStyle w:val="32"/>
        </w:rPr>
        <w:t xml:space="preserve"> </w:t>
      </w:r>
      <w:r>
        <w:rPr>
          <w:rStyle w:val="32"/>
          <w:rFonts w:hint="eastAsia"/>
        </w:rPr>
        <w:t xml:space="preserve"> 服务要求</w:t>
      </w:r>
      <w:r>
        <w:rPr>
          <w:rFonts w:hint="eastAsia"/>
        </w:rPr>
        <w:tab/>
      </w:r>
      <w:r>
        <w:rPr>
          <w:rFonts w:hint="eastAsia"/>
        </w:rPr>
        <w:fldChar w:fldCharType="begin"/>
      </w:r>
      <w:r>
        <w:rPr>
          <w:rFonts w:hint="eastAsia"/>
        </w:rPr>
        <w:instrText xml:space="preserve"> </w:instrText>
      </w:r>
      <w:r>
        <w:instrText xml:space="preserve">PAGEREF _Toc185683018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847F400">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"_Toc185683019" </w:instrText>
      </w:r>
      <w:r>
        <w:fldChar w:fldCharType="separate"/>
      </w:r>
      <w:r>
        <w:rPr>
          <w:rStyle w:val="32"/>
          <w:rFonts w:hint="eastAsia"/>
        </w:rPr>
        <w:t>8</w:t>
      </w:r>
      <w:r>
        <w:rPr>
          <w:rStyle w:val="32"/>
        </w:rPr>
        <w:t xml:space="preserve"> </w:t>
      </w:r>
      <w:r>
        <w:rPr>
          <w:rStyle w:val="32"/>
          <w:rFonts w:hint="eastAsia"/>
        </w:rPr>
        <w:t xml:space="preserve"> 服务改进</w:t>
      </w:r>
      <w:r>
        <w:rPr>
          <w:rFonts w:hint="eastAsia"/>
        </w:rPr>
        <w:tab/>
      </w:r>
      <w:r>
        <w:rPr>
          <w:rFonts w:hint="eastAsia"/>
        </w:rPr>
        <w:fldChar w:fldCharType="begin"/>
      </w:r>
      <w:r>
        <w:rPr>
          <w:rFonts w:hint="eastAsia"/>
        </w:rPr>
        <w:instrText xml:space="preserve"> </w:instrText>
      </w:r>
      <w:r>
        <w:instrText xml:space="preserve">PAGEREF _Toc185683019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B6863B0">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"_Toc185683020" </w:instrText>
      </w:r>
      <w:r>
        <w:fldChar w:fldCharType="separate"/>
      </w:r>
      <w:r>
        <w:rPr>
          <w:rStyle w:val="32"/>
          <w:rFonts w:hint="eastAsia"/>
        </w:rPr>
        <w:t>9</w:t>
      </w:r>
      <w:r>
        <w:rPr>
          <w:rStyle w:val="32"/>
        </w:rPr>
        <w:t xml:space="preserve"> </w:t>
      </w:r>
      <w:r>
        <w:rPr>
          <w:rStyle w:val="32"/>
          <w:rFonts w:hint="eastAsia"/>
        </w:rPr>
        <w:t xml:space="preserve"> 投诉处理</w:t>
      </w:r>
      <w:r>
        <w:rPr>
          <w:rFonts w:hint="eastAsia"/>
        </w:rPr>
        <w:tab/>
      </w:r>
      <w:r>
        <w:rPr>
          <w:rFonts w:hint="eastAsia"/>
        </w:rPr>
        <w:fldChar w:fldCharType="begin"/>
      </w:r>
      <w:r>
        <w:rPr>
          <w:rFonts w:hint="eastAsia"/>
        </w:rPr>
        <w:instrText xml:space="preserve"> </w:instrText>
      </w:r>
      <w:r>
        <w:instrText xml:space="preserve">PAGEREF _Toc185683020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A2CB9B8">
      <w:pPr>
        <w:pStyle w:val="91"/>
        <w:spacing w:after="468"/>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7031B9D7">
      <w:pPr>
        <w:pStyle w:val="89"/>
        <w:spacing w:after="468"/>
      </w:pPr>
      <w:bookmarkStart w:id="26" w:name="_Toc185683011"/>
      <w:bookmarkStart w:id="27" w:name="BookMark2"/>
      <w:r>
        <w:rPr>
          <w:rFonts w:hint="eastAsia"/>
          <w:spacing w:val="320"/>
        </w:rPr>
        <w:t>前</w:t>
      </w:r>
      <w:r>
        <w:rPr>
          <w:rFonts w:hint="eastAsia"/>
        </w:rPr>
        <w:t>言</w:t>
      </w:r>
      <w:bookmarkEnd w:id="22"/>
      <w:bookmarkEnd w:id="23"/>
      <w:bookmarkEnd w:id="24"/>
      <w:bookmarkEnd w:id="25"/>
      <w:bookmarkEnd w:id="26"/>
    </w:p>
    <w:p w14:paraId="3EB35209">
      <w:pPr>
        <w:pStyle w:val="56"/>
        <w:ind w:firstLine="420"/>
      </w:pPr>
      <w:r>
        <w:rPr>
          <w:rFonts w:hint="eastAsia"/>
        </w:rPr>
        <w:t>本文件按照GB/T 1.1—2020《标准化工作导则  第1部分：标准化文件的结构和起草规则》的规定起草。</w:t>
      </w:r>
    </w:p>
    <w:p w14:paraId="005EF086">
      <w:pPr>
        <w:pStyle w:val="56"/>
        <w:ind w:firstLine="420"/>
      </w:pPr>
      <w:r>
        <w:rPr>
          <w:rFonts w:hint="eastAsia"/>
        </w:rPr>
        <w:t>本文件代替DB 43/T 1503-2018 KTV娱乐场所服务规范</w:t>
      </w:r>
      <w:r>
        <w:rPr>
          <w:rFonts w:hint="eastAsia"/>
          <w:lang w:eastAsia="zh-CN"/>
        </w:rPr>
        <w:t>，</w:t>
      </w:r>
      <w:r>
        <w:rPr>
          <w:rFonts w:hint="eastAsia"/>
        </w:rPr>
        <w:t>与DB 43/T 1503-2018相比，除结构调整和编辑性改动外，主要技术内容变化如下：</w:t>
      </w:r>
    </w:p>
    <w:p w14:paraId="553E0292">
      <w:pPr>
        <w:pStyle w:val="56"/>
        <w:numPr>
          <w:ilvl w:val="0"/>
          <w:numId w:val="32"/>
        </w:numPr>
        <w:ind w:firstLine="420"/>
      </w:pPr>
      <w:r>
        <w:rPr>
          <w:rFonts w:hint="eastAsia"/>
        </w:rPr>
        <w:t>完善了经营管理制度的相关内容（见5.1.5，2018版5.1.5）；</w:t>
      </w:r>
    </w:p>
    <w:p w14:paraId="46F5763A">
      <w:pPr>
        <w:pStyle w:val="56"/>
        <w:numPr>
          <w:ilvl w:val="0"/>
          <w:numId w:val="32"/>
        </w:numPr>
        <w:ind w:firstLine="420"/>
      </w:pPr>
      <w:r>
        <w:rPr>
          <w:rFonts w:hint="eastAsia"/>
        </w:rPr>
        <w:t>安全要求新增对于保安配置的要求（见5.3.2），规范了保安配备人数等；</w:t>
      </w:r>
    </w:p>
    <w:p w14:paraId="51C57978">
      <w:pPr>
        <w:pStyle w:val="56"/>
        <w:numPr>
          <w:ilvl w:val="0"/>
          <w:numId w:val="32"/>
        </w:numPr>
        <w:ind w:firstLine="420"/>
      </w:pPr>
      <w:r>
        <w:rPr>
          <w:rFonts w:hint="eastAsia"/>
        </w:rPr>
        <w:t>传染病防控要求增加了应配备防治传染病的相关用品的要求（见5.5.2）；</w:t>
      </w:r>
    </w:p>
    <w:p w14:paraId="1FD1C7BD">
      <w:pPr>
        <w:pStyle w:val="56"/>
        <w:numPr>
          <w:ilvl w:val="0"/>
          <w:numId w:val="32"/>
        </w:numPr>
        <w:ind w:firstLine="420"/>
      </w:pPr>
      <w:r>
        <w:rPr>
          <w:rFonts w:hint="eastAsia"/>
        </w:rPr>
        <w:t>基础设施中增加了对温湿度调节系统的要求（见6.1，2018版6.1）；</w:t>
      </w:r>
    </w:p>
    <w:p w14:paraId="4DE85AA7">
      <w:pPr>
        <w:pStyle w:val="56"/>
        <w:numPr>
          <w:ilvl w:val="0"/>
          <w:numId w:val="32"/>
        </w:numPr>
        <w:ind w:firstLine="420"/>
      </w:pPr>
      <w:r>
        <w:rPr>
          <w:rFonts w:hint="eastAsia"/>
        </w:rPr>
        <w:t>服务设施设备中明确了点歌系统需定期更新及设备配备标准（见6.2.1，2018版6.2.1）</w:t>
      </w:r>
    </w:p>
    <w:p w14:paraId="65EA8CF6">
      <w:pPr>
        <w:pStyle w:val="56"/>
        <w:numPr>
          <w:ilvl w:val="0"/>
          <w:numId w:val="32"/>
        </w:numPr>
        <w:ind w:firstLine="420"/>
      </w:pPr>
      <w:r>
        <w:rPr>
          <w:rFonts w:hint="eastAsia"/>
        </w:rPr>
        <w:t>新增了对于营业大厅和包厢亮度的要求（见6.3.2）</w:t>
      </w:r>
    </w:p>
    <w:p w14:paraId="722EA077">
      <w:pPr>
        <w:pStyle w:val="56"/>
        <w:numPr>
          <w:ilvl w:val="0"/>
          <w:numId w:val="32"/>
        </w:numPr>
        <w:ind w:firstLine="420"/>
      </w:pPr>
      <w:r>
        <w:rPr>
          <w:rFonts w:hint="eastAsia"/>
        </w:rPr>
        <w:t>接待服务要求增加了对于预订服务的规范（见7.1.1.4）</w:t>
      </w:r>
    </w:p>
    <w:p w14:paraId="01CEF30A">
      <w:pPr>
        <w:pStyle w:val="56"/>
        <w:numPr>
          <w:ilvl w:val="0"/>
          <w:numId w:val="32"/>
        </w:numPr>
        <w:ind w:firstLine="420"/>
      </w:pPr>
      <w:r>
        <w:rPr>
          <w:rFonts w:hint="eastAsia"/>
        </w:rPr>
        <w:t>在服务改进中增加了定期开展满意度调查（见第8大点）</w:t>
      </w:r>
    </w:p>
    <w:p w14:paraId="7B4E7935">
      <w:pPr>
        <w:pStyle w:val="56"/>
        <w:ind w:firstLine="420"/>
      </w:pPr>
      <w:r>
        <w:rPr>
          <w:rFonts w:hint="eastAsia"/>
        </w:rPr>
        <w:t>请注意本文件的某些内容可能涉及专利。本文件的发布机构不承担识别专利的责任。</w:t>
      </w:r>
    </w:p>
    <w:p w14:paraId="0C8CD767">
      <w:pPr>
        <w:pStyle w:val="56"/>
        <w:ind w:firstLine="420"/>
      </w:pPr>
      <w:r>
        <w:rPr>
          <w:rFonts w:hint="eastAsia"/>
        </w:rPr>
        <w:t>本文件由湖南省文化和旅游厅提出。</w:t>
      </w:r>
    </w:p>
    <w:p w14:paraId="12303940">
      <w:pPr>
        <w:pStyle w:val="56"/>
        <w:ind w:firstLine="420"/>
      </w:pPr>
      <w:r>
        <w:rPr>
          <w:rFonts w:hint="eastAsia"/>
        </w:rPr>
        <w:t>本文件由湖南省服务业标准化技术委员会归口。</w:t>
      </w:r>
    </w:p>
    <w:p w14:paraId="5F1113E1">
      <w:pPr>
        <w:pStyle w:val="56"/>
        <w:ind w:firstLine="420"/>
      </w:pPr>
      <w:r>
        <w:rPr>
          <w:rFonts w:hint="eastAsia"/>
        </w:rPr>
        <w:t>本文件起草单位：湖南华银酒店管理有限公司、湘潭市市场监督管理局、湘潭大学、湘潭蓝黛KTV。</w:t>
      </w:r>
    </w:p>
    <w:p w14:paraId="2D349174">
      <w:pPr>
        <w:pStyle w:val="56"/>
        <w:ind w:firstLine="420"/>
      </w:pPr>
      <w:r>
        <w:rPr>
          <w:rFonts w:hint="eastAsia"/>
        </w:rPr>
        <w:t>本文件主要起草人：荣玫、蔡高强、张建宏、余斌、陈坡、娄贞妃、刘新群、马斌、郭婧文、刘利华、姜静。</w:t>
      </w:r>
    </w:p>
    <w:p w14:paraId="54BCEC80">
      <w:pPr>
        <w:pStyle w:val="56"/>
        <w:ind w:firstLine="420"/>
      </w:pPr>
      <w:r>
        <w:rPr>
          <w:rFonts w:hint="eastAsia"/>
        </w:rPr>
        <w:t>本文件及其所代替文件的理财版本发布情况为：DB 43/T 1503-2018。</w:t>
      </w:r>
    </w:p>
    <w:p w14:paraId="6EC9D0C6">
      <w:pPr>
        <w:pStyle w:val="56"/>
        <w:ind w:firstLine="420"/>
      </w:pPr>
    </w:p>
    <w:p w14:paraId="1E073A7D">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7"/>
    <w:p w14:paraId="79C59A08">
      <w:pPr>
        <w:spacing w:line="20" w:lineRule="exact"/>
        <w:jc w:val="center"/>
        <w:rPr>
          <w:rFonts w:hint="eastAsia" w:ascii="黑体" w:hAnsi="黑体" w:eastAsia="黑体"/>
          <w:sz w:val="32"/>
          <w:szCs w:val="32"/>
        </w:rPr>
      </w:pPr>
      <w:bookmarkStart w:id="28" w:name="BookMark4"/>
    </w:p>
    <w:p w14:paraId="2CB30AF6">
      <w:pPr>
        <w:spacing w:line="20" w:lineRule="exact"/>
        <w:jc w:val="center"/>
        <w:rPr>
          <w:rFonts w:hint="eastAsia" w:ascii="黑体" w:hAnsi="黑体" w:eastAsia="黑体"/>
          <w:sz w:val="32"/>
          <w:szCs w:val="32"/>
        </w:rPr>
      </w:pPr>
    </w:p>
    <w:sdt>
      <w:sdtPr>
        <w:tag w:val="NEW_STAND_NAME"/>
        <w:id w:val="595910757"/>
        <w:lock w:val="sdtLocked"/>
        <w:placeholder>
          <w:docPart w:val="3AE69AD543B24D7B96031E4FE3E25BA7"/>
        </w:placeholder>
      </w:sdtPr>
      <w:sdtContent>
        <w:p w14:paraId="6BB84220">
          <w:pPr>
            <w:pStyle w:val="177"/>
            <w:spacing w:before="567" w:beforeLines="182" w:after="686" w:afterLines="220"/>
            <w:rPr>
              <w:rFonts w:hint="eastAsia"/>
            </w:rPr>
          </w:pPr>
          <w:bookmarkStart w:id="29" w:name="NEW_STAND_NAME"/>
          <w:r>
            <w:rPr>
              <w:rFonts w:hint="eastAsia"/>
            </w:rPr>
            <w:t>KTV娱乐场所服务规范</w:t>
          </w:r>
        </w:p>
      </w:sdtContent>
    </w:sdt>
    <w:bookmarkEnd w:id="29"/>
    <w:p w14:paraId="16CDBFC3">
      <w:pPr>
        <w:pStyle w:val="104"/>
        <w:spacing w:before="312" w:after="312"/>
      </w:pPr>
      <w:bookmarkStart w:id="30" w:name="_Toc24884211"/>
      <w:bookmarkStart w:id="31" w:name="_Toc26986530"/>
      <w:bookmarkStart w:id="32" w:name="_Toc185672426"/>
      <w:bookmarkStart w:id="33" w:name="_Toc185672452"/>
      <w:bookmarkStart w:id="34" w:name="_Toc185672366"/>
      <w:bookmarkStart w:id="35" w:name="_Toc26718930"/>
      <w:bookmarkStart w:id="36" w:name="_Toc26986771"/>
      <w:bookmarkStart w:id="37" w:name="_Toc24884218"/>
      <w:bookmarkStart w:id="38" w:name="_Toc185683012"/>
      <w:bookmarkStart w:id="39" w:name="_Toc17233333"/>
      <w:bookmarkStart w:id="40" w:name="_Toc17233325"/>
      <w:bookmarkStart w:id="41" w:name="_Toc185668752"/>
      <w:bookmarkStart w:id="42" w:name="_Toc185668925"/>
      <w:bookmarkStart w:id="43" w:name="_Toc26648465"/>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E42524F">
      <w:pPr>
        <w:pStyle w:val="56"/>
        <w:ind w:firstLine="420"/>
      </w:pPr>
      <w:bookmarkStart w:id="44" w:name="_Toc26648466"/>
      <w:bookmarkStart w:id="45" w:name="_Toc17233334"/>
      <w:bookmarkStart w:id="46" w:name="_Toc24884212"/>
      <w:bookmarkStart w:id="47" w:name="_Toc24884219"/>
      <w:bookmarkStart w:id="48" w:name="_Toc17233326"/>
      <w:r>
        <w:rPr>
          <w:rFonts w:hint="eastAsia"/>
        </w:rPr>
        <w:t>本文件规定了KTV娱乐场所服务规范的术语与定义、总体原则、基本要求、服务设施与用品、服务要求、服务改进、投诉处理。</w:t>
      </w:r>
    </w:p>
    <w:p w14:paraId="015CA2EE">
      <w:pPr>
        <w:pStyle w:val="56"/>
        <w:ind w:firstLine="420"/>
      </w:pPr>
      <w:r>
        <w:rPr>
          <w:rFonts w:hint="eastAsia"/>
        </w:rPr>
        <w:t>本文件适用于湖南省境内单独或在宾馆酒店等其他场所设立的KTV娱乐场所服务。</w:t>
      </w:r>
    </w:p>
    <w:p w14:paraId="59E32C3F">
      <w:pPr>
        <w:pStyle w:val="104"/>
        <w:spacing w:before="312" w:after="312"/>
      </w:pPr>
      <w:bookmarkStart w:id="49" w:name="_Toc185668753"/>
      <w:bookmarkStart w:id="50" w:name="_Toc185672367"/>
      <w:bookmarkStart w:id="51" w:name="_Toc185672453"/>
      <w:bookmarkStart w:id="52" w:name="_Toc185668926"/>
      <w:bookmarkStart w:id="53" w:name="_Toc185683013"/>
      <w:bookmarkStart w:id="54" w:name="_Toc185672427"/>
      <w:bookmarkStart w:id="55" w:name="_Toc26718931"/>
      <w:bookmarkStart w:id="56" w:name="_Toc26986772"/>
      <w:bookmarkStart w:id="57" w:name="_Toc269865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C8E80A4074B94A51BC72667AFCA651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B25580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AF2CD5">
      <w:pPr>
        <w:pStyle w:val="56"/>
        <w:ind w:firstLine="420"/>
        <w:rPr>
          <w:rFonts w:hint="eastAsia"/>
        </w:rPr>
      </w:pPr>
      <w:r>
        <w:rPr>
          <w:rFonts w:hint="eastAsia"/>
        </w:rPr>
        <w:t>GB 37487 公共场所卫生管理规范</w:t>
      </w:r>
    </w:p>
    <w:p w14:paraId="7557C004">
      <w:pPr>
        <w:pStyle w:val="56"/>
        <w:ind w:firstLine="420"/>
        <w:rPr>
          <w:rFonts w:hint="eastAsia"/>
        </w:rPr>
      </w:pPr>
      <w:r>
        <w:rPr>
          <w:rFonts w:hint="eastAsia"/>
        </w:rPr>
        <w:t>GB/T 10001.1 公共信息图形符号 第1部分：标志</w:t>
      </w:r>
    </w:p>
    <w:p w14:paraId="426E5516">
      <w:pPr>
        <w:pStyle w:val="56"/>
        <w:ind w:firstLine="420"/>
        <w:rPr>
          <w:rFonts w:hint="eastAsia"/>
        </w:rPr>
      </w:pPr>
      <w:r>
        <w:rPr>
          <w:rFonts w:hint="eastAsia"/>
        </w:rPr>
        <w:t>GB 13495.1  消防安全标志 第1部分：标志</w:t>
      </w:r>
    </w:p>
    <w:p w14:paraId="1DC2FBBF">
      <w:pPr>
        <w:pStyle w:val="56"/>
        <w:ind w:firstLine="420"/>
        <w:rPr>
          <w:rFonts w:hint="eastAsia"/>
        </w:rPr>
      </w:pPr>
      <w:r>
        <w:rPr>
          <w:rFonts w:hint="eastAsia"/>
        </w:rPr>
        <w:t>GB/T 18883 室内空气质量标准</w:t>
      </w:r>
    </w:p>
    <w:p w14:paraId="5C407E31">
      <w:pPr>
        <w:pStyle w:val="56"/>
        <w:ind w:firstLine="420"/>
        <w:rPr>
          <w:rFonts w:hint="eastAsia"/>
        </w:rPr>
      </w:pPr>
      <w:r>
        <w:rPr>
          <w:rFonts w:hint="eastAsia"/>
        </w:rPr>
        <w:t>GB 22337  社会生活环境噪声排放标准</w:t>
      </w:r>
    </w:p>
    <w:p w14:paraId="3135F34C">
      <w:pPr>
        <w:pStyle w:val="56"/>
        <w:ind w:firstLine="420"/>
        <w:rPr>
          <w:rFonts w:hint="eastAsia"/>
        </w:rPr>
      </w:pPr>
      <w:r>
        <w:rPr>
          <w:rFonts w:hint="eastAsia"/>
        </w:rPr>
        <w:t>GB/T 29639 生产经营单位生产安全事故应急预案编制导则</w:t>
      </w:r>
    </w:p>
    <w:p w14:paraId="7DC367BF">
      <w:pPr>
        <w:pStyle w:val="56"/>
        <w:ind w:firstLine="420"/>
        <w:rPr>
          <w:rFonts w:hint="eastAsia"/>
        </w:rPr>
      </w:pPr>
      <w:r>
        <w:rPr>
          <w:rFonts w:hint="eastAsia"/>
        </w:rPr>
        <w:t>GA/T 367 视频安防监控系统技术要求</w:t>
      </w:r>
    </w:p>
    <w:p w14:paraId="4C7012FB">
      <w:pPr>
        <w:pStyle w:val="56"/>
        <w:ind w:firstLine="420"/>
        <w:rPr>
          <w:rFonts w:hint="eastAsia"/>
        </w:rPr>
      </w:pPr>
      <w:r>
        <w:rPr>
          <w:rFonts w:hint="eastAsia"/>
        </w:rPr>
        <w:t>GA/T 1279 保安员装备配备与管理要求</w:t>
      </w:r>
    </w:p>
    <w:p w14:paraId="0295061F">
      <w:pPr>
        <w:pStyle w:val="56"/>
        <w:ind w:firstLine="420"/>
        <w:rPr>
          <w:rFonts w:hint="eastAsia"/>
        </w:rPr>
      </w:pPr>
      <w:r>
        <w:rPr>
          <w:rFonts w:hint="eastAsia"/>
        </w:rPr>
        <w:t>GB 37489.1-2019 公共场所设计卫生规范</w:t>
      </w:r>
    </w:p>
    <w:p w14:paraId="2A188C0F">
      <w:pPr>
        <w:pStyle w:val="104"/>
        <w:spacing w:before="312" w:after="312"/>
      </w:pPr>
      <w:bookmarkStart w:id="58" w:name="_Toc185668927"/>
      <w:bookmarkStart w:id="59" w:name="_Toc185672368"/>
      <w:bookmarkStart w:id="60" w:name="_Toc185683014"/>
      <w:bookmarkStart w:id="61" w:name="_Toc185672428"/>
      <w:bookmarkStart w:id="62" w:name="_Toc185668754"/>
      <w:bookmarkStart w:id="63" w:name="_Toc185672454"/>
      <w:r>
        <w:rPr>
          <w:rFonts w:hint="eastAsia"/>
          <w:szCs w:val="21"/>
        </w:rPr>
        <w:t>术语和定义</w:t>
      </w:r>
      <w:bookmarkEnd w:id="58"/>
      <w:bookmarkEnd w:id="59"/>
      <w:bookmarkEnd w:id="60"/>
      <w:bookmarkEnd w:id="61"/>
      <w:bookmarkEnd w:id="62"/>
      <w:bookmarkEnd w:id="63"/>
    </w:p>
    <w:sdt>
      <w:sdtPr>
        <w:id w:val="-1909835108"/>
        <w:placeholder>
          <w:docPart w:val="0CF4759373D8422B92B5FA732544B29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C1E928">
          <w:pPr>
            <w:pStyle w:val="56"/>
            <w:ind w:firstLine="420"/>
          </w:pPr>
          <w:bookmarkStart w:id="64" w:name="_Toc26986532"/>
          <w:bookmarkEnd w:id="64"/>
          <w:r>
            <w:t>下列术语和定义适用于本文件。</w:t>
          </w:r>
        </w:p>
      </w:sdtContent>
    </w:sdt>
    <w:p w14:paraId="294F3BFD">
      <w:pPr>
        <w:pStyle w:val="105"/>
        <w:spacing w:before="156" w:after="156"/>
      </w:pPr>
      <w:bookmarkStart w:id="65" w:name="_Toc185672369"/>
      <w:bookmarkEnd w:id="65"/>
      <w:bookmarkStart w:id="66" w:name="_Toc185672429"/>
      <w:bookmarkEnd w:id="66"/>
      <w:r>
        <w:rPr>
          <w:rFonts w:hint="eastAsia"/>
        </w:rPr>
        <w:t>KTV娱乐场所　Karaoke　Television　entertainment venues</w:t>
      </w:r>
    </w:p>
    <w:p w14:paraId="5FBD11A1">
      <w:pPr>
        <w:pStyle w:val="56"/>
        <w:ind w:firstLine="420"/>
      </w:pPr>
      <w:r>
        <w:rPr>
          <w:rFonts w:hint="eastAsia"/>
        </w:rPr>
        <w:t>提供卡拉OK影音设备、视唱空间及相关消费服务，以消费者自娱自乐形式为主的场所。</w:t>
      </w:r>
    </w:p>
    <w:p w14:paraId="735A3A95">
      <w:pPr>
        <w:pStyle w:val="104"/>
        <w:spacing w:before="312" w:after="312"/>
      </w:pPr>
      <w:bookmarkStart w:id="67" w:name="_Toc185672370"/>
      <w:bookmarkStart w:id="68" w:name="_Toc185672430"/>
      <w:bookmarkStart w:id="69" w:name="_Toc185672455"/>
      <w:bookmarkStart w:id="70" w:name="_Toc185683015"/>
      <w:r>
        <w:rPr>
          <w:rFonts w:hint="eastAsia"/>
        </w:rPr>
        <w:t>总体原则</w:t>
      </w:r>
      <w:bookmarkEnd w:id="67"/>
      <w:bookmarkEnd w:id="68"/>
      <w:bookmarkEnd w:id="69"/>
      <w:bookmarkEnd w:id="70"/>
    </w:p>
    <w:p w14:paraId="678651F3">
      <w:pPr>
        <w:pStyle w:val="105"/>
        <w:spacing w:before="156" w:after="156"/>
      </w:pPr>
      <w:bookmarkStart w:id="71" w:name="_Toc185672371"/>
      <w:bookmarkStart w:id="72" w:name="_Toc185672431"/>
      <w:r>
        <w:rPr>
          <w:rFonts w:hint="eastAsia"/>
        </w:rPr>
        <w:t>繁荣文化产业</w:t>
      </w:r>
      <w:bookmarkEnd w:id="71"/>
      <w:bookmarkEnd w:id="72"/>
    </w:p>
    <w:p w14:paraId="2702BFCE">
      <w:pPr>
        <w:pStyle w:val="56"/>
        <w:ind w:firstLine="420"/>
      </w:pPr>
      <w:r>
        <w:rPr>
          <w:rFonts w:hint="eastAsia"/>
        </w:rPr>
        <w:t>满足人民群众的精神文化生活需求，丰富社会文化生活。</w:t>
      </w:r>
    </w:p>
    <w:p w14:paraId="2F850439">
      <w:pPr>
        <w:pStyle w:val="105"/>
        <w:spacing w:before="156" w:after="156"/>
      </w:pPr>
      <w:bookmarkStart w:id="73" w:name="_Toc185672372"/>
      <w:bookmarkStart w:id="74" w:name="_Toc185672432"/>
      <w:r>
        <w:rPr>
          <w:rFonts w:hint="eastAsia"/>
        </w:rPr>
        <w:t>倡导高雅消费</w:t>
      </w:r>
      <w:bookmarkEnd w:id="73"/>
      <w:bookmarkEnd w:id="74"/>
    </w:p>
    <w:p w14:paraId="1CFFD600">
      <w:pPr>
        <w:pStyle w:val="56"/>
        <w:ind w:firstLine="420"/>
      </w:pPr>
      <w:r>
        <w:rPr>
          <w:rFonts w:hint="eastAsia"/>
        </w:rPr>
        <w:t>杜绝低级庸俗的商业化消费，弘扬社会主义文化主旋律。</w:t>
      </w:r>
    </w:p>
    <w:p w14:paraId="1DC188EE">
      <w:pPr>
        <w:pStyle w:val="105"/>
        <w:spacing w:before="156" w:after="156"/>
      </w:pPr>
      <w:bookmarkStart w:id="75" w:name="_Toc185672433"/>
      <w:bookmarkStart w:id="76" w:name="_Toc185672373"/>
      <w:r>
        <w:rPr>
          <w:rFonts w:hint="eastAsia"/>
        </w:rPr>
        <w:t>坚持健康娱乐</w:t>
      </w:r>
      <w:bookmarkEnd w:id="75"/>
      <w:bookmarkEnd w:id="76"/>
    </w:p>
    <w:p w14:paraId="24AEDE84">
      <w:pPr>
        <w:pStyle w:val="56"/>
        <w:ind w:firstLine="420"/>
      </w:pPr>
      <w:r>
        <w:rPr>
          <w:rFonts w:hint="eastAsia"/>
        </w:rPr>
        <w:t>提供安全、阳光、绿色、健康、共享的娱乐环境。</w:t>
      </w:r>
    </w:p>
    <w:p w14:paraId="639B2F70">
      <w:pPr>
        <w:pStyle w:val="104"/>
        <w:spacing w:before="312" w:after="312"/>
      </w:pPr>
      <w:bookmarkStart w:id="77" w:name="_Toc185672456"/>
      <w:bookmarkStart w:id="78" w:name="_Toc185672434"/>
      <w:bookmarkStart w:id="79" w:name="_Toc185683016"/>
      <w:bookmarkStart w:id="80" w:name="_Toc185672374"/>
      <w:r>
        <w:rPr>
          <w:rFonts w:hint="eastAsia"/>
        </w:rPr>
        <w:t>基本要求</w:t>
      </w:r>
      <w:bookmarkEnd w:id="77"/>
      <w:bookmarkEnd w:id="78"/>
      <w:bookmarkEnd w:id="79"/>
      <w:bookmarkEnd w:id="80"/>
    </w:p>
    <w:p w14:paraId="5377D273">
      <w:pPr>
        <w:pStyle w:val="105"/>
        <w:spacing w:before="156" w:after="156"/>
      </w:pPr>
      <w:bookmarkStart w:id="81" w:name="_Toc185672435"/>
      <w:bookmarkStart w:id="82" w:name="_Toc185672375"/>
      <w:r>
        <w:rPr>
          <w:rFonts w:hint="eastAsia"/>
        </w:rPr>
        <w:t>总体要求</w:t>
      </w:r>
      <w:bookmarkEnd w:id="81"/>
      <w:bookmarkEnd w:id="82"/>
    </w:p>
    <w:p w14:paraId="36D15BCC">
      <w:pPr>
        <w:pStyle w:val="165"/>
      </w:pPr>
      <w:bookmarkStart w:id="83" w:name="_Toc185672376"/>
      <w:r>
        <w:rPr>
          <w:rFonts w:hint="eastAsia"/>
        </w:rPr>
        <w:t>应弘扬社会主义精神文明和社会主义核心价值观。</w:t>
      </w:r>
      <w:bookmarkEnd w:id="83"/>
    </w:p>
    <w:p w14:paraId="18BB68AB">
      <w:pPr>
        <w:pStyle w:val="165"/>
      </w:pPr>
      <w:bookmarkStart w:id="84" w:name="_Toc185672377"/>
      <w:r>
        <w:rPr>
          <w:rFonts w:hint="eastAsia"/>
        </w:rPr>
        <w:t>应取得相应的经营资质。</w:t>
      </w:r>
      <w:bookmarkEnd w:id="84"/>
    </w:p>
    <w:p w14:paraId="68AB2D81">
      <w:pPr>
        <w:pStyle w:val="165"/>
      </w:pPr>
      <w:bookmarkStart w:id="85" w:name="_Toc185672378"/>
      <w:r>
        <w:rPr>
          <w:rFonts w:hint="eastAsia"/>
        </w:rPr>
        <w:t>应加强知识产权保护。</w:t>
      </w:r>
      <w:bookmarkEnd w:id="85"/>
    </w:p>
    <w:p w14:paraId="09FD8F59">
      <w:pPr>
        <w:pStyle w:val="165"/>
      </w:pPr>
      <w:bookmarkStart w:id="86" w:name="_Toc185672379"/>
      <w:r>
        <w:rPr>
          <w:rFonts w:hint="eastAsia"/>
        </w:rPr>
        <w:t>应诚信经营，不应有强制性消费行为。</w:t>
      </w:r>
      <w:bookmarkEnd w:id="86"/>
    </w:p>
    <w:p w14:paraId="5F7108DF">
      <w:pPr>
        <w:pStyle w:val="165"/>
      </w:pPr>
      <w:bookmarkStart w:id="87" w:name="_Toc185672380"/>
      <w:r>
        <w:rPr>
          <w:rFonts w:hint="eastAsia"/>
        </w:rPr>
        <w:t>应建立经营管理制度，包括员工培训、业务管理、财务与信息安全管理制度等。</w:t>
      </w:r>
      <w:bookmarkEnd w:id="87"/>
    </w:p>
    <w:p w14:paraId="0E6E2E0E">
      <w:pPr>
        <w:pStyle w:val="105"/>
        <w:spacing w:before="156" w:after="156"/>
      </w:pPr>
      <w:bookmarkStart w:id="88" w:name="_Toc185672381"/>
      <w:bookmarkStart w:id="89" w:name="_Toc185672436"/>
      <w:r>
        <w:rPr>
          <w:rFonts w:hint="eastAsia"/>
        </w:rPr>
        <w:t>从业人员要求</w:t>
      </w:r>
      <w:bookmarkEnd w:id="88"/>
      <w:bookmarkEnd w:id="89"/>
    </w:p>
    <w:p w14:paraId="33E976CD">
      <w:pPr>
        <w:pStyle w:val="165"/>
      </w:pPr>
      <w:bookmarkStart w:id="90" w:name="_Toc185672382"/>
      <w:r>
        <w:rPr>
          <w:rFonts w:hint="eastAsia"/>
        </w:rPr>
        <w:t>应年满18周岁，遵守国家法律法规，遵守职业道德，熟悉本行业服务程序和规范。</w:t>
      </w:r>
      <w:bookmarkEnd w:id="90"/>
    </w:p>
    <w:p w14:paraId="1E7F544A">
      <w:pPr>
        <w:pStyle w:val="165"/>
      </w:pPr>
      <w:bookmarkStart w:id="91" w:name="_Toc185672383"/>
      <w:r>
        <w:rPr>
          <w:rFonts w:hint="eastAsia"/>
        </w:rPr>
        <w:t>应持有效健康证上岗。</w:t>
      </w:r>
      <w:bookmarkEnd w:id="91"/>
    </w:p>
    <w:p w14:paraId="15D16F1B">
      <w:pPr>
        <w:pStyle w:val="165"/>
      </w:pPr>
      <w:bookmarkStart w:id="92" w:name="_Toc185672384"/>
      <w:r>
        <w:rPr>
          <w:rFonts w:hint="eastAsia"/>
        </w:rPr>
        <w:t>应具有良好的语言表达能力、沟通能力和处理突发事件的能力。</w:t>
      </w:r>
      <w:bookmarkEnd w:id="92"/>
    </w:p>
    <w:p w14:paraId="1EA01895">
      <w:pPr>
        <w:pStyle w:val="165"/>
      </w:pPr>
      <w:bookmarkStart w:id="93" w:name="_Toc185672385"/>
      <w:r>
        <w:rPr>
          <w:rFonts w:hint="eastAsia"/>
        </w:rPr>
        <w:t>从业人员应掌握相应的安全、消防知识和一定的应急救援技能。</w:t>
      </w:r>
      <w:bookmarkEnd w:id="93"/>
    </w:p>
    <w:p w14:paraId="7EDBC153">
      <w:pPr>
        <w:pStyle w:val="105"/>
        <w:spacing w:before="156" w:after="156"/>
      </w:pPr>
      <w:bookmarkStart w:id="94" w:name="_Toc185672386"/>
      <w:bookmarkStart w:id="95" w:name="_Toc185672437"/>
      <w:r>
        <w:rPr>
          <w:rFonts w:hint="eastAsia"/>
        </w:rPr>
        <w:t>安全要求</w:t>
      </w:r>
      <w:bookmarkEnd w:id="94"/>
      <w:bookmarkEnd w:id="95"/>
    </w:p>
    <w:p w14:paraId="4F948C01">
      <w:pPr>
        <w:pStyle w:val="165"/>
        <w:rPr>
          <w:szCs w:val="21"/>
        </w:rPr>
      </w:pPr>
      <w:bookmarkStart w:id="96" w:name="_Toc185672387"/>
      <w:r>
        <w:rPr>
          <w:rFonts w:hint="eastAsia"/>
        </w:rPr>
        <w:t>应在公共区域安装符合GA／T367标准的监控设备，确保消费者的人身、财产和隐私安全。</w:t>
      </w:r>
      <w:bookmarkEnd w:id="96"/>
    </w:p>
    <w:p w14:paraId="10CBF023">
      <w:pPr>
        <w:pStyle w:val="165"/>
      </w:pPr>
      <w:bookmarkStart w:id="97" w:name="_Toc185672388"/>
      <w:r>
        <w:rPr>
          <w:rFonts w:hint="eastAsia"/>
        </w:rPr>
        <w:t>娱乐场所保安配备人数应符合表1，并按GA/T1279配备所需的服装和装备。</w:t>
      </w:r>
      <w:bookmarkEnd w:id="97"/>
    </w:p>
    <w:p w14:paraId="7AC82629">
      <w:pPr>
        <w:pStyle w:val="165"/>
      </w:pPr>
      <w:bookmarkStart w:id="98" w:name="_Toc185672389"/>
      <w:r>
        <w:rPr>
          <w:rFonts w:hint="eastAsia"/>
        </w:rPr>
        <w:t>应确保提供的食品和饮品安全卫生。</w:t>
      </w:r>
      <w:bookmarkEnd w:id="98"/>
    </w:p>
    <w:p w14:paraId="6B6CDC9E">
      <w:pPr>
        <w:pStyle w:val="165"/>
      </w:pPr>
      <w:bookmarkStart w:id="99" w:name="_Toc185672390"/>
      <w:r>
        <w:rPr>
          <w:rFonts w:hint="eastAsia"/>
        </w:rPr>
        <w:t>应有消防、特种设备及停电、治安等突发状况的应急预案并符合GB/T 29639的要求。宜设立应急救援队伍并定期组织演练。</w:t>
      </w:r>
      <w:bookmarkEnd w:id="99"/>
    </w:p>
    <w:p w14:paraId="4A587EA0">
      <w:pPr>
        <w:pStyle w:val="165"/>
      </w:pPr>
      <w:bookmarkStart w:id="100" w:name="_Toc185672391"/>
      <w:r>
        <w:rPr>
          <w:rFonts w:hint="eastAsia"/>
        </w:rPr>
        <w:t>应在明显位置张贴“禁止未成年人进入”“严禁黄赌毒”等安全宣传标识。</w:t>
      </w:r>
      <w:bookmarkEnd w:id="100"/>
    </w:p>
    <w:p w14:paraId="3FFEA940">
      <w:pPr>
        <w:pStyle w:val="165"/>
      </w:pPr>
      <w:bookmarkStart w:id="101" w:name="_Toc185672392"/>
      <w:r>
        <w:rPr>
          <w:rFonts w:hint="eastAsia"/>
        </w:rPr>
        <w:t>应定期对从业人员进行安全教育与培训。</w:t>
      </w:r>
      <w:bookmarkEnd w:id="101"/>
    </w:p>
    <w:p w14:paraId="27AFD006">
      <w:pPr>
        <w:pStyle w:val="165"/>
      </w:pPr>
      <w:bookmarkStart w:id="102" w:name="_Toc185672393"/>
      <w:r>
        <w:rPr>
          <w:rFonts w:hint="eastAsia"/>
        </w:rPr>
        <w:t>经营场所和室内消防安全与标志应符合GB 13495.1和GB/T 10001.1的要求。</w:t>
      </w:r>
      <w:bookmarkEnd w:id="102"/>
    </w:p>
    <w:p w14:paraId="1ECC2C81">
      <w:pPr>
        <w:pStyle w:val="112"/>
        <w:spacing w:before="156" w:after="156"/>
      </w:pPr>
      <w:r>
        <w:rPr>
          <w:rFonts w:hint="eastAsia"/>
        </w:rPr>
        <w:t>保安配备人数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238133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19D41ECB">
            <w:pPr>
              <w:pStyle w:val="178"/>
            </w:pPr>
            <w:r>
              <w:rPr>
                <w:rFonts w:hint="eastAsia"/>
              </w:rPr>
              <w:t>经营面积S（㎡）</w:t>
            </w:r>
          </w:p>
        </w:tc>
        <w:tc>
          <w:tcPr>
            <w:tcW w:w="4667" w:type="dxa"/>
            <w:tcBorders>
              <w:top w:val="single" w:color="auto" w:sz="8" w:space="0"/>
              <w:bottom w:val="single" w:color="auto" w:sz="8" w:space="0"/>
            </w:tcBorders>
            <w:shd w:val="clear" w:color="auto" w:fill="auto"/>
            <w:vAlign w:val="center"/>
          </w:tcPr>
          <w:p w14:paraId="79AE019F">
            <w:pPr>
              <w:pStyle w:val="178"/>
            </w:pPr>
            <w:r>
              <w:rPr>
                <w:rFonts w:hint="eastAsia"/>
              </w:rPr>
              <w:t>保安人数N（人）</w:t>
            </w:r>
          </w:p>
        </w:tc>
      </w:tr>
      <w:tr w14:paraId="3584F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2EA4E107">
            <w:pPr>
              <w:pStyle w:val="178"/>
            </w:pPr>
            <w:r>
              <w:rPr>
                <w:rFonts w:hint="eastAsia"/>
              </w:rPr>
              <w:t>S</w:t>
            </w:r>
            <w:r>
              <w:t>&lt;200</w:t>
            </w:r>
          </w:p>
        </w:tc>
        <w:tc>
          <w:tcPr>
            <w:tcW w:w="4667" w:type="dxa"/>
            <w:tcBorders>
              <w:top w:val="single" w:color="auto" w:sz="8" w:space="0"/>
            </w:tcBorders>
            <w:shd w:val="clear" w:color="auto" w:fill="auto"/>
            <w:vAlign w:val="center"/>
          </w:tcPr>
          <w:p w14:paraId="065993BA">
            <w:pPr>
              <w:pStyle w:val="178"/>
            </w:pPr>
            <w:r>
              <w:rPr>
                <w:rFonts w:hint="eastAsia"/>
              </w:rPr>
              <w:t>N≥2</w:t>
            </w:r>
          </w:p>
        </w:tc>
      </w:tr>
      <w:tr w14:paraId="442F4B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4876BBAC">
            <w:pPr>
              <w:pStyle w:val="178"/>
            </w:pPr>
            <w:r>
              <w:rPr>
                <w:rFonts w:hint="eastAsia"/>
              </w:rPr>
              <w:t>S≥200</w:t>
            </w:r>
          </w:p>
        </w:tc>
        <w:tc>
          <w:tcPr>
            <w:tcW w:w="4667" w:type="dxa"/>
            <w:shd w:val="clear" w:color="auto" w:fill="auto"/>
            <w:vAlign w:val="center"/>
          </w:tcPr>
          <w:p w14:paraId="0E0A8224">
            <w:pPr>
              <w:pStyle w:val="178"/>
            </w:pPr>
            <w:r>
              <w:rPr>
                <w:rFonts w:hint="eastAsia"/>
              </w:rPr>
              <w:t>N≥3ª</w:t>
            </w:r>
          </w:p>
        </w:tc>
      </w:tr>
      <w:tr w14:paraId="1D4CBC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shd w:val="clear" w:color="auto" w:fill="auto"/>
            <w:vAlign w:val="center"/>
          </w:tcPr>
          <w:p w14:paraId="65738F48">
            <w:pPr>
              <w:pStyle w:val="178"/>
              <w:jc w:val="both"/>
            </w:pPr>
            <w:r>
              <w:rPr>
                <w:rFonts w:hint="eastAsia"/>
              </w:rPr>
              <w:t>ª每增加200㎡增加 1 人</w:t>
            </w:r>
          </w:p>
        </w:tc>
      </w:tr>
    </w:tbl>
    <w:p w14:paraId="23E9A585">
      <w:pPr>
        <w:pStyle w:val="105"/>
        <w:spacing w:before="156" w:after="156"/>
      </w:pPr>
      <w:bookmarkStart w:id="103" w:name="_Toc185672394"/>
      <w:bookmarkStart w:id="104" w:name="_Toc185672438"/>
      <w:r>
        <w:rPr>
          <w:rFonts w:hint="eastAsia"/>
        </w:rPr>
        <w:t>环境要求</w:t>
      </w:r>
      <w:bookmarkEnd w:id="103"/>
      <w:bookmarkEnd w:id="104"/>
    </w:p>
    <w:p w14:paraId="557F994F">
      <w:pPr>
        <w:pStyle w:val="165"/>
        <w:rPr>
          <w:szCs w:val="21"/>
        </w:rPr>
      </w:pPr>
      <w:bookmarkStart w:id="105" w:name="_Toc185672395"/>
      <w:r>
        <w:rPr>
          <w:rFonts w:hint="eastAsia"/>
        </w:rPr>
        <w:t>经营场所卫生管理应符合GB 37487的相关要求。</w:t>
      </w:r>
      <w:bookmarkEnd w:id="105"/>
    </w:p>
    <w:p w14:paraId="1B295C2B">
      <w:pPr>
        <w:pStyle w:val="165"/>
      </w:pPr>
      <w:bookmarkStart w:id="106" w:name="_Toc185672396"/>
      <w:r>
        <w:rPr>
          <w:rFonts w:hint="eastAsia"/>
        </w:rPr>
        <w:t>室内空气质量符合GB/T 18883的要求。</w:t>
      </w:r>
      <w:bookmarkEnd w:id="106"/>
    </w:p>
    <w:p w14:paraId="1CC1A9C0">
      <w:pPr>
        <w:pStyle w:val="165"/>
      </w:pPr>
      <w:bookmarkStart w:id="107" w:name="_Toc185672397"/>
      <w:r>
        <w:rPr>
          <w:rFonts w:hint="eastAsia"/>
        </w:rPr>
        <w:t>应保持环境整洁干净，无病虫害，并及时清洁消毒。</w:t>
      </w:r>
      <w:bookmarkEnd w:id="107"/>
    </w:p>
    <w:p w14:paraId="4C99F335">
      <w:pPr>
        <w:pStyle w:val="165"/>
      </w:pPr>
      <w:bookmarkStart w:id="108" w:name="_Toc185672398"/>
      <w:r>
        <w:rPr>
          <w:rFonts w:hint="eastAsia"/>
        </w:rPr>
        <w:t>噪声排放应使用符合 GB 22337 的要求。</w:t>
      </w:r>
      <w:bookmarkEnd w:id="108"/>
    </w:p>
    <w:p w14:paraId="49140488">
      <w:pPr>
        <w:pStyle w:val="105"/>
        <w:spacing w:before="156" w:after="156"/>
      </w:pPr>
      <w:bookmarkStart w:id="109" w:name="_Toc185672399"/>
      <w:bookmarkStart w:id="110" w:name="_Toc185672439"/>
      <w:r>
        <w:rPr>
          <w:rFonts w:hint="eastAsia"/>
        </w:rPr>
        <w:t>传染病防控要求</w:t>
      </w:r>
      <w:bookmarkEnd w:id="109"/>
      <w:bookmarkEnd w:id="110"/>
    </w:p>
    <w:p w14:paraId="1FFEABCD">
      <w:pPr>
        <w:pStyle w:val="165"/>
      </w:pPr>
      <w:bookmarkStart w:id="111" w:name="_Toc185672400"/>
      <w:r>
        <w:rPr>
          <w:rFonts w:hint="eastAsia"/>
        </w:rPr>
        <w:t>应宣传防治艾滋病、性病等传染性疾病的相关知识，并张贴相应标识。</w:t>
      </w:r>
      <w:bookmarkEnd w:id="111"/>
    </w:p>
    <w:p w14:paraId="08119B83">
      <w:pPr>
        <w:pStyle w:val="165"/>
      </w:pPr>
      <w:bookmarkStart w:id="112" w:name="_Toc185672401"/>
      <w:r>
        <w:rPr>
          <w:rFonts w:hint="eastAsia"/>
        </w:rPr>
        <w:t>应配备防治传染病的相关用品。</w:t>
      </w:r>
      <w:bookmarkEnd w:id="112"/>
    </w:p>
    <w:p w14:paraId="2687A15F">
      <w:pPr>
        <w:pStyle w:val="165"/>
      </w:pPr>
      <w:bookmarkStart w:id="113" w:name="_Toc185672402"/>
      <w:r>
        <w:rPr>
          <w:rFonts w:hint="eastAsia"/>
        </w:rPr>
        <w:t>应建立相应的传染病防控措施</w:t>
      </w:r>
      <w:bookmarkEnd w:id="113"/>
      <w:r>
        <w:rPr>
          <w:rFonts w:hint="eastAsia"/>
        </w:rPr>
        <w:t>。</w:t>
      </w:r>
    </w:p>
    <w:p w14:paraId="3C467681">
      <w:pPr>
        <w:pStyle w:val="104"/>
        <w:spacing w:before="312" w:after="312"/>
      </w:pPr>
      <w:bookmarkStart w:id="114" w:name="_Toc185672403"/>
      <w:bookmarkStart w:id="115" w:name="_Toc185683017"/>
      <w:bookmarkStart w:id="116" w:name="_Toc185672440"/>
      <w:bookmarkStart w:id="117" w:name="_Toc185672457"/>
      <w:r>
        <w:rPr>
          <w:rFonts w:hint="eastAsia"/>
        </w:rPr>
        <w:t>服务设施与用品</w:t>
      </w:r>
      <w:bookmarkEnd w:id="114"/>
      <w:bookmarkEnd w:id="115"/>
      <w:bookmarkEnd w:id="116"/>
      <w:bookmarkEnd w:id="117"/>
    </w:p>
    <w:p w14:paraId="763D0728">
      <w:pPr>
        <w:pStyle w:val="105"/>
        <w:spacing w:before="156" w:after="156"/>
      </w:pPr>
      <w:bookmarkStart w:id="118" w:name="_Toc185672441"/>
      <w:bookmarkStart w:id="119" w:name="_Toc185672404"/>
      <w:r>
        <w:rPr>
          <w:rFonts w:hint="eastAsia"/>
        </w:rPr>
        <w:t>基础设施</w:t>
      </w:r>
      <w:bookmarkEnd w:id="118"/>
      <w:bookmarkEnd w:id="119"/>
    </w:p>
    <w:p w14:paraId="1E4870A3">
      <w:pPr>
        <w:pStyle w:val="56"/>
        <w:ind w:firstLine="420"/>
      </w:pPr>
      <w:r>
        <w:rPr>
          <w:rFonts w:hint="eastAsia"/>
        </w:rPr>
        <w:t>应有以下基础服务设施与用品，包括但不限于：</w:t>
      </w:r>
    </w:p>
    <w:p w14:paraId="5C15CE4B">
      <w:pPr>
        <w:pStyle w:val="56"/>
        <w:ind w:firstLine="420"/>
      </w:pPr>
      <w:r>
        <w:rPr>
          <w:rFonts w:hint="eastAsia"/>
        </w:rPr>
        <w:t>a)结构安全、通风透气、隔音良好的建筑物；</w:t>
      </w:r>
    </w:p>
    <w:p w14:paraId="4B97EC1C">
      <w:pPr>
        <w:pStyle w:val="56"/>
        <w:ind w:firstLine="420"/>
      </w:pPr>
      <w:r>
        <w:rPr>
          <w:rFonts w:hint="eastAsia"/>
        </w:rPr>
        <w:t>b)面积不小于500㎡的经营场所，且有3种规格以上的包厢，人均面积不小于2.5㎡，包厢设置宜参照表2；</w:t>
      </w:r>
    </w:p>
    <w:p w14:paraId="1E49D859">
      <w:pPr>
        <w:pStyle w:val="56"/>
        <w:ind w:firstLine="420"/>
      </w:pPr>
      <w:r>
        <w:rPr>
          <w:rFonts w:hint="eastAsia"/>
        </w:rPr>
        <w:t>c)符合GB 37489.1-2019中6.3要求的卫生间，大、中型包厢宜设置独立卫生间，人均厕位不小于0.1个；</w:t>
      </w:r>
    </w:p>
    <w:p w14:paraId="11FD9092">
      <w:pPr>
        <w:pStyle w:val="56"/>
        <w:ind w:firstLine="420"/>
      </w:pPr>
      <w:r>
        <w:rPr>
          <w:rFonts w:hint="eastAsia"/>
        </w:rPr>
        <w:t>d)符合公共安全需要的人员疏散通道，良好的通风排气系统和温湿度调节系统；</w:t>
      </w:r>
    </w:p>
    <w:p w14:paraId="479FFA65">
      <w:pPr>
        <w:pStyle w:val="56"/>
        <w:ind w:firstLine="420"/>
      </w:pPr>
      <w:r>
        <w:rPr>
          <w:rFonts w:hint="eastAsia"/>
        </w:rPr>
        <w:t>e)相应数量的泊车位。</w:t>
      </w:r>
    </w:p>
    <w:p w14:paraId="5F55C7DC">
      <w:pPr>
        <w:pStyle w:val="112"/>
        <w:spacing w:before="156" w:after="156"/>
      </w:pPr>
      <w:r>
        <w:rPr>
          <w:rFonts w:hint="eastAsia"/>
        </w:rPr>
        <w:t>包厢设置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28FC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78E13496">
            <w:pPr>
              <w:pStyle w:val="178"/>
            </w:pPr>
            <w:r>
              <w:rPr>
                <w:rFonts w:hint="eastAsia"/>
              </w:rPr>
              <w:t>包厢分类</w:t>
            </w:r>
          </w:p>
        </w:tc>
        <w:tc>
          <w:tcPr>
            <w:tcW w:w="3112" w:type="dxa"/>
            <w:tcBorders>
              <w:top w:val="single" w:color="auto" w:sz="8" w:space="0"/>
              <w:bottom w:val="single" w:color="auto" w:sz="8" w:space="0"/>
            </w:tcBorders>
            <w:shd w:val="clear" w:color="auto" w:fill="auto"/>
          </w:tcPr>
          <w:p w14:paraId="72AB4D62">
            <w:pPr>
              <w:pStyle w:val="178"/>
            </w:pPr>
            <w:r>
              <w:rPr>
                <w:rFonts w:hint="eastAsia"/>
              </w:rPr>
              <w:t>包厢面积S（㎡）</w:t>
            </w:r>
          </w:p>
        </w:tc>
        <w:tc>
          <w:tcPr>
            <w:tcW w:w="3112" w:type="dxa"/>
            <w:tcBorders>
              <w:top w:val="single" w:color="auto" w:sz="8" w:space="0"/>
              <w:bottom w:val="single" w:color="auto" w:sz="8" w:space="0"/>
            </w:tcBorders>
            <w:shd w:val="clear" w:color="auto" w:fill="auto"/>
          </w:tcPr>
          <w:p w14:paraId="30C4A236">
            <w:pPr>
              <w:pStyle w:val="178"/>
            </w:pPr>
            <w:r>
              <w:rPr>
                <w:rFonts w:hint="eastAsia"/>
              </w:rPr>
              <w:t>容纳人数N（人）</w:t>
            </w:r>
          </w:p>
        </w:tc>
      </w:tr>
      <w:tr w14:paraId="2053D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605DA61B">
            <w:pPr>
              <w:pStyle w:val="178"/>
            </w:pPr>
            <w:r>
              <w:rPr>
                <w:rFonts w:hint="eastAsia"/>
              </w:rPr>
              <w:t>小包厢</w:t>
            </w:r>
          </w:p>
        </w:tc>
        <w:tc>
          <w:tcPr>
            <w:tcW w:w="3112" w:type="dxa"/>
            <w:tcBorders>
              <w:top w:val="single" w:color="auto" w:sz="8" w:space="0"/>
            </w:tcBorders>
            <w:shd w:val="clear" w:color="auto" w:fill="auto"/>
          </w:tcPr>
          <w:p w14:paraId="03BA4FAD">
            <w:pPr>
              <w:pStyle w:val="178"/>
            </w:pPr>
            <w:r>
              <w:rPr>
                <w:rFonts w:hint="eastAsia"/>
              </w:rPr>
              <w:t>S≤25</w:t>
            </w:r>
          </w:p>
        </w:tc>
        <w:tc>
          <w:tcPr>
            <w:tcW w:w="3112" w:type="dxa"/>
            <w:tcBorders>
              <w:top w:val="single" w:color="auto" w:sz="8" w:space="0"/>
            </w:tcBorders>
            <w:shd w:val="clear" w:color="auto" w:fill="auto"/>
          </w:tcPr>
          <w:p w14:paraId="1D8F5F9D">
            <w:pPr>
              <w:pStyle w:val="178"/>
            </w:pPr>
            <w:r>
              <w:rPr>
                <w:rFonts w:hint="eastAsia"/>
              </w:rPr>
              <w:t>N≤9</w:t>
            </w:r>
          </w:p>
        </w:tc>
      </w:tr>
      <w:tr w14:paraId="1329E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AEA161C">
            <w:pPr>
              <w:pStyle w:val="178"/>
            </w:pPr>
            <w:r>
              <w:rPr>
                <w:rFonts w:hint="eastAsia"/>
              </w:rPr>
              <w:t>中包厢</w:t>
            </w:r>
          </w:p>
        </w:tc>
        <w:tc>
          <w:tcPr>
            <w:tcW w:w="3112" w:type="dxa"/>
            <w:shd w:val="clear" w:color="auto" w:fill="auto"/>
          </w:tcPr>
          <w:p w14:paraId="115F157A">
            <w:pPr>
              <w:pStyle w:val="178"/>
            </w:pPr>
            <w:r>
              <w:rPr>
                <w:rFonts w:hint="eastAsia"/>
              </w:rPr>
              <w:t>25＜S≤60</w:t>
            </w:r>
          </w:p>
        </w:tc>
        <w:tc>
          <w:tcPr>
            <w:tcW w:w="3112" w:type="dxa"/>
            <w:shd w:val="clear" w:color="auto" w:fill="auto"/>
          </w:tcPr>
          <w:p w14:paraId="07C7B2FB">
            <w:pPr>
              <w:pStyle w:val="178"/>
            </w:pPr>
            <w:r>
              <w:rPr>
                <w:rFonts w:hint="eastAsia"/>
              </w:rPr>
              <w:t>10＜N≤16</w:t>
            </w:r>
          </w:p>
        </w:tc>
      </w:tr>
      <w:tr w14:paraId="3D334A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9EFB4AF">
            <w:pPr>
              <w:pStyle w:val="178"/>
            </w:pPr>
            <w:r>
              <w:rPr>
                <w:rFonts w:hint="eastAsia"/>
              </w:rPr>
              <w:t>大包厢</w:t>
            </w:r>
          </w:p>
        </w:tc>
        <w:tc>
          <w:tcPr>
            <w:tcW w:w="3112" w:type="dxa"/>
            <w:shd w:val="clear" w:color="auto" w:fill="auto"/>
          </w:tcPr>
          <w:p w14:paraId="0BF3679B">
            <w:pPr>
              <w:pStyle w:val="178"/>
            </w:pPr>
            <w:r>
              <w:rPr>
                <w:rFonts w:hint="eastAsia"/>
              </w:rPr>
              <w:t>60＜S≤100</w:t>
            </w:r>
          </w:p>
        </w:tc>
        <w:tc>
          <w:tcPr>
            <w:tcW w:w="3112" w:type="dxa"/>
            <w:shd w:val="clear" w:color="auto" w:fill="auto"/>
          </w:tcPr>
          <w:p w14:paraId="13DA6A78">
            <w:pPr>
              <w:pStyle w:val="178"/>
            </w:pPr>
            <w:r>
              <w:rPr>
                <w:rFonts w:hint="eastAsia"/>
              </w:rPr>
              <w:t>16＜N≤30</w:t>
            </w:r>
          </w:p>
        </w:tc>
      </w:tr>
    </w:tbl>
    <w:p w14:paraId="73B145E2">
      <w:pPr>
        <w:pStyle w:val="105"/>
        <w:spacing w:before="156" w:after="156"/>
      </w:pPr>
      <w:bookmarkStart w:id="120" w:name="_Toc185672442"/>
      <w:bookmarkStart w:id="121" w:name="_Toc185672405"/>
      <w:r>
        <w:rPr>
          <w:rFonts w:hint="eastAsia"/>
        </w:rPr>
        <w:t>服务设施设备</w:t>
      </w:r>
      <w:bookmarkEnd w:id="120"/>
      <w:bookmarkEnd w:id="121"/>
    </w:p>
    <w:p w14:paraId="72D2EF60">
      <w:pPr>
        <w:pStyle w:val="56"/>
        <w:ind w:firstLine="420"/>
      </w:pPr>
      <w:bookmarkStart w:id="122" w:name="_Toc185672406"/>
      <w:r>
        <w:rPr>
          <w:rFonts w:hint="eastAsia"/>
        </w:rPr>
        <w:t>应配备相应的各类服务设施与服务用品，包括但不限于：</w:t>
      </w:r>
      <w:bookmarkEnd w:id="122"/>
    </w:p>
    <w:p w14:paraId="213634E1">
      <w:pPr>
        <w:pStyle w:val="56"/>
        <w:ind w:firstLine="420"/>
      </w:pPr>
      <w:r>
        <w:rPr>
          <w:rFonts w:hint="eastAsia"/>
        </w:rPr>
        <w:t>a)与包厢相适应的沙发、茶几，人均沙发面积不小于0.8㎡，人均茶几面积不小于0.3㎡。沙发与茶几间距0.4ｍ～0.5ｍ；</w:t>
      </w:r>
    </w:p>
    <w:p w14:paraId="37977115">
      <w:pPr>
        <w:pStyle w:val="56"/>
        <w:ind w:firstLine="420"/>
      </w:pPr>
      <w:r>
        <w:rPr>
          <w:rFonts w:hint="eastAsia"/>
        </w:rPr>
        <w:t>b)与包厢人数相适应的酒杯、茶具；</w:t>
      </w:r>
    </w:p>
    <w:p w14:paraId="47DA0832">
      <w:pPr>
        <w:pStyle w:val="56"/>
        <w:ind w:firstLine="420"/>
      </w:pPr>
      <w:r>
        <w:rPr>
          <w:rFonts w:hint="eastAsia"/>
        </w:rPr>
        <w:t>c)与包厢面积相适应的音响影视设备，点歌系统（定期更新）。其中包括功放、音响、话筒、显示屏分辨率等，具体情况见表3。</w:t>
      </w:r>
    </w:p>
    <w:p w14:paraId="127950A4">
      <w:pPr>
        <w:pStyle w:val="112"/>
        <w:spacing w:before="156" w:after="156"/>
      </w:pPr>
      <w:r>
        <w:rPr>
          <w:rFonts w:hint="eastAsia"/>
        </w:rPr>
        <w:t>设备配备标准表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462EBA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tcPr>
          <w:p w14:paraId="53175B53">
            <w:pPr>
              <w:pStyle w:val="178"/>
            </w:pPr>
            <w:r>
              <w:rPr>
                <w:rFonts w:hint="eastAsia"/>
              </w:rPr>
              <w:t>包厢规模</w:t>
            </w:r>
          </w:p>
        </w:tc>
        <w:tc>
          <w:tcPr>
            <w:tcW w:w="1867" w:type="dxa"/>
            <w:tcBorders>
              <w:top w:val="single" w:color="auto" w:sz="8" w:space="0"/>
              <w:bottom w:val="single" w:color="auto" w:sz="8" w:space="0"/>
            </w:tcBorders>
            <w:shd w:val="clear" w:color="auto" w:fill="auto"/>
          </w:tcPr>
          <w:p w14:paraId="42175E63">
            <w:pPr>
              <w:pStyle w:val="178"/>
            </w:pPr>
            <w:r>
              <w:rPr>
                <w:rFonts w:hint="eastAsia"/>
              </w:rPr>
              <w:t>音箱功率（w）</w:t>
            </w:r>
          </w:p>
        </w:tc>
        <w:tc>
          <w:tcPr>
            <w:tcW w:w="1867" w:type="dxa"/>
            <w:tcBorders>
              <w:top w:val="single" w:color="auto" w:sz="8" w:space="0"/>
              <w:bottom w:val="single" w:color="auto" w:sz="8" w:space="0"/>
            </w:tcBorders>
            <w:shd w:val="clear" w:color="auto" w:fill="auto"/>
          </w:tcPr>
          <w:p w14:paraId="158CD0A3">
            <w:pPr>
              <w:pStyle w:val="178"/>
            </w:pPr>
            <w:r>
              <w:rPr>
                <w:rFonts w:hint="eastAsia"/>
              </w:rPr>
              <w:t>音箱数量（个）</w:t>
            </w:r>
          </w:p>
        </w:tc>
        <w:tc>
          <w:tcPr>
            <w:tcW w:w="1867" w:type="dxa"/>
            <w:tcBorders>
              <w:top w:val="single" w:color="auto" w:sz="8" w:space="0"/>
              <w:bottom w:val="single" w:color="auto" w:sz="8" w:space="0"/>
            </w:tcBorders>
            <w:shd w:val="clear" w:color="auto" w:fill="auto"/>
          </w:tcPr>
          <w:p w14:paraId="562CBA6E">
            <w:pPr>
              <w:pStyle w:val="178"/>
            </w:pPr>
            <w:r>
              <w:rPr>
                <w:rFonts w:hint="eastAsia"/>
              </w:rPr>
              <w:t>功放功率（w）</w:t>
            </w:r>
          </w:p>
        </w:tc>
        <w:tc>
          <w:tcPr>
            <w:tcW w:w="1867" w:type="dxa"/>
            <w:tcBorders>
              <w:top w:val="single" w:color="auto" w:sz="8" w:space="0"/>
              <w:bottom w:val="single" w:color="auto" w:sz="8" w:space="0"/>
            </w:tcBorders>
            <w:shd w:val="clear" w:color="auto" w:fill="auto"/>
          </w:tcPr>
          <w:p w14:paraId="0CF8F72A">
            <w:pPr>
              <w:pStyle w:val="178"/>
            </w:pPr>
            <w:r>
              <w:rPr>
                <w:rFonts w:hint="eastAsia"/>
              </w:rPr>
              <w:t>功放数量（个）</w:t>
            </w:r>
          </w:p>
        </w:tc>
      </w:tr>
      <w:tr w14:paraId="10F0ED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bottom w:val="single" w:color="auto" w:sz="2" w:space="0"/>
            </w:tcBorders>
            <w:shd w:val="clear" w:color="auto" w:fill="auto"/>
          </w:tcPr>
          <w:p w14:paraId="09BAB16C">
            <w:pPr>
              <w:pStyle w:val="178"/>
            </w:pPr>
            <w:r>
              <w:rPr>
                <w:rFonts w:hint="eastAsia"/>
              </w:rPr>
              <w:t>小包厢</w:t>
            </w:r>
          </w:p>
        </w:tc>
        <w:tc>
          <w:tcPr>
            <w:tcW w:w="1867" w:type="dxa"/>
            <w:tcBorders>
              <w:top w:val="single" w:color="auto" w:sz="8" w:space="0"/>
              <w:bottom w:val="single" w:color="auto" w:sz="2" w:space="0"/>
            </w:tcBorders>
            <w:shd w:val="clear" w:color="auto" w:fill="auto"/>
          </w:tcPr>
          <w:p w14:paraId="5A35242B">
            <w:pPr>
              <w:pStyle w:val="178"/>
            </w:pPr>
            <w:r>
              <w:rPr>
                <w:rFonts w:hint="eastAsia"/>
              </w:rPr>
              <w:t>600</w:t>
            </w:r>
          </w:p>
        </w:tc>
        <w:tc>
          <w:tcPr>
            <w:tcW w:w="1867" w:type="dxa"/>
            <w:tcBorders>
              <w:top w:val="single" w:color="auto" w:sz="8" w:space="0"/>
              <w:bottom w:val="single" w:color="auto" w:sz="2" w:space="0"/>
            </w:tcBorders>
            <w:shd w:val="clear" w:color="auto" w:fill="auto"/>
          </w:tcPr>
          <w:p w14:paraId="43B97EB5">
            <w:pPr>
              <w:pStyle w:val="178"/>
            </w:pPr>
            <w:r>
              <w:rPr>
                <w:rFonts w:hint="eastAsia"/>
              </w:rPr>
              <w:t>2</w:t>
            </w:r>
          </w:p>
        </w:tc>
        <w:tc>
          <w:tcPr>
            <w:tcW w:w="1867" w:type="dxa"/>
            <w:tcBorders>
              <w:top w:val="single" w:color="auto" w:sz="8" w:space="0"/>
              <w:bottom w:val="single" w:color="auto" w:sz="2" w:space="0"/>
            </w:tcBorders>
            <w:shd w:val="clear" w:color="auto" w:fill="auto"/>
          </w:tcPr>
          <w:p w14:paraId="3E3EAD9C">
            <w:pPr>
              <w:pStyle w:val="178"/>
            </w:pPr>
            <w:r>
              <w:rPr>
                <w:rFonts w:hint="eastAsia"/>
              </w:rPr>
              <w:t>900</w:t>
            </w:r>
          </w:p>
        </w:tc>
        <w:tc>
          <w:tcPr>
            <w:tcW w:w="1867" w:type="dxa"/>
            <w:tcBorders>
              <w:top w:val="single" w:color="auto" w:sz="8" w:space="0"/>
              <w:bottom w:val="single" w:color="auto" w:sz="2" w:space="0"/>
            </w:tcBorders>
            <w:shd w:val="clear" w:color="auto" w:fill="auto"/>
          </w:tcPr>
          <w:p w14:paraId="05971AEF">
            <w:pPr>
              <w:pStyle w:val="178"/>
            </w:pPr>
            <w:r>
              <w:rPr>
                <w:rFonts w:hint="eastAsia"/>
              </w:rPr>
              <w:t>1</w:t>
            </w:r>
          </w:p>
        </w:tc>
      </w:tr>
      <w:tr w14:paraId="0E76E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2" w:space="0"/>
              <w:bottom w:val="single" w:color="auto" w:sz="4" w:space="0"/>
            </w:tcBorders>
            <w:shd w:val="clear" w:color="auto" w:fill="auto"/>
          </w:tcPr>
          <w:p w14:paraId="05D288E9">
            <w:pPr>
              <w:pStyle w:val="178"/>
            </w:pPr>
            <w:bookmarkStart w:id="123" w:name="_Toc185672443"/>
            <w:bookmarkStart w:id="124" w:name="_Toc185672407"/>
            <w:r>
              <w:rPr>
                <w:rFonts w:hint="eastAsia"/>
              </w:rPr>
              <w:t>中包厢</w:t>
            </w:r>
          </w:p>
        </w:tc>
        <w:tc>
          <w:tcPr>
            <w:tcW w:w="1867" w:type="dxa"/>
            <w:tcBorders>
              <w:top w:val="single" w:color="auto" w:sz="2" w:space="0"/>
              <w:bottom w:val="single" w:color="auto" w:sz="4" w:space="0"/>
            </w:tcBorders>
            <w:shd w:val="clear" w:color="auto" w:fill="auto"/>
          </w:tcPr>
          <w:p w14:paraId="78DAF93B">
            <w:pPr>
              <w:pStyle w:val="178"/>
            </w:pPr>
            <w:r>
              <w:rPr>
                <w:rFonts w:hint="eastAsia"/>
              </w:rPr>
              <w:t>600</w:t>
            </w:r>
          </w:p>
        </w:tc>
        <w:tc>
          <w:tcPr>
            <w:tcW w:w="1867" w:type="dxa"/>
            <w:tcBorders>
              <w:top w:val="single" w:color="auto" w:sz="2" w:space="0"/>
              <w:bottom w:val="single" w:color="auto" w:sz="4" w:space="0"/>
            </w:tcBorders>
            <w:shd w:val="clear" w:color="auto" w:fill="auto"/>
          </w:tcPr>
          <w:p w14:paraId="03983B2E">
            <w:pPr>
              <w:pStyle w:val="178"/>
            </w:pPr>
            <w:r>
              <w:rPr>
                <w:rFonts w:hint="eastAsia"/>
              </w:rPr>
              <w:t>4</w:t>
            </w:r>
          </w:p>
        </w:tc>
        <w:tc>
          <w:tcPr>
            <w:tcW w:w="1867" w:type="dxa"/>
            <w:tcBorders>
              <w:top w:val="single" w:color="auto" w:sz="2" w:space="0"/>
              <w:bottom w:val="single" w:color="auto" w:sz="4" w:space="0"/>
            </w:tcBorders>
            <w:shd w:val="clear" w:color="auto" w:fill="auto"/>
          </w:tcPr>
          <w:p w14:paraId="0223192C">
            <w:pPr>
              <w:pStyle w:val="178"/>
            </w:pPr>
            <w:r>
              <w:rPr>
                <w:rFonts w:hint="eastAsia"/>
              </w:rPr>
              <w:t>900</w:t>
            </w:r>
          </w:p>
        </w:tc>
        <w:tc>
          <w:tcPr>
            <w:tcW w:w="1867" w:type="dxa"/>
            <w:tcBorders>
              <w:top w:val="single" w:color="auto" w:sz="2" w:space="0"/>
              <w:bottom w:val="single" w:color="auto" w:sz="4" w:space="0"/>
            </w:tcBorders>
            <w:shd w:val="clear" w:color="auto" w:fill="auto"/>
          </w:tcPr>
          <w:p w14:paraId="17896F13">
            <w:pPr>
              <w:pStyle w:val="178"/>
            </w:pPr>
            <w:r>
              <w:rPr>
                <w:rFonts w:hint="eastAsia"/>
              </w:rPr>
              <w:t>2</w:t>
            </w:r>
          </w:p>
        </w:tc>
      </w:tr>
      <w:tr w14:paraId="0BFD71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4" w:space="0"/>
            </w:tcBorders>
            <w:shd w:val="clear" w:color="auto" w:fill="auto"/>
          </w:tcPr>
          <w:p w14:paraId="02952735">
            <w:pPr>
              <w:pStyle w:val="178"/>
            </w:pPr>
            <w:r>
              <w:rPr>
                <w:rFonts w:hint="eastAsia"/>
              </w:rPr>
              <w:t>大包厢</w:t>
            </w:r>
          </w:p>
        </w:tc>
        <w:tc>
          <w:tcPr>
            <w:tcW w:w="1867" w:type="dxa"/>
            <w:tcBorders>
              <w:top w:val="single" w:color="auto" w:sz="4" w:space="0"/>
            </w:tcBorders>
            <w:shd w:val="clear" w:color="auto" w:fill="auto"/>
          </w:tcPr>
          <w:p w14:paraId="2F0DDDBE">
            <w:pPr>
              <w:pStyle w:val="178"/>
            </w:pPr>
            <w:r>
              <w:rPr>
                <w:rFonts w:hint="eastAsia"/>
              </w:rPr>
              <w:t>600</w:t>
            </w:r>
          </w:p>
        </w:tc>
        <w:tc>
          <w:tcPr>
            <w:tcW w:w="1867" w:type="dxa"/>
            <w:tcBorders>
              <w:top w:val="single" w:color="auto" w:sz="4" w:space="0"/>
            </w:tcBorders>
            <w:shd w:val="clear" w:color="auto" w:fill="auto"/>
          </w:tcPr>
          <w:p w14:paraId="4200926D">
            <w:pPr>
              <w:pStyle w:val="178"/>
            </w:pPr>
            <w:r>
              <w:rPr>
                <w:rFonts w:hint="eastAsia"/>
              </w:rPr>
              <w:t>6</w:t>
            </w:r>
          </w:p>
        </w:tc>
        <w:tc>
          <w:tcPr>
            <w:tcW w:w="1867" w:type="dxa"/>
            <w:tcBorders>
              <w:top w:val="single" w:color="auto" w:sz="4" w:space="0"/>
            </w:tcBorders>
            <w:shd w:val="clear" w:color="auto" w:fill="auto"/>
          </w:tcPr>
          <w:p w14:paraId="2AFE2642">
            <w:pPr>
              <w:pStyle w:val="178"/>
            </w:pPr>
            <w:r>
              <w:rPr>
                <w:rFonts w:hint="eastAsia"/>
              </w:rPr>
              <w:t>900</w:t>
            </w:r>
          </w:p>
        </w:tc>
        <w:tc>
          <w:tcPr>
            <w:tcW w:w="1867" w:type="dxa"/>
            <w:tcBorders>
              <w:top w:val="single" w:color="auto" w:sz="4" w:space="0"/>
            </w:tcBorders>
            <w:shd w:val="clear" w:color="auto" w:fill="auto"/>
          </w:tcPr>
          <w:p w14:paraId="730E7077">
            <w:pPr>
              <w:pStyle w:val="178"/>
            </w:pPr>
            <w:r>
              <w:rPr>
                <w:rFonts w:hint="eastAsia"/>
              </w:rPr>
              <w:t>3</w:t>
            </w:r>
          </w:p>
        </w:tc>
      </w:tr>
    </w:tbl>
    <w:p w14:paraId="1503A6F5">
      <w:pPr>
        <w:pStyle w:val="105"/>
        <w:spacing w:before="156" w:after="156"/>
      </w:pPr>
      <w:r>
        <w:rPr>
          <w:rFonts w:hint="eastAsia"/>
        </w:rPr>
        <w:t>文明服务设施</w:t>
      </w:r>
      <w:bookmarkEnd w:id="123"/>
      <w:bookmarkEnd w:id="124"/>
    </w:p>
    <w:p w14:paraId="4828C48B">
      <w:pPr>
        <w:pStyle w:val="165"/>
      </w:pPr>
      <w:bookmarkStart w:id="125" w:name="_Toc185672408"/>
      <w:r>
        <w:rPr>
          <w:rFonts w:hint="eastAsia"/>
        </w:rPr>
        <w:t>应在明显位置悬挂或张贴经营资质。</w:t>
      </w:r>
      <w:bookmarkEnd w:id="125"/>
    </w:p>
    <w:p w14:paraId="5F08E388">
      <w:pPr>
        <w:pStyle w:val="165"/>
      </w:pPr>
      <w:bookmarkStart w:id="126" w:name="_Toc185672409"/>
      <w:r>
        <w:rPr>
          <w:rFonts w:hint="eastAsia"/>
        </w:rPr>
        <w:t>包厢应设有常明设备，不应设立暗室。</w:t>
      </w:r>
      <w:bookmarkEnd w:id="126"/>
      <w:r>
        <w:rPr>
          <w:rFonts w:hint="eastAsia"/>
        </w:rPr>
        <w:t>歌厅、卡拉OK厅的营业大厅的亮度不得低于6lux，舞厅的营业大厅亮度不得低于4lux，包厢、包间内亮度不得低于3lux。</w:t>
      </w:r>
      <w:bookmarkStart w:id="156" w:name="_GoBack"/>
      <w:bookmarkEnd w:id="156"/>
    </w:p>
    <w:p w14:paraId="730DCCD8">
      <w:pPr>
        <w:pStyle w:val="165"/>
      </w:pPr>
      <w:bookmarkStart w:id="127" w:name="_Toc185672410"/>
      <w:r>
        <w:rPr>
          <w:rFonts w:hint="eastAsia"/>
        </w:rPr>
        <w:t>包厢门应有透明视窗装置，不应装有反锁装置。</w:t>
      </w:r>
      <w:bookmarkEnd w:id="127"/>
    </w:p>
    <w:p w14:paraId="73785EA5">
      <w:pPr>
        <w:pStyle w:val="105"/>
        <w:spacing w:before="156" w:after="156"/>
      </w:pPr>
      <w:bookmarkStart w:id="128" w:name="_Toc185672411"/>
      <w:bookmarkStart w:id="129" w:name="_Toc185672444"/>
      <w:r>
        <w:rPr>
          <w:rFonts w:hint="eastAsia"/>
        </w:rPr>
        <w:t>应每日清洁经营场所内墙体、沙发、茶几等设施设备，保持无异味、无污渍、无杂物、无明显破损。</w:t>
      </w:r>
      <w:bookmarkEnd w:id="128"/>
      <w:bookmarkEnd w:id="129"/>
    </w:p>
    <w:p w14:paraId="6BD3DA99">
      <w:pPr>
        <w:pStyle w:val="105"/>
        <w:spacing w:before="156" w:after="156"/>
      </w:pPr>
      <w:bookmarkStart w:id="130" w:name="_Toc185672412"/>
      <w:bookmarkStart w:id="131" w:name="_Toc185672445"/>
      <w:r>
        <w:rPr>
          <w:rFonts w:hint="eastAsia"/>
        </w:rPr>
        <w:t>应配备与经营规模相适应的消毒设施设备，定期清洁、清洗、消毒。包厢内提供给消费者的用品用具，保持无异味、无毒无害。</w:t>
      </w:r>
      <w:bookmarkEnd w:id="130"/>
      <w:bookmarkEnd w:id="131"/>
    </w:p>
    <w:p w14:paraId="397606C2">
      <w:pPr>
        <w:pStyle w:val="104"/>
        <w:spacing w:before="312" w:after="312"/>
      </w:pPr>
      <w:bookmarkStart w:id="132" w:name="_Toc185672446"/>
      <w:bookmarkStart w:id="133" w:name="_Toc185672413"/>
      <w:bookmarkStart w:id="134" w:name="_Toc185672458"/>
      <w:bookmarkStart w:id="135" w:name="_Toc185683018"/>
      <w:r>
        <w:rPr>
          <w:rFonts w:hint="eastAsia"/>
        </w:rPr>
        <w:t>服务要求</w:t>
      </w:r>
      <w:bookmarkEnd w:id="132"/>
      <w:bookmarkEnd w:id="133"/>
      <w:bookmarkEnd w:id="134"/>
      <w:bookmarkEnd w:id="135"/>
    </w:p>
    <w:p w14:paraId="7FEE1EF5">
      <w:pPr>
        <w:pStyle w:val="105"/>
        <w:spacing w:before="156" w:after="156"/>
      </w:pPr>
      <w:bookmarkStart w:id="136" w:name="_Toc185672447"/>
      <w:bookmarkStart w:id="137" w:name="_Toc185672414"/>
      <w:r>
        <w:rPr>
          <w:rFonts w:hint="eastAsia"/>
        </w:rPr>
        <w:t>接待服务要求</w:t>
      </w:r>
      <w:bookmarkEnd w:id="136"/>
      <w:bookmarkEnd w:id="137"/>
    </w:p>
    <w:p w14:paraId="6D269F14">
      <w:pPr>
        <w:pStyle w:val="65"/>
        <w:spacing w:before="156" w:after="156"/>
      </w:pPr>
      <w:bookmarkStart w:id="138" w:name="_Toc185672415"/>
      <w:r>
        <w:rPr>
          <w:rFonts w:hint="eastAsia"/>
        </w:rPr>
        <w:t>总体要求</w:t>
      </w:r>
      <w:bookmarkEnd w:id="138"/>
    </w:p>
    <w:p w14:paraId="7DB1A8B0">
      <w:pPr>
        <w:pStyle w:val="164"/>
      </w:pPr>
      <w:r>
        <w:rPr>
          <w:rFonts w:hint="eastAsia"/>
        </w:rPr>
        <w:t>服务人员应使用普通话和文明用语，对顾客有问必答。</w:t>
      </w:r>
    </w:p>
    <w:p w14:paraId="23A173D5">
      <w:pPr>
        <w:pStyle w:val="164"/>
      </w:pPr>
      <w:r>
        <w:rPr>
          <w:rFonts w:hint="eastAsia"/>
        </w:rPr>
        <w:t>服务人员应热情大方，面带微笑，服装整洁；不戴饰物、不留指甲；男服务员不留长发、胡须；女服务员宜淡妆上岗。</w:t>
      </w:r>
    </w:p>
    <w:p w14:paraId="03E56AA7">
      <w:pPr>
        <w:pStyle w:val="164"/>
      </w:pPr>
      <w:r>
        <w:rPr>
          <w:rFonts w:hint="eastAsia"/>
        </w:rPr>
        <w:t>服务人员应有规范的站姿、走姿、蹲姿、鞠躬礼、握手礼，以及进出包厢的仪态。</w:t>
      </w:r>
    </w:p>
    <w:p w14:paraId="13394BF5">
      <w:pPr>
        <w:pStyle w:val="164"/>
      </w:pPr>
      <w:r>
        <w:rPr>
          <w:rFonts w:hint="eastAsia"/>
        </w:rPr>
        <w:t>应公开营业时间并接受线上及线下预订服务。</w:t>
      </w:r>
    </w:p>
    <w:p w14:paraId="1823ADD4">
      <w:pPr>
        <w:pStyle w:val="65"/>
        <w:spacing w:before="156" w:after="156"/>
      </w:pPr>
      <w:bookmarkStart w:id="139" w:name="_Toc185672416"/>
      <w:r>
        <w:rPr>
          <w:rFonts w:hint="eastAsia"/>
        </w:rPr>
        <w:t>迎客服务</w:t>
      </w:r>
      <w:bookmarkEnd w:id="139"/>
    </w:p>
    <w:p w14:paraId="2BD05DDB">
      <w:pPr>
        <w:pStyle w:val="164"/>
      </w:pPr>
      <w:r>
        <w:rPr>
          <w:rFonts w:hint="eastAsia"/>
        </w:rPr>
        <w:t>视线范围3ｍ以内向顾客点头微笑问好，在规定的位置迎候。</w:t>
      </w:r>
    </w:p>
    <w:p w14:paraId="73AD6B1B">
      <w:pPr>
        <w:pStyle w:val="164"/>
      </w:pPr>
      <w:r>
        <w:rPr>
          <w:rFonts w:hint="eastAsia"/>
        </w:rPr>
        <w:t>视线范围1ｍ以内见到顾客行鞠躬礼，轻声使用礼貌用语，问候时眼睛关注顾客面部三角区（双眼、鼻、唇）。</w:t>
      </w:r>
    </w:p>
    <w:p w14:paraId="5EF2CEC3">
      <w:pPr>
        <w:pStyle w:val="164"/>
      </w:pPr>
      <w:r>
        <w:rPr>
          <w:rFonts w:hint="eastAsia"/>
        </w:rPr>
        <w:t>主动热情上前问询顾客，在顾客侧前方1ｍ～1.5ｍ处将其引导至所要到达的目的地，引领手势应自然、优雅，动作幅度适当；步伐适中，不宜过快，转弯或台阶处应等候顾客并提醒注意安全。</w:t>
      </w:r>
    </w:p>
    <w:p w14:paraId="23F2F4AB">
      <w:pPr>
        <w:pStyle w:val="65"/>
        <w:spacing w:before="156" w:after="156"/>
      </w:pPr>
      <w:bookmarkStart w:id="140" w:name="_Toc185672417"/>
      <w:r>
        <w:rPr>
          <w:rFonts w:hint="eastAsia"/>
        </w:rPr>
        <w:t>收银服务</w:t>
      </w:r>
      <w:bookmarkEnd w:id="140"/>
    </w:p>
    <w:p w14:paraId="3AA11831">
      <w:pPr>
        <w:pStyle w:val="164"/>
      </w:pPr>
      <w:r>
        <w:rPr>
          <w:rFonts w:hint="eastAsia"/>
        </w:rPr>
        <w:t>收银前应与顾客确认消费清单及金额等信息，如顾客提出疑问应进行核对和解释。</w:t>
      </w:r>
    </w:p>
    <w:p w14:paraId="5129E1FF">
      <w:pPr>
        <w:pStyle w:val="164"/>
      </w:pPr>
      <w:r>
        <w:rPr>
          <w:rFonts w:hint="eastAsia"/>
        </w:rPr>
        <w:t>收银过程中应做到“唱收唱付”。</w:t>
      </w:r>
    </w:p>
    <w:p w14:paraId="4ECFD771">
      <w:pPr>
        <w:pStyle w:val="164"/>
      </w:pPr>
      <w:r>
        <w:rPr>
          <w:rFonts w:hint="eastAsia"/>
        </w:rPr>
        <w:t>收银结束时，应提醒顾客将款额当面核对清楚并为顾客开具正规、等额、有效的发票。</w:t>
      </w:r>
    </w:p>
    <w:p w14:paraId="1688E1CB">
      <w:pPr>
        <w:pStyle w:val="65"/>
        <w:spacing w:before="156" w:after="156"/>
      </w:pPr>
      <w:bookmarkStart w:id="141" w:name="_Toc185672418"/>
      <w:r>
        <w:rPr>
          <w:rFonts w:hint="eastAsia"/>
        </w:rPr>
        <w:t>送客服务</w:t>
      </w:r>
      <w:bookmarkEnd w:id="141"/>
    </w:p>
    <w:p w14:paraId="1C4AF720">
      <w:pPr>
        <w:pStyle w:val="164"/>
      </w:pPr>
      <w:r>
        <w:rPr>
          <w:rFonts w:hint="eastAsia"/>
        </w:rPr>
        <w:t>协助顾客开门，提醒顾客带好随身物品，如包厢内有遗留食品，应主动打包送至顾客。</w:t>
      </w:r>
    </w:p>
    <w:p w14:paraId="02F739F4">
      <w:pPr>
        <w:pStyle w:val="164"/>
      </w:pPr>
      <w:r>
        <w:rPr>
          <w:rFonts w:hint="eastAsia"/>
        </w:rPr>
        <w:t>应礼貌地站立一侧，使用规范用语向顾客微笑道别，目送顾客离开。</w:t>
      </w:r>
    </w:p>
    <w:p w14:paraId="61770960">
      <w:pPr>
        <w:pStyle w:val="105"/>
        <w:spacing w:before="156" w:after="156"/>
      </w:pPr>
      <w:bookmarkStart w:id="142" w:name="_Toc185672448"/>
      <w:bookmarkStart w:id="143" w:name="_Toc185672419"/>
      <w:r>
        <w:rPr>
          <w:rFonts w:hint="eastAsia"/>
        </w:rPr>
        <w:t>包厢服务要求</w:t>
      </w:r>
      <w:bookmarkEnd w:id="142"/>
      <w:bookmarkEnd w:id="143"/>
    </w:p>
    <w:p w14:paraId="2EAF8983">
      <w:pPr>
        <w:pStyle w:val="65"/>
        <w:spacing w:before="156" w:after="156"/>
      </w:pPr>
      <w:bookmarkStart w:id="144" w:name="_Toc185672420"/>
      <w:r>
        <w:rPr>
          <w:rFonts w:hint="eastAsia"/>
        </w:rPr>
        <w:t>服务前</w:t>
      </w:r>
      <w:bookmarkEnd w:id="144"/>
    </w:p>
    <w:p w14:paraId="1F3B24B5">
      <w:pPr>
        <w:pStyle w:val="164"/>
      </w:pPr>
      <w:r>
        <w:rPr>
          <w:rFonts w:hint="eastAsia"/>
        </w:rPr>
        <w:t>应准备好包厢所需用品，并按规范布置、摆放。</w:t>
      </w:r>
    </w:p>
    <w:p w14:paraId="3AFBFD7C">
      <w:pPr>
        <w:pStyle w:val="164"/>
      </w:pPr>
      <w:r>
        <w:rPr>
          <w:rFonts w:hint="eastAsia"/>
        </w:rPr>
        <w:t>应检查包厢设施设备能否正常使用，环境是否干净整洁，空气有无异味，发现异常及时反馈并处置。</w:t>
      </w:r>
    </w:p>
    <w:p w14:paraId="70384DB1">
      <w:pPr>
        <w:pStyle w:val="164"/>
      </w:pPr>
      <w:r>
        <w:rPr>
          <w:rFonts w:hint="eastAsia"/>
        </w:rPr>
        <w:t>应将灯光调至适当亮度，空调调至适宜温度。</w:t>
      </w:r>
    </w:p>
    <w:p w14:paraId="3B0982BA">
      <w:pPr>
        <w:pStyle w:val="65"/>
        <w:spacing w:before="156" w:after="156"/>
      </w:pPr>
      <w:bookmarkStart w:id="145" w:name="_Toc185672421"/>
      <w:r>
        <w:rPr>
          <w:rFonts w:hint="eastAsia"/>
        </w:rPr>
        <w:t>服务中</w:t>
      </w:r>
      <w:bookmarkEnd w:id="145"/>
    </w:p>
    <w:p w14:paraId="76E8E41F">
      <w:pPr>
        <w:pStyle w:val="164"/>
      </w:pPr>
      <w:r>
        <w:rPr>
          <w:rFonts w:hint="eastAsia"/>
        </w:rPr>
        <w:t>应主动说明包厢价格、消费时段、优惠政策，并向顾客介绍酒水、零食等商品。</w:t>
      </w:r>
    </w:p>
    <w:p w14:paraId="5F846F32">
      <w:pPr>
        <w:pStyle w:val="164"/>
      </w:pPr>
      <w:r>
        <w:rPr>
          <w:rFonts w:hint="eastAsia"/>
        </w:rPr>
        <w:t>应及时提供茶水服务，并将顾客选购的商品送至包厢。</w:t>
      </w:r>
    </w:p>
    <w:p w14:paraId="76AACDC4">
      <w:pPr>
        <w:pStyle w:val="164"/>
      </w:pPr>
      <w:r>
        <w:rPr>
          <w:rFonts w:hint="eastAsia"/>
        </w:rPr>
        <w:t>在消费过程中应尽量满足顾客提出的合法合理需求，做好相关服务工作。</w:t>
      </w:r>
    </w:p>
    <w:p w14:paraId="11A4DB08">
      <w:pPr>
        <w:pStyle w:val="164"/>
      </w:pPr>
      <w:r>
        <w:rPr>
          <w:rFonts w:hint="eastAsia"/>
        </w:rPr>
        <w:t>应随时保持包厢卫生干净。</w:t>
      </w:r>
    </w:p>
    <w:p w14:paraId="7C737B13">
      <w:pPr>
        <w:pStyle w:val="164"/>
      </w:pPr>
      <w:r>
        <w:rPr>
          <w:rFonts w:hint="eastAsia"/>
        </w:rPr>
        <w:t>应关注包厢内动态，发现异常及时上报并快速处理。</w:t>
      </w:r>
    </w:p>
    <w:p w14:paraId="75457871">
      <w:pPr>
        <w:pStyle w:val="164"/>
      </w:pPr>
      <w:r>
        <w:rPr>
          <w:rFonts w:hint="eastAsia"/>
        </w:rPr>
        <w:t>应提前核对包厢消费明细单据，当顾客提出结账时，礼貌告知顾客消费详情。</w:t>
      </w:r>
    </w:p>
    <w:p w14:paraId="052A80AA">
      <w:pPr>
        <w:pStyle w:val="65"/>
        <w:spacing w:before="156" w:after="156"/>
      </w:pPr>
      <w:bookmarkStart w:id="146" w:name="_Toc185672422"/>
      <w:r>
        <w:rPr>
          <w:rFonts w:hint="eastAsia"/>
        </w:rPr>
        <w:t>服务后</w:t>
      </w:r>
      <w:bookmarkEnd w:id="146"/>
    </w:p>
    <w:p w14:paraId="4A96A5BE">
      <w:pPr>
        <w:pStyle w:val="164"/>
      </w:pPr>
      <w:r>
        <w:rPr>
          <w:rFonts w:hint="eastAsia"/>
        </w:rPr>
        <w:t>顾客离场后，应首先关闭包厢音箱、电器设备等。</w:t>
      </w:r>
    </w:p>
    <w:p w14:paraId="10613568">
      <w:pPr>
        <w:pStyle w:val="164"/>
      </w:pPr>
      <w:r>
        <w:rPr>
          <w:rFonts w:hint="eastAsia"/>
        </w:rPr>
        <w:t>应检查包厢内有无顾客遗留物品或剩余未开的酒水。如有，则主动联系顾客沟通处理方式。</w:t>
      </w:r>
    </w:p>
    <w:p w14:paraId="7C4A7FEA">
      <w:pPr>
        <w:pStyle w:val="164"/>
      </w:pPr>
      <w:r>
        <w:rPr>
          <w:rFonts w:hint="eastAsia"/>
        </w:rPr>
        <w:t>应检查杯具、设施设备等物品有无损坏，发现损坏及时处理。</w:t>
      </w:r>
    </w:p>
    <w:p w14:paraId="511A297F">
      <w:pPr>
        <w:pStyle w:val="164"/>
      </w:pPr>
      <w:r>
        <w:rPr>
          <w:rFonts w:hint="eastAsia"/>
        </w:rPr>
        <w:t>应清理台面物品，整理空酒瓶送至回收点。</w:t>
      </w:r>
    </w:p>
    <w:p w14:paraId="73B6BFC8">
      <w:pPr>
        <w:pStyle w:val="164"/>
      </w:pPr>
      <w:r>
        <w:rPr>
          <w:rFonts w:hint="eastAsia"/>
        </w:rPr>
        <w:t>打扫包厢卫生后应及时补充包厢物品，检查无误后关闭电源。</w:t>
      </w:r>
    </w:p>
    <w:p w14:paraId="44E842E8">
      <w:pPr>
        <w:pStyle w:val="104"/>
        <w:spacing w:before="312" w:after="312"/>
      </w:pPr>
      <w:bookmarkStart w:id="147" w:name="_Toc185672449"/>
      <w:bookmarkStart w:id="148" w:name="_Toc185672459"/>
      <w:bookmarkStart w:id="149" w:name="_Toc185672423"/>
      <w:bookmarkStart w:id="150" w:name="_Toc185683019"/>
      <w:r>
        <w:rPr>
          <w:rFonts w:hint="eastAsia"/>
        </w:rPr>
        <w:t>服务改进</w:t>
      </w:r>
      <w:bookmarkEnd w:id="147"/>
      <w:bookmarkEnd w:id="148"/>
      <w:bookmarkEnd w:id="149"/>
      <w:bookmarkEnd w:id="150"/>
    </w:p>
    <w:p w14:paraId="1D5BA3D0">
      <w:pPr>
        <w:pStyle w:val="56"/>
        <w:ind w:firstLine="420"/>
      </w:pPr>
      <w:r>
        <w:rPr>
          <w:rFonts w:hint="eastAsia"/>
        </w:rPr>
        <w:t>应定期开展服务满意度调查，并对各方面反馈的质量信息及时进行汇总分析，明确服务的主要缺陷，查找发生质量问题的具体原因，通过健全制度、加强培训、完善服务要素等措施，不断提高KTV服务质量。</w:t>
      </w:r>
    </w:p>
    <w:p w14:paraId="5FA81AC2">
      <w:pPr>
        <w:pStyle w:val="104"/>
        <w:spacing w:before="312" w:after="312"/>
      </w:pPr>
      <w:bookmarkStart w:id="151" w:name="_Toc185683020"/>
      <w:r>
        <w:rPr>
          <w:rFonts w:hint="eastAsia"/>
        </w:rPr>
        <w:t>投诉处理</w:t>
      </w:r>
      <w:bookmarkEnd w:id="151"/>
    </w:p>
    <w:p w14:paraId="4F176728">
      <w:pPr>
        <w:pStyle w:val="162"/>
      </w:pPr>
      <w:r>
        <w:rPr>
          <w:rFonts w:hint="eastAsia"/>
        </w:rPr>
        <w:t>应建立投诉处理机制，并明确专员处理相关事宜。</w:t>
      </w:r>
    </w:p>
    <w:p w14:paraId="4FDD4BD6">
      <w:pPr>
        <w:pStyle w:val="162"/>
      </w:pPr>
      <w:r>
        <w:rPr>
          <w:rFonts w:hint="eastAsia"/>
        </w:rPr>
        <w:t>应公布投诉电话、投诉处理程序和时限等信息。</w:t>
      </w:r>
    </w:p>
    <w:p w14:paraId="77B33691">
      <w:pPr>
        <w:pStyle w:val="162"/>
      </w:pPr>
      <w:r>
        <w:rPr>
          <w:rFonts w:hint="eastAsia"/>
        </w:rPr>
        <w:t>应及时保存投诉信息档案，开展客户回访。</w:t>
      </w:r>
    </w:p>
    <w:bookmarkEnd w:id="28"/>
    <w:p w14:paraId="3141531C">
      <w:pPr>
        <w:pStyle w:val="132"/>
        <w:numPr>
          <w:ilvl w:val="0"/>
          <w:numId w:val="0"/>
        </w:numPr>
        <w:jc w:val="center"/>
      </w:pPr>
      <w:bookmarkStart w:id="152" w:name="_Toc185672460"/>
      <w:bookmarkEnd w:id="152"/>
      <w:bookmarkStart w:id="153" w:name="_Toc185672450"/>
      <w:bookmarkEnd w:id="153"/>
      <w:bookmarkStart w:id="154" w:name="_Toc185672424"/>
      <w:bookmarkEnd w:id="154"/>
      <w:bookmarkStart w:id="155" w:name="BookMark8"/>
      <w:r>
        <w:rPr>
          <w:rFonts w:hint="eastAsia"/>
        </w:rPr>
        <w:drawing>
          <wp:inline distT="0" distB="0" distL="0" distR="0">
            <wp:extent cx="1485900" cy="317500"/>
            <wp:effectExtent l="0" t="0" r="0" b="6350"/>
            <wp:docPr id="1561832062" name="图片 2"/>
            <wp:cNvGraphicFramePr/>
            <a:graphic xmlns:a="http://schemas.openxmlformats.org/drawingml/2006/main">
              <a:graphicData uri="http://schemas.openxmlformats.org/drawingml/2006/picture">
                <pic:pic xmlns:pic="http://schemas.openxmlformats.org/drawingml/2006/picture">
                  <pic:nvPicPr>
                    <pic:cNvPr id="1561832062" name="图片 2"/>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5"/>
    </w:p>
    <w:sectPr>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618D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F6C0C">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D5BBA">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20A0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22AF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7D884">
    <w:pPr>
      <w:pStyle w:val="61"/>
      <w:rPr>
        <w:rFonts w:hint="eastAsia"/>
      </w:rPr>
    </w:pPr>
    <w:r>
      <w:fldChar w:fldCharType="begin"/>
    </w:r>
    <w:r>
      <w:instrText xml:space="preserve"> STYLEREF  标准文件_文件编号  \* MERGEFORMAT </w:instrText>
    </w:r>
    <w:r>
      <w:fldChar w:fldCharType="separate"/>
    </w:r>
    <w:r>
      <w:t>DB 43/T 1503—XXXX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CDF4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1503—XXXX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2D96A53E"/>
    <w:multiLevelType w:val="singleLevel"/>
    <w:tmpl w:val="2D96A53E"/>
    <w:lvl w:ilvl="0" w:tentative="0">
      <w:start w:val="1"/>
      <w:numFmt w:val="lowerLetter"/>
      <w:suff w:val="nothing"/>
      <w:lvlText w:val="%1）"/>
      <w:lvlJc w:val="left"/>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dzPZPekCZ1X0+Au41dj0KEcoqx7ijXViMDxSHw4nvU/GpNlST9hqWS2MzGw9FiHd2HzA7Lt0WAx6LOxvFCqrCQ==" w:salt="kuYqUGiUubkGmgPAT93hl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ED3"/>
    <w:rsid w:val="0000040A"/>
    <w:rsid w:val="00000A94"/>
    <w:rsid w:val="00001972"/>
    <w:rsid w:val="00001D3B"/>
    <w:rsid w:val="00001D9A"/>
    <w:rsid w:val="00007B3A"/>
    <w:rsid w:val="000107E0"/>
    <w:rsid w:val="00011FDE"/>
    <w:rsid w:val="00012FFD"/>
    <w:rsid w:val="00014162"/>
    <w:rsid w:val="00014340"/>
    <w:rsid w:val="00015594"/>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0A7"/>
    <w:rsid w:val="000A296B"/>
    <w:rsid w:val="000A4932"/>
    <w:rsid w:val="000A7311"/>
    <w:rsid w:val="000A789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FCC"/>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3BA"/>
    <w:rsid w:val="002E4D5A"/>
    <w:rsid w:val="002E6326"/>
    <w:rsid w:val="002F1245"/>
    <w:rsid w:val="002F30E0"/>
    <w:rsid w:val="002F35E4"/>
    <w:rsid w:val="002F3730"/>
    <w:rsid w:val="002F38E1"/>
    <w:rsid w:val="002F7AF6"/>
    <w:rsid w:val="00300E63"/>
    <w:rsid w:val="0030297A"/>
    <w:rsid w:val="00302F5F"/>
    <w:rsid w:val="0030441D"/>
    <w:rsid w:val="00306063"/>
    <w:rsid w:val="00313B85"/>
    <w:rsid w:val="00314ED3"/>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929"/>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43A"/>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7BA"/>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558"/>
    <w:rsid w:val="005836A8"/>
    <w:rsid w:val="0058409C"/>
    <w:rsid w:val="00584262"/>
    <w:rsid w:val="00586630"/>
    <w:rsid w:val="00587ADD"/>
    <w:rsid w:val="00591EF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399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CA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3A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A08"/>
    <w:rsid w:val="007F75CE"/>
    <w:rsid w:val="008013A4"/>
    <w:rsid w:val="008027CE"/>
    <w:rsid w:val="00802F42"/>
    <w:rsid w:val="00804383"/>
    <w:rsid w:val="00804BB7"/>
    <w:rsid w:val="00804D41"/>
    <w:rsid w:val="00807C0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BAA"/>
    <w:rsid w:val="008E0C9D"/>
    <w:rsid w:val="008E1648"/>
    <w:rsid w:val="008E1B3E"/>
    <w:rsid w:val="008E2319"/>
    <w:rsid w:val="008E4BB6"/>
    <w:rsid w:val="008E5518"/>
    <w:rsid w:val="008E6A84"/>
    <w:rsid w:val="008F0CDC"/>
    <w:rsid w:val="008F17A3"/>
    <w:rsid w:val="008F1ED3"/>
    <w:rsid w:val="008F23A5"/>
    <w:rsid w:val="008F3EDE"/>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82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3BA"/>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5E3"/>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BF5"/>
    <w:rsid w:val="00C04904"/>
    <w:rsid w:val="00C056B3"/>
    <w:rsid w:val="00C103E5"/>
    <w:rsid w:val="00C13319"/>
    <w:rsid w:val="00C13EE9"/>
    <w:rsid w:val="00C16D45"/>
    <w:rsid w:val="00C21540"/>
    <w:rsid w:val="00C21906"/>
    <w:rsid w:val="00C21BFA"/>
    <w:rsid w:val="00C22148"/>
    <w:rsid w:val="00C24C8D"/>
    <w:rsid w:val="00C25FE2"/>
    <w:rsid w:val="00C26B53"/>
    <w:rsid w:val="00C279B2"/>
    <w:rsid w:val="00C33E50"/>
    <w:rsid w:val="00C33F8B"/>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8B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CF8"/>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98F"/>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BB9"/>
    <w:rsid w:val="00F05DAC"/>
    <w:rsid w:val="00F06D37"/>
    <w:rsid w:val="00F07B9D"/>
    <w:rsid w:val="00F11586"/>
    <w:rsid w:val="00F1183B"/>
    <w:rsid w:val="00F11C9F"/>
    <w:rsid w:val="00F12263"/>
    <w:rsid w:val="00F1409D"/>
    <w:rsid w:val="00F14214"/>
    <w:rsid w:val="00F157A9"/>
    <w:rsid w:val="00F25BB6"/>
    <w:rsid w:val="00F26B7E"/>
    <w:rsid w:val="00F27A3B"/>
    <w:rsid w:val="00F3271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B6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86467E"/>
    <w:rsid w:val="226938F2"/>
    <w:rsid w:val="2F197D6A"/>
    <w:rsid w:val="36C206A9"/>
    <w:rsid w:val="466F1F67"/>
    <w:rsid w:val="4AE928BA"/>
    <w:rsid w:val="522D6E33"/>
    <w:rsid w:val="589F729B"/>
    <w:rsid w:val="5C0E0546"/>
    <w:rsid w:val="62066613"/>
    <w:rsid w:val="65C92FEA"/>
    <w:rsid w:val="70E16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二级无"/>
    <w:basedOn w:val="1"/>
    <w:qFormat/>
    <w:uiPriority w:val="0"/>
    <w:pPr>
      <w:widowControl/>
      <w:adjustRightInd/>
      <w:spacing w:line="240" w:lineRule="auto"/>
      <w:jc w:val="left"/>
      <w:outlineLvl w:val="3"/>
    </w:pPr>
    <w:rPr>
      <w:rFonts w:ascii="宋体" w:hAnsi="宋体" w:cs="宋体"/>
      <w:kern w:val="0"/>
    </w:rPr>
  </w:style>
  <w:style w:type="paragraph" w:customStyle="1" w:styleId="231">
    <w:name w:val="字母编号列项（一级）"/>
    <w:basedOn w:val="1"/>
    <w:qFormat/>
    <w:uiPriority w:val="0"/>
    <w:pPr>
      <w:widowControl/>
      <w:adjustRightInd/>
      <w:spacing w:before="100" w:beforeAutospacing="1" w:after="100" w:afterAutospacing="1" w:line="240" w:lineRule="auto"/>
      <w:ind w:left="839" w:hanging="419"/>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AE69AD543B24D7B96031E4FE3E25BA7"/>
        <w:style w:val=""/>
        <w:category>
          <w:name w:val="常规"/>
          <w:gallery w:val="placeholder"/>
        </w:category>
        <w:types>
          <w:type w:val="bbPlcHdr"/>
        </w:types>
        <w:behaviors>
          <w:behavior w:val="content"/>
        </w:behaviors>
        <w:description w:val=""/>
        <w:guid w:val="{AB1D32EC-AD80-46F4-8C2B-AEE91EC4773F}"/>
      </w:docPartPr>
      <w:docPartBody>
        <w:p w14:paraId="4A893D47">
          <w:pPr>
            <w:pStyle w:val="5"/>
            <w:rPr>
              <w:rFonts w:hint="eastAsia"/>
            </w:rPr>
          </w:pPr>
          <w:r>
            <w:rPr>
              <w:rStyle w:val="4"/>
              <w:rFonts w:hint="eastAsia"/>
            </w:rPr>
            <w:t>单击或点击此处输入文字。</w:t>
          </w:r>
        </w:p>
      </w:docPartBody>
    </w:docPart>
    <w:docPart>
      <w:docPartPr>
        <w:name w:val="C8E80A4074B94A51BC72667AFCA65105"/>
        <w:style w:val=""/>
        <w:category>
          <w:name w:val="常规"/>
          <w:gallery w:val="placeholder"/>
        </w:category>
        <w:types>
          <w:type w:val="bbPlcHdr"/>
        </w:types>
        <w:behaviors>
          <w:behavior w:val="content"/>
        </w:behaviors>
        <w:description w:val=""/>
        <w:guid w:val="{04DD0110-E2D0-462D-8A49-EC90CDE810E9}"/>
      </w:docPartPr>
      <w:docPartBody>
        <w:p w14:paraId="5B44FCD0">
          <w:pPr>
            <w:pStyle w:val="6"/>
            <w:rPr>
              <w:rFonts w:hint="eastAsia"/>
            </w:rPr>
          </w:pPr>
          <w:r>
            <w:rPr>
              <w:rStyle w:val="4"/>
              <w:rFonts w:hint="eastAsia"/>
            </w:rPr>
            <w:t>选择一项。</w:t>
          </w:r>
        </w:p>
      </w:docPartBody>
    </w:docPart>
    <w:docPart>
      <w:docPartPr>
        <w:name w:val="0CF4759373D8422B92B5FA732544B29C"/>
        <w:style w:val=""/>
        <w:category>
          <w:name w:val="常规"/>
          <w:gallery w:val="placeholder"/>
        </w:category>
        <w:types>
          <w:type w:val="bbPlcHdr"/>
        </w:types>
        <w:behaviors>
          <w:behavior w:val="content"/>
        </w:behaviors>
        <w:description w:val=""/>
        <w:guid w:val="{53F535BB-C063-4D49-993B-42BC6624F7A9}"/>
      </w:docPartPr>
      <w:docPartBody>
        <w:p w14:paraId="1FB771D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565"/>
    <w:rsid w:val="000A04A1"/>
    <w:rsid w:val="002E0565"/>
    <w:rsid w:val="005147BA"/>
    <w:rsid w:val="00591EFA"/>
    <w:rsid w:val="00722CA5"/>
    <w:rsid w:val="00836540"/>
    <w:rsid w:val="009B03BA"/>
    <w:rsid w:val="00DD5C54"/>
    <w:rsid w:val="00DE1FEA"/>
    <w:rsid w:val="00F26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AE69AD543B24D7B96031E4FE3E25BA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8E80A4074B94A51BC72667AFCA6510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0CF4759373D8422B92B5FA732544B29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3428</Words>
  <Characters>3835</Characters>
  <Lines>36</Lines>
  <Paragraphs>10</Paragraphs>
  <TotalTime>0</TotalTime>
  <ScaleCrop>false</ScaleCrop>
  <LinksUpToDate>false</LinksUpToDate>
  <CharactersWithSpaces>3932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2019-03-19T05:25:00Z</dcterms:created>
  <dc:creator>Administrator</dc:creator>
  <dc:description>&lt;config cover="true" show_menu="true" version="1.0.0" doctype="SDKXY"&gt;_x000d_
&lt;/config&gt;</dc:description>
  <cp:lastModifiedBy>Administrator</cp:lastModifiedBy>
  <cp:lastPrinted>2020-08-30T10:00:00Z</cp:lastPrinted>
  <dcterms:modified xsi:type="dcterms:W3CDTF">2024-12-25T02:55:34Z</dcterms:modified>
  <dc:title>地方标准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10BBAD0E999C4BF8AD33A6A9EE8F1E96_12</vt:lpwstr>
  </property>
</Properties>
</file>