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11</w:t>
            </w:r>
            <w:r>
              <w:fldChar w:fldCharType="end"/>
            </w:r>
            <w:bookmarkEnd w:id="3"/>
          </w:p>
        </w:tc>
      </w:tr>
    </w:tbl>
    <w:p>
      <w:pPr>
        <w:pStyle w:val="53"/>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北京市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rPr>
          <w:lang w:val="fr-FR"/>
        </w:rPr>
      </w:pPr>
      <w:r>
        <w:rPr>
          <w:lang w:val="fr-FR"/>
        </w:rPr>
        <w:t>DB</w:t>
      </w:r>
      <w:r>
        <w:fldChar w:fldCharType="begin">
          <w:ffData>
            <w:name w:val="文字1"/>
            <w:enabled/>
            <w:calcOnExit w:val="0"/>
            <w:textInput>
              <w:default w:val="11/T"/>
            </w:textInput>
          </w:ffData>
        </w:fldChar>
      </w:r>
      <w:r>
        <w:instrText xml:space="preserve"> </w:instrText>
      </w:r>
      <w:bookmarkStart w:id="5" w:name="文字1"/>
      <w:r>
        <w:instrText xml:space="preserve">FORMTEXT </w:instrText>
      </w:r>
      <w:r>
        <w:fldChar w:fldCharType="separate"/>
      </w:r>
      <w:r>
        <w:t>11/T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3"/>
        <w:framePr w:w="9639" w:h="6976" w:hRule="exact" w:hSpace="0" w:vSpace="0"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城镇供水服务规范</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 for Urban Water Supply Service</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7"/>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y="15027"/>
        <w:rPr>
          <w:rFonts w:hAnsi="黑体"/>
        </w:rPr>
      </w:pPr>
      <w:r>
        <w:rPr>
          <w:rFonts w:hAnsi="黑体"/>
          <w:w w:val="100"/>
          <w:sz w:val="28"/>
        </w:rPr>
        <w:fldChar w:fldCharType="begin">
          <w:ffData>
            <w:name w:val="fm"/>
            <w:enabled/>
            <w:calcOnExit w:val="0"/>
            <w:textInput>
              <w:default w:val="北京市市场监督管理局"/>
            </w:textInput>
          </w:ffData>
        </w:fldChar>
      </w:r>
      <w:r>
        <w:rPr>
          <w:rFonts w:hAnsi="黑体"/>
          <w:w w:val="100"/>
          <w:sz w:val="28"/>
        </w:rPr>
        <w:instrText xml:space="preserve"> </w:instrText>
      </w:r>
      <w:bookmarkStart w:id="20" w:name="fm"/>
      <w:r>
        <w:rPr>
          <w:rFonts w:hAnsi="黑体"/>
          <w:w w:val="100"/>
          <w:sz w:val="28"/>
        </w:rPr>
        <w:instrText xml:space="preserve">FORMTEXT </w:instrText>
      </w:r>
      <w:r>
        <w:rPr>
          <w:rFonts w:hAnsi="黑体"/>
          <w:w w:val="100"/>
          <w:sz w:val="28"/>
        </w:rPr>
        <w:fldChar w:fldCharType="separate"/>
      </w:r>
      <w:r>
        <w:rPr>
          <w:rFonts w:hAnsi="黑体"/>
          <w:w w:val="100"/>
          <w:sz w:val="28"/>
        </w:rPr>
        <w:t>北京市市场监督管理局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r>
        <w:rPr>
          <w:rFonts w:hint="eastAsia" w:ascii="宋体" w:hAnsi="宋体"/>
          <w:sz w:val="28"/>
          <w:szCs w:val="28"/>
        </w:rPr>
        <w:t xml:space="preserve"> </w:t>
      </w:r>
    </w:p>
    <w:p>
      <w:pPr>
        <w:pStyle w:val="94"/>
        <w:spacing w:after="468"/>
      </w:pPr>
      <w:bookmarkStart w:id="21" w:name="BookMark1"/>
      <w:bookmarkStart w:id="22" w:name="_Toc191565399"/>
      <w:r>
        <w:rPr>
          <w:rFonts w:hint="eastAsia"/>
          <w:spacing w:val="320"/>
        </w:rPr>
        <w:t>目</w:t>
      </w:r>
      <w:r>
        <w:rPr>
          <w:rFonts w:hint="eastAsia"/>
        </w:rPr>
        <w:t>次</w:t>
      </w:r>
    </w:p>
    <w:p>
      <w:pPr>
        <w:pStyle w:val="20"/>
        <w:tabs>
          <w:tab w:val="right" w:leader="dot" w:pos="9344"/>
        </w:tabs>
        <w:spacing w:after="0"/>
        <w:rPr>
          <w:rStyle w:val="34"/>
        </w:rPr>
      </w:pPr>
      <w:r>
        <w:rPr>
          <w:rStyle w:val="34"/>
        </w:rPr>
        <w:fldChar w:fldCharType="begin"/>
      </w:r>
      <w:r>
        <w:rPr>
          <w:rStyle w:val="34"/>
        </w:rPr>
        <w:instrText xml:space="preserve"> TOC \o "1-1" \h </w:instrText>
      </w:r>
      <w:r>
        <w:rPr>
          <w:rStyle w:val="34"/>
        </w:rPr>
        <w:fldChar w:fldCharType="separate"/>
      </w:r>
      <w:r>
        <w:rPr>
          <w:rStyle w:val="34"/>
        </w:rPr>
        <w:fldChar w:fldCharType="begin"/>
      </w:r>
      <w:r>
        <w:rPr>
          <w:rStyle w:val="34"/>
        </w:rPr>
        <w:instrText xml:space="preserve"> HYPERLINK \l "_Toc191565507" </w:instrText>
      </w:r>
      <w:r>
        <w:rPr>
          <w:rStyle w:val="34"/>
        </w:rPr>
        <w:fldChar w:fldCharType="separate"/>
      </w:r>
      <w:r>
        <w:rPr>
          <w:rStyle w:val="34"/>
        </w:rPr>
        <w:t>前言</w:t>
      </w:r>
      <w:r>
        <w:rPr>
          <w:rStyle w:val="34"/>
        </w:rPr>
        <w:tab/>
      </w:r>
      <w:r>
        <w:rPr>
          <w:rStyle w:val="34"/>
        </w:rPr>
        <w:fldChar w:fldCharType="begin"/>
      </w:r>
      <w:r>
        <w:rPr>
          <w:rStyle w:val="34"/>
        </w:rPr>
        <w:instrText xml:space="preserve"> PAGEREF _Toc191565507 \h </w:instrText>
      </w:r>
      <w:r>
        <w:rPr>
          <w:rStyle w:val="34"/>
        </w:rPr>
        <w:fldChar w:fldCharType="separate"/>
      </w:r>
      <w:r>
        <w:rPr>
          <w:rStyle w:val="34"/>
        </w:rPr>
        <w:t xml:space="preserve"> </w:t>
      </w:r>
      <w:r>
        <w:rPr>
          <w:rStyle w:val="34"/>
        </w:rPr>
        <w:fldChar w:fldCharType="end"/>
      </w:r>
      <w:r>
        <w:rPr>
          <w:rStyle w:val="34"/>
        </w:rPr>
        <w:fldChar w:fldCharType="end"/>
      </w:r>
    </w:p>
    <w:p>
      <w:pPr>
        <w:pStyle w:val="20"/>
        <w:tabs>
          <w:tab w:val="right" w:leader="dot" w:pos="9344"/>
        </w:tabs>
        <w:spacing w:after="0"/>
        <w:rPr>
          <w:rStyle w:val="34"/>
        </w:rPr>
      </w:pPr>
      <w:r>
        <w:rPr>
          <w:rStyle w:val="34"/>
        </w:rPr>
        <w:fldChar w:fldCharType="begin"/>
      </w:r>
      <w:r>
        <w:rPr>
          <w:rStyle w:val="34"/>
        </w:rPr>
        <w:instrText xml:space="preserve"> HYPERLINK \l "_Toc191565508" </w:instrText>
      </w:r>
      <w:r>
        <w:rPr>
          <w:rStyle w:val="34"/>
        </w:rPr>
        <w:fldChar w:fldCharType="separate"/>
      </w:r>
      <w:r>
        <w:rPr>
          <w:rStyle w:val="34"/>
        </w:rPr>
        <w:t>1  范围</w:t>
      </w:r>
      <w:r>
        <w:rPr>
          <w:rStyle w:val="34"/>
        </w:rPr>
        <w:tab/>
      </w:r>
      <w:r>
        <w:rPr>
          <w:rStyle w:val="34"/>
        </w:rPr>
        <w:fldChar w:fldCharType="begin"/>
      </w:r>
      <w:r>
        <w:rPr>
          <w:rStyle w:val="34"/>
        </w:rPr>
        <w:instrText xml:space="preserve"> PAGEREF _Toc191565508 \h </w:instrText>
      </w:r>
      <w:r>
        <w:rPr>
          <w:rStyle w:val="34"/>
        </w:rPr>
        <w:fldChar w:fldCharType="separate"/>
      </w:r>
      <w:r>
        <w:rPr>
          <w:rStyle w:val="34"/>
        </w:rPr>
        <w:t>1</w:t>
      </w:r>
      <w:r>
        <w:rPr>
          <w:rStyle w:val="34"/>
        </w:rPr>
        <w:fldChar w:fldCharType="end"/>
      </w:r>
      <w:r>
        <w:rPr>
          <w:rStyle w:val="34"/>
        </w:rPr>
        <w:fldChar w:fldCharType="end"/>
      </w:r>
    </w:p>
    <w:p>
      <w:pPr>
        <w:pStyle w:val="20"/>
        <w:tabs>
          <w:tab w:val="right" w:leader="dot" w:pos="9344"/>
        </w:tabs>
        <w:spacing w:after="0"/>
        <w:rPr>
          <w:rStyle w:val="34"/>
        </w:rPr>
      </w:pPr>
      <w:r>
        <w:rPr>
          <w:rStyle w:val="34"/>
        </w:rPr>
        <w:fldChar w:fldCharType="begin"/>
      </w:r>
      <w:r>
        <w:rPr>
          <w:rStyle w:val="34"/>
        </w:rPr>
        <w:instrText xml:space="preserve"> HYPERLINK \l "_Toc191565509" </w:instrText>
      </w:r>
      <w:r>
        <w:rPr>
          <w:rStyle w:val="34"/>
        </w:rPr>
        <w:fldChar w:fldCharType="separate"/>
      </w:r>
      <w:r>
        <w:rPr>
          <w:rStyle w:val="34"/>
        </w:rPr>
        <w:t>2  规范性引用文件</w:t>
      </w:r>
      <w:r>
        <w:rPr>
          <w:rStyle w:val="34"/>
        </w:rPr>
        <w:tab/>
      </w:r>
      <w:r>
        <w:rPr>
          <w:rStyle w:val="34"/>
        </w:rPr>
        <w:fldChar w:fldCharType="begin"/>
      </w:r>
      <w:r>
        <w:rPr>
          <w:rStyle w:val="34"/>
        </w:rPr>
        <w:instrText xml:space="preserve"> PAGEREF _Toc191565509 \h </w:instrText>
      </w:r>
      <w:r>
        <w:rPr>
          <w:rStyle w:val="34"/>
        </w:rPr>
        <w:fldChar w:fldCharType="separate"/>
      </w:r>
      <w:r>
        <w:rPr>
          <w:rStyle w:val="34"/>
        </w:rPr>
        <w:t>1</w:t>
      </w:r>
      <w:r>
        <w:rPr>
          <w:rStyle w:val="34"/>
        </w:rPr>
        <w:fldChar w:fldCharType="end"/>
      </w:r>
      <w:r>
        <w:rPr>
          <w:rStyle w:val="34"/>
        </w:rPr>
        <w:fldChar w:fldCharType="end"/>
      </w:r>
    </w:p>
    <w:p>
      <w:pPr>
        <w:pStyle w:val="20"/>
        <w:tabs>
          <w:tab w:val="right" w:leader="dot" w:pos="9344"/>
        </w:tabs>
        <w:spacing w:after="0"/>
        <w:rPr>
          <w:rStyle w:val="34"/>
        </w:rPr>
      </w:pPr>
      <w:r>
        <w:rPr>
          <w:rStyle w:val="34"/>
        </w:rPr>
        <w:fldChar w:fldCharType="begin"/>
      </w:r>
      <w:r>
        <w:rPr>
          <w:rStyle w:val="34"/>
        </w:rPr>
        <w:instrText xml:space="preserve"> HYPERLINK \l "_Toc191565510" </w:instrText>
      </w:r>
      <w:r>
        <w:rPr>
          <w:rStyle w:val="34"/>
        </w:rPr>
        <w:fldChar w:fldCharType="separate"/>
      </w:r>
      <w:r>
        <w:rPr>
          <w:rStyle w:val="34"/>
        </w:rPr>
        <w:t>3  术语和定义</w:t>
      </w:r>
      <w:r>
        <w:rPr>
          <w:rStyle w:val="34"/>
        </w:rPr>
        <w:tab/>
      </w:r>
      <w:r>
        <w:rPr>
          <w:rStyle w:val="34"/>
        </w:rPr>
        <w:fldChar w:fldCharType="begin"/>
      </w:r>
      <w:r>
        <w:rPr>
          <w:rStyle w:val="34"/>
        </w:rPr>
        <w:instrText xml:space="preserve"> PAGEREF _Toc191565510 \h </w:instrText>
      </w:r>
      <w:r>
        <w:rPr>
          <w:rStyle w:val="34"/>
        </w:rPr>
        <w:fldChar w:fldCharType="separate"/>
      </w:r>
      <w:r>
        <w:rPr>
          <w:rStyle w:val="34"/>
        </w:rPr>
        <w:t>1</w:t>
      </w:r>
      <w:r>
        <w:rPr>
          <w:rStyle w:val="34"/>
        </w:rPr>
        <w:fldChar w:fldCharType="end"/>
      </w:r>
      <w:r>
        <w:rPr>
          <w:rStyle w:val="34"/>
        </w:rPr>
        <w:fldChar w:fldCharType="end"/>
      </w:r>
    </w:p>
    <w:p>
      <w:pPr>
        <w:pStyle w:val="20"/>
        <w:tabs>
          <w:tab w:val="right" w:leader="dot" w:pos="9344"/>
        </w:tabs>
        <w:spacing w:after="0"/>
        <w:rPr>
          <w:rStyle w:val="34"/>
        </w:rPr>
      </w:pPr>
      <w:r>
        <w:rPr>
          <w:rStyle w:val="34"/>
        </w:rPr>
        <w:fldChar w:fldCharType="begin"/>
      </w:r>
      <w:r>
        <w:rPr>
          <w:rStyle w:val="34"/>
        </w:rPr>
        <w:instrText xml:space="preserve"> HYPERLINK \l "_Toc191565511" </w:instrText>
      </w:r>
      <w:r>
        <w:rPr>
          <w:rStyle w:val="34"/>
        </w:rPr>
        <w:fldChar w:fldCharType="separate"/>
      </w:r>
      <w:r>
        <w:rPr>
          <w:rStyle w:val="34"/>
        </w:rPr>
        <w:t>4  总则</w:t>
      </w:r>
      <w:r>
        <w:rPr>
          <w:rStyle w:val="34"/>
        </w:rPr>
        <w:tab/>
      </w:r>
      <w:r>
        <w:rPr>
          <w:rStyle w:val="34"/>
        </w:rPr>
        <w:fldChar w:fldCharType="begin"/>
      </w:r>
      <w:r>
        <w:rPr>
          <w:rStyle w:val="34"/>
        </w:rPr>
        <w:instrText xml:space="preserve"> PAGEREF _Toc191565511 \h </w:instrText>
      </w:r>
      <w:r>
        <w:rPr>
          <w:rStyle w:val="34"/>
        </w:rPr>
        <w:fldChar w:fldCharType="separate"/>
      </w:r>
      <w:r>
        <w:rPr>
          <w:rStyle w:val="34"/>
        </w:rPr>
        <w:t>2</w:t>
      </w:r>
      <w:r>
        <w:rPr>
          <w:rStyle w:val="34"/>
        </w:rPr>
        <w:fldChar w:fldCharType="end"/>
      </w:r>
      <w:r>
        <w:rPr>
          <w:rStyle w:val="34"/>
        </w:rPr>
        <w:fldChar w:fldCharType="end"/>
      </w:r>
    </w:p>
    <w:p>
      <w:pPr>
        <w:pStyle w:val="20"/>
        <w:tabs>
          <w:tab w:val="right" w:leader="dot" w:pos="9344"/>
        </w:tabs>
        <w:spacing w:after="0"/>
        <w:rPr>
          <w:rStyle w:val="34"/>
        </w:rPr>
      </w:pPr>
      <w:r>
        <w:rPr>
          <w:rStyle w:val="34"/>
        </w:rPr>
        <w:fldChar w:fldCharType="begin"/>
      </w:r>
      <w:r>
        <w:rPr>
          <w:rStyle w:val="34"/>
        </w:rPr>
        <w:instrText xml:space="preserve"> HYPERLINK \l "_Toc191565512" </w:instrText>
      </w:r>
      <w:r>
        <w:rPr>
          <w:rStyle w:val="34"/>
        </w:rPr>
        <w:fldChar w:fldCharType="separate"/>
      </w:r>
      <w:r>
        <w:rPr>
          <w:rStyle w:val="34"/>
        </w:rPr>
        <w:t>5  供水质量</w:t>
      </w:r>
      <w:r>
        <w:rPr>
          <w:rStyle w:val="34"/>
        </w:rPr>
        <w:tab/>
      </w:r>
      <w:r>
        <w:rPr>
          <w:rStyle w:val="34"/>
        </w:rPr>
        <w:fldChar w:fldCharType="begin"/>
      </w:r>
      <w:r>
        <w:rPr>
          <w:rStyle w:val="34"/>
        </w:rPr>
        <w:instrText xml:space="preserve"> PAGEREF _Toc191565512 \h </w:instrText>
      </w:r>
      <w:r>
        <w:rPr>
          <w:rStyle w:val="34"/>
        </w:rPr>
        <w:fldChar w:fldCharType="separate"/>
      </w:r>
      <w:r>
        <w:rPr>
          <w:rStyle w:val="34"/>
        </w:rPr>
        <w:t>2</w:t>
      </w:r>
      <w:r>
        <w:rPr>
          <w:rStyle w:val="34"/>
        </w:rPr>
        <w:fldChar w:fldCharType="end"/>
      </w:r>
      <w:r>
        <w:rPr>
          <w:rStyle w:val="34"/>
        </w:rPr>
        <w:fldChar w:fldCharType="end"/>
      </w:r>
    </w:p>
    <w:p>
      <w:pPr>
        <w:pStyle w:val="20"/>
        <w:tabs>
          <w:tab w:val="right" w:leader="dot" w:pos="9344"/>
        </w:tabs>
        <w:spacing w:after="0"/>
        <w:rPr>
          <w:rStyle w:val="34"/>
        </w:rPr>
      </w:pPr>
      <w:r>
        <w:rPr>
          <w:rStyle w:val="34"/>
        </w:rPr>
        <w:fldChar w:fldCharType="begin"/>
      </w:r>
      <w:r>
        <w:rPr>
          <w:rStyle w:val="34"/>
        </w:rPr>
        <w:instrText xml:space="preserve"> HYPERLINK \l "_Toc191565513" </w:instrText>
      </w:r>
      <w:r>
        <w:rPr>
          <w:rStyle w:val="34"/>
        </w:rPr>
        <w:fldChar w:fldCharType="separate"/>
      </w:r>
      <w:r>
        <w:rPr>
          <w:rStyle w:val="34"/>
        </w:rPr>
        <w:t>6  服务要求</w:t>
      </w:r>
      <w:r>
        <w:rPr>
          <w:rStyle w:val="34"/>
        </w:rPr>
        <w:tab/>
      </w:r>
      <w:r>
        <w:rPr>
          <w:rStyle w:val="34"/>
        </w:rPr>
        <w:fldChar w:fldCharType="begin"/>
      </w:r>
      <w:r>
        <w:rPr>
          <w:rStyle w:val="34"/>
        </w:rPr>
        <w:instrText xml:space="preserve"> PAGEREF _Toc191565513 \h </w:instrText>
      </w:r>
      <w:r>
        <w:rPr>
          <w:rStyle w:val="34"/>
        </w:rPr>
        <w:fldChar w:fldCharType="separate"/>
      </w:r>
      <w:r>
        <w:rPr>
          <w:rStyle w:val="34"/>
        </w:rPr>
        <w:t>3</w:t>
      </w:r>
      <w:r>
        <w:rPr>
          <w:rStyle w:val="34"/>
        </w:rPr>
        <w:fldChar w:fldCharType="end"/>
      </w:r>
      <w:r>
        <w:rPr>
          <w:rStyle w:val="34"/>
        </w:rPr>
        <w:fldChar w:fldCharType="end"/>
      </w:r>
    </w:p>
    <w:p>
      <w:pPr>
        <w:pStyle w:val="20"/>
        <w:tabs>
          <w:tab w:val="right" w:leader="dot" w:pos="9344"/>
        </w:tabs>
        <w:spacing w:after="0"/>
        <w:rPr>
          <w:rStyle w:val="34"/>
        </w:rPr>
      </w:pPr>
      <w:r>
        <w:rPr>
          <w:rStyle w:val="34"/>
        </w:rPr>
        <w:fldChar w:fldCharType="begin"/>
      </w:r>
      <w:r>
        <w:rPr>
          <w:rStyle w:val="34"/>
        </w:rPr>
        <w:instrText xml:space="preserve"> HYPERLINK \l "_Toc191565514" </w:instrText>
      </w:r>
      <w:r>
        <w:rPr>
          <w:rStyle w:val="34"/>
        </w:rPr>
        <w:fldChar w:fldCharType="separate"/>
      </w:r>
      <w:r>
        <w:rPr>
          <w:rStyle w:val="34"/>
        </w:rPr>
        <w:t>7  应急处置</w:t>
      </w:r>
      <w:r>
        <w:rPr>
          <w:rStyle w:val="34"/>
        </w:rPr>
        <w:tab/>
      </w:r>
      <w:r>
        <w:rPr>
          <w:rStyle w:val="34"/>
        </w:rPr>
        <w:fldChar w:fldCharType="begin"/>
      </w:r>
      <w:r>
        <w:rPr>
          <w:rStyle w:val="34"/>
        </w:rPr>
        <w:instrText xml:space="preserve"> PAGEREF _Toc191565514 \h </w:instrText>
      </w:r>
      <w:r>
        <w:rPr>
          <w:rStyle w:val="34"/>
        </w:rPr>
        <w:fldChar w:fldCharType="separate"/>
      </w:r>
      <w:r>
        <w:rPr>
          <w:rStyle w:val="34"/>
        </w:rPr>
        <w:t>5</w:t>
      </w:r>
      <w:r>
        <w:rPr>
          <w:rStyle w:val="34"/>
        </w:rPr>
        <w:fldChar w:fldCharType="end"/>
      </w:r>
      <w:r>
        <w:rPr>
          <w:rStyle w:val="34"/>
        </w:rPr>
        <w:fldChar w:fldCharType="end"/>
      </w:r>
    </w:p>
    <w:p>
      <w:pPr>
        <w:pStyle w:val="20"/>
        <w:tabs>
          <w:tab w:val="right" w:leader="dot" w:pos="9344"/>
        </w:tabs>
        <w:spacing w:after="0"/>
        <w:rPr>
          <w:rStyle w:val="34"/>
        </w:rPr>
      </w:pPr>
      <w:r>
        <w:rPr>
          <w:rStyle w:val="34"/>
        </w:rPr>
        <w:fldChar w:fldCharType="begin"/>
      </w:r>
      <w:r>
        <w:rPr>
          <w:rStyle w:val="34"/>
        </w:rPr>
        <w:instrText xml:space="preserve"> HYPERLINK \l "_Toc191565515" </w:instrText>
      </w:r>
      <w:r>
        <w:rPr>
          <w:rStyle w:val="34"/>
        </w:rPr>
        <w:fldChar w:fldCharType="separate"/>
      </w:r>
      <w:r>
        <w:rPr>
          <w:rStyle w:val="34"/>
        </w:rPr>
        <w:t>8  信息公开</w:t>
      </w:r>
      <w:r>
        <w:rPr>
          <w:rStyle w:val="34"/>
        </w:rPr>
        <w:tab/>
      </w:r>
      <w:r>
        <w:rPr>
          <w:rStyle w:val="34"/>
        </w:rPr>
        <w:fldChar w:fldCharType="begin"/>
      </w:r>
      <w:r>
        <w:rPr>
          <w:rStyle w:val="34"/>
        </w:rPr>
        <w:instrText xml:space="preserve"> PAGEREF _Toc191565515 \h </w:instrText>
      </w:r>
      <w:r>
        <w:rPr>
          <w:rStyle w:val="34"/>
        </w:rPr>
        <w:fldChar w:fldCharType="separate"/>
      </w:r>
      <w:r>
        <w:rPr>
          <w:rStyle w:val="34"/>
        </w:rPr>
        <w:t>5</w:t>
      </w:r>
      <w:r>
        <w:rPr>
          <w:rStyle w:val="34"/>
        </w:rPr>
        <w:fldChar w:fldCharType="end"/>
      </w:r>
      <w:r>
        <w:rPr>
          <w:rStyle w:val="34"/>
        </w:rPr>
        <w:fldChar w:fldCharType="end"/>
      </w:r>
    </w:p>
    <w:p>
      <w:pPr>
        <w:pStyle w:val="20"/>
        <w:tabs>
          <w:tab w:val="right" w:leader="dot" w:pos="9344"/>
        </w:tabs>
        <w:spacing w:after="0"/>
        <w:rPr>
          <w:rStyle w:val="34"/>
        </w:rPr>
      </w:pPr>
      <w:r>
        <w:rPr>
          <w:rStyle w:val="34"/>
        </w:rPr>
        <w:fldChar w:fldCharType="begin"/>
      </w:r>
      <w:r>
        <w:rPr>
          <w:rStyle w:val="34"/>
        </w:rPr>
        <w:instrText xml:space="preserve"> HYPERLINK \l "_Toc191565516" </w:instrText>
      </w:r>
      <w:r>
        <w:rPr>
          <w:rStyle w:val="34"/>
        </w:rPr>
        <w:fldChar w:fldCharType="separate"/>
      </w:r>
      <w:r>
        <w:rPr>
          <w:rStyle w:val="34"/>
        </w:rPr>
        <w:t>9  服务质量评价</w:t>
      </w:r>
      <w:r>
        <w:rPr>
          <w:rStyle w:val="34"/>
        </w:rPr>
        <w:tab/>
      </w:r>
      <w:r>
        <w:rPr>
          <w:rStyle w:val="34"/>
        </w:rPr>
        <w:fldChar w:fldCharType="begin"/>
      </w:r>
      <w:r>
        <w:rPr>
          <w:rStyle w:val="34"/>
        </w:rPr>
        <w:instrText xml:space="preserve"> PAGEREF _Toc191565516 \h </w:instrText>
      </w:r>
      <w:r>
        <w:rPr>
          <w:rStyle w:val="34"/>
        </w:rPr>
        <w:fldChar w:fldCharType="separate"/>
      </w:r>
      <w:r>
        <w:rPr>
          <w:rStyle w:val="34"/>
        </w:rPr>
        <w:t>6</w:t>
      </w:r>
      <w:r>
        <w:rPr>
          <w:rStyle w:val="34"/>
        </w:rPr>
        <w:fldChar w:fldCharType="end"/>
      </w:r>
      <w:r>
        <w:rPr>
          <w:rStyle w:val="34"/>
        </w:rPr>
        <w:fldChar w:fldCharType="end"/>
      </w:r>
    </w:p>
    <w:p>
      <w:pPr>
        <w:pStyle w:val="20"/>
        <w:tabs>
          <w:tab w:val="right" w:leader="dot" w:pos="9344"/>
        </w:tabs>
        <w:spacing w:after="0"/>
        <w:rPr>
          <w:rStyle w:val="34"/>
        </w:rPr>
      </w:pPr>
      <w:r>
        <w:rPr>
          <w:rStyle w:val="34"/>
        </w:rPr>
        <w:fldChar w:fldCharType="begin"/>
      </w:r>
      <w:r>
        <w:rPr>
          <w:rStyle w:val="34"/>
        </w:rPr>
        <w:instrText xml:space="preserve"> HYPERLINK \l "_Toc191565517" </w:instrText>
      </w:r>
      <w:r>
        <w:rPr>
          <w:rStyle w:val="34"/>
        </w:rPr>
        <w:fldChar w:fldCharType="separate"/>
      </w:r>
      <w:r>
        <w:rPr>
          <w:rStyle w:val="34"/>
        </w:rPr>
        <w:t>附录A（规范性）  城镇公共供水单位水质检测项目及频率</w:t>
      </w:r>
      <w:r>
        <w:rPr>
          <w:rStyle w:val="34"/>
        </w:rPr>
        <w:tab/>
      </w:r>
      <w:r>
        <w:rPr>
          <w:rStyle w:val="34"/>
        </w:rPr>
        <w:fldChar w:fldCharType="begin"/>
      </w:r>
      <w:r>
        <w:rPr>
          <w:rStyle w:val="34"/>
        </w:rPr>
        <w:instrText xml:space="preserve"> PAGEREF _Toc191565517 \h </w:instrText>
      </w:r>
      <w:r>
        <w:rPr>
          <w:rStyle w:val="34"/>
        </w:rPr>
        <w:fldChar w:fldCharType="separate"/>
      </w:r>
      <w:r>
        <w:rPr>
          <w:rStyle w:val="34"/>
        </w:rPr>
        <w:t>7</w:t>
      </w:r>
      <w:r>
        <w:rPr>
          <w:rStyle w:val="34"/>
        </w:rPr>
        <w:fldChar w:fldCharType="end"/>
      </w:r>
      <w:r>
        <w:rPr>
          <w:rStyle w:val="34"/>
        </w:rPr>
        <w:fldChar w:fldCharType="end"/>
      </w:r>
    </w:p>
    <w:p>
      <w:pPr>
        <w:pStyle w:val="20"/>
        <w:tabs>
          <w:tab w:val="right" w:leader="dot" w:pos="9344"/>
        </w:tabs>
        <w:spacing w:after="0"/>
        <w:rPr>
          <w:rStyle w:val="34"/>
        </w:rPr>
      </w:pPr>
      <w:r>
        <w:rPr>
          <w:rStyle w:val="34"/>
        </w:rPr>
        <w:fldChar w:fldCharType="begin"/>
      </w:r>
      <w:r>
        <w:rPr>
          <w:rStyle w:val="34"/>
        </w:rPr>
        <w:instrText xml:space="preserve"> HYPERLINK \l "_Toc191565518" </w:instrText>
      </w:r>
      <w:r>
        <w:rPr>
          <w:rStyle w:val="34"/>
        </w:rPr>
        <w:fldChar w:fldCharType="separate"/>
      </w:r>
      <w:r>
        <w:rPr>
          <w:rStyle w:val="34"/>
        </w:rPr>
        <w:t>附录B（规范性）  城镇公共供水单位服务质量评价指标计算方法</w:t>
      </w:r>
      <w:r>
        <w:rPr>
          <w:rStyle w:val="34"/>
        </w:rPr>
        <w:tab/>
      </w:r>
      <w:r>
        <w:rPr>
          <w:rStyle w:val="34"/>
        </w:rPr>
        <w:fldChar w:fldCharType="begin"/>
      </w:r>
      <w:r>
        <w:rPr>
          <w:rStyle w:val="34"/>
        </w:rPr>
        <w:instrText xml:space="preserve"> PAGEREF _Toc191565518 \h </w:instrText>
      </w:r>
      <w:r>
        <w:rPr>
          <w:rStyle w:val="34"/>
        </w:rPr>
        <w:fldChar w:fldCharType="separate"/>
      </w:r>
      <w:r>
        <w:rPr>
          <w:rStyle w:val="34"/>
        </w:rPr>
        <w:t>8</w:t>
      </w:r>
      <w:r>
        <w:rPr>
          <w:rStyle w:val="34"/>
        </w:rPr>
        <w:fldChar w:fldCharType="end"/>
      </w:r>
      <w:r>
        <w:rPr>
          <w:rStyle w:val="34"/>
        </w:rPr>
        <w:fldChar w:fldCharType="end"/>
      </w:r>
    </w:p>
    <w:p>
      <w:pPr>
        <w:pStyle w:val="20"/>
        <w:tabs>
          <w:tab w:val="right" w:leader="dot" w:pos="9344"/>
        </w:tabs>
        <w:spacing w:after="0"/>
        <w:rPr>
          <w:rStyle w:val="34"/>
        </w:rPr>
      </w:pPr>
      <w:r>
        <w:rPr>
          <w:rStyle w:val="34"/>
        </w:rPr>
        <w:fldChar w:fldCharType="begin"/>
      </w:r>
      <w:r>
        <w:rPr>
          <w:rStyle w:val="34"/>
        </w:rPr>
        <w:instrText xml:space="preserve"> HYPERLINK \l "_Toc191565519" </w:instrText>
      </w:r>
      <w:r>
        <w:rPr>
          <w:rStyle w:val="34"/>
        </w:rPr>
        <w:fldChar w:fldCharType="separate"/>
      </w:r>
      <w:r>
        <w:rPr>
          <w:rStyle w:val="34"/>
        </w:rPr>
        <w:t>附录C（资料性）  城镇公共供水单位服务质量评价主要内容</w:t>
      </w:r>
      <w:r>
        <w:rPr>
          <w:rStyle w:val="34"/>
        </w:rPr>
        <w:tab/>
      </w:r>
      <w:r>
        <w:rPr>
          <w:rStyle w:val="34"/>
        </w:rPr>
        <w:fldChar w:fldCharType="begin"/>
      </w:r>
      <w:r>
        <w:rPr>
          <w:rStyle w:val="34"/>
        </w:rPr>
        <w:instrText xml:space="preserve"> PAGEREF _Toc191565519 \h </w:instrText>
      </w:r>
      <w:r>
        <w:rPr>
          <w:rStyle w:val="34"/>
        </w:rPr>
        <w:fldChar w:fldCharType="separate"/>
      </w:r>
      <w:r>
        <w:rPr>
          <w:rStyle w:val="34"/>
        </w:rPr>
        <w:t>11</w:t>
      </w:r>
      <w:r>
        <w:rPr>
          <w:rStyle w:val="34"/>
        </w:rPr>
        <w:fldChar w:fldCharType="end"/>
      </w:r>
      <w:r>
        <w:rPr>
          <w:rStyle w:val="34"/>
        </w:rPr>
        <w:fldChar w:fldCharType="end"/>
      </w:r>
    </w:p>
    <w:p>
      <w:pPr>
        <w:pStyle w:val="20"/>
        <w:tabs>
          <w:tab w:val="right" w:leader="dot" w:pos="9344"/>
        </w:tabs>
        <w:spacing w:after="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Style w:val="34"/>
        </w:rPr>
        <w:fldChar w:fldCharType="end"/>
      </w:r>
    </w:p>
    <w:bookmarkEnd w:id="21"/>
    <w:p>
      <w:pPr>
        <w:pStyle w:val="92"/>
        <w:spacing w:before="900" w:after="468"/>
      </w:pPr>
      <w:bookmarkStart w:id="23" w:name="_Toc191565507"/>
      <w:bookmarkStart w:id="24" w:name="BookMark2"/>
      <w:r>
        <w:rPr>
          <w:spacing w:val="320"/>
        </w:rPr>
        <w:t>前</w:t>
      </w:r>
      <w:r>
        <w:t>言</w:t>
      </w:r>
      <w:bookmarkEnd w:id="22"/>
      <w:bookmarkEnd w:id="23"/>
    </w:p>
    <w:p>
      <w:pPr>
        <w:pStyle w:val="59"/>
        <w:spacing w:after="0" w:line="240" w:lineRule="auto"/>
        <w:ind w:firstLine="420"/>
      </w:pPr>
      <w:r>
        <w:rPr>
          <w:rFonts w:hint="eastAsia"/>
        </w:rPr>
        <w:t>本文件按照GB/T 1.1—2020《标准化工作导则  第1部分：标准化文件的结构和起草规则》的规定起草。</w:t>
      </w:r>
    </w:p>
    <w:p>
      <w:pPr>
        <w:pStyle w:val="59"/>
        <w:spacing w:after="0" w:line="240" w:lineRule="auto"/>
        <w:ind w:firstLine="420"/>
      </w:pPr>
      <w:r>
        <w:rPr>
          <w:rFonts w:hint="eastAsia"/>
        </w:rPr>
        <w:t>本文件由北京市水务局提出并归口。</w:t>
      </w:r>
    </w:p>
    <w:p>
      <w:pPr>
        <w:pStyle w:val="59"/>
        <w:spacing w:after="0" w:line="240" w:lineRule="auto"/>
        <w:ind w:firstLine="420"/>
      </w:pPr>
      <w:r>
        <w:rPr>
          <w:rFonts w:hint="eastAsia"/>
        </w:rPr>
        <w:t>本文件由北京市水务局组织实施。</w:t>
      </w:r>
    </w:p>
    <w:p>
      <w:pPr>
        <w:pStyle w:val="59"/>
        <w:spacing w:after="0" w:line="240" w:lineRule="auto"/>
        <w:ind w:firstLine="420"/>
      </w:pPr>
      <w:r>
        <w:rPr>
          <w:rFonts w:hint="eastAsia"/>
        </w:rPr>
        <w:t>本文件起草单位：北京市供水管理事务中心、中国标准化研究院等。</w:t>
      </w:r>
    </w:p>
    <w:p>
      <w:pPr>
        <w:pStyle w:val="59"/>
        <w:spacing w:after="0" w:line="240" w:lineRule="auto"/>
        <w:ind w:firstLine="420"/>
      </w:pPr>
      <w:r>
        <w:rPr>
          <w:rFonts w:hint="eastAsia"/>
        </w:rPr>
        <w:t>本文件主要起草人：</w:t>
      </w:r>
      <w:r>
        <w:t xml:space="preserve"> </w:t>
      </w:r>
    </w:p>
    <w:p>
      <w:pPr>
        <w:pStyle w:val="59"/>
        <w:ind w:firstLine="420"/>
      </w:pPr>
    </w:p>
    <w:p>
      <w:pPr>
        <w:pStyle w:val="59"/>
        <w:spacing w:after="0" w:line="240" w:lineRule="auto"/>
        <w:ind w:firstLine="420"/>
        <w:sectPr>
          <w:pgSz w:w="11906" w:h="16838"/>
          <w:pgMar w:top="1928" w:right="1134" w:bottom="1134" w:left="1134" w:header="1418" w:footer="1134" w:gutter="284"/>
          <w:pgNumType w:fmt="upperRoman" w:start="0"/>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7460542A510C4EA3A7FBD7E536A5230A"/>
        </w:placeholder>
      </w:sdtPr>
      <w:sdtContent>
        <w:p>
          <w:pPr>
            <w:pStyle w:val="180"/>
            <w:spacing w:before="312" w:beforeLines="100" w:after="686" w:afterLines="220"/>
          </w:pPr>
          <w:bookmarkStart w:id="26" w:name="NEW_STAND_NAME"/>
          <w:r>
            <w:rPr>
              <w:rFonts w:hint="eastAsia"/>
            </w:rPr>
            <w:t>城镇供水服务规范</w:t>
          </w:r>
        </w:p>
      </w:sdtContent>
    </w:sdt>
    <w:bookmarkEnd w:id="26"/>
    <w:p>
      <w:pPr>
        <w:pStyle w:val="107"/>
        <w:spacing w:before="312" w:after="312"/>
      </w:pPr>
      <w:bookmarkStart w:id="27" w:name="_Toc17233325"/>
      <w:bookmarkStart w:id="28" w:name="_Toc26648465"/>
      <w:bookmarkStart w:id="29" w:name="_Toc191565508"/>
      <w:bookmarkStart w:id="30" w:name="_Toc17233333"/>
      <w:bookmarkStart w:id="31" w:name="_Toc97191423"/>
      <w:bookmarkStart w:id="32" w:name="_Toc26986530"/>
      <w:bookmarkStart w:id="33" w:name="_Toc26986771"/>
      <w:bookmarkStart w:id="34" w:name="_Toc24884211"/>
      <w:bookmarkStart w:id="35" w:name="_Toc26718930"/>
      <w:bookmarkStart w:id="36" w:name="_Toc191565400"/>
      <w:bookmarkStart w:id="37" w:name="_Toc24884218"/>
      <w:r>
        <w:rPr>
          <w:rFonts w:hint="eastAsia"/>
        </w:rPr>
        <w:t>范围</w:t>
      </w:r>
      <w:bookmarkEnd w:id="27"/>
      <w:bookmarkEnd w:id="28"/>
      <w:bookmarkEnd w:id="29"/>
      <w:bookmarkEnd w:id="30"/>
      <w:bookmarkEnd w:id="31"/>
      <w:bookmarkEnd w:id="32"/>
      <w:bookmarkEnd w:id="33"/>
      <w:bookmarkEnd w:id="34"/>
      <w:bookmarkEnd w:id="35"/>
      <w:bookmarkEnd w:id="36"/>
      <w:bookmarkEnd w:id="37"/>
    </w:p>
    <w:p>
      <w:pPr>
        <w:pStyle w:val="59"/>
        <w:ind w:firstLine="420"/>
        <w:rPr>
          <w:rStyle w:val="34"/>
        </w:rPr>
      </w:pPr>
      <w:bookmarkStart w:id="38" w:name="_Toc17233334"/>
      <w:bookmarkStart w:id="39" w:name="_Toc24884212"/>
      <w:bookmarkStart w:id="40" w:name="_Toc17233326"/>
      <w:bookmarkStart w:id="41" w:name="_Toc24884219"/>
      <w:bookmarkStart w:id="42" w:name="_Toc26648466"/>
      <w:r>
        <w:rPr>
          <w:rStyle w:val="34"/>
          <w:rFonts w:hint="eastAsia"/>
        </w:rPr>
        <w:t>本文件规定了城镇公共供水服务的术语和定义，规定了总则、供水质量、服务要求、应急处置、信息公开、服务质量评价等。</w:t>
      </w:r>
    </w:p>
    <w:p>
      <w:pPr>
        <w:pStyle w:val="59"/>
        <w:ind w:firstLine="420"/>
        <w:rPr>
          <w:rStyle w:val="34"/>
        </w:rPr>
      </w:pPr>
      <w:r>
        <w:rPr>
          <w:rStyle w:val="34"/>
          <w:rFonts w:hint="eastAsia"/>
        </w:rPr>
        <w:t>本文件适用于城镇公共供水单位通过公共供水设施向用户提供的供水服务。</w:t>
      </w:r>
    </w:p>
    <w:p>
      <w:pPr>
        <w:pStyle w:val="107"/>
        <w:spacing w:before="312" w:after="312"/>
      </w:pPr>
      <w:bookmarkStart w:id="43" w:name="_Toc191565401"/>
      <w:bookmarkStart w:id="44" w:name="_Toc26986531"/>
      <w:bookmarkStart w:id="45" w:name="_Toc26718931"/>
      <w:bookmarkStart w:id="46" w:name="_Toc97191424"/>
      <w:bookmarkStart w:id="47" w:name="_Toc26986772"/>
      <w:bookmarkStart w:id="48" w:name="_Toc191565509"/>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6B60FF96F75C4EFA9489DA7595E390D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spacing w:after="0" w:line="240" w:lineRule="auto"/>
        <w:ind w:firstLine="420"/>
      </w:pPr>
      <w:r>
        <w:rPr>
          <w:rFonts w:hint="eastAsia"/>
        </w:rPr>
        <w:t>GB/T 778.1  饮用冷水水表和热水水表 第1部分：计量要求和技术要求</w:t>
      </w:r>
    </w:p>
    <w:p>
      <w:pPr>
        <w:pStyle w:val="59"/>
        <w:spacing w:after="0" w:line="240" w:lineRule="auto"/>
        <w:ind w:firstLine="420"/>
      </w:pPr>
      <w:r>
        <w:rPr>
          <w:rFonts w:hint="eastAsia"/>
        </w:rPr>
        <w:t>GB/T 778.5  饮用冷水水表和热水水表 第5部分：安装要求</w:t>
      </w:r>
    </w:p>
    <w:p>
      <w:pPr>
        <w:pStyle w:val="59"/>
        <w:spacing w:after="0" w:line="240" w:lineRule="auto"/>
        <w:ind w:firstLine="420"/>
      </w:pPr>
      <w:r>
        <w:rPr>
          <w:rFonts w:hint="eastAsia"/>
        </w:rPr>
        <w:t>GB 5749  生活饮用水卫生标准</w:t>
      </w:r>
    </w:p>
    <w:p>
      <w:pPr>
        <w:pStyle w:val="59"/>
        <w:spacing w:after="0" w:line="240" w:lineRule="auto"/>
        <w:ind w:firstLine="420"/>
      </w:pPr>
      <w:r>
        <w:rPr>
          <w:rFonts w:hint="eastAsia"/>
        </w:rPr>
        <w:t>GB/T 5750（所有部分）  生活饮用水标准检验方法</w:t>
      </w:r>
    </w:p>
    <w:p>
      <w:pPr>
        <w:pStyle w:val="59"/>
        <w:spacing w:after="0" w:line="240" w:lineRule="auto"/>
        <w:ind w:firstLine="420"/>
      </w:pPr>
      <w:r>
        <w:rPr>
          <w:rFonts w:hint="eastAsia"/>
        </w:rPr>
        <w:t>CJJ/T 182  城镇供水与污水处理化验室技术规范</w:t>
      </w:r>
    </w:p>
    <w:p>
      <w:pPr>
        <w:pStyle w:val="59"/>
        <w:spacing w:after="0" w:line="240" w:lineRule="auto"/>
        <w:ind w:firstLine="420"/>
      </w:pPr>
      <w:r>
        <w:rPr>
          <w:rFonts w:hint="eastAsia"/>
        </w:rPr>
        <w:t>CJJ/T 271 城镇供水水质在线监测技术标准</w:t>
      </w:r>
    </w:p>
    <w:p>
      <w:pPr>
        <w:pStyle w:val="59"/>
        <w:spacing w:after="0" w:line="240" w:lineRule="auto"/>
        <w:ind w:firstLine="420"/>
      </w:pPr>
      <w:r>
        <w:rPr>
          <w:rFonts w:hint="eastAsia"/>
        </w:rPr>
        <w:t>CJ/T 141 城镇供水水质标准检验方法</w:t>
      </w:r>
    </w:p>
    <w:p>
      <w:pPr>
        <w:pStyle w:val="59"/>
        <w:spacing w:after="0" w:line="240" w:lineRule="auto"/>
        <w:ind w:firstLine="420"/>
      </w:pPr>
      <w:r>
        <w:rPr>
          <w:rFonts w:hint="eastAsia"/>
        </w:rPr>
        <w:t>CJ/T 206  城市供水水质标准</w:t>
      </w:r>
    </w:p>
    <w:p>
      <w:pPr>
        <w:pStyle w:val="59"/>
        <w:spacing w:after="0" w:line="240" w:lineRule="auto"/>
        <w:ind w:firstLine="420"/>
      </w:pPr>
      <w:r>
        <w:rPr>
          <w:rFonts w:hint="eastAsia"/>
        </w:rPr>
        <w:t>CJ/T 224  电子远传水表</w:t>
      </w:r>
    </w:p>
    <w:p>
      <w:pPr>
        <w:pStyle w:val="59"/>
        <w:spacing w:after="0" w:line="240" w:lineRule="auto"/>
        <w:ind w:firstLine="420"/>
      </w:pPr>
      <w:r>
        <w:rPr>
          <w:rFonts w:hint="eastAsia"/>
        </w:rPr>
        <w:t>JJG 162  饮用冷水水表</w:t>
      </w:r>
    </w:p>
    <w:p>
      <w:pPr>
        <w:pStyle w:val="107"/>
        <w:spacing w:before="312" w:after="312"/>
      </w:pPr>
      <w:bookmarkStart w:id="49" w:name="_Toc97191425"/>
      <w:bookmarkStart w:id="50" w:name="_Toc191565402"/>
      <w:bookmarkStart w:id="51" w:name="_Toc191565510"/>
      <w:r>
        <w:rPr>
          <w:rFonts w:hint="eastAsia"/>
          <w:szCs w:val="21"/>
        </w:rPr>
        <w:t>术语和定义</w:t>
      </w:r>
      <w:bookmarkEnd w:id="49"/>
      <w:bookmarkEnd w:id="50"/>
      <w:bookmarkEnd w:id="51"/>
    </w:p>
    <w:sdt>
      <w:sdtPr>
        <w:id w:val="-1"/>
        <w:placeholder>
          <w:docPart w:val="98064DDF67E549BA8E1AE94F2EDAB76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52" w:name="_Toc26986532"/>
          <w:bookmarkEnd w:id="52"/>
          <w:r>
            <w:t>GB 5749界定的以及下列术语和定义适用于本文件。</w:t>
          </w:r>
        </w:p>
      </w:sdtContent>
    </w:sdt>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城镇公共供水  urban public water supply</w:t>
      </w:r>
    </w:p>
    <w:p>
      <w:pPr>
        <w:pStyle w:val="59"/>
        <w:ind w:firstLine="420"/>
      </w:pPr>
      <w:r>
        <w:rPr>
          <w:rFonts w:hint="eastAsia"/>
        </w:rPr>
        <w:t>城镇公共供水单位以公共供水管道及其附属设施向城镇生活、生产及公共服务提供用水。</w:t>
      </w:r>
    </w:p>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供水服务  water supply service</w:t>
      </w:r>
    </w:p>
    <w:p>
      <w:pPr>
        <w:pStyle w:val="59"/>
        <w:ind w:firstLine="420"/>
      </w:pPr>
      <w:r>
        <w:rPr>
          <w:rFonts w:hint="eastAsia"/>
        </w:rPr>
        <w:t>城镇公共供水单位提供生活饮用水以及与客户在报装服务、抄表收费、售后服务、投诉处理等过程中接触的活动。</w:t>
      </w:r>
    </w:p>
    <w:p>
      <w:pPr>
        <w:pStyle w:val="59"/>
        <w:ind w:firstLine="420"/>
      </w:pPr>
      <w:r>
        <w:rPr>
          <w:rFonts w:hint="eastAsia"/>
        </w:rPr>
        <w:t>[来源：GB/T 32063-2015，定义3.1，有修改]</w:t>
      </w:r>
    </w:p>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公共供水管网末梢  the end of the public water supply network</w:t>
      </w:r>
    </w:p>
    <w:p>
      <w:pPr>
        <w:pStyle w:val="59"/>
        <w:ind w:firstLine="420"/>
      </w:pPr>
      <w:r>
        <w:rPr>
          <w:rFonts w:hint="eastAsia"/>
        </w:rPr>
        <w:t>受城镇公共供水单位管理的输配水管网的末端。</w:t>
      </w:r>
    </w:p>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管网水  distribution system water</w:t>
      </w:r>
    </w:p>
    <w:p>
      <w:pPr>
        <w:pStyle w:val="59"/>
        <w:ind w:firstLine="420"/>
      </w:pPr>
      <w:r>
        <w:rPr>
          <w:rFonts w:hint="eastAsia"/>
        </w:rPr>
        <w:t>经市政管道系统输配的水。</w:t>
      </w:r>
    </w:p>
    <w:p>
      <w:pPr>
        <w:pStyle w:val="107"/>
        <w:spacing w:before="312" w:after="312"/>
      </w:pPr>
      <w:bookmarkStart w:id="53" w:name="_Toc191565403"/>
      <w:bookmarkStart w:id="54" w:name="_Toc191565511"/>
      <w:r>
        <w:rPr>
          <w:rFonts w:hint="eastAsia"/>
        </w:rPr>
        <w:t>总则</w:t>
      </w:r>
      <w:bookmarkEnd w:id="53"/>
      <w:bookmarkEnd w:id="54"/>
    </w:p>
    <w:p>
      <w:pPr>
        <w:pStyle w:val="165"/>
        <w:rPr>
          <w:highlight w:val="none"/>
        </w:rPr>
      </w:pPr>
      <w:r>
        <w:rPr>
          <w:rFonts w:hint="eastAsia"/>
          <w:highlight w:val="none"/>
        </w:rPr>
        <w:t>城镇公共供水单位应不间断地向用户供水，且具备水质检测，水量和水压监测及应急供水能力。</w:t>
      </w:r>
    </w:p>
    <w:p>
      <w:pPr>
        <w:pStyle w:val="165"/>
      </w:pPr>
      <w:r>
        <w:rPr>
          <w:rFonts w:hint="eastAsia"/>
        </w:rPr>
        <w:t>城镇公共供水单位应建立实体服务网点和网络营业服务平台，并配备服务和技术人员，提供便利的报装、抄表收费、售后、投诉处理、应急处置等服务，宜提供水量异常预警、适老</w:t>
      </w:r>
      <w:bookmarkStart w:id="95" w:name="_GoBack"/>
      <w:bookmarkEnd w:id="95"/>
      <w:r>
        <w:rPr>
          <w:rFonts w:hint="eastAsia"/>
        </w:rPr>
        <w:t>化服务、户内有偿维修等延伸便民服务。</w:t>
      </w:r>
    </w:p>
    <w:p>
      <w:pPr>
        <w:pStyle w:val="165"/>
      </w:pPr>
      <w:r>
        <w:rPr>
          <w:rFonts w:hint="eastAsia"/>
        </w:rPr>
        <w:t>城镇公共供水单位应公开水质、水压、水价，以及业务办理、服务事项、投诉方式等信息。</w:t>
      </w:r>
    </w:p>
    <w:p>
      <w:pPr>
        <w:pStyle w:val="165"/>
      </w:pPr>
      <w:r>
        <w:rPr>
          <w:rFonts w:hint="eastAsia"/>
        </w:rPr>
        <w:t>城镇公共供水单位宜提供一对一预约上门、解答咨询、协助申请、协调施工等各类接水报装服务，提升优化营商环境服务能力。</w:t>
      </w:r>
    </w:p>
    <w:p>
      <w:pPr>
        <w:pStyle w:val="165"/>
      </w:pPr>
      <w:r>
        <w:rPr>
          <w:rFonts w:hint="eastAsia"/>
        </w:rPr>
        <w:t>城镇公共供水单位宜开展智慧化建设，包括智慧水厂、智慧管网、智慧营销、智慧服务等。</w:t>
      </w:r>
    </w:p>
    <w:p>
      <w:pPr>
        <w:pStyle w:val="107"/>
        <w:spacing w:before="312" w:after="312"/>
      </w:pPr>
      <w:bookmarkStart w:id="55" w:name="_Toc191565512"/>
      <w:bookmarkStart w:id="56" w:name="_Toc191565404"/>
      <w:r>
        <w:rPr>
          <w:rFonts w:hint="eastAsia"/>
        </w:rPr>
        <w:t>供水质量</w:t>
      </w:r>
      <w:bookmarkEnd w:id="55"/>
      <w:bookmarkEnd w:id="56"/>
    </w:p>
    <w:p>
      <w:pPr>
        <w:pStyle w:val="108"/>
        <w:spacing w:before="156" w:after="156"/>
      </w:pPr>
      <w:bookmarkStart w:id="57" w:name="_Toc191565405"/>
      <w:r>
        <w:rPr>
          <w:rFonts w:hint="eastAsia"/>
        </w:rPr>
        <w:t>水质</w:t>
      </w:r>
      <w:bookmarkEnd w:id="57"/>
    </w:p>
    <w:p>
      <w:pPr>
        <w:pStyle w:val="168"/>
        <w:ind w:left="0"/>
      </w:pPr>
      <w:r>
        <w:rPr>
          <w:rFonts w:hint="eastAsia"/>
        </w:rPr>
        <w:t>出厂水、管网水、公共供水管网末稍水质应符合GB 5749的规定。</w:t>
      </w:r>
    </w:p>
    <w:p>
      <w:pPr>
        <w:pStyle w:val="168"/>
        <w:ind w:left="0"/>
      </w:pPr>
      <w:r>
        <w:rPr>
          <w:rFonts w:hint="eastAsia"/>
        </w:rPr>
        <w:t>城镇公共供水单位应设置水质化验室。水质化验室的级别划分、仪器配备、检测能力、人员配备应符合CJJ/T 182的规定。</w:t>
      </w:r>
    </w:p>
    <w:p>
      <w:pPr>
        <w:pStyle w:val="168"/>
        <w:ind w:left="0"/>
      </w:pPr>
      <w:r>
        <w:rPr>
          <w:rFonts w:hint="eastAsia"/>
        </w:rPr>
        <w:t>管网水水质采样点的设置和数量应满足CJ/T 206的要求。</w:t>
      </w:r>
    </w:p>
    <w:p>
      <w:pPr>
        <w:pStyle w:val="168"/>
        <w:ind w:left="0"/>
      </w:pPr>
      <w:r>
        <w:rPr>
          <w:rFonts w:hint="eastAsia"/>
        </w:rPr>
        <w:t>公共供水管网末梢水质采样点应覆盖供水服务范围，每个供水厂应至少设置1个公共供水管网末梢水质采样点。</w:t>
      </w:r>
    </w:p>
    <w:p>
      <w:pPr>
        <w:pStyle w:val="168"/>
        <w:ind w:left="0"/>
      </w:pPr>
      <w:r>
        <w:rPr>
          <w:rFonts w:hint="eastAsia"/>
        </w:rPr>
        <w:t>城镇公共供水的水质检验项目和频率应按附录A执行，水质检验方法应符合GB/T 5750（所有部分）、CJ/T 141的规定。采用在线监测时，数据校验应符合CJJ/T 271的规定。出厂水、管网水和公共供水管网末稍水样品达标率应不小于98%。出厂水、管网水和公共供水管网末稍水样品达标率按照公式B.1、B.2和B.3计算。</w:t>
      </w:r>
    </w:p>
    <w:p>
      <w:pPr>
        <w:pStyle w:val="108"/>
        <w:spacing w:before="156" w:after="156"/>
      </w:pPr>
      <w:bookmarkStart w:id="58" w:name="_Toc191565406"/>
      <w:r>
        <w:rPr>
          <w:rFonts w:hint="eastAsia"/>
        </w:rPr>
        <w:t>水量</w:t>
      </w:r>
      <w:bookmarkEnd w:id="58"/>
    </w:p>
    <w:p>
      <w:pPr>
        <w:pStyle w:val="168"/>
        <w:ind w:left="0"/>
      </w:pPr>
      <w:r>
        <w:rPr>
          <w:rFonts w:hint="eastAsia"/>
        </w:rPr>
        <w:t>城镇公共供水单位应建立供水可靠性台账，包含计划停水和抢修停水时长、管径、影响户数等。</w:t>
      </w:r>
    </w:p>
    <w:p>
      <w:pPr>
        <w:pStyle w:val="168"/>
        <w:ind w:left="0"/>
      </w:pPr>
      <w:bookmarkStart w:id="59" w:name="OLE_LINK1"/>
      <w:r>
        <w:rPr>
          <w:rFonts w:hint="eastAsia"/>
        </w:rPr>
        <w:t>城镇公共供水可靠率应不小于95%。</w:t>
      </w:r>
      <w:bookmarkEnd w:id="59"/>
      <w:r>
        <w:rPr>
          <w:rFonts w:hint="eastAsia"/>
        </w:rPr>
        <w:t>城镇公共供水可靠率按照公式B.4进行计算。</w:t>
      </w:r>
    </w:p>
    <w:p>
      <w:pPr>
        <w:pStyle w:val="108"/>
        <w:spacing w:before="156" w:after="156"/>
        <w:rPr>
          <w:highlight w:val="none"/>
        </w:rPr>
      </w:pPr>
      <w:bookmarkStart w:id="60" w:name="_Toc191565407"/>
      <w:r>
        <w:rPr>
          <w:rFonts w:hint="eastAsia"/>
          <w:highlight w:val="none"/>
        </w:rPr>
        <w:t>水压</w:t>
      </w:r>
      <w:bookmarkEnd w:id="60"/>
    </w:p>
    <w:p>
      <w:pPr>
        <w:pStyle w:val="168"/>
        <w:ind w:left="0"/>
      </w:pPr>
      <w:r>
        <w:rPr>
          <w:rFonts w:hint="eastAsia"/>
        </w:rPr>
        <w:t>城镇公共供水管网末梢的供水压力应不小于0.18MPa。</w:t>
      </w:r>
    </w:p>
    <w:p>
      <w:pPr>
        <w:pStyle w:val="168"/>
        <w:ind w:left="0"/>
      </w:pPr>
      <w:r>
        <w:rPr>
          <w:rFonts w:hint="eastAsia"/>
        </w:rPr>
        <w:t>管网压力监测点应根据管网供水服务面积设置，每10km</w:t>
      </w:r>
      <w:r>
        <w:rPr>
          <w:rFonts w:hint="eastAsia"/>
          <w:vertAlign w:val="superscript"/>
        </w:rPr>
        <w:t>2</w:t>
      </w:r>
      <w:r>
        <w:rPr>
          <w:rFonts w:hint="eastAsia"/>
        </w:rPr>
        <w:t>应不少于1个监测点，管网系统测压点总数应不少于3个，在公共供水管网末梢位置宜适当增加监测点。</w:t>
      </w:r>
    </w:p>
    <w:p>
      <w:pPr>
        <w:pStyle w:val="168"/>
        <w:ind w:left="0"/>
      </w:pPr>
      <w:r>
        <w:rPr>
          <w:rFonts w:hint="eastAsia"/>
        </w:rPr>
        <w:t>城镇公共供水管网关键点位和末端增设压力监测点应具有代表性，有条件的宜进行在线压力监测；不宜在线监测的应采用人工压力监测，每月应至少监测和记录一次压力值。</w:t>
      </w:r>
    </w:p>
    <w:p>
      <w:pPr>
        <w:pStyle w:val="168"/>
        <w:ind w:left="0"/>
      </w:pPr>
      <w:r>
        <w:rPr>
          <w:rFonts w:hint="eastAsia"/>
        </w:rPr>
        <w:t>管网压力监测点服务压力合格率应不小于98%。管网服务压力合格率按照公式B.5进行计算。</w:t>
      </w:r>
    </w:p>
    <w:p>
      <w:pPr>
        <w:pStyle w:val="107"/>
        <w:spacing w:before="312" w:after="312"/>
      </w:pPr>
      <w:bookmarkStart w:id="61" w:name="_Toc191565408"/>
      <w:bookmarkStart w:id="62" w:name="_Toc191565513"/>
      <w:r>
        <w:rPr>
          <w:rFonts w:hint="eastAsia"/>
        </w:rPr>
        <w:t>服务要求</w:t>
      </w:r>
      <w:bookmarkEnd w:id="61"/>
      <w:bookmarkEnd w:id="62"/>
    </w:p>
    <w:p>
      <w:pPr>
        <w:pStyle w:val="108"/>
        <w:spacing w:before="156" w:after="156"/>
      </w:pPr>
      <w:bookmarkStart w:id="63" w:name="_Toc191565409"/>
      <w:r>
        <w:rPr>
          <w:rFonts w:hint="eastAsia"/>
        </w:rPr>
        <w:t>服务渠道</w:t>
      </w:r>
      <w:bookmarkEnd w:id="63"/>
    </w:p>
    <w:p>
      <w:pPr>
        <w:pStyle w:val="59"/>
        <w:spacing w:after="0"/>
        <w:ind w:firstLine="420"/>
      </w:pPr>
      <w:r>
        <w:rPr>
          <w:rFonts w:hint="eastAsia"/>
        </w:rPr>
        <w:t>城镇公共供水单位应提供线下和线上服务方式，包括实体营业厅、服务热线、网络营业厅等，用以办理业务和受理咨询投诉。具体满足下列要求：</w:t>
      </w:r>
    </w:p>
    <w:p>
      <w:pPr>
        <w:pStyle w:val="177"/>
        <w:spacing w:after="0"/>
      </w:pPr>
      <w:r>
        <w:rPr>
          <w:rFonts w:hint="eastAsia"/>
        </w:rPr>
        <w:t>实体营业厅应符合下列规定：</w:t>
      </w:r>
    </w:p>
    <w:p>
      <w:pPr>
        <w:pStyle w:val="177"/>
        <w:numPr>
          <w:ilvl w:val="0"/>
          <w:numId w:val="32"/>
        </w:numPr>
        <w:spacing w:after="0"/>
        <w:ind w:left="1702" w:hanging="851"/>
      </w:pPr>
      <w:r>
        <w:rPr>
          <w:rFonts w:hint="eastAsia"/>
        </w:rPr>
        <w:t>设置明显标识牌；</w:t>
      </w:r>
    </w:p>
    <w:p>
      <w:pPr>
        <w:pStyle w:val="177"/>
        <w:numPr>
          <w:ilvl w:val="0"/>
          <w:numId w:val="32"/>
        </w:numPr>
        <w:spacing w:after="0"/>
        <w:ind w:left="1702" w:hanging="851"/>
      </w:pPr>
      <w:r>
        <w:rPr>
          <w:rFonts w:hint="eastAsia"/>
        </w:rPr>
        <w:t>具有足够的等候空间；</w:t>
      </w:r>
    </w:p>
    <w:p>
      <w:pPr>
        <w:pStyle w:val="177"/>
        <w:numPr>
          <w:ilvl w:val="0"/>
          <w:numId w:val="32"/>
        </w:numPr>
        <w:spacing w:after="0"/>
        <w:ind w:left="1702" w:hanging="851"/>
      </w:pPr>
      <w:r>
        <w:rPr>
          <w:rFonts w:hint="eastAsia"/>
        </w:rPr>
        <w:t>设置信息公示和客户评价等服务设施；</w:t>
      </w:r>
    </w:p>
    <w:p>
      <w:pPr>
        <w:pStyle w:val="177"/>
        <w:numPr>
          <w:ilvl w:val="0"/>
          <w:numId w:val="32"/>
        </w:numPr>
        <w:spacing w:after="0"/>
        <w:ind w:left="1702" w:hanging="851"/>
      </w:pPr>
      <w:r>
        <w:rPr>
          <w:rFonts w:hint="eastAsia"/>
        </w:rPr>
        <w:t>宜设置无障碍通道；</w:t>
      </w:r>
    </w:p>
    <w:p>
      <w:pPr>
        <w:pStyle w:val="177"/>
        <w:numPr>
          <w:ilvl w:val="0"/>
          <w:numId w:val="32"/>
        </w:numPr>
        <w:spacing w:after="0"/>
        <w:ind w:left="1702" w:hanging="851"/>
      </w:pPr>
      <w:r>
        <w:rPr>
          <w:rFonts w:hint="eastAsia"/>
        </w:rPr>
        <w:t>保持环境整洁；</w:t>
      </w:r>
    </w:p>
    <w:p>
      <w:pPr>
        <w:pStyle w:val="177"/>
        <w:numPr>
          <w:ilvl w:val="0"/>
          <w:numId w:val="32"/>
        </w:numPr>
        <w:spacing w:after="0"/>
        <w:ind w:left="1702" w:hanging="851"/>
      </w:pPr>
      <w:r>
        <w:rPr>
          <w:rFonts w:hint="eastAsia"/>
        </w:rPr>
        <w:t>一站式受理各类业务，用户办理业务平均等待时间不宜超过20分钟。</w:t>
      </w:r>
    </w:p>
    <w:p>
      <w:pPr>
        <w:pStyle w:val="177"/>
        <w:spacing w:after="0"/>
      </w:pPr>
      <w:r>
        <w:rPr>
          <w:rFonts w:hint="eastAsia"/>
        </w:rPr>
        <w:t>应提供24小时服务热线，智能语音转入人工席端的电话应做到来电20秒内接起。服务热线接通率应不小于90%。服务热线接通率计算按照公式B.6进行计算；</w:t>
      </w:r>
    </w:p>
    <w:p>
      <w:pPr>
        <w:pStyle w:val="108"/>
        <w:spacing w:before="156" w:after="156"/>
      </w:pPr>
      <w:bookmarkStart w:id="64" w:name="_Toc191565410"/>
      <w:r>
        <w:rPr>
          <w:rFonts w:hint="eastAsia"/>
        </w:rPr>
        <w:t>服务人员</w:t>
      </w:r>
      <w:bookmarkEnd w:id="64"/>
    </w:p>
    <w:p>
      <w:pPr>
        <w:pStyle w:val="168"/>
        <w:ind w:left="0"/>
      </w:pPr>
      <w:r>
        <w:rPr>
          <w:rFonts w:hint="eastAsia"/>
        </w:rPr>
        <w:t>在窗口接待、上门服务等过程中与用户接触的服务人员，应着装统一，语言规范，举止文明，态度热情。服务人员应熟悉相关业务，遵守职业规范。</w:t>
      </w:r>
    </w:p>
    <w:p>
      <w:pPr>
        <w:pStyle w:val="168"/>
        <w:ind w:left="0"/>
      </w:pPr>
      <w:r>
        <w:rPr>
          <w:rFonts w:hint="eastAsia"/>
        </w:rPr>
        <w:t>上门服务工作人员应佩戴相关证件。</w:t>
      </w:r>
    </w:p>
    <w:p>
      <w:pPr>
        <w:pStyle w:val="108"/>
        <w:spacing w:before="156" w:after="156"/>
      </w:pPr>
      <w:bookmarkStart w:id="65" w:name="_Toc191565411"/>
      <w:r>
        <w:rPr>
          <w:rFonts w:hint="eastAsia"/>
        </w:rPr>
        <w:t>新装</w:t>
      </w:r>
      <w:bookmarkEnd w:id="65"/>
    </w:p>
    <w:p>
      <w:pPr>
        <w:pStyle w:val="168"/>
        <w:ind w:left="0"/>
      </w:pPr>
      <w:r>
        <w:rPr>
          <w:rFonts w:hint="eastAsia"/>
        </w:rPr>
        <w:t>新装服务包括办理客户新增、扩容、改装及临时用水业务等。</w:t>
      </w:r>
    </w:p>
    <w:p>
      <w:pPr>
        <w:pStyle w:val="168"/>
        <w:ind w:left="0"/>
      </w:pPr>
      <w:r>
        <w:rPr>
          <w:rFonts w:hint="eastAsia"/>
        </w:rPr>
        <w:t>城镇公共供水单位应明确并公开新装服务办理流程及所需材料。</w:t>
      </w:r>
    </w:p>
    <w:p>
      <w:pPr>
        <w:pStyle w:val="168"/>
        <w:ind w:left="0"/>
      </w:pPr>
      <w:r>
        <w:rPr>
          <w:rFonts w:hint="eastAsia"/>
        </w:rPr>
        <w:t>受理用户申请时，材料齐全的，应立即受理；材料不全时，应一次性告知需补充的材料、办理方式等。</w:t>
      </w:r>
    </w:p>
    <w:p>
      <w:pPr>
        <w:pStyle w:val="168"/>
        <w:ind w:left="0"/>
      </w:pPr>
      <w:r>
        <w:rPr>
          <w:rFonts w:hint="eastAsia"/>
        </w:rPr>
        <w:t>城镇公共供水单位应对接市政服务、行政审批等平台，实时汇总工程建设项目信息。</w:t>
      </w:r>
    </w:p>
    <w:p>
      <w:pPr>
        <w:pStyle w:val="108"/>
        <w:spacing w:before="156" w:after="156"/>
      </w:pPr>
      <w:bookmarkStart w:id="66" w:name="_Toc191565412"/>
      <w:r>
        <w:rPr>
          <w:rFonts w:hint="eastAsia"/>
        </w:rPr>
        <w:t>变更报停</w:t>
      </w:r>
      <w:bookmarkEnd w:id="66"/>
    </w:p>
    <w:p>
      <w:pPr>
        <w:pStyle w:val="168"/>
        <w:ind w:left="0"/>
      </w:pPr>
      <w:r>
        <w:rPr>
          <w:rFonts w:hint="eastAsia"/>
        </w:rPr>
        <w:t>城镇公共供水单位应提供更名、过户、用水分类变更等变更业务，以及用水报停业务，明确并公开业务办理流程及所需材料。</w:t>
      </w:r>
    </w:p>
    <w:p>
      <w:pPr>
        <w:pStyle w:val="168"/>
        <w:ind w:left="0"/>
      </w:pPr>
      <w:r>
        <w:rPr>
          <w:rFonts w:hint="eastAsia"/>
        </w:rPr>
        <w:t>变更业务申请且材料齐全的，结清前期水费，过户业务应与用户签署协议。非城镇公共供水单位原因导致未能按时办结的，需及时告知用户。</w:t>
      </w:r>
    </w:p>
    <w:p>
      <w:pPr>
        <w:pStyle w:val="168"/>
        <w:ind w:left="0"/>
      </w:pPr>
      <w:r>
        <w:rPr>
          <w:rFonts w:hint="eastAsia"/>
        </w:rPr>
        <w:t>用水报停申请且材料齐全的，工作人员应抄录水表当前止数，结清相关费用，拆除水表。</w:t>
      </w:r>
    </w:p>
    <w:p>
      <w:pPr>
        <w:pStyle w:val="108"/>
        <w:spacing w:before="156" w:after="156"/>
      </w:pPr>
      <w:bookmarkStart w:id="67" w:name="_Toc191565413"/>
      <w:r>
        <w:rPr>
          <w:rFonts w:hint="eastAsia"/>
        </w:rPr>
        <w:t>抄表收费</w:t>
      </w:r>
      <w:bookmarkEnd w:id="67"/>
    </w:p>
    <w:p>
      <w:pPr>
        <w:pStyle w:val="168"/>
        <w:ind w:left="0"/>
      </w:pPr>
      <w:r>
        <w:rPr>
          <w:rFonts w:hint="eastAsia"/>
        </w:rPr>
        <w:t>城镇公共供水单位应定期抄表，结算水费。其中：</w:t>
      </w:r>
    </w:p>
    <w:p>
      <w:pPr>
        <w:pStyle w:val="177"/>
        <w:numPr>
          <w:ilvl w:val="0"/>
          <w:numId w:val="33"/>
        </w:numPr>
        <w:spacing w:after="0"/>
        <w:ind w:left="850" w:hanging="425"/>
      </w:pPr>
      <w:r>
        <w:rPr>
          <w:rFonts w:hint="eastAsia"/>
        </w:rPr>
        <w:t>居民用户水表抄表周期为2个月，宜不超过3个月，非居民用户水表抄表周期为1个月，宜不超过2个月；</w:t>
      </w:r>
    </w:p>
    <w:p>
      <w:pPr>
        <w:pStyle w:val="177"/>
        <w:numPr>
          <w:ilvl w:val="0"/>
          <w:numId w:val="33"/>
        </w:numPr>
        <w:spacing w:after="0"/>
        <w:ind w:left="850" w:hanging="425"/>
      </w:pPr>
      <w:r>
        <w:rPr>
          <w:rFonts w:hint="eastAsia"/>
        </w:rPr>
        <w:t>上期和当期抄表时间宜不超过5个工作日；</w:t>
      </w:r>
    </w:p>
    <w:p>
      <w:pPr>
        <w:pStyle w:val="177"/>
        <w:numPr>
          <w:ilvl w:val="0"/>
          <w:numId w:val="33"/>
        </w:numPr>
        <w:spacing w:after="0"/>
        <w:ind w:left="850" w:hanging="425"/>
      </w:pPr>
      <w:r>
        <w:rPr>
          <w:rFonts w:hint="eastAsia"/>
        </w:rPr>
        <w:t>依照当期水表水量和物价行政机构核准的水价向用户核算水费；</w:t>
      </w:r>
    </w:p>
    <w:p>
      <w:pPr>
        <w:pStyle w:val="177"/>
        <w:numPr>
          <w:ilvl w:val="0"/>
          <w:numId w:val="33"/>
        </w:numPr>
        <w:spacing w:after="0"/>
        <w:ind w:left="850" w:hanging="425"/>
      </w:pPr>
      <w:r>
        <w:rPr>
          <w:rFonts w:hint="eastAsia"/>
        </w:rPr>
        <w:t>在抄表当期，向用户发送、送达或向用户告知当期用水量和水费信息；</w:t>
      </w:r>
    </w:p>
    <w:p>
      <w:pPr>
        <w:pStyle w:val="177"/>
        <w:numPr>
          <w:ilvl w:val="0"/>
          <w:numId w:val="33"/>
        </w:numPr>
        <w:spacing w:after="0"/>
        <w:ind w:left="850" w:hanging="425"/>
      </w:pPr>
      <w:r>
        <w:rPr>
          <w:rFonts w:hint="eastAsia"/>
        </w:rPr>
        <w:t>更改抄表周期时，应通知用户。</w:t>
      </w:r>
    </w:p>
    <w:p>
      <w:pPr>
        <w:pStyle w:val="168"/>
        <w:ind w:left="0"/>
      </w:pPr>
      <w:r>
        <w:rPr>
          <w:rFonts w:hint="eastAsia"/>
        </w:rPr>
        <w:t>当水表出现故障或因用户原因无法抄见时，应根据上期、同期或水表正常计量抄见后的用水情况合理核算用水量并告知用户。</w:t>
      </w:r>
    </w:p>
    <w:p>
      <w:pPr>
        <w:pStyle w:val="168"/>
        <w:ind w:left="0"/>
      </w:pPr>
      <w:r>
        <w:rPr>
          <w:rFonts w:hint="eastAsia"/>
        </w:rPr>
        <w:t>智能远传水表夜间用水量异常时或连续3天检测到用户水量波动幅度达到上期平均日用水量3倍以上时，城镇公共供水单位宜及时告知用户；机械水表抄表时显示当期水量超过上期用水量2倍时，城镇公共供水单位宜及时告知用户，并协助其核查水表。</w:t>
      </w:r>
    </w:p>
    <w:p>
      <w:pPr>
        <w:pStyle w:val="168"/>
        <w:ind w:left="0"/>
      </w:pPr>
      <w:r>
        <w:rPr>
          <w:rFonts w:hint="eastAsia"/>
        </w:rPr>
        <w:t>抄表人员发现或用户反馈水表故障时，维修人员应在2个工作日内联系用户，并按照约定时间及时检修、更换水表。</w:t>
      </w:r>
    </w:p>
    <w:p>
      <w:pPr>
        <w:pStyle w:val="168"/>
        <w:ind w:left="0"/>
      </w:pPr>
      <w:r>
        <w:rPr>
          <w:rFonts w:hint="eastAsia"/>
        </w:rPr>
        <w:t>更换水表时应更换智能远传水表，水表技术要求与安装应符合GB/T 778.1、GB/T 778.5和CJ/T 224的规定。</w:t>
      </w:r>
    </w:p>
    <w:p>
      <w:pPr>
        <w:pStyle w:val="168"/>
        <w:ind w:left="0"/>
      </w:pPr>
      <w:r>
        <w:rPr>
          <w:rFonts w:hint="eastAsia"/>
        </w:rPr>
        <w:t>水表首次使用时应强制检定，检定周期应符合JJG 162的规定。智能远传水表宜每年实地查验运行状态。</w:t>
      </w:r>
    </w:p>
    <w:p>
      <w:pPr>
        <w:pStyle w:val="168"/>
        <w:ind w:left="0"/>
      </w:pPr>
      <w:r>
        <w:rPr>
          <w:rFonts w:hint="eastAsia"/>
        </w:rPr>
        <w:t xml:space="preserve">综合水表抄见率应不小于95%。综合水表抄见率按照公式B.7进行计算。  </w:t>
      </w:r>
    </w:p>
    <w:p>
      <w:pPr>
        <w:pStyle w:val="168"/>
        <w:ind w:left="0"/>
      </w:pPr>
      <w:r>
        <w:rPr>
          <w:rFonts w:hint="eastAsia"/>
        </w:rPr>
        <w:t>城镇公共供水单位在抄表计费后，应向用户推送电子账单和水费缴费通知单，或在用水地址张贴水费缴费通知单。通知缴费后一个月未缴费的，应发送或张贴催缴水费通知单，进行催缴。</w:t>
      </w:r>
    </w:p>
    <w:p>
      <w:pPr>
        <w:pStyle w:val="168"/>
        <w:ind w:left="0"/>
      </w:pPr>
      <w:r>
        <w:rPr>
          <w:rFonts w:hint="eastAsia"/>
        </w:rPr>
        <w:t>城镇公共供水单位应至少提供服务网点人工收费、银行代收和网络支付等三种水费收取方式。</w:t>
      </w:r>
    </w:p>
    <w:p>
      <w:pPr>
        <w:pStyle w:val="168"/>
        <w:ind w:left="0"/>
      </w:pPr>
      <w:r>
        <w:rPr>
          <w:rFonts w:hint="eastAsia"/>
        </w:rPr>
        <w:t>当多个用户使用同一块水表计量、具有不同用水性质时，城镇公共供水单位应积极推动用户办理单独装表计量，并协助其办理单独装表计量事宜。对于不具备单独装表条件的,可协助其安装二级计量水表，分别计量收费。</w:t>
      </w:r>
    </w:p>
    <w:p>
      <w:pPr>
        <w:pStyle w:val="108"/>
        <w:spacing w:before="156" w:after="156"/>
      </w:pPr>
      <w:bookmarkStart w:id="68" w:name="_Toc191565414"/>
      <w:r>
        <w:rPr>
          <w:rFonts w:hint="eastAsia"/>
        </w:rPr>
        <w:t>停水公告及抢修</w:t>
      </w:r>
      <w:bookmarkEnd w:id="68"/>
    </w:p>
    <w:p>
      <w:pPr>
        <w:pStyle w:val="168"/>
        <w:ind w:left="0"/>
      </w:pPr>
      <w:r>
        <w:rPr>
          <w:rFonts w:hint="eastAsia"/>
        </w:rPr>
        <w:t>对于计划停水，应至少提前24小时通过网站、供水单位应用程序、小区公示栏等渠道向受影响区域的用户发送停水原因、时间、范围及恢复供水时间等停水信息。</w:t>
      </w:r>
    </w:p>
    <w:p>
      <w:pPr>
        <w:pStyle w:val="168"/>
        <w:ind w:left="0"/>
      </w:pPr>
      <w:r>
        <w:rPr>
          <w:rFonts w:hint="eastAsia"/>
        </w:rPr>
        <w:t>计划性停水应避开用水高峰期、重要会议、重要节假日。</w:t>
      </w:r>
    </w:p>
    <w:p>
      <w:pPr>
        <w:pStyle w:val="168"/>
        <w:ind w:left="0"/>
      </w:pPr>
      <w:r>
        <w:rPr>
          <w:rFonts w:hint="eastAsia"/>
        </w:rPr>
        <w:t>对于非计划停水，城镇公共供水单位应在接到事故报告后，向受影响的用户告知停水信息。</w:t>
      </w:r>
    </w:p>
    <w:p>
      <w:pPr>
        <w:pStyle w:val="168"/>
        <w:ind w:left="0"/>
      </w:pPr>
      <w:r>
        <w:rPr>
          <w:rFonts w:hint="eastAsia"/>
        </w:rPr>
        <w:t>无法在预计时间内修复的，应及时将抢修情况及预计延长时间通知受影响的用户。</w:t>
      </w:r>
    </w:p>
    <w:p>
      <w:pPr>
        <w:pStyle w:val="168"/>
        <w:ind w:left="0"/>
      </w:pPr>
      <w:r>
        <w:rPr>
          <w:rFonts w:hint="eastAsia"/>
        </w:rPr>
        <w:t>发生爆管事故时，城镇公共供水单位应在接报后1小时内到达现场处置。抢修时限应符合表1规定。</w:t>
      </w:r>
    </w:p>
    <w:p>
      <w:pPr>
        <w:pStyle w:val="115"/>
        <w:spacing w:before="156" w:after="156"/>
      </w:pPr>
      <w:r>
        <w:rPr>
          <w:rFonts w:hint="eastAsia"/>
        </w:rPr>
        <w:t>突发爆管抢修时限</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pPr>
              <w:pStyle w:val="181"/>
              <w:spacing w:after="0"/>
            </w:pPr>
            <w:r>
              <w:rPr>
                <w:rFonts w:hint="eastAsia"/>
              </w:rPr>
              <w:t>管道直径</w:t>
            </w:r>
          </w:p>
        </w:tc>
        <w:tc>
          <w:tcPr>
            <w:tcW w:w="4667" w:type="dxa"/>
            <w:tcBorders>
              <w:top w:val="single" w:color="auto" w:sz="8" w:space="0"/>
              <w:bottom w:val="single" w:color="auto" w:sz="8" w:space="0"/>
            </w:tcBorders>
            <w:shd w:val="clear" w:color="auto" w:fill="auto"/>
            <w:vAlign w:val="center"/>
          </w:tcPr>
          <w:p>
            <w:pPr>
              <w:pStyle w:val="181"/>
              <w:spacing w:after="0"/>
            </w:pPr>
            <w:r>
              <w:rPr>
                <w:rFonts w:hint="eastAsia"/>
              </w:rPr>
              <w:t>抢修时限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tcPr>
          <w:p>
            <w:pPr>
              <w:pStyle w:val="181"/>
              <w:spacing w:after="0"/>
            </w:pPr>
            <w:r>
              <w:rPr>
                <w:rFonts w:hint="eastAsia"/>
              </w:rPr>
              <w:t>直径≤600mm</w:t>
            </w:r>
          </w:p>
        </w:tc>
        <w:tc>
          <w:tcPr>
            <w:tcW w:w="4667" w:type="dxa"/>
            <w:tcBorders>
              <w:top w:val="single" w:color="auto" w:sz="8" w:space="0"/>
            </w:tcBorders>
            <w:shd w:val="clear" w:color="auto" w:fill="auto"/>
          </w:tcPr>
          <w:p>
            <w:pPr>
              <w:pStyle w:val="181"/>
              <w:spacing w:after="0"/>
            </w:pPr>
            <w:r>
              <w:rPr>
                <w:rFonts w:hint="eastAsia"/>
              </w:rPr>
              <w:t>除特殊情况外，4小时内止水，12小时内恢复供水。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pPr>
              <w:pStyle w:val="181"/>
              <w:spacing w:after="0"/>
            </w:pPr>
            <w:r>
              <w:rPr>
                <w:rFonts w:hint="eastAsia"/>
              </w:rPr>
              <w:t>直径＞600mm</w:t>
            </w:r>
          </w:p>
        </w:tc>
        <w:tc>
          <w:tcPr>
            <w:tcW w:w="4667" w:type="dxa"/>
            <w:shd w:val="clear" w:color="auto" w:fill="auto"/>
          </w:tcPr>
          <w:p>
            <w:pPr>
              <w:pStyle w:val="181"/>
              <w:spacing w:after="0"/>
            </w:pPr>
            <w:r>
              <w:rPr>
                <w:rFonts w:hint="eastAsia"/>
              </w:rPr>
              <w:t>除特殊情况外，4小时内止水，24小时内恢复供水。</w:t>
            </w:r>
          </w:p>
        </w:tc>
      </w:tr>
    </w:tbl>
    <w:p>
      <w:pPr>
        <w:pStyle w:val="168"/>
        <w:ind w:left="0"/>
      </w:pPr>
      <w:r>
        <w:rPr>
          <w:rFonts w:hint="eastAsia"/>
        </w:rPr>
        <w:t>抢修停水超过6小时的，城镇公共供水单位应采用应急供水车等临时供水措施进行应急供水。</w:t>
      </w:r>
    </w:p>
    <w:p>
      <w:pPr>
        <w:pStyle w:val="108"/>
        <w:spacing w:before="156" w:after="156"/>
      </w:pPr>
      <w:bookmarkStart w:id="69" w:name="_Toc191565415"/>
      <w:r>
        <w:rPr>
          <w:rFonts w:hint="eastAsia"/>
        </w:rPr>
        <w:t>诉求处理</w:t>
      </w:r>
      <w:bookmarkEnd w:id="69"/>
    </w:p>
    <w:p>
      <w:pPr>
        <w:pStyle w:val="168"/>
        <w:ind w:left="0"/>
      </w:pPr>
      <w:r>
        <w:rPr>
          <w:rFonts w:hint="eastAsia"/>
        </w:rPr>
        <w:t>城镇公共供水单位应建立用户服务投诉处理机制和用户回访制度。</w:t>
      </w:r>
    </w:p>
    <w:p>
      <w:pPr>
        <w:pStyle w:val="168"/>
        <w:ind w:left="0"/>
      </w:pPr>
      <w:r>
        <w:rPr>
          <w:rFonts w:hint="eastAsia"/>
        </w:rPr>
        <w:t>城镇公共供水单位应及时受理和回复用户诉求。对在规定的处理期限内不能解决的，应向用户说明原因，并提出进一步的解决措施和时间；对不属于其服务范围的，应向用户说明。</w:t>
      </w:r>
    </w:p>
    <w:p>
      <w:pPr>
        <w:pStyle w:val="168"/>
        <w:ind w:left="0"/>
      </w:pPr>
      <w:r>
        <w:rPr>
          <w:rFonts w:hint="eastAsia"/>
        </w:rPr>
        <w:t>诉求响应率应不小于99%。诉求响应率按照公式B.8进行计算。</w:t>
      </w:r>
    </w:p>
    <w:p>
      <w:pPr>
        <w:pStyle w:val="168"/>
        <w:ind w:left="0"/>
      </w:pPr>
      <w:r>
        <w:rPr>
          <w:rFonts w:hint="eastAsia"/>
        </w:rPr>
        <w:t>合理诉求解决率应不小于99%。合理诉求解决率按照公式B.9进行计算。</w:t>
      </w:r>
    </w:p>
    <w:p>
      <w:pPr>
        <w:pStyle w:val="168"/>
        <w:ind w:left="0"/>
      </w:pPr>
      <w:r>
        <w:rPr>
          <w:rFonts w:hint="eastAsia"/>
        </w:rPr>
        <w:t>合理诉求满意率应不小于99%。合理诉求满意率按照公式B.10进行计算。</w:t>
      </w:r>
    </w:p>
    <w:p>
      <w:pPr>
        <w:pStyle w:val="107"/>
        <w:spacing w:before="312" w:after="312"/>
      </w:pPr>
      <w:bookmarkStart w:id="70" w:name="_Toc191565514"/>
      <w:bookmarkStart w:id="71" w:name="_Toc191565416"/>
      <w:r>
        <w:rPr>
          <w:rFonts w:hint="eastAsia"/>
        </w:rPr>
        <w:t>应急处置</w:t>
      </w:r>
      <w:bookmarkEnd w:id="70"/>
      <w:bookmarkEnd w:id="71"/>
    </w:p>
    <w:p>
      <w:pPr>
        <w:pStyle w:val="165"/>
      </w:pPr>
      <w:r>
        <w:rPr>
          <w:rFonts w:hint="eastAsia"/>
        </w:rPr>
        <w:t>城镇公共供水单位应建立突发事件应急处理预案。</w:t>
      </w:r>
    </w:p>
    <w:p>
      <w:pPr>
        <w:pStyle w:val="165"/>
      </w:pPr>
      <w:r>
        <w:rPr>
          <w:rFonts w:hint="eastAsia"/>
        </w:rPr>
        <w:t>城镇公共供水单位应定期组织演练，并根据演练结果及时更新预案内容。</w:t>
      </w:r>
    </w:p>
    <w:p>
      <w:pPr>
        <w:pStyle w:val="107"/>
        <w:spacing w:before="312" w:after="312"/>
      </w:pPr>
      <w:bookmarkStart w:id="72" w:name="_Toc191565417"/>
      <w:bookmarkStart w:id="73" w:name="_Toc191565515"/>
      <w:r>
        <w:rPr>
          <w:rFonts w:hint="eastAsia"/>
        </w:rPr>
        <w:t>信息公开</w:t>
      </w:r>
      <w:bookmarkEnd w:id="72"/>
      <w:bookmarkEnd w:id="73"/>
    </w:p>
    <w:p>
      <w:pPr>
        <w:pStyle w:val="165"/>
      </w:pPr>
      <w:r>
        <w:rPr>
          <w:rFonts w:hint="eastAsia"/>
        </w:rPr>
        <w:t>城镇公共供水单位应通过实体营业厅、网络营业厅、服务热线，或宣传手册、用户公示栏等方式和渠道向用户公开供水服务信息。</w:t>
      </w:r>
    </w:p>
    <w:p>
      <w:pPr>
        <w:pStyle w:val="165"/>
      </w:pPr>
      <w:r>
        <w:rPr>
          <w:rFonts w:hint="eastAsia"/>
        </w:rPr>
        <w:t>供水服务信息包括，但不限于：</w:t>
      </w:r>
    </w:p>
    <w:p>
      <w:pPr>
        <w:pStyle w:val="135"/>
        <w:spacing w:after="0"/>
      </w:pPr>
      <w:r>
        <w:rPr>
          <w:rFonts w:hint="eastAsia"/>
        </w:rPr>
        <w:t>服务范围、网点设置、服务承诺、服务标准；</w:t>
      </w:r>
    </w:p>
    <w:p>
      <w:pPr>
        <w:pStyle w:val="135"/>
        <w:spacing w:after="0"/>
      </w:pPr>
      <w:r>
        <w:rPr>
          <w:rFonts w:hint="eastAsia"/>
        </w:rPr>
        <w:t>供水价格、计划性施工停水及恢复供水信息；</w:t>
      </w:r>
    </w:p>
    <w:p>
      <w:pPr>
        <w:pStyle w:val="135"/>
        <w:spacing w:after="0"/>
      </w:pPr>
      <w:r>
        <w:rPr>
          <w:rFonts w:hint="eastAsia"/>
        </w:rPr>
        <w:t>出厂水、管网水、公共供水管网末梢水等水质信息；</w:t>
      </w:r>
    </w:p>
    <w:p>
      <w:pPr>
        <w:pStyle w:val="135"/>
        <w:spacing w:after="0"/>
      </w:pPr>
      <w:r>
        <w:rPr>
          <w:rFonts w:hint="eastAsia"/>
        </w:rPr>
        <w:t>咨询服务、监督投诉电话。</w:t>
      </w:r>
    </w:p>
    <w:p>
      <w:pPr>
        <w:pStyle w:val="165"/>
      </w:pPr>
      <w:r>
        <w:rPr>
          <w:rFonts w:hint="eastAsia"/>
        </w:rPr>
        <w:t>向社会公布的水质信息的检测结果须由具有资质认定的检验机构出具。</w:t>
      </w:r>
    </w:p>
    <w:p>
      <w:pPr>
        <w:pStyle w:val="165"/>
      </w:pPr>
      <w:r>
        <w:rPr>
          <w:rFonts w:hint="eastAsia"/>
        </w:rPr>
        <w:t>供水服务信息内容发生变化时，应及时公开更新的信息。</w:t>
      </w:r>
    </w:p>
    <w:p>
      <w:pPr>
        <w:pStyle w:val="107"/>
        <w:spacing w:before="312" w:after="312"/>
      </w:pPr>
      <w:bookmarkStart w:id="74" w:name="_Toc191565516"/>
      <w:bookmarkStart w:id="75" w:name="_Toc191565418"/>
      <w:r>
        <w:rPr>
          <w:rFonts w:hint="eastAsia"/>
        </w:rPr>
        <w:t>服务质量评价</w:t>
      </w:r>
      <w:bookmarkEnd w:id="74"/>
      <w:bookmarkEnd w:id="75"/>
    </w:p>
    <w:p>
      <w:pPr>
        <w:pStyle w:val="165"/>
      </w:pPr>
      <w:r>
        <w:rPr>
          <w:rFonts w:hint="eastAsia"/>
        </w:rPr>
        <w:t>城镇公共供水单位应建立服务质量评价体系，以及供水服务奖惩管理制度，对评价结果制定相应完善措施。</w:t>
      </w:r>
    </w:p>
    <w:p>
      <w:pPr>
        <w:pStyle w:val="165"/>
      </w:pPr>
      <w:r>
        <w:rPr>
          <w:rFonts w:hint="eastAsia"/>
        </w:rPr>
        <w:t>城镇公共供水单位应每年开展自我服务质量评价，评价结果应向社会公开。</w:t>
      </w:r>
    </w:p>
    <w:p>
      <w:pPr>
        <w:pStyle w:val="165"/>
      </w:pPr>
      <w:r>
        <w:rPr>
          <w:rFonts w:hint="eastAsia"/>
        </w:rPr>
        <w:t>城镇公共供水单位可委托第三方开展用户满意度测评，以及进行服务质量评价。</w:t>
      </w:r>
    </w:p>
    <w:p>
      <w:pPr>
        <w:pStyle w:val="165"/>
      </w:pPr>
      <w:r>
        <w:rPr>
          <w:rFonts w:hint="eastAsia"/>
        </w:rPr>
        <w:t>城镇公共供水单位的服务质量评价主要内容见附录C。</w:t>
      </w:r>
    </w:p>
    <w:p>
      <w:pPr>
        <w:pStyle w:val="168"/>
        <w:numPr>
          <w:ilvl w:val="0"/>
          <w:numId w:val="0"/>
        </w:numPr>
      </w:pPr>
    </w:p>
    <w:p>
      <w:pPr>
        <w:pStyle w:val="59"/>
        <w:ind w:firstLine="420"/>
      </w:pPr>
    </w:p>
    <w:p>
      <w:pPr>
        <w:pStyle w:val="59"/>
        <w:ind w:firstLine="420"/>
      </w:pPr>
    </w:p>
    <w:p>
      <w:pPr>
        <w:pStyle w:val="59"/>
        <w:ind w:firstLine="420"/>
      </w:pPr>
    </w:p>
    <w:p>
      <w:pPr>
        <w:pStyle w:val="59"/>
        <w:ind w:firstLine="420"/>
        <w:sectPr>
          <w:pgSz w:w="11906" w:h="16838"/>
          <w:pgMar w:top="1928" w:right="1134" w:bottom="1134" w:left="1134" w:header="1418" w:footer="1134" w:gutter="284"/>
          <w:pgNumType w:start="1"/>
          <w:cols w:space="425" w:num="1"/>
          <w:formProt w:val="0"/>
          <w:docGrid w:type="lines" w:linePitch="312" w:charSpace="0"/>
        </w:sectPr>
      </w:pPr>
    </w:p>
    <w:bookmarkEnd w:id="25"/>
    <w:p>
      <w:pPr>
        <w:pStyle w:val="201"/>
        <w:rPr>
          <w:vanish w:val="0"/>
        </w:rPr>
      </w:pPr>
      <w:bookmarkStart w:id="76" w:name="BookMark5"/>
    </w:p>
    <w:p>
      <w:pPr>
        <w:pStyle w:val="202"/>
        <w:rPr>
          <w:vanish w:val="0"/>
        </w:rPr>
      </w:pPr>
    </w:p>
    <w:p>
      <w:pPr>
        <w:pStyle w:val="79"/>
        <w:spacing w:after="156"/>
      </w:pPr>
      <w:r>
        <w:br w:type="textWrapping"/>
      </w:r>
      <w:bookmarkStart w:id="77" w:name="_Toc191565517"/>
      <w:bookmarkStart w:id="78" w:name="_Toc191565419"/>
      <w:r>
        <w:rPr>
          <w:rFonts w:hint="eastAsia"/>
        </w:rPr>
        <w:t>（规范性）</w:t>
      </w:r>
      <w:r>
        <w:br w:type="textWrapping"/>
      </w:r>
      <w:r>
        <w:rPr>
          <w:rFonts w:hint="eastAsia"/>
        </w:rPr>
        <w:t>城镇公共供水单位水质检测项目及频率</w:t>
      </w:r>
      <w:bookmarkEnd w:id="77"/>
      <w:bookmarkEnd w:id="78"/>
    </w:p>
    <w:p>
      <w:pPr>
        <w:pStyle w:val="59"/>
        <w:ind w:firstLine="420"/>
      </w:pPr>
      <w:r>
        <w:rPr>
          <w:rFonts w:hint="eastAsia"/>
        </w:rPr>
        <w:t>城镇公共供水单位水质检测项目及频率应符合表A.1的</w:t>
      </w:r>
      <w:r>
        <w:t>规定</w:t>
      </w:r>
      <w:r>
        <w:rPr>
          <w:rFonts w:hint="eastAsia"/>
        </w:rPr>
        <w:t>。</w:t>
      </w:r>
    </w:p>
    <w:p>
      <w:pPr>
        <w:pStyle w:val="80"/>
        <w:spacing w:before="156" w:after="156"/>
      </w:pPr>
      <w:r>
        <w:rPr>
          <w:rFonts w:hint="eastAsia"/>
        </w:rPr>
        <w:t xml:space="preserve">城镇公共供水单位水质检测项目及频率  </w:t>
      </w:r>
    </w:p>
    <w:tbl>
      <w:tblPr>
        <w:tblStyle w:val="29"/>
        <w:tblW w:w="832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59"/>
        <w:gridCol w:w="3626"/>
        <w:gridCol w:w="1313"/>
        <w:gridCol w:w="1314"/>
        <w:gridCol w:w="13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61" w:hRule="atLeast"/>
          <w:tblHeader/>
          <w:jc w:val="center"/>
        </w:trPr>
        <w:tc>
          <w:tcPr>
            <w:tcW w:w="759" w:type="dxa"/>
            <w:vMerge w:val="restart"/>
            <w:tcBorders>
              <w:top w:val="single" w:color="auto" w:sz="8" w:space="0"/>
            </w:tcBorders>
            <w:shd w:val="clear" w:color="auto" w:fill="auto"/>
            <w:vAlign w:val="center"/>
          </w:tcPr>
          <w:p>
            <w:pPr>
              <w:pStyle w:val="181"/>
              <w:spacing w:after="0" w:line="240" w:lineRule="auto"/>
            </w:pPr>
            <w:r>
              <w:rPr>
                <w:rFonts w:hint="eastAsia"/>
              </w:rPr>
              <w:t>水样</w:t>
            </w:r>
          </w:p>
          <w:p>
            <w:pPr>
              <w:pStyle w:val="181"/>
              <w:spacing w:after="0" w:line="240" w:lineRule="auto"/>
            </w:pPr>
            <w:r>
              <w:rPr>
                <w:rFonts w:hint="eastAsia"/>
              </w:rPr>
              <w:t>类型</w:t>
            </w:r>
          </w:p>
        </w:tc>
        <w:tc>
          <w:tcPr>
            <w:tcW w:w="3626" w:type="dxa"/>
            <w:vMerge w:val="restart"/>
            <w:tcBorders>
              <w:top w:val="single" w:color="auto" w:sz="8" w:space="0"/>
            </w:tcBorders>
            <w:shd w:val="clear" w:color="auto" w:fill="auto"/>
            <w:vAlign w:val="center"/>
          </w:tcPr>
          <w:p>
            <w:pPr>
              <w:pStyle w:val="181"/>
              <w:spacing w:after="0" w:line="240" w:lineRule="auto"/>
            </w:pPr>
            <w:r>
              <w:rPr>
                <w:rFonts w:hint="eastAsia"/>
              </w:rPr>
              <w:t>检测项目</w:t>
            </w:r>
          </w:p>
        </w:tc>
        <w:tc>
          <w:tcPr>
            <w:tcW w:w="3941" w:type="dxa"/>
            <w:gridSpan w:val="3"/>
            <w:tcBorders>
              <w:top w:val="single" w:color="auto" w:sz="8" w:space="0"/>
              <w:bottom w:val="single" w:color="auto" w:sz="8" w:space="0"/>
            </w:tcBorders>
            <w:shd w:val="clear" w:color="auto" w:fill="auto"/>
            <w:vAlign w:val="center"/>
          </w:tcPr>
          <w:p>
            <w:pPr>
              <w:pStyle w:val="181"/>
              <w:spacing w:after="0" w:line="240" w:lineRule="auto"/>
            </w:pPr>
            <w:r>
              <w:rPr>
                <w:rFonts w:hint="eastAsia"/>
              </w:rPr>
              <w:t>检测频率</w:t>
            </w:r>
          </w:p>
          <w:p>
            <w:pPr>
              <w:pStyle w:val="181"/>
              <w:spacing w:after="0" w:line="240" w:lineRule="auto"/>
            </w:pPr>
            <w:r>
              <w:rPr>
                <w:rFonts w:hint="eastAsia"/>
              </w:rPr>
              <w:t>（按日供水能力分类，单位为万立方米）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8" w:hRule="atLeast"/>
          <w:tblHeader/>
          <w:jc w:val="center"/>
        </w:trPr>
        <w:tc>
          <w:tcPr>
            <w:tcW w:w="759" w:type="dxa"/>
            <w:vMerge w:val="continue"/>
            <w:shd w:val="clear" w:color="auto" w:fill="auto"/>
            <w:vAlign w:val="center"/>
          </w:tcPr>
          <w:p>
            <w:pPr>
              <w:pStyle w:val="181"/>
              <w:spacing w:after="0" w:line="240" w:lineRule="auto"/>
            </w:pPr>
          </w:p>
        </w:tc>
        <w:tc>
          <w:tcPr>
            <w:tcW w:w="3626" w:type="dxa"/>
            <w:vMerge w:val="continue"/>
            <w:shd w:val="clear" w:color="auto" w:fill="auto"/>
            <w:vAlign w:val="center"/>
          </w:tcPr>
          <w:p>
            <w:pPr>
              <w:pStyle w:val="181"/>
              <w:spacing w:after="0" w:line="240" w:lineRule="auto"/>
            </w:pPr>
          </w:p>
        </w:tc>
        <w:tc>
          <w:tcPr>
            <w:tcW w:w="1313" w:type="dxa"/>
            <w:tcBorders>
              <w:top w:val="single" w:color="auto" w:sz="8" w:space="0"/>
              <w:bottom w:val="single" w:color="auto" w:sz="8" w:space="0"/>
            </w:tcBorders>
            <w:shd w:val="clear" w:color="auto" w:fill="auto"/>
            <w:vAlign w:val="center"/>
          </w:tcPr>
          <w:p>
            <w:pPr>
              <w:pStyle w:val="181"/>
              <w:spacing w:after="0" w:line="240" w:lineRule="auto"/>
            </w:pPr>
            <w:r>
              <w:rPr>
                <w:rFonts w:hint="eastAsia"/>
              </w:rPr>
              <w:t>≥50</w:t>
            </w:r>
          </w:p>
        </w:tc>
        <w:tc>
          <w:tcPr>
            <w:tcW w:w="1314" w:type="dxa"/>
            <w:tcBorders>
              <w:top w:val="single" w:color="auto" w:sz="8" w:space="0"/>
              <w:bottom w:val="single" w:color="auto" w:sz="8" w:space="0"/>
            </w:tcBorders>
            <w:shd w:val="clear" w:color="auto" w:fill="auto"/>
            <w:vAlign w:val="center"/>
          </w:tcPr>
          <w:p>
            <w:pPr>
              <w:pStyle w:val="181"/>
              <w:spacing w:after="0" w:line="240" w:lineRule="auto"/>
            </w:pPr>
            <w:r>
              <w:rPr>
                <w:rFonts w:hint="eastAsia"/>
              </w:rPr>
              <w:t>50</w:t>
            </w:r>
            <w:r>
              <w:rPr>
                <w:rFonts w:ascii="Times New Roman"/>
              </w:rPr>
              <w:t>~</w:t>
            </w:r>
            <w:r>
              <w:rPr>
                <w:rFonts w:hint="eastAsia"/>
              </w:rPr>
              <w:t>10</w:t>
            </w:r>
          </w:p>
        </w:tc>
        <w:tc>
          <w:tcPr>
            <w:tcW w:w="1314" w:type="dxa"/>
            <w:tcBorders>
              <w:top w:val="single" w:color="auto" w:sz="8" w:space="0"/>
              <w:bottom w:val="single" w:color="auto" w:sz="8" w:space="0"/>
            </w:tcBorders>
            <w:shd w:val="clear" w:color="auto" w:fill="auto"/>
            <w:vAlign w:val="center"/>
          </w:tcPr>
          <w:p>
            <w:pPr>
              <w:pStyle w:val="181"/>
              <w:spacing w:after="0" w:line="240" w:lineRule="auto"/>
            </w:pPr>
            <w:r>
              <w:rPr>
                <w:rFonts w:hint="eastAsia"/>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48" w:hRule="atLeast"/>
          <w:jc w:val="center"/>
        </w:trPr>
        <w:tc>
          <w:tcPr>
            <w:tcW w:w="759" w:type="dxa"/>
            <w:vMerge w:val="restart"/>
            <w:tcBorders>
              <w:top w:val="single" w:color="auto" w:sz="8" w:space="0"/>
            </w:tcBorders>
            <w:shd w:val="clear" w:color="auto" w:fill="auto"/>
            <w:vAlign w:val="center"/>
          </w:tcPr>
          <w:p>
            <w:pPr>
              <w:pStyle w:val="181"/>
              <w:spacing w:after="0" w:line="240" w:lineRule="auto"/>
            </w:pPr>
            <w:r>
              <w:rPr>
                <w:rFonts w:hint="eastAsia"/>
              </w:rPr>
              <w:t>出厂水</w:t>
            </w:r>
          </w:p>
        </w:tc>
        <w:tc>
          <w:tcPr>
            <w:tcW w:w="3626" w:type="dxa"/>
            <w:tcBorders>
              <w:top w:val="single" w:color="auto" w:sz="8" w:space="0"/>
            </w:tcBorders>
            <w:shd w:val="clear" w:color="auto" w:fill="auto"/>
            <w:vAlign w:val="center"/>
          </w:tcPr>
          <w:p>
            <w:pPr>
              <w:pStyle w:val="181"/>
              <w:spacing w:after="0" w:line="240" w:lineRule="auto"/>
              <w:jc w:val="both"/>
            </w:pPr>
            <w:r>
              <w:rPr>
                <w:rFonts w:ascii="Times New Roman"/>
                <w:szCs w:val="18"/>
              </w:rPr>
              <w:t>浑浊度、色度、臭和味、肉眼可见物、pH、消毒剂</w:t>
            </w:r>
            <w:r>
              <w:rPr>
                <w:rFonts w:hint="eastAsia" w:ascii="Times New Roman"/>
                <w:szCs w:val="18"/>
              </w:rPr>
              <w:t>指标</w:t>
            </w:r>
            <w:r>
              <w:rPr>
                <w:rFonts w:ascii="Times New Roman"/>
                <w:szCs w:val="18"/>
              </w:rPr>
              <w:t>、菌落总数、总大肠菌群、</w:t>
            </w:r>
            <w:r>
              <w:rPr>
                <w:rFonts w:hint="eastAsia" w:ascii="Times New Roman"/>
                <w:szCs w:val="18"/>
              </w:rPr>
              <w:t>大肠埃希氏菌、</w:t>
            </w:r>
            <w:r>
              <w:rPr>
                <w:rFonts w:ascii="Times New Roman"/>
                <w:szCs w:val="18"/>
              </w:rPr>
              <w:t>高锰酸盐指数（以O</w:t>
            </w:r>
            <w:r>
              <w:rPr>
                <w:rFonts w:ascii="Times New Roman"/>
                <w:szCs w:val="18"/>
                <w:vertAlign w:val="subscript"/>
              </w:rPr>
              <w:t>2</w:t>
            </w:r>
            <w:r>
              <w:rPr>
                <w:rFonts w:ascii="Times New Roman"/>
                <w:szCs w:val="18"/>
              </w:rPr>
              <w:t>计）</w:t>
            </w:r>
          </w:p>
        </w:tc>
        <w:tc>
          <w:tcPr>
            <w:tcW w:w="3941" w:type="dxa"/>
            <w:gridSpan w:val="3"/>
            <w:tcBorders>
              <w:top w:val="single" w:color="auto" w:sz="8" w:space="0"/>
            </w:tcBorders>
            <w:shd w:val="clear" w:color="auto" w:fill="auto"/>
            <w:vAlign w:val="center"/>
          </w:tcPr>
          <w:p>
            <w:pPr>
              <w:pStyle w:val="181"/>
              <w:spacing w:after="0" w:line="240" w:lineRule="auto"/>
            </w:pPr>
            <w:r>
              <w:rPr>
                <w:rFonts w:hint="eastAsia" w:ascii="Times New Roman"/>
                <w:szCs w:val="18"/>
              </w:rPr>
              <w:t>每日1次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9" w:type="dxa"/>
            <w:vMerge w:val="continue"/>
            <w:shd w:val="clear" w:color="auto" w:fill="auto"/>
            <w:vAlign w:val="center"/>
          </w:tcPr>
          <w:p>
            <w:pPr>
              <w:pStyle w:val="181"/>
              <w:spacing w:after="0" w:line="240" w:lineRule="auto"/>
            </w:pPr>
          </w:p>
        </w:tc>
        <w:tc>
          <w:tcPr>
            <w:tcW w:w="3626" w:type="dxa"/>
            <w:shd w:val="clear" w:color="auto" w:fill="auto"/>
            <w:vAlign w:val="center"/>
          </w:tcPr>
          <w:p>
            <w:pPr>
              <w:spacing w:after="0" w:line="240" w:lineRule="auto"/>
            </w:pPr>
            <w:r>
              <w:rPr>
                <w:rFonts w:ascii="Times New Roman" w:hAnsi="Times New Roman"/>
                <w:kern w:val="0"/>
                <w:sz w:val="18"/>
                <w:szCs w:val="18"/>
              </w:rPr>
              <w:t>GB 5749表1</w:t>
            </w:r>
            <w:r>
              <w:rPr>
                <w:rFonts w:hint="eastAsia" w:ascii="Times New Roman" w:hAnsi="Times New Roman"/>
                <w:kern w:val="0"/>
                <w:sz w:val="18"/>
                <w:szCs w:val="18"/>
              </w:rPr>
              <w:t>全部指标</w:t>
            </w:r>
            <w:r>
              <w:rPr>
                <w:rFonts w:ascii="Times New Roman" w:hAnsi="Times New Roman"/>
                <w:kern w:val="0"/>
                <w:sz w:val="18"/>
                <w:szCs w:val="18"/>
              </w:rPr>
              <w:t>、表2全部</w:t>
            </w:r>
            <w:r>
              <w:rPr>
                <w:rFonts w:hint="eastAsia" w:ascii="Times New Roman" w:hAnsi="Times New Roman"/>
                <w:kern w:val="0"/>
                <w:sz w:val="18"/>
                <w:szCs w:val="18"/>
              </w:rPr>
              <w:t>指标</w:t>
            </w:r>
          </w:p>
        </w:tc>
        <w:tc>
          <w:tcPr>
            <w:tcW w:w="3941" w:type="dxa"/>
            <w:gridSpan w:val="3"/>
            <w:shd w:val="clear" w:color="auto" w:fill="auto"/>
            <w:vAlign w:val="center"/>
          </w:tcPr>
          <w:p>
            <w:pPr>
              <w:spacing w:after="0" w:line="240" w:lineRule="auto"/>
              <w:jc w:val="center"/>
              <w:rPr>
                <w:rFonts w:ascii="Times New Roman" w:hAnsi="Times New Roman"/>
                <w:kern w:val="0"/>
                <w:sz w:val="18"/>
                <w:szCs w:val="18"/>
              </w:rPr>
            </w:pPr>
            <w:r>
              <w:rPr>
                <w:rFonts w:hint="eastAsia" w:ascii="Times New Roman" w:hAnsi="Times New Roman"/>
                <w:kern w:val="0"/>
                <w:sz w:val="18"/>
                <w:szCs w:val="18"/>
              </w:rPr>
              <w:t>每月1次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7" w:hRule="atLeast"/>
          <w:jc w:val="center"/>
        </w:trPr>
        <w:tc>
          <w:tcPr>
            <w:tcW w:w="759" w:type="dxa"/>
            <w:vMerge w:val="continue"/>
            <w:shd w:val="clear" w:color="auto" w:fill="auto"/>
            <w:vAlign w:val="center"/>
          </w:tcPr>
          <w:p>
            <w:pPr>
              <w:pStyle w:val="181"/>
              <w:spacing w:after="0" w:line="240" w:lineRule="auto"/>
            </w:pPr>
          </w:p>
        </w:tc>
        <w:tc>
          <w:tcPr>
            <w:tcW w:w="3626" w:type="dxa"/>
            <w:shd w:val="clear" w:color="auto" w:fill="auto"/>
            <w:vAlign w:val="center"/>
          </w:tcPr>
          <w:p>
            <w:pPr>
              <w:spacing w:after="0" w:line="240" w:lineRule="auto"/>
            </w:pPr>
            <w:r>
              <w:rPr>
                <w:rFonts w:ascii="Times New Roman" w:hAnsi="Times New Roman"/>
                <w:kern w:val="0"/>
                <w:sz w:val="18"/>
                <w:szCs w:val="18"/>
              </w:rPr>
              <w:t>GB 5749表3全部</w:t>
            </w:r>
            <w:r>
              <w:rPr>
                <w:rFonts w:hint="eastAsia" w:ascii="Times New Roman" w:hAnsi="Times New Roman"/>
                <w:kern w:val="0"/>
                <w:sz w:val="18"/>
                <w:szCs w:val="18"/>
              </w:rPr>
              <w:t>指标</w:t>
            </w:r>
          </w:p>
        </w:tc>
        <w:tc>
          <w:tcPr>
            <w:tcW w:w="3941" w:type="dxa"/>
            <w:gridSpan w:val="3"/>
            <w:shd w:val="clear" w:color="auto" w:fill="auto"/>
            <w:vAlign w:val="center"/>
          </w:tcPr>
          <w:p>
            <w:pPr>
              <w:snapToGrid w:val="0"/>
              <w:spacing w:after="0" w:line="240" w:lineRule="auto"/>
              <w:jc w:val="center"/>
              <w:rPr>
                <w:rFonts w:ascii="Times New Roman" w:hAnsi="Times New Roman"/>
                <w:kern w:val="0"/>
                <w:sz w:val="18"/>
                <w:szCs w:val="18"/>
              </w:rPr>
            </w:pPr>
            <w:r>
              <w:rPr>
                <w:rFonts w:hint="eastAsia" w:ascii="Times New Roman" w:hAnsi="Times New Roman"/>
                <w:kern w:val="0"/>
                <w:sz w:val="18"/>
                <w:szCs w:val="18"/>
              </w:rPr>
              <w:t>以地表水为水源：每半年1次；</w:t>
            </w:r>
          </w:p>
          <w:p>
            <w:pPr>
              <w:snapToGrid w:val="0"/>
              <w:spacing w:after="0" w:line="240" w:lineRule="auto"/>
              <w:jc w:val="center"/>
              <w:rPr>
                <w:rFonts w:ascii="Times New Roman" w:hAnsi="Times New Roman"/>
                <w:kern w:val="0"/>
                <w:sz w:val="18"/>
                <w:szCs w:val="18"/>
              </w:rPr>
            </w:pPr>
            <w:r>
              <w:rPr>
                <w:rFonts w:hint="eastAsia" w:ascii="Times New Roman" w:hAnsi="Times New Roman"/>
                <w:kern w:val="0"/>
                <w:sz w:val="18"/>
                <w:szCs w:val="18"/>
              </w:rPr>
              <w:t>以地下水为水源：每年1次。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9" w:type="dxa"/>
            <w:vMerge w:val="restart"/>
            <w:shd w:val="clear" w:color="auto" w:fill="auto"/>
            <w:vAlign w:val="center"/>
          </w:tcPr>
          <w:p>
            <w:pPr>
              <w:pStyle w:val="181"/>
              <w:spacing w:after="0" w:line="240" w:lineRule="auto"/>
            </w:pPr>
            <w:r>
              <w:rPr>
                <w:rFonts w:hint="eastAsia"/>
              </w:rPr>
              <w:t>管网水</w:t>
            </w:r>
          </w:p>
        </w:tc>
        <w:tc>
          <w:tcPr>
            <w:tcW w:w="3626" w:type="dxa"/>
            <w:shd w:val="clear" w:color="auto" w:fill="auto"/>
            <w:vAlign w:val="center"/>
          </w:tcPr>
          <w:p>
            <w:pPr>
              <w:spacing w:after="0" w:line="240" w:lineRule="auto"/>
            </w:pPr>
            <w:r>
              <w:rPr>
                <w:rFonts w:ascii="Times New Roman" w:hAnsi="Times New Roman"/>
                <w:kern w:val="0"/>
                <w:sz w:val="18"/>
                <w:szCs w:val="18"/>
              </w:rPr>
              <w:t>浑浊度、色度、臭和味、肉眼可见物、pH、消毒剂</w:t>
            </w:r>
            <w:r>
              <w:rPr>
                <w:rFonts w:hint="eastAsia" w:ascii="Times New Roman" w:hAnsi="Times New Roman"/>
                <w:kern w:val="0"/>
                <w:sz w:val="18"/>
                <w:szCs w:val="18"/>
              </w:rPr>
              <w:t>指标</w:t>
            </w:r>
            <w:r>
              <w:rPr>
                <w:rFonts w:ascii="Times New Roman" w:hAnsi="Times New Roman"/>
                <w:kern w:val="0"/>
                <w:sz w:val="18"/>
                <w:szCs w:val="18"/>
              </w:rPr>
              <w:t>、菌落总数、总大肠菌群、</w:t>
            </w:r>
            <w:r>
              <w:rPr>
                <w:rFonts w:hint="eastAsia" w:ascii="Times New Roman" w:hAnsi="Times New Roman"/>
                <w:kern w:val="0"/>
                <w:sz w:val="18"/>
                <w:szCs w:val="18"/>
              </w:rPr>
              <w:t>大肠埃希氏菌、</w:t>
            </w:r>
            <w:r>
              <w:rPr>
                <w:rFonts w:ascii="Times New Roman" w:hAnsi="Times New Roman"/>
                <w:kern w:val="0"/>
                <w:sz w:val="18"/>
                <w:szCs w:val="18"/>
              </w:rPr>
              <w:t>高锰酸盐指数（以O2计）</w:t>
            </w:r>
          </w:p>
        </w:tc>
        <w:tc>
          <w:tcPr>
            <w:tcW w:w="3941" w:type="dxa"/>
            <w:gridSpan w:val="3"/>
            <w:shd w:val="clear" w:color="auto" w:fill="auto"/>
            <w:vAlign w:val="center"/>
          </w:tcPr>
          <w:p>
            <w:pPr>
              <w:spacing w:after="0" w:line="240" w:lineRule="auto"/>
              <w:jc w:val="center"/>
              <w:rPr>
                <w:rFonts w:ascii="Times New Roman" w:hAnsi="Times New Roman"/>
                <w:strike/>
                <w:kern w:val="0"/>
                <w:sz w:val="18"/>
                <w:szCs w:val="18"/>
              </w:rPr>
            </w:pPr>
            <w:r>
              <w:rPr>
                <w:rFonts w:hint="eastAsia" w:ascii="Times New Roman" w:hAnsi="Times New Roman"/>
                <w:kern w:val="0"/>
                <w:sz w:val="18"/>
                <w:szCs w:val="18"/>
              </w:rPr>
              <w:t>每半月1次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9" w:type="dxa"/>
            <w:vMerge w:val="continue"/>
            <w:shd w:val="clear" w:color="auto" w:fill="auto"/>
            <w:vAlign w:val="center"/>
          </w:tcPr>
          <w:p>
            <w:pPr>
              <w:pStyle w:val="181"/>
              <w:spacing w:after="0" w:line="240" w:lineRule="auto"/>
            </w:pPr>
          </w:p>
        </w:tc>
        <w:tc>
          <w:tcPr>
            <w:tcW w:w="3626" w:type="dxa"/>
            <w:shd w:val="clear" w:color="auto" w:fill="auto"/>
            <w:vAlign w:val="center"/>
          </w:tcPr>
          <w:p>
            <w:pPr>
              <w:spacing w:after="0" w:line="240" w:lineRule="auto"/>
            </w:pPr>
            <w:r>
              <w:rPr>
                <w:rFonts w:hint="eastAsia" w:ascii="Times New Roman" w:hAnsi="Times New Roman"/>
                <w:kern w:val="0"/>
                <w:sz w:val="18"/>
                <w:szCs w:val="18"/>
              </w:rPr>
              <w:t>水质风险较大位置的采样点检测</w:t>
            </w:r>
            <w:r>
              <w:rPr>
                <w:rFonts w:ascii="Times New Roman" w:hAnsi="Times New Roman"/>
                <w:kern w:val="0"/>
                <w:sz w:val="18"/>
                <w:szCs w:val="18"/>
              </w:rPr>
              <w:t>GB 5749表1、表2全部</w:t>
            </w:r>
            <w:r>
              <w:rPr>
                <w:rFonts w:hint="eastAsia" w:ascii="Times New Roman" w:hAnsi="Times New Roman"/>
                <w:kern w:val="0"/>
                <w:sz w:val="18"/>
                <w:szCs w:val="18"/>
              </w:rPr>
              <w:t>指标及表3中可能含有的有害物质</w:t>
            </w:r>
          </w:p>
        </w:tc>
        <w:tc>
          <w:tcPr>
            <w:tcW w:w="3941" w:type="dxa"/>
            <w:gridSpan w:val="3"/>
            <w:shd w:val="clear" w:color="auto" w:fill="auto"/>
            <w:vAlign w:val="center"/>
          </w:tcPr>
          <w:p>
            <w:pPr>
              <w:spacing w:after="0" w:line="240" w:lineRule="auto"/>
              <w:jc w:val="center"/>
              <w:rPr>
                <w:rFonts w:ascii="Times New Roman" w:hAnsi="Times New Roman"/>
                <w:kern w:val="0"/>
                <w:sz w:val="18"/>
                <w:szCs w:val="18"/>
              </w:rPr>
            </w:pPr>
            <w:r>
              <w:rPr>
                <w:rFonts w:hint="eastAsia" w:ascii="Times New Roman" w:hAnsi="Times New Roman"/>
                <w:kern w:val="0"/>
                <w:sz w:val="18"/>
                <w:szCs w:val="18"/>
              </w:rPr>
              <w:t>每月1次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14" w:hRule="atLeast"/>
          <w:jc w:val="center"/>
        </w:trPr>
        <w:tc>
          <w:tcPr>
            <w:tcW w:w="759" w:type="dxa"/>
            <w:vMerge w:val="restart"/>
            <w:shd w:val="clear" w:color="auto" w:fill="auto"/>
            <w:vAlign w:val="center"/>
          </w:tcPr>
          <w:p>
            <w:pPr>
              <w:pStyle w:val="181"/>
              <w:spacing w:after="0" w:line="240" w:lineRule="auto"/>
            </w:pPr>
            <w:r>
              <w:rPr>
                <w:rFonts w:hint="eastAsia"/>
              </w:rPr>
              <w:t>公共管网末梢水</w:t>
            </w:r>
          </w:p>
        </w:tc>
        <w:tc>
          <w:tcPr>
            <w:tcW w:w="3626" w:type="dxa"/>
            <w:shd w:val="clear" w:color="auto" w:fill="auto"/>
            <w:vAlign w:val="center"/>
          </w:tcPr>
          <w:p>
            <w:pPr>
              <w:pStyle w:val="181"/>
              <w:spacing w:after="0" w:line="240" w:lineRule="auto"/>
              <w:jc w:val="both"/>
            </w:pPr>
            <w:r>
              <w:rPr>
                <w:rFonts w:ascii="Times New Roman"/>
                <w:szCs w:val="18"/>
              </w:rPr>
              <w:t>浑浊度、色度、臭和味、肉眼可见物、pH、消毒剂</w:t>
            </w:r>
            <w:r>
              <w:rPr>
                <w:rFonts w:hint="eastAsia" w:ascii="Times New Roman"/>
                <w:szCs w:val="18"/>
              </w:rPr>
              <w:t>指标</w:t>
            </w:r>
            <w:r>
              <w:rPr>
                <w:rFonts w:ascii="Times New Roman"/>
                <w:szCs w:val="18"/>
              </w:rPr>
              <w:t>、菌落总数、总大肠菌群、</w:t>
            </w:r>
            <w:r>
              <w:rPr>
                <w:rFonts w:hint="eastAsia" w:ascii="Times New Roman"/>
                <w:szCs w:val="18"/>
              </w:rPr>
              <w:t>大肠埃希氏菌、</w:t>
            </w:r>
            <w:r>
              <w:rPr>
                <w:rFonts w:ascii="Times New Roman"/>
                <w:szCs w:val="18"/>
              </w:rPr>
              <w:t>高锰酸盐指数（以O2计）</w:t>
            </w:r>
          </w:p>
        </w:tc>
        <w:tc>
          <w:tcPr>
            <w:tcW w:w="3941" w:type="dxa"/>
            <w:gridSpan w:val="3"/>
            <w:shd w:val="clear" w:color="auto" w:fill="auto"/>
            <w:vAlign w:val="center"/>
          </w:tcPr>
          <w:p>
            <w:pPr>
              <w:pStyle w:val="181"/>
              <w:spacing w:after="0" w:line="240" w:lineRule="auto"/>
            </w:pPr>
            <w:r>
              <w:rPr>
                <w:rFonts w:hint="eastAsia"/>
              </w:rPr>
              <w:t>每半月1次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9" w:type="dxa"/>
            <w:vMerge w:val="continue"/>
            <w:tcBorders>
              <w:bottom w:val="single" w:color="auto" w:sz="8" w:space="0"/>
            </w:tcBorders>
            <w:shd w:val="clear" w:color="auto" w:fill="auto"/>
            <w:vAlign w:val="center"/>
          </w:tcPr>
          <w:p>
            <w:pPr>
              <w:pStyle w:val="181"/>
              <w:spacing w:after="0" w:line="240" w:lineRule="auto"/>
            </w:pPr>
          </w:p>
        </w:tc>
        <w:tc>
          <w:tcPr>
            <w:tcW w:w="3626" w:type="dxa"/>
            <w:tcBorders>
              <w:bottom w:val="single" w:color="auto" w:sz="8" w:space="0"/>
            </w:tcBorders>
            <w:shd w:val="clear" w:color="auto" w:fill="auto"/>
            <w:vAlign w:val="center"/>
          </w:tcPr>
          <w:p>
            <w:pPr>
              <w:pStyle w:val="181"/>
              <w:spacing w:after="0" w:line="240" w:lineRule="auto"/>
              <w:jc w:val="both"/>
            </w:pPr>
            <w:r>
              <w:rPr>
                <w:rFonts w:hint="eastAsia"/>
              </w:rPr>
              <w:t>GB 5749中表1全部指标、表2全部指标、及表3扩展指标中可能含有的有害物质</w:t>
            </w:r>
          </w:p>
        </w:tc>
        <w:tc>
          <w:tcPr>
            <w:tcW w:w="1313" w:type="dxa"/>
            <w:tcBorders>
              <w:bottom w:val="single" w:color="auto" w:sz="8" w:space="0"/>
            </w:tcBorders>
            <w:shd w:val="clear" w:color="auto" w:fill="auto"/>
            <w:vAlign w:val="center"/>
          </w:tcPr>
          <w:p>
            <w:pPr>
              <w:pStyle w:val="181"/>
              <w:spacing w:after="0" w:line="240" w:lineRule="auto"/>
            </w:pPr>
            <w:r>
              <w:rPr>
                <w:rFonts w:hint="eastAsia"/>
              </w:rPr>
              <w:t>每月1次</w:t>
            </w:r>
          </w:p>
        </w:tc>
        <w:tc>
          <w:tcPr>
            <w:tcW w:w="1314" w:type="dxa"/>
            <w:tcBorders>
              <w:bottom w:val="single" w:color="auto" w:sz="8" w:space="0"/>
            </w:tcBorders>
            <w:shd w:val="clear" w:color="auto" w:fill="auto"/>
            <w:vAlign w:val="center"/>
          </w:tcPr>
          <w:p>
            <w:pPr>
              <w:pStyle w:val="181"/>
              <w:spacing w:after="0" w:line="240" w:lineRule="auto"/>
            </w:pPr>
            <w:r>
              <w:rPr>
                <w:rFonts w:hint="eastAsia"/>
              </w:rPr>
              <w:t>每季度1次</w:t>
            </w:r>
          </w:p>
        </w:tc>
        <w:tc>
          <w:tcPr>
            <w:tcW w:w="1314" w:type="dxa"/>
            <w:tcBorders>
              <w:bottom w:val="single" w:color="auto" w:sz="8" w:space="0"/>
            </w:tcBorders>
            <w:shd w:val="clear" w:color="auto" w:fill="auto"/>
            <w:vAlign w:val="center"/>
          </w:tcPr>
          <w:p>
            <w:pPr>
              <w:pStyle w:val="181"/>
              <w:spacing w:after="0" w:line="240" w:lineRule="auto"/>
            </w:pPr>
            <w:r>
              <w:rPr>
                <w:rFonts w:hint="eastAsia"/>
              </w:rPr>
              <w:t>每半年1次</w:t>
            </w:r>
          </w:p>
        </w:tc>
      </w:tr>
    </w:tbl>
    <w:p>
      <w:pPr>
        <w:pStyle w:val="59"/>
        <w:ind w:firstLine="420"/>
      </w:pPr>
    </w:p>
    <w:p>
      <w:pPr>
        <w:pStyle w:val="59"/>
        <w:ind w:firstLine="420"/>
      </w:pPr>
    </w:p>
    <w:p>
      <w:pPr>
        <w:pStyle w:val="59"/>
        <w:ind w:firstLine="420"/>
        <w:sectPr>
          <w:pgSz w:w="11906" w:h="16838"/>
          <w:pgMar w:top="1928" w:right="1134" w:bottom="1134" w:left="1134" w:header="1418" w:footer="1134" w:gutter="284"/>
          <w:cols w:space="425" w:num="1"/>
          <w:formProt w:val="0"/>
          <w:docGrid w:type="lines" w:linePitch="312" w:charSpace="0"/>
        </w:sectPr>
      </w:pPr>
    </w:p>
    <w:p>
      <w:pPr>
        <w:pStyle w:val="201"/>
        <w:rPr>
          <w:vanish w:val="0"/>
        </w:rPr>
      </w:pPr>
    </w:p>
    <w:p>
      <w:pPr>
        <w:pStyle w:val="202"/>
        <w:rPr>
          <w:vanish w:val="0"/>
        </w:rPr>
      </w:pPr>
    </w:p>
    <w:p>
      <w:pPr>
        <w:pStyle w:val="79"/>
        <w:spacing w:after="156"/>
      </w:pPr>
      <w:r>
        <w:br w:type="textWrapping"/>
      </w:r>
      <w:bookmarkStart w:id="79" w:name="_Toc191565518"/>
      <w:bookmarkStart w:id="80" w:name="_Toc191565420"/>
      <w:r>
        <w:rPr>
          <w:rFonts w:hint="eastAsia"/>
        </w:rPr>
        <w:t>（规范性）</w:t>
      </w:r>
      <w:r>
        <w:br w:type="textWrapping"/>
      </w:r>
      <w:r>
        <w:rPr>
          <w:rFonts w:hint="eastAsia"/>
        </w:rPr>
        <w:t>城镇公共供水单位服务质量评价指标计算方法</w:t>
      </w:r>
      <w:bookmarkEnd w:id="79"/>
      <w:bookmarkEnd w:id="80"/>
    </w:p>
    <w:p>
      <w:pPr>
        <w:pStyle w:val="81"/>
        <w:spacing w:before="156" w:after="156"/>
        <w:ind w:firstLine="420"/>
      </w:pPr>
      <w:bookmarkStart w:id="81" w:name="_Toc191565421"/>
      <w:r>
        <w:rPr>
          <w:rFonts w:hint="eastAsia"/>
        </w:rPr>
        <w:t>出厂水样品达标率</w:t>
      </w:r>
      <w:bookmarkEnd w:id="81"/>
    </w:p>
    <w:p>
      <w:pPr>
        <w:pStyle w:val="59"/>
        <w:ind w:firstLine="420"/>
      </w:pPr>
      <w:r>
        <w:rPr>
          <w:rFonts w:hint="eastAsia"/>
        </w:rPr>
        <w:t>城镇公共供水单位统计期内达标的出厂水样品占总出厂水样品数量的比例。出厂水样品达标率按照公式</w:t>
      </w:r>
      <w:r>
        <w:t>(B.1)</w:t>
      </w:r>
      <w:r>
        <w:rPr>
          <w:rFonts w:hint="eastAsia"/>
        </w:rPr>
        <w:t>计算。</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cq</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cq</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S</m:t>
                </m:r>
                <m:ctrlPr>
                  <w:rPr>
                    <w:rFonts w:ascii="Cambria Math" w:hAnsi="Cambria Math"/>
                    <w:i/>
                  </w:rPr>
                </m:ctrlPr>
              </m:e>
              <m:sub>
                <m:r>
                  <m:rPr/>
                  <w:rPr>
                    <w:rFonts w:hint="eastAsia" w:ascii="Cambria Math" w:hAnsi="Cambria Math"/>
                  </w:rPr>
                  <m:t>c</m:t>
                </m:r>
                <m:ctrlPr>
                  <w:rPr>
                    <w:rFonts w:ascii="Cambria Math" w:hAnsi="Cambria Math"/>
                    <w:i/>
                  </w:rPr>
                </m:ctrlPr>
              </m:sub>
            </m:sSub>
            <m:ctrlPr>
              <w:rPr>
                <w:rFonts w:ascii="Cambria Math" w:hAnsi="Cambria Math"/>
                <w:i/>
              </w:rPr>
            </m:ctrlPr>
          </m:den>
        </m:f>
      </m:oMath>
      <w:r>
        <w:rPr>
          <w:rFonts w:ascii="微软雅黑" w:hAnsi="微软雅黑" w:eastAsia="微软雅黑"/>
        </w:rPr>
        <w:tab/>
      </w:r>
      <w:r>
        <w:t>(B.</w:t>
      </w:r>
      <w:r>
        <w:fldChar w:fldCharType="begin"/>
      </w:r>
      <w:r>
        <w:instrText xml:space="preserve">  seq fulu_equation_133755137867446784  </w:instrText>
      </w:r>
      <w:r>
        <w:fldChar w:fldCharType="separate"/>
      </w:r>
      <w:r>
        <w:t>1</w:t>
      </w:r>
      <w:r>
        <w:fldChar w:fldCharType="end"/>
      </w:r>
      <w:r>
        <w:t>)</w:t>
      </w:r>
    </w:p>
    <w:p>
      <w:pPr>
        <w:pStyle w:val="58"/>
        <w:spacing w:after="0" w:line="278" w:lineRule="auto"/>
        <w:ind w:firstLine="420"/>
      </w:pPr>
      <w:r>
        <w:rPr>
          <w:rFonts w:hint="eastAsia"/>
        </w:rPr>
        <w:t>式中：</w:t>
      </w:r>
    </w:p>
    <w:p>
      <w:pPr>
        <w:pStyle w:val="59"/>
        <w:spacing w:after="0"/>
        <w:ind w:firstLine="420"/>
      </w:pPr>
      <w:r>
        <w:rPr>
          <w:rFonts w:hint="eastAsia"/>
          <w:i/>
          <w:iCs/>
        </w:rPr>
        <w:t>R</w:t>
      </w:r>
      <w:r>
        <w:rPr>
          <w:rFonts w:hint="eastAsia"/>
          <w:i/>
          <w:iCs/>
          <w:vertAlign w:val="subscript"/>
        </w:rPr>
        <w:t xml:space="preserve">cq </w:t>
      </w:r>
      <w:r>
        <w:rPr>
          <w:rFonts w:hint="eastAsia"/>
        </w:rPr>
        <w:t>——统计期内出厂水样品达标率；</w:t>
      </w:r>
    </w:p>
    <w:p>
      <w:pPr>
        <w:pStyle w:val="59"/>
        <w:spacing w:after="0"/>
        <w:ind w:firstLine="420"/>
      </w:pPr>
      <w:r>
        <w:rPr>
          <w:rFonts w:hint="eastAsia"/>
          <w:i/>
          <w:iCs/>
        </w:rPr>
        <w:t>S</w:t>
      </w:r>
      <w:r>
        <w:rPr>
          <w:rFonts w:hint="eastAsia"/>
          <w:i/>
          <w:iCs/>
          <w:vertAlign w:val="subscript"/>
        </w:rPr>
        <w:t>cq</w:t>
      </w:r>
      <w:r>
        <w:rPr>
          <w:rFonts w:hint="eastAsia"/>
        </w:rPr>
        <w:t>——统计期内达标的出厂水样品数量；</w:t>
      </w:r>
    </w:p>
    <w:p>
      <w:pPr>
        <w:pStyle w:val="59"/>
        <w:spacing w:after="0"/>
        <w:ind w:firstLine="420"/>
      </w:pPr>
      <w:r>
        <w:rPr>
          <w:rFonts w:hint="eastAsia"/>
          <w:i/>
          <w:iCs/>
        </w:rPr>
        <w:t>S</w:t>
      </w:r>
      <w:r>
        <w:rPr>
          <w:rFonts w:hint="eastAsia"/>
          <w:i/>
          <w:iCs/>
          <w:vertAlign w:val="subscript"/>
        </w:rPr>
        <w:t>c</w:t>
      </w:r>
      <w:r>
        <w:rPr>
          <w:rFonts w:hint="eastAsia"/>
        </w:rPr>
        <w:t>——统计期内出厂水样品总数。</w:t>
      </w:r>
    </w:p>
    <w:p>
      <w:pPr>
        <w:pStyle w:val="81"/>
        <w:spacing w:before="156" w:after="156"/>
        <w:ind w:firstLine="420"/>
      </w:pPr>
      <w:bookmarkStart w:id="82" w:name="_Toc191565422"/>
      <w:r>
        <w:rPr>
          <w:rFonts w:hint="eastAsia"/>
        </w:rPr>
        <w:t>管网水样品达标率</w:t>
      </w:r>
      <w:bookmarkEnd w:id="82"/>
    </w:p>
    <w:p>
      <w:pPr>
        <w:pStyle w:val="59"/>
        <w:ind w:firstLine="420"/>
      </w:pPr>
      <w:r>
        <w:rPr>
          <w:rFonts w:hint="eastAsia"/>
        </w:rPr>
        <w:t>城镇公共供水单位统计期内达标的管网水样品占管网水样品总数的比例。管网水样品达标率按照公式(B.</w:t>
      </w:r>
      <w:r>
        <w:t>2</w:t>
      </w:r>
      <w:r>
        <w:rPr>
          <w:rFonts w:hint="eastAsia"/>
        </w:rPr>
        <w:t>)计算。</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gq</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gq</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den>
        </m:f>
      </m:oMath>
      <w:r>
        <w:rPr>
          <w:rFonts w:ascii="微软雅黑" w:hAnsi="微软雅黑" w:eastAsia="微软雅黑"/>
        </w:rPr>
        <w:tab/>
      </w:r>
      <w:r>
        <w:t>(B.</w:t>
      </w:r>
      <w:r>
        <w:fldChar w:fldCharType="begin"/>
      </w:r>
      <w:r>
        <w:instrText xml:space="preserve">   seq fulu_equation_133755137867446784   </w:instrText>
      </w:r>
      <w:r>
        <w:fldChar w:fldCharType="separate"/>
      </w:r>
      <w:r>
        <w:t>2</w:t>
      </w:r>
      <w:r>
        <w:fldChar w:fldCharType="end"/>
      </w:r>
      <w:r>
        <w:t>)</w:t>
      </w:r>
    </w:p>
    <w:p>
      <w:pPr>
        <w:pStyle w:val="58"/>
        <w:spacing w:after="0" w:line="278" w:lineRule="auto"/>
        <w:ind w:firstLine="420"/>
      </w:pPr>
      <w:r>
        <w:rPr>
          <w:rFonts w:hint="eastAsia"/>
        </w:rPr>
        <w:t>式中：</w:t>
      </w:r>
    </w:p>
    <w:p>
      <w:pPr>
        <w:pStyle w:val="59"/>
        <w:spacing w:after="0"/>
        <w:ind w:firstLine="420"/>
      </w:pPr>
      <w:r>
        <w:rPr>
          <w:rFonts w:hint="eastAsia"/>
          <w:i/>
          <w:iCs/>
        </w:rPr>
        <w:t>R</w:t>
      </w:r>
      <w:r>
        <w:rPr>
          <w:rFonts w:hint="eastAsia"/>
          <w:i/>
          <w:iCs/>
          <w:vertAlign w:val="subscript"/>
        </w:rPr>
        <w:t xml:space="preserve">gq </w:t>
      </w:r>
      <w:r>
        <w:rPr>
          <w:rFonts w:hint="eastAsia"/>
        </w:rPr>
        <w:t>——统计期内管网水样品达标率；</w:t>
      </w:r>
    </w:p>
    <w:p>
      <w:pPr>
        <w:pStyle w:val="59"/>
        <w:spacing w:after="0"/>
        <w:ind w:firstLine="420"/>
      </w:pPr>
      <w:r>
        <w:rPr>
          <w:rFonts w:hint="eastAsia"/>
          <w:i/>
          <w:iCs/>
        </w:rPr>
        <w:t>S</w:t>
      </w:r>
      <w:r>
        <w:rPr>
          <w:rFonts w:hint="eastAsia"/>
          <w:i/>
          <w:iCs/>
          <w:vertAlign w:val="subscript"/>
        </w:rPr>
        <w:t>gq</w:t>
      </w:r>
      <w:r>
        <w:rPr>
          <w:rFonts w:hint="eastAsia"/>
        </w:rPr>
        <w:t>——统计期内达标的管网水样品数量；</w:t>
      </w:r>
    </w:p>
    <w:p>
      <w:pPr>
        <w:pStyle w:val="59"/>
        <w:spacing w:after="0"/>
        <w:ind w:firstLine="420"/>
      </w:pPr>
      <w:r>
        <w:rPr>
          <w:rFonts w:hint="eastAsia"/>
          <w:i/>
          <w:iCs/>
        </w:rPr>
        <w:t>S</w:t>
      </w:r>
      <w:r>
        <w:rPr>
          <w:rFonts w:hint="eastAsia"/>
          <w:i/>
          <w:iCs/>
          <w:vertAlign w:val="subscript"/>
        </w:rPr>
        <w:t>g</w:t>
      </w:r>
      <w:r>
        <w:rPr>
          <w:rFonts w:hint="eastAsia"/>
        </w:rPr>
        <w:t>——统计期内管网水样品总数。</w:t>
      </w:r>
    </w:p>
    <w:p>
      <w:pPr>
        <w:pStyle w:val="81"/>
        <w:spacing w:before="156" w:after="156"/>
        <w:ind w:firstLine="420"/>
        <w:rPr>
          <w:color w:val="000000" w:themeColor="text1"/>
          <w14:textFill>
            <w14:solidFill>
              <w14:schemeClr w14:val="tx1"/>
            </w14:solidFill>
          </w14:textFill>
        </w:rPr>
      </w:pPr>
      <w:bookmarkStart w:id="83" w:name="_Toc191565423"/>
      <w:r>
        <w:rPr>
          <w:rFonts w:hint="eastAsia"/>
          <w:color w:val="000000" w:themeColor="text1"/>
          <w14:textFill>
            <w14:solidFill>
              <w14:schemeClr w14:val="tx1"/>
            </w14:solidFill>
          </w14:textFill>
        </w:rPr>
        <w:t>公共供管网末梢水样品达标率</w:t>
      </w:r>
      <w:bookmarkEnd w:id="83"/>
    </w:p>
    <w:p>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城镇公共供水单位统计期内达标的公共供水管网末梢水样品占公共供水管网末梢水样品总数的比例。公共供水管网末梢水样品达标率按照公式(B.</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)计算。</w:t>
      </w:r>
    </w:p>
    <w:p>
      <w:pPr>
        <w:pStyle w:val="116"/>
        <w:rPr>
          <w:color w:val="000000" w:themeColor="text1"/>
          <w14:textFill>
            <w14:solidFill>
              <w14:schemeClr w14:val="tx1"/>
            </w14:solidFill>
          </w14:textFill>
        </w:rPr>
      </w:pPr>
      <w:r>
        <w:rPr>
          <w:color w:val="000000" w:themeColor="text1"/>
          <w14:textFill>
            <w14:solidFill>
              <w14:schemeClr w14:val="tx1"/>
            </w14:solidFill>
          </w14:textFill>
        </w:rPr>
        <w:tab/>
      </w:r>
      <m:oMath>
        <m:sSub>
          <m:sSubPr>
            <m:ctrlPr>
              <w:rPr>
                <w:rFonts w:ascii="Cambria Math" w:hAnsi="Cambria Math"/>
                <w:i/>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R</m:t>
            </m:r>
            <m:ctrlPr>
              <w:rPr>
                <w:rFonts w:ascii="Cambria Math" w:hAnsi="Cambria Math"/>
                <w:i/>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mq</m:t>
            </m:r>
            <m:ctrlPr>
              <w:rPr>
                <w:rFonts w:ascii="Cambria Math" w:hAnsi="Cambria Math"/>
                <w:i/>
                <w:color w:val="000000" w:themeColor="text1"/>
                <w14:textFill>
                  <w14:solidFill>
                    <w14:schemeClr w14:val="tx1"/>
                  </w14:solidFill>
                </w14:textFill>
              </w:rPr>
            </m:ctrlPr>
          </m:sub>
        </m:sSub>
        <m:r>
          <m:rPr/>
          <w:rPr>
            <w:rFonts w:ascii="Cambria Math" w:hAnsi="Cambria Math"/>
            <w:color w:val="000000" w:themeColor="text1"/>
            <w14:textFill>
              <w14:solidFill>
                <w14:schemeClr w14:val="tx1"/>
              </w14:solidFill>
            </w14:textFill>
          </w:rPr>
          <m:t>=</m:t>
        </m:r>
        <m:f>
          <m:fPr>
            <m:ctrlPr>
              <w:rPr>
                <w:rFonts w:ascii="Cambria Math" w:hAnsi="Cambria Math"/>
                <w:i/>
                <w:color w:val="000000" w:themeColor="text1"/>
                <w14:textFill>
                  <w14:solidFill>
                    <w14:schemeClr w14:val="tx1"/>
                  </w14:solidFill>
                </w14:textFill>
              </w:rPr>
            </m:ctrlPr>
          </m:fPr>
          <m:num>
            <m:sSub>
              <m:sSubPr>
                <m:ctrlPr>
                  <w:rPr>
                    <w:rFonts w:ascii="Cambria Math" w:hAnsi="Cambria Math"/>
                    <w:i/>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S</m:t>
                </m:r>
                <m:ctrlPr>
                  <w:rPr>
                    <w:rFonts w:ascii="Cambria Math" w:hAnsi="Cambria Math"/>
                    <w:i/>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mq</m:t>
                </m:r>
                <m:ctrlPr>
                  <w:rPr>
                    <w:rFonts w:ascii="Cambria Math" w:hAnsi="Cambria Math"/>
                    <w:i/>
                    <w:color w:val="000000" w:themeColor="text1"/>
                    <w14:textFill>
                      <w14:solidFill>
                        <w14:schemeClr w14:val="tx1"/>
                      </w14:solidFill>
                    </w14:textFill>
                  </w:rPr>
                </m:ctrlPr>
              </m:sub>
            </m:sSub>
            <m:ctrlPr>
              <w:rPr>
                <w:rFonts w:ascii="Cambria Math" w:hAnsi="Cambria Math"/>
                <w:i/>
                <w:color w:val="000000" w:themeColor="text1"/>
                <w14:textFill>
                  <w14:solidFill>
                    <w14:schemeClr w14:val="tx1"/>
                  </w14:solidFill>
                </w14:textFill>
              </w:rPr>
            </m:ctrlPr>
          </m:num>
          <m:den>
            <m:sSub>
              <m:sSubPr>
                <m:ctrlPr>
                  <w:rPr>
                    <w:rFonts w:ascii="Cambria Math" w:hAnsi="Cambria Math"/>
                    <w:i/>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S</m:t>
                </m:r>
                <m:ctrlPr>
                  <w:rPr>
                    <w:rFonts w:ascii="Cambria Math" w:hAnsi="Cambria Math"/>
                    <w:i/>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m</m:t>
                </m:r>
                <m:ctrlPr>
                  <w:rPr>
                    <w:rFonts w:ascii="Cambria Math" w:hAnsi="Cambria Math"/>
                    <w:i/>
                    <w:color w:val="000000" w:themeColor="text1"/>
                    <w14:textFill>
                      <w14:solidFill>
                        <w14:schemeClr w14:val="tx1"/>
                      </w14:solidFill>
                    </w14:textFill>
                  </w:rPr>
                </m:ctrlPr>
              </m:sub>
            </m:sSub>
            <m:ctrlPr>
              <w:rPr>
                <w:rFonts w:ascii="Cambria Math" w:hAnsi="Cambria Math"/>
                <w:i/>
                <w:color w:val="000000" w:themeColor="text1"/>
                <w14:textFill>
                  <w14:solidFill>
                    <w14:schemeClr w14:val="tx1"/>
                  </w14:solidFill>
                </w14:textFill>
              </w:rPr>
            </m:ctrlPr>
          </m:den>
        </m:f>
      </m:oMath>
      <w:r>
        <w:rPr>
          <w:rFonts w:ascii="微软雅黑" w:hAnsi="微软雅黑" w:eastAsia="微软雅黑"/>
          <w:color w:val="000000" w:themeColor="text1"/>
          <w14:textFill>
            <w14:solidFill>
              <w14:schemeClr w14:val="tx1"/>
            </w14:solidFill>
          </w14:textFill>
        </w:rPr>
        <w:tab/>
      </w:r>
      <w:r>
        <w:rPr>
          <w:color w:val="000000" w:themeColor="text1"/>
          <w14:textFill>
            <w14:solidFill>
              <w14:schemeClr w14:val="tx1"/>
            </w14:solidFill>
          </w14:textFill>
        </w:rPr>
        <w:t>(B.</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w:t>
      </w:r>
    </w:p>
    <w:p>
      <w:pPr>
        <w:pStyle w:val="58"/>
        <w:spacing w:after="0" w:line="278" w:lineRule="auto"/>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式中：</w:t>
      </w:r>
    </w:p>
    <w:p>
      <w:pPr>
        <w:pStyle w:val="59"/>
        <w:spacing w:after="0"/>
        <w:ind w:firstLine="420"/>
        <w:rPr>
          <w:color w:val="000000" w:themeColor="text1"/>
          <w14:textFill>
            <w14:solidFill>
              <w14:schemeClr w14:val="tx1"/>
            </w14:solidFill>
          </w14:textFill>
        </w:rPr>
      </w:pPr>
      <w:r>
        <w:rPr>
          <w:rFonts w:hint="eastAsia"/>
          <w:i/>
          <w:iCs/>
          <w:color w:val="000000" w:themeColor="text1"/>
          <w14:textFill>
            <w14:solidFill>
              <w14:schemeClr w14:val="tx1"/>
            </w14:solidFill>
          </w14:textFill>
        </w:rPr>
        <w:t>R</w:t>
      </w:r>
      <w:r>
        <w:rPr>
          <w:rFonts w:hint="eastAsia"/>
          <w:i/>
          <w:iCs/>
          <w:color w:val="000000" w:themeColor="text1"/>
          <w:vertAlign w:val="subscript"/>
          <w14:textFill>
            <w14:solidFill>
              <w14:schemeClr w14:val="tx1"/>
            </w14:solidFill>
          </w14:textFill>
        </w:rPr>
        <w:t xml:space="preserve">mq </w:t>
      </w:r>
      <w:r>
        <w:rPr>
          <w:rFonts w:hint="eastAsia"/>
          <w:color w:val="000000" w:themeColor="text1"/>
          <w14:textFill>
            <w14:solidFill>
              <w14:schemeClr w14:val="tx1"/>
            </w14:solidFill>
          </w14:textFill>
        </w:rPr>
        <w:t>——</w:t>
      </w:r>
      <w:r>
        <w:rPr>
          <w:rFonts w:hint="eastAsia"/>
        </w:rPr>
        <w:t>统计期内</w:t>
      </w:r>
      <w:r>
        <w:rPr>
          <w:rFonts w:hint="eastAsia"/>
          <w:color w:val="000000" w:themeColor="text1"/>
          <w14:textFill>
            <w14:solidFill>
              <w14:schemeClr w14:val="tx1"/>
            </w14:solidFill>
          </w14:textFill>
        </w:rPr>
        <w:t>公共供水管网末梢水样品达标率；</w:t>
      </w:r>
    </w:p>
    <w:p>
      <w:pPr>
        <w:pStyle w:val="59"/>
        <w:spacing w:after="0"/>
        <w:ind w:firstLine="420"/>
        <w:rPr>
          <w:color w:val="000000" w:themeColor="text1"/>
          <w14:textFill>
            <w14:solidFill>
              <w14:schemeClr w14:val="tx1"/>
            </w14:solidFill>
          </w14:textFill>
        </w:rPr>
      </w:pPr>
      <w:r>
        <w:rPr>
          <w:rFonts w:hint="eastAsia"/>
          <w:i/>
          <w:iCs/>
          <w:color w:val="000000" w:themeColor="text1"/>
          <w14:textFill>
            <w14:solidFill>
              <w14:schemeClr w14:val="tx1"/>
            </w14:solidFill>
          </w14:textFill>
        </w:rPr>
        <w:t>S</w:t>
      </w:r>
      <w:r>
        <w:rPr>
          <w:rFonts w:hint="eastAsia"/>
          <w:i/>
          <w:iCs/>
          <w:color w:val="000000" w:themeColor="text1"/>
          <w:vertAlign w:val="subscript"/>
          <w14:textFill>
            <w14:solidFill>
              <w14:schemeClr w14:val="tx1"/>
            </w14:solidFill>
          </w14:textFill>
        </w:rPr>
        <w:t>mq</w:t>
      </w:r>
      <w:r>
        <w:rPr>
          <w:rFonts w:hint="eastAsia"/>
          <w:color w:val="000000" w:themeColor="text1"/>
          <w14:textFill>
            <w14:solidFill>
              <w14:schemeClr w14:val="tx1"/>
            </w14:solidFill>
          </w14:textFill>
        </w:rPr>
        <w:t>——统计期内达标的公共供水管网末梢水样品数量；</w:t>
      </w:r>
    </w:p>
    <w:p>
      <w:pPr>
        <w:pStyle w:val="59"/>
        <w:spacing w:after="0"/>
        <w:ind w:firstLine="420"/>
        <w:rPr>
          <w:color w:val="000000" w:themeColor="text1"/>
          <w14:textFill>
            <w14:solidFill>
              <w14:schemeClr w14:val="tx1"/>
            </w14:solidFill>
          </w14:textFill>
        </w:rPr>
      </w:pPr>
      <w:r>
        <w:rPr>
          <w:rFonts w:hint="eastAsia"/>
          <w:i/>
          <w:iCs/>
          <w:color w:val="000000" w:themeColor="text1"/>
          <w14:textFill>
            <w14:solidFill>
              <w14:schemeClr w14:val="tx1"/>
            </w14:solidFill>
          </w14:textFill>
        </w:rPr>
        <w:t>S</w:t>
      </w:r>
      <w:r>
        <w:rPr>
          <w:rFonts w:hint="eastAsia"/>
          <w:i/>
          <w:iCs/>
          <w:color w:val="000000" w:themeColor="text1"/>
          <w:vertAlign w:val="subscript"/>
          <w14:textFill>
            <w14:solidFill>
              <w14:schemeClr w14:val="tx1"/>
            </w14:solidFill>
          </w14:textFill>
        </w:rPr>
        <w:t>m</w:t>
      </w:r>
      <w:r>
        <w:rPr>
          <w:rFonts w:hint="eastAsia"/>
          <w:color w:val="000000" w:themeColor="text1"/>
          <w14:textFill>
            <w14:solidFill>
              <w14:schemeClr w14:val="tx1"/>
            </w14:solidFill>
          </w14:textFill>
        </w:rPr>
        <w:t>——统计期内公共供水管网末梢水样品总数。</w:t>
      </w:r>
    </w:p>
    <w:p>
      <w:pPr>
        <w:pStyle w:val="81"/>
        <w:spacing w:before="156" w:after="156"/>
        <w:ind w:firstLine="420"/>
      </w:pPr>
      <w:bookmarkStart w:id="84" w:name="_Toc191565424"/>
      <w:r>
        <w:rPr>
          <w:rFonts w:hint="eastAsia"/>
        </w:rPr>
        <w:t>城镇公共供水可靠率</w:t>
      </w:r>
      <w:bookmarkEnd w:id="84"/>
    </w:p>
    <w:p>
      <w:pPr>
        <w:pStyle w:val="59"/>
        <w:ind w:firstLine="420"/>
      </w:pPr>
      <w:r>
        <w:rPr>
          <w:rFonts w:hint="eastAsia"/>
        </w:rPr>
        <w:t>依据统计期内停水时长和停水用户数计算城镇公共供水可靠率。用户提出或用户内部原因引起的供水中断，以及供水高峰、重大活动、重大事件、不可抗力等特殊情况造成的特定用户供水中断，不计入停水时长。城镇公共供水可靠率按照公式(B.</w:t>
      </w:r>
      <w:r>
        <w:t>4</w:t>
      </w:r>
      <w:r>
        <w:rPr>
          <w:rFonts w:hint="eastAsia"/>
        </w:rPr>
        <w:t>)计算。</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hint="eastAsia" w:ascii="Cambria Math" w:hAnsi="Cambria Math"/>
              </w:rPr>
              <m:t>p</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1−</m:t>
            </m:r>
            <m:f>
              <m:fPr>
                <m:ctrlPr>
                  <w:rPr>
                    <w:rFonts w:ascii="Cambria Math" w:hAnsi="Cambria Math"/>
                    <w:i/>
                  </w:rPr>
                </m:ctrlPr>
              </m:fPr>
              <m:num>
                <m:nary>
                  <m:naryPr>
                    <m:chr m:val="∑"/>
                    <m:limLoc m:val="undOvr"/>
                    <m:subHide m:val="true"/>
                    <m:supHide m:val="true"/>
                    <m:ctrlPr>
                      <w:rPr>
                        <w:rFonts w:ascii="Cambria Math" w:hAnsi="Cambria Math"/>
                        <w:i/>
                      </w:rPr>
                    </m:ctrlPr>
                  </m:naryPr>
                  <m:sub>
                    <m:ctrlPr>
                      <w:rPr>
                        <w:rFonts w:ascii="Cambria Math" w:hAnsi="Cambria Math"/>
                        <w:i/>
                      </w:rPr>
                    </m:ctrlPr>
                  </m:sub>
                  <m:sup>
                    <m:ctrlPr>
                      <w:rPr>
                        <w:rFonts w:ascii="Cambria Math" w:hAnsi="Cambria Math"/>
                        <w:i/>
                      </w:rPr>
                    </m:ctrlPr>
                  </m:sup>
                  <m:e>
                    <m:d>
                      <m:dPr>
                        <m:ctrlPr>
                          <w:rPr>
                            <w:rFonts w:ascii="Cambria Math" w:hAnsi="Cambria Math"/>
                            <w:i/>
                          </w:rPr>
                        </m:ctrlPr>
                      </m:dPr>
                      <m:e>
                        <m:sSub>
                          <m:sSubPr>
                            <m:ctrlPr>
                              <w:rPr>
                                <w:rFonts w:ascii="Cambria Math" w:hAnsi="Cambria Math"/>
                                <w:i/>
                              </w:rPr>
                            </m:ctrlPr>
                          </m:sSubPr>
                          <m:e>
                            <m:r>
                              <m:rPr/>
                              <w:rPr>
                                <w:rFonts w:ascii="Cambria Math" w:hAnsi="Cambria Math"/>
                              </w:rPr>
                              <m:t>D</m:t>
                            </m:r>
                            <m:ctrlPr>
                              <w:rPr>
                                <w:rFonts w:ascii="Cambria Math" w:hAnsi="Cambria Math"/>
                                <w:i/>
                              </w:rPr>
                            </m:ctrlPr>
                          </m:e>
                          <m:sub>
                            <m:r>
                              <m:rPr/>
                              <w:rPr>
                                <w:rFonts w:hint="eastAsia" w:ascii="Cambria Math" w:hAnsi="Cambria Math"/>
                              </w:rPr>
                              <m:t>o</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o</m:t>
                            </m:r>
                            <m:ctrlPr>
                              <w:rPr>
                                <w:rFonts w:ascii="Cambria Math" w:hAnsi="Cambria Math"/>
                                <w:i/>
                              </w:rPr>
                            </m:ctrlPr>
                          </m:sub>
                        </m:sSub>
                        <m:ctrlPr>
                          <w:rPr>
                            <w:rFonts w:ascii="Cambria Math" w:hAnsi="Cambria Math"/>
                            <w:i/>
                          </w:rPr>
                        </m:ctrlPr>
                      </m:e>
                    </m:d>
                    <m:ctrlPr>
                      <w:rPr>
                        <w:rFonts w:ascii="Cambria Math" w:hAnsi="Cambria Math"/>
                        <w:i/>
                      </w:rPr>
                    </m:ctrlPr>
                  </m:e>
                </m:nary>
                <m:ctrlPr>
                  <w:rPr>
                    <w:rFonts w:ascii="Cambria Math" w:hAnsi="Cambria Math"/>
                    <w:i/>
                  </w:rPr>
                </m:ctrlPr>
              </m:num>
              <m:den>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hint="eastAsia" w:ascii="Cambria Math" w:hAnsi="Cambria Math"/>
                      </w:rPr>
                      <m:t>t</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×100%</m:t>
        </m:r>
      </m:oMath>
      <w:r>
        <w:rPr>
          <w:rFonts w:ascii="微软雅黑" w:hAnsi="微软雅黑" w:eastAsia="微软雅黑"/>
        </w:rPr>
        <w:tab/>
      </w:r>
      <w:r>
        <w:t>(B.</w:t>
      </w:r>
      <w:r>
        <w:rPr>
          <w:rFonts w:hint="eastAsia"/>
        </w:rPr>
        <w:t>4</w:t>
      </w:r>
      <w:r>
        <w:t>)</w:t>
      </w:r>
    </w:p>
    <w:p>
      <w:pPr>
        <w:pStyle w:val="116"/>
        <w:spacing w:after="0" w:line="278" w:lineRule="auto"/>
        <w:ind w:firstLine="420" w:firstLineChars="200"/>
      </w:pPr>
      <w:r>
        <w:rPr>
          <w:rFonts w:hint="eastAsia"/>
        </w:rPr>
        <w:t>式中：</w:t>
      </w:r>
    </w:p>
    <w:p>
      <w:pPr>
        <w:pStyle w:val="116"/>
        <w:spacing w:after="0" w:line="278" w:lineRule="auto"/>
        <w:ind w:firstLine="420" w:firstLineChars="200"/>
      </w:pPr>
      <w:r>
        <w:rPr>
          <w:rFonts w:hint="eastAsia"/>
          <w:i/>
          <w:iCs/>
        </w:rPr>
        <w:t>R</w:t>
      </w:r>
      <w:r>
        <w:rPr>
          <w:rFonts w:hint="eastAsia"/>
          <w:i/>
          <w:iCs/>
          <w:vertAlign w:val="subscript"/>
        </w:rPr>
        <w:t>p</w:t>
      </w:r>
      <w:r>
        <w:rPr>
          <w:rFonts w:hint="eastAsia"/>
        </w:rPr>
        <w:t>——城镇公共供水可靠率；</w:t>
      </w:r>
    </w:p>
    <w:p>
      <w:pPr>
        <w:pStyle w:val="116"/>
        <w:spacing w:after="0" w:line="278" w:lineRule="auto"/>
        <w:ind w:firstLine="420" w:firstLineChars="200"/>
      </w:pPr>
      <w:r>
        <w:rPr>
          <w:rFonts w:hint="eastAsia"/>
          <w:i/>
          <w:iCs/>
        </w:rPr>
        <w:t>D</w:t>
      </w:r>
      <w:r>
        <w:rPr>
          <w:rFonts w:hint="eastAsia"/>
          <w:i/>
          <w:iCs/>
          <w:vertAlign w:val="subscript"/>
        </w:rPr>
        <w:t>o</w:t>
      </w:r>
      <w:r>
        <w:rPr>
          <w:rFonts w:hint="eastAsia"/>
        </w:rPr>
        <w:t>——每户平均停水时长，单位为小时；</w:t>
      </w:r>
      <w:r>
        <w:t xml:space="preserve"> </w:t>
      </w:r>
    </w:p>
    <w:p>
      <w:pPr>
        <w:pStyle w:val="116"/>
        <w:spacing w:after="0" w:line="278" w:lineRule="auto"/>
        <w:ind w:firstLine="420" w:firstLineChars="200"/>
      </w:pPr>
      <w:r>
        <w:rPr>
          <w:rFonts w:hint="eastAsia"/>
          <w:i/>
          <w:iCs/>
        </w:rPr>
        <w:t>Q</w:t>
      </w:r>
      <w:r>
        <w:rPr>
          <w:rFonts w:hint="eastAsia"/>
          <w:i/>
          <w:iCs/>
          <w:vertAlign w:val="subscript"/>
        </w:rPr>
        <w:t>o</w:t>
      </w:r>
      <w:r>
        <w:rPr>
          <w:rFonts w:hint="eastAsia"/>
        </w:rPr>
        <w:t>——每次停水用户数；</w:t>
      </w:r>
    </w:p>
    <w:p>
      <w:pPr>
        <w:pStyle w:val="116"/>
        <w:spacing w:after="0" w:line="278" w:lineRule="auto"/>
        <w:ind w:firstLine="420" w:firstLineChars="200"/>
      </w:pPr>
      <w:r>
        <w:rPr>
          <w:rFonts w:hint="eastAsia"/>
          <w:i/>
          <w:iCs/>
        </w:rPr>
        <w:t>D</w:t>
      </w:r>
      <w:r>
        <w:rPr>
          <w:rFonts w:hint="eastAsia"/>
          <w:i/>
          <w:iCs/>
          <w:vertAlign w:val="subscript"/>
        </w:rPr>
        <w:t>t</w:t>
      </w:r>
      <w:r>
        <w:rPr>
          <w:rFonts w:hint="eastAsia"/>
        </w:rPr>
        <w:t>——统计期总时长，单位为小时；</w:t>
      </w:r>
    </w:p>
    <w:p>
      <w:pPr>
        <w:pStyle w:val="116"/>
        <w:spacing w:after="0" w:line="278" w:lineRule="auto"/>
        <w:ind w:firstLine="420" w:firstLineChars="200"/>
        <w:rPr>
          <w:i/>
          <w:iCs/>
        </w:rPr>
      </w:pPr>
      <w:r>
        <w:rPr>
          <w:rFonts w:hint="eastAsia"/>
          <w:i/>
          <w:iCs/>
        </w:rPr>
        <w:t>Q</w:t>
      </w:r>
      <w:r>
        <w:rPr>
          <w:rFonts w:hint="eastAsia"/>
          <w:i/>
          <w:iCs/>
          <w:vertAlign w:val="subscript"/>
        </w:rPr>
        <w:t>t</w:t>
      </w:r>
      <w:r>
        <w:rPr>
          <w:rFonts w:hint="eastAsia"/>
        </w:rPr>
        <w:t>——评价区域内总用户数。</w:t>
      </w:r>
    </w:p>
    <w:p>
      <w:pPr>
        <w:pStyle w:val="81"/>
        <w:spacing w:before="156" w:after="156"/>
        <w:ind w:firstLine="420"/>
      </w:pPr>
      <w:bookmarkStart w:id="85" w:name="_Toc191565425"/>
      <w:r>
        <w:rPr>
          <w:rFonts w:hint="eastAsia"/>
        </w:rPr>
        <w:t>管网服务压力合格率</w:t>
      </w:r>
      <w:bookmarkEnd w:id="85"/>
    </w:p>
    <w:p>
      <w:pPr>
        <w:pStyle w:val="59"/>
        <w:ind w:firstLine="420"/>
      </w:pPr>
      <w:r>
        <w:rPr>
          <w:rFonts w:hint="eastAsia"/>
        </w:rPr>
        <w:t>城镇公共供水单位统计期内管网服务压力检验合格次数占检验总次数的比例。包括自动检测和人工检测；不包含因水源短缺或不可抗力引起突然爆管事件等造成局部地区出现降压断水的情况。管网服务压力合格率按照公式(B.</w:t>
      </w:r>
      <w:r>
        <w:t>5</w:t>
      </w:r>
      <w:r>
        <w:rPr>
          <w:rFonts w:hint="eastAsia"/>
        </w:rPr>
        <w:t>)计算。</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hint="eastAsia" w:ascii="Cambria Math" w:hAnsi="Cambria Math"/>
              </w:rPr>
              <m:t>q</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q</m:t>
                </m:r>
                <m:ctrlPr>
                  <w:rPr>
                    <w:rFonts w:ascii="Cambria Math" w:hAnsi="Cambria Math"/>
                    <w:i/>
                  </w:rPr>
                </m:ctrlPr>
              </m:sub>
            </m:sSub>
            <m:ctrlPr>
              <w:rPr>
                <w:rFonts w:ascii="Cambria Math" w:hAnsi="Cambria Math"/>
                <w:i/>
              </w:rPr>
            </m:ctrlPr>
          </m:num>
          <m:den>
            <m:r>
              <m:rPr/>
              <w:rPr>
                <w:rFonts w:ascii="Cambria Math" w:hAnsi="Cambria Math"/>
              </w:rPr>
              <m:t>T</m:t>
            </m:r>
            <m:ctrlPr>
              <w:rPr>
                <w:rFonts w:ascii="Cambria Math" w:hAnsi="Cambria Math"/>
                <w:i/>
              </w:rPr>
            </m:ctrlPr>
          </m:den>
        </m:f>
        <m:r>
          <m:rPr/>
          <w:rPr>
            <w:rFonts w:ascii="Cambria Math" w:hAnsi="Cambria Math"/>
          </w:rPr>
          <m:t>×100%</m:t>
        </m:r>
      </m:oMath>
      <w:r>
        <w:rPr>
          <w:rFonts w:ascii="微软雅黑" w:hAnsi="微软雅黑" w:eastAsia="微软雅黑"/>
        </w:rPr>
        <w:tab/>
      </w:r>
      <w:r>
        <w:t>(B.</w:t>
      </w:r>
      <w:r>
        <w:rPr>
          <w:rFonts w:hint="eastAsia"/>
        </w:rPr>
        <w:t>5</w:t>
      </w:r>
      <w:r>
        <w:t>)</w:t>
      </w:r>
    </w:p>
    <w:p>
      <w:pPr>
        <w:pStyle w:val="58"/>
        <w:spacing w:after="0" w:line="278" w:lineRule="auto"/>
        <w:ind w:firstLine="420"/>
      </w:pPr>
      <w:r>
        <w:rPr>
          <w:rFonts w:hint="eastAsia"/>
        </w:rPr>
        <w:t>式中：</w:t>
      </w:r>
    </w:p>
    <w:p>
      <w:pPr>
        <w:pStyle w:val="59"/>
        <w:spacing w:after="0"/>
        <w:ind w:firstLine="420"/>
      </w:pPr>
      <w:r>
        <w:rPr>
          <w:rFonts w:hint="eastAsia"/>
          <w:i/>
          <w:iCs/>
        </w:rPr>
        <w:t>R</w:t>
      </w:r>
      <w:r>
        <w:rPr>
          <w:rFonts w:hint="eastAsia"/>
          <w:i/>
          <w:iCs/>
          <w:vertAlign w:val="subscript"/>
        </w:rPr>
        <w:t>q</w:t>
      </w:r>
      <w:r>
        <w:rPr>
          <w:rFonts w:hint="eastAsia"/>
        </w:rPr>
        <w:t>——统计期内管网服务压力合格率；</w:t>
      </w:r>
    </w:p>
    <w:p>
      <w:pPr>
        <w:pStyle w:val="59"/>
        <w:spacing w:after="0"/>
        <w:ind w:firstLine="420"/>
      </w:pPr>
      <w:r>
        <w:rPr>
          <w:rFonts w:hint="eastAsia"/>
          <w:i/>
          <w:iCs/>
        </w:rPr>
        <w:t>T</w:t>
      </w:r>
      <w:r>
        <w:rPr>
          <w:rFonts w:hint="eastAsia"/>
          <w:i/>
          <w:iCs/>
          <w:vertAlign w:val="subscript"/>
        </w:rPr>
        <w:t>q</w:t>
      </w:r>
      <w:r>
        <w:rPr>
          <w:rFonts w:hint="eastAsia"/>
        </w:rPr>
        <w:t>——统计期内合格的管网服务压力检测次数；</w:t>
      </w:r>
    </w:p>
    <w:p>
      <w:pPr>
        <w:pStyle w:val="59"/>
        <w:spacing w:after="0"/>
        <w:ind w:firstLine="420"/>
      </w:pPr>
      <w:r>
        <w:rPr>
          <w:rFonts w:hint="eastAsia"/>
          <w:i/>
          <w:iCs/>
        </w:rPr>
        <w:t>T</w:t>
      </w:r>
      <w:r>
        <w:rPr>
          <w:rFonts w:hint="eastAsia"/>
        </w:rPr>
        <w:t>——统计期内管网服务压力检测次数。</w:t>
      </w:r>
    </w:p>
    <w:p>
      <w:pPr>
        <w:pStyle w:val="81"/>
        <w:spacing w:before="156" w:after="156"/>
        <w:ind w:firstLine="420"/>
      </w:pPr>
      <w:bookmarkStart w:id="86" w:name="_Toc191565426"/>
      <w:r>
        <w:rPr>
          <w:rFonts w:hint="eastAsia"/>
        </w:rPr>
        <w:t>服务热线接通率</w:t>
      </w:r>
      <w:bookmarkEnd w:id="86"/>
    </w:p>
    <w:p>
      <w:pPr>
        <w:pStyle w:val="59"/>
        <w:ind w:firstLine="420"/>
      </w:pPr>
      <w:r>
        <w:rPr>
          <w:rFonts w:hint="eastAsia"/>
        </w:rPr>
        <w:t>服务热线接通率按照公式(B.</w:t>
      </w:r>
      <w:r>
        <w:t>6</w:t>
      </w:r>
      <w:r>
        <w:rPr>
          <w:rFonts w:hint="eastAsia"/>
        </w:rPr>
        <w:t>)计算。</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eastAsia="MS Gothic" w:cs="MS Gothic"/>
                  </w:rPr>
                  <m:t>ℎ</m:t>
                </m:r>
                <m:ctrlPr>
                  <w:rPr>
                    <w:rFonts w:ascii="Cambria Math" w:hAnsi="Cambria Math"/>
                    <w:i/>
                  </w:rPr>
                </m:ctrlPr>
              </m:sub>
            </m:sSub>
            <m:ctrlPr>
              <w:rPr>
                <w:rFonts w:ascii="Cambria Math" w:hAnsi="Cambria Math"/>
                <w:i/>
              </w:rPr>
            </m:ctrlPr>
          </m:den>
        </m:f>
      </m:oMath>
      <w:r>
        <w:rPr>
          <w:rFonts w:ascii="微软雅黑" w:hAnsi="微软雅黑" w:eastAsia="微软雅黑"/>
        </w:rPr>
        <w:tab/>
      </w:r>
      <w:r>
        <w:t>(B.</w:t>
      </w:r>
      <w:r>
        <w:rPr>
          <w:rFonts w:hint="eastAsia"/>
        </w:rPr>
        <w:t>6</w:t>
      </w:r>
      <w:r>
        <w:t>)</w:t>
      </w:r>
    </w:p>
    <w:p>
      <w:pPr>
        <w:pStyle w:val="58"/>
        <w:spacing w:after="0" w:line="278" w:lineRule="auto"/>
        <w:ind w:firstLine="420"/>
      </w:pPr>
      <w:r>
        <w:rPr>
          <w:rFonts w:hint="eastAsia"/>
        </w:rPr>
        <w:t>式中：</w:t>
      </w:r>
    </w:p>
    <w:p>
      <w:pPr>
        <w:pStyle w:val="59"/>
        <w:spacing w:after="0"/>
        <w:ind w:firstLine="420"/>
      </w:pPr>
      <w:r>
        <w:rPr>
          <w:rFonts w:hint="eastAsia"/>
          <w:i/>
          <w:iCs/>
        </w:rPr>
        <w:t>R</w:t>
      </w:r>
      <w:r>
        <w:rPr>
          <w:rFonts w:hint="eastAsia"/>
          <w:i/>
          <w:iCs/>
          <w:vertAlign w:val="subscript"/>
        </w:rPr>
        <w:t>c</w:t>
      </w:r>
      <w:r>
        <w:rPr>
          <w:rFonts w:hint="eastAsia"/>
        </w:rPr>
        <w:t>——统计期内服务热线接通率；</w:t>
      </w:r>
    </w:p>
    <w:p>
      <w:pPr>
        <w:pStyle w:val="59"/>
        <w:spacing w:after="0"/>
        <w:ind w:firstLine="420"/>
      </w:pPr>
      <w:r>
        <w:rPr>
          <w:rFonts w:hint="eastAsia"/>
          <w:i/>
          <w:iCs/>
        </w:rPr>
        <w:t>Q</w:t>
      </w:r>
      <w:r>
        <w:rPr>
          <w:rFonts w:hint="eastAsia"/>
          <w:i/>
          <w:iCs/>
          <w:vertAlign w:val="subscript"/>
        </w:rPr>
        <w:t>p</w:t>
      </w:r>
      <w:r>
        <w:rPr>
          <w:rFonts w:hint="eastAsia"/>
        </w:rPr>
        <w:t>——统计期内在规定时限接起的电话量；</w:t>
      </w:r>
    </w:p>
    <w:p>
      <w:pPr>
        <w:pStyle w:val="59"/>
        <w:spacing w:after="0"/>
        <w:ind w:firstLine="420"/>
      </w:pPr>
      <w:r>
        <w:rPr>
          <w:rFonts w:hint="eastAsia"/>
          <w:i/>
          <w:iCs/>
        </w:rPr>
        <w:t>Q</w:t>
      </w:r>
      <w:r>
        <w:rPr>
          <w:rFonts w:hint="eastAsia"/>
          <w:i/>
          <w:iCs/>
          <w:vertAlign w:val="subscript"/>
        </w:rPr>
        <w:t>h</w:t>
      </w:r>
      <w:r>
        <w:rPr>
          <w:rFonts w:hint="eastAsia"/>
        </w:rPr>
        <w:t>——统计期内来电总量。</w:t>
      </w:r>
    </w:p>
    <w:p>
      <w:pPr>
        <w:pStyle w:val="81"/>
        <w:spacing w:before="156" w:after="156"/>
        <w:ind w:firstLine="420"/>
      </w:pPr>
      <w:bookmarkStart w:id="87" w:name="_Toc191565427"/>
      <w:r>
        <w:rPr>
          <w:rFonts w:hint="eastAsia"/>
        </w:rPr>
        <w:t>综合水表抄见率</w:t>
      </w:r>
      <w:bookmarkEnd w:id="87"/>
    </w:p>
    <w:p>
      <w:pPr>
        <w:pStyle w:val="59"/>
        <w:ind w:firstLine="420"/>
      </w:pPr>
      <w:r>
        <w:rPr>
          <w:rFonts w:hint="eastAsia"/>
        </w:rPr>
        <w:t>综合水表抄见率按照公式(B.</w:t>
      </w:r>
      <w:r>
        <w:t>7</w:t>
      </w:r>
      <w:r>
        <w:rPr>
          <w:rFonts w:hint="eastAsia"/>
        </w:rPr>
        <w:t>)计算。</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wr</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wr</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den>
        </m:f>
      </m:oMath>
      <w:r>
        <w:rPr>
          <w:rFonts w:ascii="微软雅黑" w:hAnsi="微软雅黑" w:eastAsia="微软雅黑"/>
        </w:rPr>
        <w:tab/>
      </w:r>
      <w:r>
        <w:t>(B.</w:t>
      </w:r>
      <w:r>
        <w:rPr>
          <w:rFonts w:hint="eastAsia"/>
        </w:rPr>
        <w:t>7</w:t>
      </w:r>
      <w:r>
        <w:t>)</w:t>
      </w:r>
    </w:p>
    <w:p>
      <w:pPr>
        <w:pStyle w:val="58"/>
        <w:spacing w:after="0" w:line="278" w:lineRule="auto"/>
        <w:ind w:firstLine="420"/>
      </w:pPr>
      <w:r>
        <w:rPr>
          <w:rFonts w:hint="eastAsia"/>
        </w:rPr>
        <w:t>式中：</w:t>
      </w:r>
    </w:p>
    <w:p>
      <w:pPr>
        <w:pStyle w:val="59"/>
        <w:spacing w:after="0"/>
        <w:ind w:firstLine="420"/>
      </w:pPr>
      <w:r>
        <w:rPr>
          <w:rFonts w:hint="eastAsia"/>
          <w:i/>
          <w:iCs/>
        </w:rPr>
        <w:t>R</w:t>
      </w:r>
      <w:r>
        <w:rPr>
          <w:rFonts w:hint="eastAsia"/>
          <w:i/>
          <w:iCs/>
          <w:vertAlign w:val="subscript"/>
        </w:rPr>
        <w:t>wr</w:t>
      </w:r>
      <w:r>
        <w:rPr>
          <w:rFonts w:hint="eastAsia"/>
        </w:rPr>
        <w:t>——综合水表抄见率；</w:t>
      </w:r>
    </w:p>
    <w:p>
      <w:pPr>
        <w:pStyle w:val="59"/>
        <w:spacing w:after="0"/>
        <w:ind w:firstLine="420"/>
      </w:pPr>
      <w:r>
        <w:rPr>
          <w:rFonts w:hint="eastAsia"/>
          <w:i/>
          <w:iCs/>
        </w:rPr>
        <w:t>Q</w:t>
      </w:r>
      <w:r>
        <w:rPr>
          <w:rFonts w:hint="eastAsia"/>
          <w:i/>
          <w:iCs/>
          <w:vertAlign w:val="subscript"/>
        </w:rPr>
        <w:t>wr</w:t>
      </w:r>
      <w:r>
        <w:rPr>
          <w:rFonts w:hint="eastAsia"/>
        </w:rPr>
        <w:t>——统计期内抄见1次及以上的表数；</w:t>
      </w:r>
    </w:p>
    <w:p>
      <w:pPr>
        <w:pStyle w:val="59"/>
        <w:spacing w:after="0"/>
        <w:ind w:firstLine="420"/>
      </w:pPr>
      <w:r>
        <w:rPr>
          <w:rFonts w:hint="eastAsia"/>
          <w:i/>
          <w:iCs/>
        </w:rPr>
        <w:t>Q</w:t>
      </w:r>
      <w:r>
        <w:rPr>
          <w:rFonts w:hint="eastAsia"/>
          <w:i/>
          <w:iCs/>
          <w:vertAlign w:val="subscript"/>
        </w:rPr>
        <w:t>w</w:t>
      </w:r>
      <w:r>
        <w:rPr>
          <w:rFonts w:hint="eastAsia"/>
        </w:rPr>
        <w:t>——统计期内应查的水表总数。</w:t>
      </w:r>
    </w:p>
    <w:p>
      <w:pPr>
        <w:pStyle w:val="81"/>
        <w:spacing w:before="156" w:after="156"/>
        <w:ind w:firstLine="420"/>
      </w:pPr>
      <w:bookmarkStart w:id="88" w:name="_Toc191565428"/>
      <w:r>
        <w:rPr>
          <w:rFonts w:hint="eastAsia"/>
        </w:rPr>
        <w:t>诉求响应率</w:t>
      </w:r>
      <w:bookmarkEnd w:id="88"/>
    </w:p>
    <w:p>
      <w:pPr>
        <w:pStyle w:val="59"/>
        <w:ind w:firstLine="420"/>
      </w:pPr>
      <w:r>
        <w:rPr>
          <w:rFonts w:hint="eastAsia"/>
        </w:rPr>
        <w:t>诉求响应率按照公式(B.8)计算。</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a</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c</m:t>
                </m:r>
                <m:ctrlPr>
                  <w:rPr>
                    <w:rFonts w:ascii="Cambria Math" w:hAnsi="Cambria Math"/>
                    <w:i/>
                  </w:rPr>
                </m:ctrlPr>
              </m:sub>
            </m:sSub>
            <m:ctrlPr>
              <w:rPr>
                <w:rFonts w:ascii="Cambria Math" w:hAnsi="Cambria Math"/>
                <w:i/>
              </w:rPr>
            </m:ctrlPr>
          </m:den>
        </m:f>
      </m:oMath>
      <w:r>
        <w:rPr>
          <w:rFonts w:ascii="微软雅黑" w:hAnsi="微软雅黑" w:eastAsia="微软雅黑"/>
        </w:rPr>
        <w:tab/>
      </w:r>
      <w:r>
        <w:t>(B.</w:t>
      </w:r>
      <w:r>
        <w:rPr>
          <w:rFonts w:hint="eastAsia"/>
        </w:rPr>
        <w:t>8</w:t>
      </w:r>
      <w:r>
        <w:t>)</w:t>
      </w:r>
    </w:p>
    <w:p>
      <w:pPr>
        <w:pStyle w:val="58"/>
        <w:spacing w:after="0" w:line="278" w:lineRule="auto"/>
        <w:ind w:firstLine="420"/>
      </w:pPr>
      <w:r>
        <w:rPr>
          <w:rFonts w:hint="eastAsia"/>
        </w:rPr>
        <w:t>式中：</w:t>
      </w:r>
    </w:p>
    <w:p>
      <w:pPr>
        <w:pStyle w:val="59"/>
        <w:spacing w:after="0"/>
        <w:ind w:firstLine="420"/>
      </w:pPr>
      <w:r>
        <w:rPr>
          <w:rFonts w:hint="eastAsia"/>
          <w:i/>
          <w:iCs/>
        </w:rPr>
        <w:t>R</w:t>
      </w:r>
      <w:r>
        <w:rPr>
          <w:rFonts w:hint="eastAsia"/>
          <w:i/>
          <w:iCs/>
          <w:vertAlign w:val="subscript"/>
        </w:rPr>
        <w:t>a</w:t>
      </w:r>
      <w:r>
        <w:rPr>
          <w:rFonts w:hint="eastAsia"/>
        </w:rPr>
        <w:t>——统计期内诉求响应率；</w:t>
      </w:r>
    </w:p>
    <w:p>
      <w:pPr>
        <w:pStyle w:val="59"/>
        <w:spacing w:after="0"/>
        <w:ind w:firstLine="420"/>
      </w:pPr>
      <w:r>
        <w:rPr>
          <w:rFonts w:hint="eastAsia"/>
          <w:i/>
          <w:iCs/>
        </w:rPr>
        <w:t>Q</w:t>
      </w:r>
      <w:r>
        <w:rPr>
          <w:rFonts w:hint="eastAsia"/>
          <w:i/>
          <w:iCs/>
          <w:vertAlign w:val="subscript"/>
        </w:rPr>
        <w:t>a</w:t>
      </w:r>
      <w:r>
        <w:rPr>
          <w:rFonts w:hint="eastAsia"/>
        </w:rPr>
        <w:t>——统计期内在规定时限响应的诉求数量；</w:t>
      </w:r>
    </w:p>
    <w:p>
      <w:pPr>
        <w:pStyle w:val="59"/>
        <w:spacing w:after="0"/>
        <w:ind w:firstLine="420"/>
      </w:pPr>
      <w:r>
        <w:rPr>
          <w:rFonts w:hint="eastAsia"/>
          <w:i/>
          <w:iCs/>
        </w:rPr>
        <w:t>Q</w:t>
      </w:r>
      <w:r>
        <w:rPr>
          <w:rFonts w:hint="eastAsia"/>
          <w:i/>
          <w:iCs/>
          <w:vertAlign w:val="subscript"/>
        </w:rPr>
        <w:t>c</w:t>
      </w:r>
      <w:r>
        <w:rPr>
          <w:rFonts w:hint="eastAsia"/>
        </w:rPr>
        <w:t>——统计期内诉求总数量。</w:t>
      </w:r>
    </w:p>
    <w:p>
      <w:pPr>
        <w:pStyle w:val="81"/>
        <w:spacing w:before="156" w:after="156"/>
        <w:ind w:firstLine="420"/>
      </w:pPr>
      <w:bookmarkStart w:id="89" w:name="_Toc191565429"/>
      <w:r>
        <w:rPr>
          <w:rFonts w:hint="eastAsia"/>
        </w:rPr>
        <w:t>合理诉求解决率</w:t>
      </w:r>
      <w:bookmarkEnd w:id="89"/>
    </w:p>
    <w:p>
      <w:pPr>
        <w:pStyle w:val="59"/>
        <w:ind w:firstLine="420"/>
      </w:pPr>
      <w:r>
        <w:rPr>
          <w:rFonts w:hint="eastAsia"/>
        </w:rPr>
        <w:t>合理诉求解决率按照</w:t>
      </w:r>
      <w:r>
        <w:t>公式(B.9)</w:t>
      </w:r>
      <w:r>
        <w:rPr>
          <w:rFonts w:hint="eastAsia"/>
        </w:rPr>
        <w:t>计算。</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r</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r</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c</m:t>
                </m:r>
                <m:ctrlPr>
                  <w:rPr>
                    <w:rFonts w:ascii="Cambria Math" w:hAnsi="Cambria Math"/>
                    <w:i/>
                  </w:rPr>
                </m:ctrlPr>
              </m:sub>
            </m:sSub>
            <m:ctrlPr>
              <w:rPr>
                <w:rFonts w:ascii="Cambria Math" w:hAnsi="Cambria Math"/>
                <w:i/>
              </w:rPr>
            </m:ctrlPr>
          </m:den>
        </m:f>
      </m:oMath>
      <w:r>
        <w:rPr>
          <w:rFonts w:ascii="微软雅黑" w:hAnsi="微软雅黑" w:eastAsia="微软雅黑"/>
        </w:rPr>
        <w:tab/>
      </w:r>
      <w:r>
        <w:t>(B.</w:t>
      </w:r>
      <w:r>
        <w:rPr>
          <w:rFonts w:hint="eastAsia"/>
        </w:rPr>
        <w:t>9</w:t>
      </w:r>
      <w:r>
        <w:t>)</w:t>
      </w:r>
    </w:p>
    <w:p>
      <w:pPr>
        <w:pStyle w:val="58"/>
        <w:spacing w:after="0" w:line="278" w:lineRule="auto"/>
        <w:ind w:firstLine="420"/>
      </w:pPr>
      <w:r>
        <w:rPr>
          <w:rFonts w:hint="eastAsia"/>
        </w:rPr>
        <w:t>式中：</w:t>
      </w:r>
    </w:p>
    <w:p>
      <w:pPr>
        <w:pStyle w:val="59"/>
        <w:spacing w:after="0"/>
        <w:ind w:firstLine="420"/>
      </w:pPr>
      <w:r>
        <w:rPr>
          <w:rFonts w:hint="eastAsia"/>
          <w:i/>
          <w:iCs/>
        </w:rPr>
        <w:t>R</w:t>
      </w:r>
      <w:r>
        <w:rPr>
          <w:rFonts w:hint="eastAsia"/>
          <w:i/>
          <w:iCs/>
          <w:vertAlign w:val="subscript"/>
        </w:rPr>
        <w:t>r</w:t>
      </w:r>
      <w:r>
        <w:rPr>
          <w:rFonts w:hint="eastAsia"/>
        </w:rPr>
        <w:t>——统计期内合理诉求解决率；</w:t>
      </w:r>
    </w:p>
    <w:p>
      <w:pPr>
        <w:pStyle w:val="59"/>
        <w:spacing w:after="0"/>
        <w:ind w:firstLine="420"/>
      </w:pPr>
      <w:r>
        <w:rPr>
          <w:rFonts w:hint="eastAsia"/>
          <w:i/>
          <w:iCs/>
        </w:rPr>
        <w:t>Q</w:t>
      </w:r>
      <w:r>
        <w:rPr>
          <w:rFonts w:hint="eastAsia"/>
          <w:i/>
          <w:iCs/>
          <w:vertAlign w:val="subscript"/>
        </w:rPr>
        <w:t>r</w:t>
      </w:r>
      <w:r>
        <w:rPr>
          <w:rFonts w:hint="eastAsia"/>
        </w:rPr>
        <w:t>——统计期内合理诉求数的解决数量；</w:t>
      </w:r>
    </w:p>
    <w:p>
      <w:pPr>
        <w:pStyle w:val="59"/>
        <w:spacing w:after="0"/>
        <w:ind w:firstLine="420"/>
      </w:pPr>
      <w:r>
        <w:rPr>
          <w:rFonts w:hint="eastAsia"/>
          <w:i/>
          <w:iCs/>
        </w:rPr>
        <w:t>Q</w:t>
      </w:r>
      <w:r>
        <w:rPr>
          <w:rFonts w:hint="eastAsia"/>
          <w:i/>
          <w:iCs/>
          <w:vertAlign w:val="subscript"/>
        </w:rPr>
        <w:t>c</w:t>
      </w:r>
      <w:r>
        <w:rPr>
          <w:rFonts w:hint="eastAsia"/>
        </w:rPr>
        <w:t>——统计期内合理诉求总数量。</w:t>
      </w:r>
    </w:p>
    <w:p>
      <w:pPr>
        <w:pStyle w:val="81"/>
        <w:spacing w:before="156" w:after="156"/>
        <w:ind w:firstLine="420"/>
      </w:pPr>
      <w:bookmarkStart w:id="90" w:name="_Toc191565430"/>
      <w:r>
        <w:rPr>
          <w:rFonts w:hint="eastAsia"/>
        </w:rPr>
        <w:t>合理诉求满意率</w:t>
      </w:r>
      <w:bookmarkEnd w:id="90"/>
    </w:p>
    <w:p>
      <w:pPr>
        <w:pStyle w:val="59"/>
        <w:ind w:firstLine="420"/>
      </w:pPr>
      <w:r>
        <w:rPr>
          <w:rFonts w:hint="eastAsia"/>
        </w:rPr>
        <w:t>依据城镇公共供水单位回访过程中诉求人反馈的合理诉求处理结果计算，合理诉求处理结果分为“满意”和“不满意”两个评价维度。合理诉求满意率按照</w:t>
      </w:r>
      <w:r>
        <w:t>公式(B.10)</w:t>
      </w:r>
      <w:r>
        <w:rPr>
          <w:rFonts w:hint="eastAsia"/>
        </w:rPr>
        <w:t>计算。</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Q</m:t>
                </m:r>
                <m:ctrlPr>
                  <w:rPr>
                    <w:rFonts w:ascii="Cambria Math" w:hAnsi="Cambria Math"/>
                    <w:i/>
                  </w:rPr>
                </m:ctrlPr>
              </m:e>
              <m:sub>
                <m:r>
                  <m:rPr/>
                  <w:rPr>
                    <w:rFonts w:hint="eastAsia" w:ascii="Cambria Math" w:hAnsi="Cambria Math"/>
                  </w:rPr>
                  <m:t>d</m:t>
                </m:r>
                <m:ctrlPr>
                  <w:rPr>
                    <w:rFonts w:ascii="Cambria Math" w:hAnsi="Cambria Math"/>
                    <w:i/>
                  </w:rPr>
                </m:ctrlPr>
              </m:sub>
            </m:sSub>
            <m:ctrlPr>
              <w:rPr>
                <w:rFonts w:ascii="Cambria Math" w:hAnsi="Cambria Math"/>
                <w:i/>
              </w:rPr>
            </m:ctrlPr>
          </m:den>
        </m:f>
      </m:oMath>
      <w:r>
        <w:rPr>
          <w:rFonts w:ascii="微软雅黑" w:hAnsi="微软雅黑" w:eastAsia="微软雅黑"/>
        </w:rPr>
        <w:tab/>
      </w:r>
      <w:r>
        <w:t>(B.</w:t>
      </w:r>
      <w:r>
        <w:rPr>
          <w:rFonts w:hint="eastAsia"/>
        </w:rPr>
        <w:t>10</w:t>
      </w:r>
      <w:r>
        <w:t>)</w:t>
      </w:r>
    </w:p>
    <w:p>
      <w:pPr>
        <w:pStyle w:val="58"/>
        <w:spacing w:after="0" w:line="278" w:lineRule="auto"/>
        <w:ind w:firstLine="420"/>
      </w:pPr>
      <w:r>
        <w:rPr>
          <w:rFonts w:hint="eastAsia"/>
        </w:rPr>
        <w:t>式中：</w:t>
      </w:r>
    </w:p>
    <w:p>
      <w:pPr>
        <w:pStyle w:val="59"/>
        <w:spacing w:after="0"/>
        <w:ind w:firstLine="420"/>
      </w:pPr>
      <w:r>
        <w:rPr>
          <w:rFonts w:hint="eastAsia"/>
          <w:i/>
          <w:iCs/>
        </w:rPr>
        <w:t>R</w:t>
      </w:r>
      <w:r>
        <w:rPr>
          <w:rFonts w:hint="eastAsia"/>
          <w:i/>
          <w:iCs/>
          <w:vertAlign w:val="subscript"/>
        </w:rPr>
        <w:t>s</w:t>
      </w:r>
      <w:r>
        <w:rPr>
          <w:rFonts w:hint="eastAsia"/>
        </w:rPr>
        <w:t>——统计期内合理诉求满意率；</w:t>
      </w:r>
    </w:p>
    <w:p>
      <w:pPr>
        <w:pStyle w:val="59"/>
        <w:spacing w:after="0"/>
        <w:ind w:firstLine="420"/>
      </w:pPr>
      <w:r>
        <w:rPr>
          <w:rFonts w:hint="eastAsia"/>
          <w:i/>
          <w:iCs/>
        </w:rPr>
        <w:t>Q</w:t>
      </w:r>
      <w:r>
        <w:rPr>
          <w:rFonts w:hint="eastAsia"/>
          <w:i/>
          <w:iCs/>
          <w:vertAlign w:val="subscript"/>
        </w:rPr>
        <w:t>s</w:t>
      </w:r>
      <w:r>
        <w:rPr>
          <w:rFonts w:hint="eastAsia"/>
        </w:rPr>
        <w:t>——统计期内处理结果为满意的合理诉求数量；</w:t>
      </w:r>
    </w:p>
    <w:p>
      <w:pPr>
        <w:pStyle w:val="59"/>
        <w:spacing w:after="0"/>
        <w:ind w:firstLine="420"/>
      </w:pPr>
      <w:r>
        <w:rPr>
          <w:rFonts w:hint="eastAsia"/>
          <w:i/>
          <w:iCs/>
        </w:rPr>
        <w:t>Q</w:t>
      </w:r>
      <w:r>
        <w:rPr>
          <w:rFonts w:hint="eastAsia"/>
          <w:i/>
          <w:iCs/>
          <w:vertAlign w:val="subscript"/>
        </w:rPr>
        <w:t>d</w:t>
      </w:r>
      <w:r>
        <w:rPr>
          <w:rFonts w:hint="eastAsia"/>
        </w:rPr>
        <w:t>——统计期内处理的合理诉求总数量。</w:t>
      </w:r>
    </w:p>
    <w:p>
      <w:pPr>
        <w:pStyle w:val="59"/>
        <w:ind w:firstLine="420"/>
      </w:pPr>
    </w:p>
    <w:p>
      <w:pPr>
        <w:pStyle w:val="59"/>
        <w:ind w:firstLine="420"/>
        <w:sectPr>
          <w:pgSz w:w="11906" w:h="16838"/>
          <w:pgMar w:top="1928" w:right="1134" w:bottom="1134" w:left="1134" w:header="1418" w:footer="1134" w:gutter="284"/>
          <w:cols w:space="425" w:num="1"/>
          <w:formProt w:val="0"/>
          <w:docGrid w:type="lines" w:linePitch="312" w:charSpace="0"/>
        </w:sectPr>
      </w:pPr>
    </w:p>
    <w:p>
      <w:pPr>
        <w:pStyle w:val="201"/>
        <w:rPr>
          <w:vanish w:val="0"/>
        </w:rPr>
      </w:pPr>
    </w:p>
    <w:p>
      <w:pPr>
        <w:pStyle w:val="202"/>
        <w:rPr>
          <w:vanish w:val="0"/>
        </w:rPr>
      </w:pPr>
    </w:p>
    <w:p>
      <w:pPr>
        <w:pStyle w:val="79"/>
        <w:spacing w:after="156"/>
      </w:pPr>
      <w:r>
        <w:br w:type="textWrapping"/>
      </w:r>
      <w:bookmarkStart w:id="91" w:name="_Toc191565519"/>
      <w:bookmarkStart w:id="92" w:name="_Toc191565431"/>
      <w:r>
        <w:rPr>
          <w:rFonts w:hint="eastAsia"/>
        </w:rPr>
        <w:t>（资料性）</w:t>
      </w:r>
      <w:r>
        <w:br w:type="textWrapping"/>
      </w:r>
      <w:r>
        <w:rPr>
          <w:rFonts w:hint="eastAsia"/>
        </w:rPr>
        <w:t>城镇公共供水单位服务质量评价主要内容</w:t>
      </w:r>
      <w:bookmarkEnd w:id="91"/>
      <w:bookmarkEnd w:id="92"/>
    </w:p>
    <w:p>
      <w:pPr>
        <w:pStyle w:val="59"/>
        <w:ind w:firstLine="420"/>
      </w:pPr>
      <w:r>
        <w:rPr>
          <w:rFonts w:hint="eastAsia"/>
        </w:rPr>
        <w:t>城镇公共供水单位服务质量评价主要内容见表C.1。</w:t>
      </w:r>
    </w:p>
    <w:p>
      <w:pPr>
        <w:pStyle w:val="80"/>
        <w:spacing w:before="156" w:after="156"/>
      </w:pPr>
      <w:r>
        <w:rPr>
          <w:rFonts w:hint="eastAsia"/>
        </w:rPr>
        <w:t>城镇公共供水单位服务质量评价主要内容</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7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shd w:val="clear" w:color="auto" w:fill="auto"/>
            <w:vAlign w:val="center"/>
          </w:tcPr>
          <w:p>
            <w:pPr>
              <w:pStyle w:val="181"/>
              <w:spacing w:after="0"/>
            </w:pPr>
            <w:r>
              <w:rPr>
                <w:rFonts w:hint="eastAsia"/>
              </w:rPr>
              <w:t>指标类型</w:t>
            </w:r>
          </w:p>
        </w:tc>
        <w:tc>
          <w:tcPr>
            <w:tcW w:w="7643" w:type="dxa"/>
            <w:tcBorders>
              <w:top w:val="single" w:color="auto" w:sz="8" w:space="0"/>
              <w:bottom w:val="single" w:color="auto" w:sz="8" w:space="0"/>
            </w:tcBorders>
            <w:shd w:val="clear" w:color="auto" w:fill="auto"/>
            <w:vAlign w:val="center"/>
          </w:tcPr>
          <w:p>
            <w:pPr>
              <w:pStyle w:val="181"/>
              <w:spacing w:after="0"/>
            </w:pPr>
            <w:r>
              <w:rPr>
                <w:rFonts w:hint="eastAsia"/>
              </w:rPr>
              <w:t>指标内容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restart"/>
            <w:tcBorders>
              <w:top w:val="single" w:color="auto" w:sz="8" w:space="0"/>
            </w:tcBorders>
            <w:shd w:val="clear" w:color="auto" w:fill="auto"/>
            <w:vAlign w:val="center"/>
          </w:tcPr>
          <w:p>
            <w:pPr>
              <w:pStyle w:val="181"/>
              <w:spacing w:after="0"/>
            </w:pPr>
            <w:r>
              <w:rPr>
                <w:rFonts w:hint="eastAsia"/>
              </w:rPr>
              <w:t>约束性指标</w:t>
            </w:r>
          </w:p>
        </w:tc>
        <w:tc>
          <w:tcPr>
            <w:tcW w:w="7643" w:type="dxa"/>
            <w:tcBorders>
              <w:top w:val="single" w:color="auto" w:sz="8" w:space="0"/>
            </w:tcBorders>
            <w:shd w:val="clear" w:color="auto" w:fill="auto"/>
            <w:vAlign w:val="center"/>
          </w:tcPr>
          <w:p>
            <w:pPr>
              <w:pStyle w:val="181"/>
              <w:spacing w:after="0"/>
              <w:jc w:val="both"/>
            </w:pPr>
            <w:r>
              <w:rPr>
                <w:rFonts w:hint="eastAsia" w:hAnsi="宋体"/>
                <w:szCs w:val="18"/>
              </w:rPr>
              <w:t>按照规定频率和项目检测出厂水水质，且出厂水样品达标率</w:t>
            </w:r>
            <w:r>
              <w:rPr>
                <w:rFonts w:hint="eastAsia"/>
              </w:rPr>
              <w:t>≥</w:t>
            </w:r>
            <w:r>
              <w:rPr>
                <w:rFonts w:hint="eastAsia" w:hAnsi="宋体"/>
                <w:szCs w:val="18"/>
              </w:rPr>
              <w:t>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continue"/>
            <w:shd w:val="clear" w:color="auto" w:fill="auto"/>
            <w:vAlign w:val="center"/>
          </w:tcPr>
          <w:p>
            <w:pPr>
              <w:pStyle w:val="181"/>
              <w:spacing w:after="0"/>
            </w:pPr>
          </w:p>
        </w:tc>
        <w:tc>
          <w:tcPr>
            <w:tcW w:w="7643" w:type="dxa"/>
            <w:shd w:val="clear" w:color="auto" w:fill="auto"/>
            <w:vAlign w:val="center"/>
          </w:tcPr>
          <w:p>
            <w:pPr>
              <w:pStyle w:val="181"/>
              <w:spacing w:after="0"/>
              <w:jc w:val="both"/>
            </w:pPr>
            <w:r>
              <w:rPr>
                <w:rFonts w:hint="eastAsia" w:hAnsi="宋体"/>
                <w:szCs w:val="18"/>
              </w:rPr>
              <w:t>按照规定频率和项目检测管网水水质，且管网水样品达标率</w:t>
            </w:r>
            <w:r>
              <w:rPr>
                <w:rFonts w:hint="eastAsia"/>
              </w:rPr>
              <w:t>≥</w:t>
            </w:r>
            <w:r>
              <w:rPr>
                <w:rFonts w:hint="eastAsia" w:hAnsi="宋体"/>
                <w:szCs w:val="18"/>
              </w:rPr>
              <w:t>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691" w:type="dxa"/>
            <w:vMerge w:val="continue"/>
            <w:shd w:val="clear" w:color="auto" w:fill="auto"/>
            <w:vAlign w:val="center"/>
          </w:tcPr>
          <w:p>
            <w:pPr>
              <w:pStyle w:val="181"/>
              <w:spacing w:after="0"/>
            </w:pPr>
          </w:p>
        </w:tc>
        <w:tc>
          <w:tcPr>
            <w:tcW w:w="7643" w:type="dxa"/>
            <w:shd w:val="clear" w:color="auto" w:fill="auto"/>
            <w:vAlign w:val="center"/>
          </w:tcPr>
          <w:p>
            <w:pPr>
              <w:pStyle w:val="181"/>
              <w:spacing w:after="0"/>
              <w:jc w:val="both"/>
              <w:rPr>
                <w:rFonts w:hAnsi="宋体"/>
                <w:szCs w:val="18"/>
              </w:rPr>
            </w:pPr>
            <w:r>
              <w:rPr>
                <w:rFonts w:hint="eastAsia" w:hAnsi="宋体"/>
                <w:szCs w:val="18"/>
              </w:rPr>
              <w:t>按照规定频率和项目检测公共供水管网末梢水质，且公共供水管网末梢水样品达标率</w:t>
            </w:r>
            <w:r>
              <w:rPr>
                <w:rFonts w:hint="eastAsia"/>
              </w:rPr>
              <w:t>≥</w:t>
            </w:r>
            <w:r>
              <w:rPr>
                <w:rFonts w:hint="eastAsia" w:hAnsi="宋体"/>
                <w:szCs w:val="18"/>
              </w:rPr>
              <w:t>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continue"/>
            <w:shd w:val="clear" w:color="auto" w:fill="auto"/>
            <w:vAlign w:val="center"/>
          </w:tcPr>
          <w:p>
            <w:pPr>
              <w:pStyle w:val="181"/>
              <w:spacing w:after="0"/>
            </w:pPr>
          </w:p>
        </w:tc>
        <w:tc>
          <w:tcPr>
            <w:tcW w:w="7643" w:type="dxa"/>
            <w:shd w:val="clear" w:color="auto" w:fill="auto"/>
            <w:vAlign w:val="center"/>
          </w:tcPr>
          <w:p>
            <w:pPr>
              <w:pStyle w:val="181"/>
              <w:spacing w:after="0"/>
              <w:jc w:val="both"/>
              <w:rPr>
                <w:rFonts w:hAnsi="宋体"/>
                <w:szCs w:val="18"/>
              </w:rPr>
            </w:pPr>
            <w:r>
              <w:rPr>
                <w:rFonts w:hint="eastAsia" w:hAnsi="宋体"/>
                <w:szCs w:val="18"/>
              </w:rPr>
              <w:t>城镇公共供水可靠率≥95%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continue"/>
            <w:shd w:val="clear" w:color="auto" w:fill="auto"/>
            <w:vAlign w:val="center"/>
          </w:tcPr>
          <w:p>
            <w:pPr>
              <w:pStyle w:val="181"/>
              <w:spacing w:after="0"/>
            </w:pPr>
          </w:p>
        </w:tc>
        <w:tc>
          <w:tcPr>
            <w:tcW w:w="7643" w:type="dxa"/>
            <w:shd w:val="clear" w:color="auto" w:fill="auto"/>
            <w:vAlign w:val="center"/>
          </w:tcPr>
          <w:p>
            <w:pPr>
              <w:pStyle w:val="181"/>
              <w:spacing w:after="0"/>
              <w:jc w:val="both"/>
            </w:pPr>
            <w:r>
              <w:rPr>
                <w:rFonts w:hint="eastAsia" w:hAnsi="宋体"/>
                <w:szCs w:val="18"/>
              </w:rPr>
              <w:t>管网服务压力合格率≥</w:t>
            </w:r>
            <w:r>
              <w:rPr>
                <w:rFonts w:hAnsi="宋体"/>
                <w:szCs w:val="18"/>
              </w:rPr>
              <w:t>9</w:t>
            </w:r>
            <w:r>
              <w:rPr>
                <w:rFonts w:hint="eastAsia" w:hAnsi="宋体"/>
                <w:szCs w:val="18"/>
              </w:rPr>
              <w:t>8</w:t>
            </w:r>
            <w:r>
              <w:rPr>
                <w:rFonts w:hAnsi="宋体"/>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continue"/>
            <w:shd w:val="clear" w:color="auto" w:fill="auto"/>
            <w:vAlign w:val="center"/>
          </w:tcPr>
          <w:p>
            <w:pPr>
              <w:pStyle w:val="181"/>
              <w:spacing w:after="0"/>
            </w:pPr>
          </w:p>
        </w:tc>
        <w:tc>
          <w:tcPr>
            <w:tcW w:w="7643" w:type="dxa"/>
            <w:shd w:val="clear" w:color="auto" w:fill="auto"/>
            <w:vAlign w:val="center"/>
          </w:tcPr>
          <w:p>
            <w:pPr>
              <w:pStyle w:val="181"/>
              <w:spacing w:after="0"/>
              <w:jc w:val="both"/>
            </w:pPr>
            <w:r>
              <w:rPr>
                <w:rFonts w:hint="eastAsia" w:hAnsi="宋体"/>
                <w:color w:val="000000" w:themeColor="text1"/>
                <w:szCs w:val="18"/>
                <w14:textFill>
                  <w14:solidFill>
                    <w14:schemeClr w14:val="tx1"/>
                  </w14:solidFill>
                </w14:textFill>
              </w:rPr>
              <w:t>按规定设立营业厅、服务电话等服务渠道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continue"/>
            <w:shd w:val="clear" w:color="auto" w:fill="auto"/>
            <w:vAlign w:val="center"/>
          </w:tcPr>
          <w:p>
            <w:pPr>
              <w:pStyle w:val="181"/>
              <w:spacing w:after="0"/>
            </w:pPr>
          </w:p>
        </w:tc>
        <w:tc>
          <w:tcPr>
            <w:tcW w:w="7643" w:type="dxa"/>
            <w:shd w:val="clear" w:color="auto" w:fill="auto"/>
            <w:vAlign w:val="center"/>
          </w:tcPr>
          <w:p>
            <w:pPr>
              <w:pStyle w:val="181"/>
              <w:spacing w:after="0"/>
              <w:jc w:val="both"/>
            </w:pPr>
            <w:r>
              <w:rPr>
                <w:rFonts w:hint="eastAsia" w:hAnsi="宋体"/>
                <w:szCs w:val="18"/>
              </w:rPr>
              <w:t>建立应急指挥机构、应急抢修队伍、应急救援队伍，配备应急物资，按照应急预案定期演练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continue"/>
            <w:shd w:val="clear" w:color="auto" w:fill="auto"/>
            <w:vAlign w:val="center"/>
          </w:tcPr>
          <w:p>
            <w:pPr>
              <w:pStyle w:val="181"/>
              <w:spacing w:after="0"/>
            </w:pPr>
          </w:p>
        </w:tc>
        <w:tc>
          <w:tcPr>
            <w:tcW w:w="7643" w:type="dxa"/>
            <w:shd w:val="clear" w:color="auto" w:fill="auto"/>
            <w:vAlign w:val="center"/>
          </w:tcPr>
          <w:p>
            <w:pPr>
              <w:pStyle w:val="181"/>
              <w:spacing w:after="0"/>
              <w:jc w:val="both"/>
            </w:pPr>
            <w:r>
              <w:rPr>
                <w:rFonts w:hint="eastAsia" w:hAnsi="宋体"/>
                <w:szCs w:val="18"/>
              </w:rPr>
              <w:t>按要求公开服务信息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continue"/>
            <w:shd w:val="clear" w:color="auto" w:fill="auto"/>
            <w:vAlign w:val="center"/>
          </w:tcPr>
          <w:p>
            <w:pPr>
              <w:pStyle w:val="181"/>
              <w:spacing w:after="0"/>
            </w:pPr>
          </w:p>
        </w:tc>
        <w:tc>
          <w:tcPr>
            <w:tcW w:w="7643" w:type="dxa"/>
            <w:shd w:val="clear" w:color="auto" w:fill="auto"/>
            <w:vAlign w:val="center"/>
          </w:tcPr>
          <w:p>
            <w:pPr>
              <w:pStyle w:val="181"/>
              <w:spacing w:after="0"/>
              <w:jc w:val="both"/>
            </w:pPr>
            <w:r>
              <w:rPr>
                <w:rFonts w:hint="eastAsia" w:hAnsi="宋体"/>
                <w:szCs w:val="18"/>
              </w:rPr>
              <w:t>按要求开展服务质量评价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restart"/>
            <w:shd w:val="clear" w:color="auto" w:fill="auto"/>
            <w:vAlign w:val="center"/>
          </w:tcPr>
          <w:p>
            <w:pPr>
              <w:pStyle w:val="181"/>
              <w:spacing w:after="0"/>
            </w:pPr>
            <w:r>
              <w:rPr>
                <w:rFonts w:hint="eastAsia"/>
              </w:rPr>
              <w:t>绩效性指标</w:t>
            </w:r>
          </w:p>
        </w:tc>
        <w:tc>
          <w:tcPr>
            <w:tcW w:w="7643" w:type="dxa"/>
            <w:shd w:val="clear" w:color="auto" w:fill="auto"/>
            <w:vAlign w:val="center"/>
          </w:tcPr>
          <w:p>
            <w:pPr>
              <w:pStyle w:val="181"/>
              <w:spacing w:after="0"/>
              <w:jc w:val="both"/>
            </w:pPr>
            <w:r>
              <w:rPr>
                <w:rFonts w:hint="eastAsia"/>
              </w:rPr>
              <w:t>服务热线接通率≥90%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continue"/>
            <w:shd w:val="clear" w:color="auto" w:fill="auto"/>
            <w:vAlign w:val="center"/>
          </w:tcPr>
          <w:p>
            <w:pPr>
              <w:pStyle w:val="181"/>
              <w:spacing w:after="0"/>
            </w:pPr>
          </w:p>
        </w:tc>
        <w:tc>
          <w:tcPr>
            <w:tcW w:w="7643" w:type="dxa"/>
            <w:shd w:val="clear" w:color="auto" w:fill="auto"/>
            <w:vAlign w:val="center"/>
          </w:tcPr>
          <w:p>
            <w:pPr>
              <w:pStyle w:val="181"/>
              <w:spacing w:after="0"/>
              <w:jc w:val="both"/>
            </w:pPr>
            <w:r>
              <w:rPr>
                <w:rFonts w:hint="eastAsia"/>
              </w:rPr>
              <w:t>综合水表抄见率≥95%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continue"/>
            <w:shd w:val="clear" w:color="auto" w:fill="auto"/>
            <w:vAlign w:val="center"/>
          </w:tcPr>
          <w:p>
            <w:pPr>
              <w:pStyle w:val="181"/>
              <w:spacing w:after="0"/>
            </w:pPr>
          </w:p>
        </w:tc>
        <w:tc>
          <w:tcPr>
            <w:tcW w:w="7643" w:type="dxa"/>
            <w:shd w:val="clear" w:color="auto" w:fill="auto"/>
            <w:vAlign w:val="center"/>
          </w:tcPr>
          <w:p>
            <w:pPr>
              <w:pStyle w:val="181"/>
              <w:spacing w:after="0"/>
              <w:jc w:val="both"/>
            </w:pPr>
            <w:r>
              <w:rPr>
                <w:rFonts w:hint="eastAsia"/>
              </w:rPr>
              <w:t>诉求响应率≥99%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continue"/>
            <w:shd w:val="clear" w:color="auto" w:fill="auto"/>
            <w:vAlign w:val="center"/>
          </w:tcPr>
          <w:p>
            <w:pPr>
              <w:pStyle w:val="181"/>
              <w:spacing w:after="0"/>
            </w:pPr>
          </w:p>
        </w:tc>
        <w:tc>
          <w:tcPr>
            <w:tcW w:w="7643" w:type="dxa"/>
            <w:shd w:val="clear" w:color="auto" w:fill="auto"/>
            <w:vAlign w:val="center"/>
          </w:tcPr>
          <w:p>
            <w:pPr>
              <w:pStyle w:val="181"/>
              <w:spacing w:after="0"/>
              <w:jc w:val="both"/>
            </w:pPr>
            <w:r>
              <w:rPr>
                <w:rFonts w:hint="eastAsia"/>
              </w:rPr>
              <w:t>合理诉求解决率≥99%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continue"/>
            <w:shd w:val="clear" w:color="auto" w:fill="auto"/>
            <w:vAlign w:val="center"/>
          </w:tcPr>
          <w:p>
            <w:pPr>
              <w:pStyle w:val="181"/>
              <w:spacing w:after="0"/>
            </w:pPr>
          </w:p>
        </w:tc>
        <w:tc>
          <w:tcPr>
            <w:tcW w:w="7643" w:type="dxa"/>
            <w:shd w:val="clear" w:color="auto" w:fill="auto"/>
            <w:vAlign w:val="center"/>
          </w:tcPr>
          <w:p>
            <w:pPr>
              <w:pStyle w:val="181"/>
              <w:spacing w:after="0"/>
              <w:jc w:val="both"/>
            </w:pPr>
            <w:r>
              <w:rPr>
                <w:rFonts w:hint="eastAsia"/>
              </w:rPr>
              <w:t>合理诉求满意率≥99%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restart"/>
            <w:shd w:val="clear" w:color="auto" w:fill="auto"/>
            <w:vAlign w:val="center"/>
          </w:tcPr>
          <w:p>
            <w:pPr>
              <w:pStyle w:val="181"/>
              <w:spacing w:after="0"/>
            </w:pPr>
            <w:r>
              <w:rPr>
                <w:rFonts w:hint="eastAsia"/>
              </w:rPr>
              <w:t>激励性指标</w:t>
            </w:r>
          </w:p>
        </w:tc>
        <w:tc>
          <w:tcPr>
            <w:tcW w:w="7643" w:type="dxa"/>
            <w:shd w:val="clear" w:color="auto" w:fill="auto"/>
            <w:vAlign w:val="center"/>
          </w:tcPr>
          <w:p>
            <w:pPr>
              <w:pStyle w:val="181"/>
              <w:spacing w:after="0"/>
              <w:jc w:val="both"/>
            </w:pPr>
            <w:r>
              <w:rPr>
                <w:rFonts w:hint="eastAsia" w:hAnsi="宋体"/>
                <w:szCs w:val="18"/>
              </w:rPr>
              <w:t>开展智慧水厂、智慧管网、智慧营销、智慧服务等智慧化建设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Merge w:val="continue"/>
            <w:shd w:val="clear" w:color="auto" w:fill="auto"/>
            <w:vAlign w:val="center"/>
          </w:tcPr>
          <w:p>
            <w:pPr>
              <w:pStyle w:val="181"/>
              <w:spacing w:after="0"/>
              <w:jc w:val="both"/>
            </w:pPr>
          </w:p>
        </w:tc>
        <w:tc>
          <w:tcPr>
            <w:tcW w:w="7643" w:type="dxa"/>
            <w:shd w:val="clear" w:color="auto" w:fill="auto"/>
            <w:vAlign w:val="center"/>
          </w:tcPr>
          <w:p>
            <w:pPr>
              <w:pStyle w:val="181"/>
              <w:spacing w:after="0"/>
              <w:jc w:val="both"/>
            </w:pPr>
            <w:r>
              <w:rPr>
                <w:rFonts w:hint="eastAsia" w:hAnsi="宋体"/>
                <w:szCs w:val="18"/>
              </w:rPr>
              <w:t>开展水量异常预警、适老化服务、户内有偿维修等便民延伸服务</w:t>
            </w:r>
          </w:p>
        </w:tc>
      </w:tr>
    </w:tbl>
    <w:p>
      <w:pPr>
        <w:pStyle w:val="59"/>
        <w:ind w:firstLine="420"/>
      </w:pPr>
    </w:p>
    <w:p>
      <w:pPr>
        <w:pStyle w:val="59"/>
        <w:ind w:firstLine="420"/>
      </w:pPr>
    </w:p>
    <w:bookmarkEnd w:id="76"/>
    <w:p>
      <w:pPr>
        <w:pStyle w:val="59"/>
        <w:ind w:firstLine="420"/>
        <w:sectPr>
          <w:pgSz w:w="11906" w:h="16838"/>
          <w:pgMar w:top="1928" w:right="1134" w:bottom="1134" w:left="1134" w:header="1418" w:footer="1134" w:gutter="284"/>
          <w:cols w:space="425" w:num="1"/>
          <w:formProt w:val="0"/>
          <w:docGrid w:type="lines" w:linePitch="312" w:charSpace="0"/>
        </w:sectPr>
      </w:pPr>
      <w:bookmarkStart w:id="93" w:name="BookMark6"/>
    </w:p>
    <w:p>
      <w:pPr>
        <w:pStyle w:val="66"/>
        <w:spacing w:after="156"/>
        <w:rPr>
          <w:rFonts w:hint="eastAsia"/>
        </w:rPr>
      </w:pPr>
      <w:r>
        <w:rPr>
          <w:rFonts w:hint="eastAsia"/>
          <w:spacing w:val="105"/>
        </w:rPr>
        <w:t>参考文</w:t>
      </w:r>
      <w:r>
        <w:rPr>
          <w:rFonts w:hint="eastAsia"/>
        </w:rPr>
        <w:t>献</w:t>
      </w:r>
    </w:p>
    <w:p>
      <w:pPr>
        <w:pStyle w:val="59"/>
        <w:ind w:firstLine="420"/>
      </w:pPr>
    </w:p>
    <w:p>
      <w:pPr>
        <w:pStyle w:val="59"/>
        <w:ind w:firstLine="420"/>
      </w:pPr>
    </w:p>
    <w:p>
      <w:pPr>
        <w:pStyle w:val="59"/>
        <w:ind w:firstLine="420"/>
        <w:rPr>
          <w:rFonts w:hint="default" w:eastAsia="宋体"/>
          <w:lang w:val="en-US" w:eastAsia="zh-CN"/>
        </w:rPr>
      </w:pPr>
      <w:r>
        <w:rPr>
          <w:rFonts w:hint="eastAsia"/>
        </w:rPr>
        <w:t>[1] GB/T 32063—2015  城镇供水服务</w:t>
      </w:r>
    </w:p>
    <w:p>
      <w:pPr>
        <w:pStyle w:val="59"/>
        <w:ind w:firstLine="420"/>
      </w:pPr>
    </w:p>
    <w:bookmarkEnd w:id="93"/>
    <w:p>
      <w:pPr>
        <w:pStyle w:val="59"/>
        <w:ind w:firstLine="420"/>
      </w:pPr>
    </w:p>
    <w:p>
      <w:pPr>
        <w:pStyle w:val="59"/>
        <w:ind w:firstLine="0" w:firstLineChars="0"/>
        <w:jc w:val="center"/>
      </w:pPr>
      <w:bookmarkStart w:id="94" w:name="BookMark8"/>
      <w:r>
        <w:drawing>
          <wp:inline distT="0" distB="0" distL="0" distR="0">
            <wp:extent cx="1485900" cy="317500"/>
            <wp:effectExtent l="0" t="0" r="0" b="6350"/>
            <wp:docPr id="669544835" name="图片 1"/>
            <wp:cNvGraphicFramePr/>
            <a:graphic xmlns:a="http://schemas.openxmlformats.org/drawingml/2006/main">
              <a:graphicData uri="http://schemas.openxmlformats.org/drawingml/2006/picture">
                <pic:pic xmlns:pic="http://schemas.openxmlformats.org/drawingml/2006/picture">
                  <pic:nvPicPr>
                    <pic:cNvPr id="669544835" name="图片 1"/>
                    <pic:cNvPicPr/>
                  </pic:nvPicPr>
                  <pic:blipFill>
                    <a:blip r:embed="rId16">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94"/>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Light">
    <w:altName w:val="汉仪中宋简"/>
    <w:panose1 w:val="02010600030101010101"/>
    <w:charset w:val="86"/>
    <w:family w:val="auto"/>
    <w:pitch w:val="default"/>
    <w:sig w:usb0="00000000" w:usb1="00000000" w:usb2="00000016" w:usb3="00000000" w:csb0="0004000F" w:csb1="00000000"/>
  </w:font>
  <w:font w:name="Cambria Math">
    <w:altName w:val="DejaVu Math TeX Gyre"/>
    <w:panose1 w:val="02040503050406030204"/>
    <w:charset w:val="00"/>
    <w:family w:val="roman"/>
    <w:pitch w:val="default"/>
    <w:sig w:usb0="00000000" w:usb1="00000000" w:usb2="00000000" w:usb3="00000000" w:csb0="2000019F" w:csb1="00000000"/>
  </w:font>
  <w:font w:name="微软雅黑">
    <w:altName w:val="方正黑体_GBK"/>
    <w:panose1 w:val="020B0503020204020204"/>
    <w:charset w:val="86"/>
    <w:family w:val="swiss"/>
    <w:pitch w:val="default"/>
    <w:sig w:usb0="00000000" w:usb1="00000000" w:usb2="00000016" w:usb3="00000000" w:csb0="0004001F" w:csb1="00000000"/>
  </w:font>
  <w:font w:name="MS Gothic">
    <w:altName w:val="方正书宋_GBK"/>
    <w:panose1 w:val="020B0609070205080204"/>
    <w:charset w:val="80"/>
    <w:family w:val="modern"/>
    <w:pitch w:val="default"/>
    <w:sig w:usb0="00000000" w:usb1="00000000" w:usb2="00000012" w:usb3="00000000" w:csb0="4002009F" w:csb1="DFD7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 w:name="华康宋体W7">
    <w:panose1 w:val="02020709000000000000"/>
    <w:charset w:val="86"/>
    <w:family w:val="auto"/>
    <w:pitch w:val="default"/>
    <w:sig w:usb0="00000001" w:usb1="08010000" w:usb2="00000012"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DB11/T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F4059"/>
    <w:multiLevelType w:val="singleLevel"/>
    <w:tmpl w:val="AB3F4059"/>
    <w:lvl w:ilvl="0" w:tentative="0">
      <w:start w:val="1"/>
      <w:numFmt w:val="decimal"/>
      <w:suff w:val="nothing"/>
      <w:lvlText w:val="%1）"/>
      <w:lvlJc w:val="left"/>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312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4254"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true"/>
  <w:bordersDoNotSurroundFooter w:val="true"/>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608"/>
    <w:rsid w:val="0000040A"/>
    <w:rsid w:val="0000046A"/>
    <w:rsid w:val="00000A94"/>
    <w:rsid w:val="00001972"/>
    <w:rsid w:val="00001D9A"/>
    <w:rsid w:val="00006566"/>
    <w:rsid w:val="00007B3A"/>
    <w:rsid w:val="000107E0"/>
    <w:rsid w:val="00011FDE"/>
    <w:rsid w:val="00012FFD"/>
    <w:rsid w:val="00014162"/>
    <w:rsid w:val="00014340"/>
    <w:rsid w:val="0001656A"/>
    <w:rsid w:val="00016A9C"/>
    <w:rsid w:val="00021D10"/>
    <w:rsid w:val="00022184"/>
    <w:rsid w:val="00022762"/>
    <w:rsid w:val="000238E0"/>
    <w:rsid w:val="000249DB"/>
    <w:rsid w:val="00024BF1"/>
    <w:rsid w:val="0002595E"/>
    <w:rsid w:val="000303C3"/>
    <w:rsid w:val="000311A4"/>
    <w:rsid w:val="0003238B"/>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54D"/>
    <w:rsid w:val="0005556B"/>
    <w:rsid w:val="000556ED"/>
    <w:rsid w:val="00055FE2"/>
    <w:rsid w:val="0005616F"/>
    <w:rsid w:val="00060C2E"/>
    <w:rsid w:val="00061033"/>
    <w:rsid w:val="000619E9"/>
    <w:rsid w:val="000622D4"/>
    <w:rsid w:val="0006357D"/>
    <w:rsid w:val="00064495"/>
    <w:rsid w:val="00067F1E"/>
    <w:rsid w:val="00070627"/>
    <w:rsid w:val="00071CC0"/>
    <w:rsid w:val="00073C8C"/>
    <w:rsid w:val="00075FDA"/>
    <w:rsid w:val="0007606F"/>
    <w:rsid w:val="00077B64"/>
    <w:rsid w:val="00080A1C"/>
    <w:rsid w:val="00082317"/>
    <w:rsid w:val="00083D2C"/>
    <w:rsid w:val="00086AA1"/>
    <w:rsid w:val="00087A77"/>
    <w:rsid w:val="0009046D"/>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3F52"/>
    <w:rsid w:val="000B60F0"/>
    <w:rsid w:val="000B6A0B"/>
    <w:rsid w:val="000B7CD5"/>
    <w:rsid w:val="000C0F6C"/>
    <w:rsid w:val="000C11DB"/>
    <w:rsid w:val="000C1492"/>
    <w:rsid w:val="000C2FBD"/>
    <w:rsid w:val="000C4B41"/>
    <w:rsid w:val="000C57D6"/>
    <w:rsid w:val="000C6362"/>
    <w:rsid w:val="000C7666"/>
    <w:rsid w:val="000D0A9C"/>
    <w:rsid w:val="000D1795"/>
    <w:rsid w:val="000D1898"/>
    <w:rsid w:val="000D329A"/>
    <w:rsid w:val="000D42EE"/>
    <w:rsid w:val="000D4B9C"/>
    <w:rsid w:val="000D4EB6"/>
    <w:rsid w:val="000D753B"/>
    <w:rsid w:val="000E2A2C"/>
    <w:rsid w:val="000E4C9E"/>
    <w:rsid w:val="000E6FD7"/>
    <w:rsid w:val="000F06E1"/>
    <w:rsid w:val="000F0E3C"/>
    <w:rsid w:val="000F19D5"/>
    <w:rsid w:val="000F4AEA"/>
    <w:rsid w:val="000F5331"/>
    <w:rsid w:val="000F633F"/>
    <w:rsid w:val="000F67E9"/>
    <w:rsid w:val="00104926"/>
    <w:rsid w:val="0011155E"/>
    <w:rsid w:val="00113B1E"/>
    <w:rsid w:val="00115DBC"/>
    <w:rsid w:val="00116BCA"/>
    <w:rsid w:val="0011711C"/>
    <w:rsid w:val="0012059C"/>
    <w:rsid w:val="001213DB"/>
    <w:rsid w:val="00124E4F"/>
    <w:rsid w:val="001260B7"/>
    <w:rsid w:val="001265CB"/>
    <w:rsid w:val="001278FD"/>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8C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5EE"/>
    <w:rsid w:val="0017340B"/>
    <w:rsid w:val="00173FB1"/>
    <w:rsid w:val="00175AD7"/>
    <w:rsid w:val="00176DFD"/>
    <w:rsid w:val="00177B3F"/>
    <w:rsid w:val="001852C9"/>
    <w:rsid w:val="0018576A"/>
    <w:rsid w:val="00190087"/>
    <w:rsid w:val="001913C4"/>
    <w:rsid w:val="0019348F"/>
    <w:rsid w:val="00193A07"/>
    <w:rsid w:val="00194C95"/>
    <w:rsid w:val="00195061"/>
    <w:rsid w:val="00195C34"/>
    <w:rsid w:val="00196EF5"/>
    <w:rsid w:val="001A1A53"/>
    <w:rsid w:val="001A234A"/>
    <w:rsid w:val="001A4120"/>
    <w:rsid w:val="001A4CF3"/>
    <w:rsid w:val="001B06E8"/>
    <w:rsid w:val="001B71D0"/>
    <w:rsid w:val="001B71EE"/>
    <w:rsid w:val="001C04A8"/>
    <w:rsid w:val="001C2C03"/>
    <w:rsid w:val="001C42F7"/>
    <w:rsid w:val="001C49E5"/>
    <w:rsid w:val="001C4BDA"/>
    <w:rsid w:val="001C4C3B"/>
    <w:rsid w:val="001C54A0"/>
    <w:rsid w:val="001C680C"/>
    <w:rsid w:val="001C7FEA"/>
    <w:rsid w:val="001D0499"/>
    <w:rsid w:val="001D0BBE"/>
    <w:rsid w:val="001D0ED4"/>
    <w:rsid w:val="001D212F"/>
    <w:rsid w:val="001D29D7"/>
    <w:rsid w:val="001D2DE7"/>
    <w:rsid w:val="001D411C"/>
    <w:rsid w:val="001E10A1"/>
    <w:rsid w:val="001E1B6A"/>
    <w:rsid w:val="001E2484"/>
    <w:rsid w:val="001E3CC4"/>
    <w:rsid w:val="001E4882"/>
    <w:rsid w:val="001E73AB"/>
    <w:rsid w:val="001E7797"/>
    <w:rsid w:val="001F092D"/>
    <w:rsid w:val="001F143A"/>
    <w:rsid w:val="001F1605"/>
    <w:rsid w:val="001F2508"/>
    <w:rsid w:val="001F373C"/>
    <w:rsid w:val="001F4816"/>
    <w:rsid w:val="001F4EE9"/>
    <w:rsid w:val="001F69B4"/>
    <w:rsid w:val="001F77C7"/>
    <w:rsid w:val="00200183"/>
    <w:rsid w:val="00200333"/>
    <w:rsid w:val="00200BD7"/>
    <w:rsid w:val="0020107D"/>
    <w:rsid w:val="00202AA4"/>
    <w:rsid w:val="002031F7"/>
    <w:rsid w:val="002040E6"/>
    <w:rsid w:val="0020527B"/>
    <w:rsid w:val="00205F2C"/>
    <w:rsid w:val="00210B15"/>
    <w:rsid w:val="002115D6"/>
    <w:rsid w:val="002142EA"/>
    <w:rsid w:val="002204BB"/>
    <w:rsid w:val="00221B79"/>
    <w:rsid w:val="00221C6B"/>
    <w:rsid w:val="002253A1"/>
    <w:rsid w:val="00225CF8"/>
    <w:rsid w:val="0022794E"/>
    <w:rsid w:val="00233D64"/>
    <w:rsid w:val="0023482A"/>
    <w:rsid w:val="002359CB"/>
    <w:rsid w:val="00236E89"/>
    <w:rsid w:val="002417E2"/>
    <w:rsid w:val="00243540"/>
    <w:rsid w:val="0024497B"/>
    <w:rsid w:val="0024515B"/>
    <w:rsid w:val="00246021"/>
    <w:rsid w:val="0024666E"/>
    <w:rsid w:val="00247F52"/>
    <w:rsid w:val="00250B25"/>
    <w:rsid w:val="00250BBE"/>
    <w:rsid w:val="002515C2"/>
    <w:rsid w:val="0025194F"/>
    <w:rsid w:val="002554C6"/>
    <w:rsid w:val="0026148A"/>
    <w:rsid w:val="00262696"/>
    <w:rsid w:val="00263D25"/>
    <w:rsid w:val="002643C3"/>
    <w:rsid w:val="00264A0C"/>
    <w:rsid w:val="00266EEB"/>
    <w:rsid w:val="00267EF4"/>
    <w:rsid w:val="00270CB8"/>
    <w:rsid w:val="00272B08"/>
    <w:rsid w:val="00275AD6"/>
    <w:rsid w:val="002771AC"/>
    <w:rsid w:val="00281BB8"/>
    <w:rsid w:val="00281E9E"/>
    <w:rsid w:val="0028231D"/>
    <w:rsid w:val="00282405"/>
    <w:rsid w:val="00285170"/>
    <w:rsid w:val="00285361"/>
    <w:rsid w:val="0029091E"/>
    <w:rsid w:val="00292D60"/>
    <w:rsid w:val="00293B30"/>
    <w:rsid w:val="002947C5"/>
    <w:rsid w:val="00294D34"/>
    <w:rsid w:val="00294E3B"/>
    <w:rsid w:val="00296193"/>
    <w:rsid w:val="00296C66"/>
    <w:rsid w:val="00296EBE"/>
    <w:rsid w:val="002974E3"/>
    <w:rsid w:val="002A084B"/>
    <w:rsid w:val="002A1260"/>
    <w:rsid w:val="002A154B"/>
    <w:rsid w:val="002A1589"/>
    <w:rsid w:val="002A1608"/>
    <w:rsid w:val="002A25DC"/>
    <w:rsid w:val="002A3AAB"/>
    <w:rsid w:val="002A4CEA"/>
    <w:rsid w:val="002A5977"/>
    <w:rsid w:val="002A5A13"/>
    <w:rsid w:val="002A757F"/>
    <w:rsid w:val="002A7F44"/>
    <w:rsid w:val="002B0C40"/>
    <w:rsid w:val="002B0E92"/>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743"/>
    <w:rsid w:val="002F7AF6"/>
    <w:rsid w:val="00300E63"/>
    <w:rsid w:val="00302F5F"/>
    <w:rsid w:val="0030441D"/>
    <w:rsid w:val="00306063"/>
    <w:rsid w:val="003067E2"/>
    <w:rsid w:val="00313B85"/>
    <w:rsid w:val="003144AC"/>
    <w:rsid w:val="003147A2"/>
    <w:rsid w:val="00315B64"/>
    <w:rsid w:val="00317988"/>
    <w:rsid w:val="0032153B"/>
    <w:rsid w:val="00321EA1"/>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394F"/>
    <w:rsid w:val="00356E00"/>
    <w:rsid w:val="003615D2"/>
    <w:rsid w:val="0036429C"/>
    <w:rsid w:val="003648B9"/>
    <w:rsid w:val="00364A53"/>
    <w:rsid w:val="00364C61"/>
    <w:rsid w:val="003654CB"/>
    <w:rsid w:val="00365AA9"/>
    <w:rsid w:val="00365F86"/>
    <w:rsid w:val="00365F87"/>
    <w:rsid w:val="00366E89"/>
    <w:rsid w:val="003705F4"/>
    <w:rsid w:val="00370D58"/>
    <w:rsid w:val="00371316"/>
    <w:rsid w:val="00372B57"/>
    <w:rsid w:val="00372C15"/>
    <w:rsid w:val="00376713"/>
    <w:rsid w:val="00381815"/>
    <w:rsid w:val="003819AF"/>
    <w:rsid w:val="003820E9"/>
    <w:rsid w:val="00382DE7"/>
    <w:rsid w:val="00384FFC"/>
    <w:rsid w:val="003872FC"/>
    <w:rsid w:val="00387ADC"/>
    <w:rsid w:val="00390020"/>
    <w:rsid w:val="003903D6"/>
    <w:rsid w:val="00390EE6"/>
    <w:rsid w:val="0039118F"/>
    <w:rsid w:val="003915A5"/>
    <w:rsid w:val="00392AD7"/>
    <w:rsid w:val="003938D9"/>
    <w:rsid w:val="00394376"/>
    <w:rsid w:val="003943FF"/>
    <w:rsid w:val="00395700"/>
    <w:rsid w:val="0039682A"/>
    <w:rsid w:val="003974EB"/>
    <w:rsid w:val="00397CC5"/>
    <w:rsid w:val="003A1582"/>
    <w:rsid w:val="003A4077"/>
    <w:rsid w:val="003B0906"/>
    <w:rsid w:val="003B09AD"/>
    <w:rsid w:val="003B1F18"/>
    <w:rsid w:val="003B2998"/>
    <w:rsid w:val="003B5BF0"/>
    <w:rsid w:val="003B60BF"/>
    <w:rsid w:val="003B64FC"/>
    <w:rsid w:val="003B6BE3"/>
    <w:rsid w:val="003C010C"/>
    <w:rsid w:val="003C0A6C"/>
    <w:rsid w:val="003C14F8"/>
    <w:rsid w:val="003C5A43"/>
    <w:rsid w:val="003C7544"/>
    <w:rsid w:val="003D0519"/>
    <w:rsid w:val="003D0FF6"/>
    <w:rsid w:val="003D262C"/>
    <w:rsid w:val="003D6D61"/>
    <w:rsid w:val="003D79C6"/>
    <w:rsid w:val="003E091D"/>
    <w:rsid w:val="003E1C53"/>
    <w:rsid w:val="003E2A69"/>
    <w:rsid w:val="003E2D49"/>
    <w:rsid w:val="003E2F86"/>
    <w:rsid w:val="003E2FD4"/>
    <w:rsid w:val="003E49F6"/>
    <w:rsid w:val="003E6088"/>
    <w:rsid w:val="003E660F"/>
    <w:rsid w:val="003F0841"/>
    <w:rsid w:val="003F23D3"/>
    <w:rsid w:val="003F3F08"/>
    <w:rsid w:val="003F49F1"/>
    <w:rsid w:val="003F6272"/>
    <w:rsid w:val="00400E72"/>
    <w:rsid w:val="00401400"/>
    <w:rsid w:val="00404869"/>
    <w:rsid w:val="00405884"/>
    <w:rsid w:val="00406258"/>
    <w:rsid w:val="00407D39"/>
    <w:rsid w:val="0041477A"/>
    <w:rsid w:val="00415257"/>
    <w:rsid w:val="004167A3"/>
    <w:rsid w:val="00424CD7"/>
    <w:rsid w:val="00425115"/>
    <w:rsid w:val="00425EC8"/>
    <w:rsid w:val="00432DAA"/>
    <w:rsid w:val="00432E3D"/>
    <w:rsid w:val="00434305"/>
    <w:rsid w:val="00435DF7"/>
    <w:rsid w:val="0044083F"/>
    <w:rsid w:val="00441AE7"/>
    <w:rsid w:val="00443D56"/>
    <w:rsid w:val="00444C33"/>
    <w:rsid w:val="00445574"/>
    <w:rsid w:val="004465A0"/>
    <w:rsid w:val="004467FB"/>
    <w:rsid w:val="004508B6"/>
    <w:rsid w:val="00452A3C"/>
    <w:rsid w:val="00452D6B"/>
    <w:rsid w:val="00454484"/>
    <w:rsid w:val="0045517B"/>
    <w:rsid w:val="004558C8"/>
    <w:rsid w:val="00463B77"/>
    <w:rsid w:val="00463C7B"/>
    <w:rsid w:val="004644A6"/>
    <w:rsid w:val="004659BD"/>
    <w:rsid w:val="00470775"/>
    <w:rsid w:val="004735D1"/>
    <w:rsid w:val="004746B1"/>
    <w:rsid w:val="0047583F"/>
    <w:rsid w:val="00475DE8"/>
    <w:rsid w:val="00481C44"/>
    <w:rsid w:val="00484936"/>
    <w:rsid w:val="00485C89"/>
    <w:rsid w:val="00486BE3"/>
    <w:rsid w:val="00487DF6"/>
    <w:rsid w:val="004905E4"/>
    <w:rsid w:val="00490A89"/>
    <w:rsid w:val="00490AB4"/>
    <w:rsid w:val="00492F02"/>
    <w:rsid w:val="004939AE"/>
    <w:rsid w:val="004A12DF"/>
    <w:rsid w:val="004A17E6"/>
    <w:rsid w:val="004A1BA8"/>
    <w:rsid w:val="004A4B57"/>
    <w:rsid w:val="004A63FA"/>
    <w:rsid w:val="004B0272"/>
    <w:rsid w:val="004B2701"/>
    <w:rsid w:val="004B2E1B"/>
    <w:rsid w:val="004B2F10"/>
    <w:rsid w:val="004B3AA8"/>
    <w:rsid w:val="004B3E93"/>
    <w:rsid w:val="004C1D28"/>
    <w:rsid w:val="004C1FBC"/>
    <w:rsid w:val="004C3F1D"/>
    <w:rsid w:val="004C458D"/>
    <w:rsid w:val="004C7556"/>
    <w:rsid w:val="004C7E8B"/>
    <w:rsid w:val="004C7E9D"/>
    <w:rsid w:val="004C7F67"/>
    <w:rsid w:val="004D076D"/>
    <w:rsid w:val="004D0EF1"/>
    <w:rsid w:val="004D2253"/>
    <w:rsid w:val="004D31DB"/>
    <w:rsid w:val="004D4406"/>
    <w:rsid w:val="004D7C42"/>
    <w:rsid w:val="004E02E9"/>
    <w:rsid w:val="004E0465"/>
    <w:rsid w:val="004E127B"/>
    <w:rsid w:val="004E1C0A"/>
    <w:rsid w:val="004E2B06"/>
    <w:rsid w:val="004E30C5"/>
    <w:rsid w:val="004E4AA5"/>
    <w:rsid w:val="004E4AEE"/>
    <w:rsid w:val="004E59E3"/>
    <w:rsid w:val="004E67C0"/>
    <w:rsid w:val="004F391A"/>
    <w:rsid w:val="004F3CFB"/>
    <w:rsid w:val="004F4576"/>
    <w:rsid w:val="004F6456"/>
    <w:rsid w:val="004F696E"/>
    <w:rsid w:val="004F6C71"/>
    <w:rsid w:val="00501139"/>
    <w:rsid w:val="0050363E"/>
    <w:rsid w:val="005039BC"/>
    <w:rsid w:val="005043BB"/>
    <w:rsid w:val="0050499A"/>
    <w:rsid w:val="00504A3D"/>
    <w:rsid w:val="00505767"/>
    <w:rsid w:val="005073F0"/>
    <w:rsid w:val="00510A7B"/>
    <w:rsid w:val="00512F6E"/>
    <w:rsid w:val="00513038"/>
    <w:rsid w:val="00514174"/>
    <w:rsid w:val="00516088"/>
    <w:rsid w:val="00516B0B"/>
    <w:rsid w:val="005220EC"/>
    <w:rsid w:val="00523DA7"/>
    <w:rsid w:val="00523F95"/>
    <w:rsid w:val="00524D65"/>
    <w:rsid w:val="00525B16"/>
    <w:rsid w:val="00533D04"/>
    <w:rsid w:val="0053417F"/>
    <w:rsid w:val="00534804"/>
    <w:rsid w:val="00534BDF"/>
    <w:rsid w:val="005354EA"/>
    <w:rsid w:val="0053585F"/>
    <w:rsid w:val="00535EC4"/>
    <w:rsid w:val="00535ED9"/>
    <w:rsid w:val="0053692B"/>
    <w:rsid w:val="00540D46"/>
    <w:rsid w:val="00541853"/>
    <w:rsid w:val="00543BDA"/>
    <w:rsid w:val="005440BB"/>
    <w:rsid w:val="005441CC"/>
    <w:rsid w:val="005479DA"/>
    <w:rsid w:val="00547BCC"/>
    <w:rsid w:val="0055013B"/>
    <w:rsid w:val="00551F6F"/>
    <w:rsid w:val="00555044"/>
    <w:rsid w:val="0055683E"/>
    <w:rsid w:val="00561475"/>
    <w:rsid w:val="0056487B"/>
    <w:rsid w:val="00564FB9"/>
    <w:rsid w:val="00573D9E"/>
    <w:rsid w:val="00577DC2"/>
    <w:rsid w:val="005801E3"/>
    <w:rsid w:val="00581802"/>
    <w:rsid w:val="005836A8"/>
    <w:rsid w:val="0058409C"/>
    <w:rsid w:val="00584262"/>
    <w:rsid w:val="00584EFF"/>
    <w:rsid w:val="00586630"/>
    <w:rsid w:val="00587ADD"/>
    <w:rsid w:val="005911BC"/>
    <w:rsid w:val="00591E27"/>
    <w:rsid w:val="005947FA"/>
    <w:rsid w:val="005960CD"/>
    <w:rsid w:val="00596160"/>
    <w:rsid w:val="005966E2"/>
    <w:rsid w:val="00597007"/>
    <w:rsid w:val="005A0966"/>
    <w:rsid w:val="005A11B7"/>
    <w:rsid w:val="005A260B"/>
    <w:rsid w:val="005A31A1"/>
    <w:rsid w:val="005A4A1B"/>
    <w:rsid w:val="005A50EC"/>
    <w:rsid w:val="005A7830"/>
    <w:rsid w:val="005A7FCE"/>
    <w:rsid w:val="005B0F3F"/>
    <w:rsid w:val="005B42B7"/>
    <w:rsid w:val="005B4903"/>
    <w:rsid w:val="005B51CE"/>
    <w:rsid w:val="005B5885"/>
    <w:rsid w:val="005B5CD7"/>
    <w:rsid w:val="005B6C87"/>
    <w:rsid w:val="005B6CF6"/>
    <w:rsid w:val="005B7422"/>
    <w:rsid w:val="005C1FF7"/>
    <w:rsid w:val="005C29B8"/>
    <w:rsid w:val="005C5F21"/>
    <w:rsid w:val="005C7156"/>
    <w:rsid w:val="005D0968"/>
    <w:rsid w:val="005D0C75"/>
    <w:rsid w:val="005D296A"/>
    <w:rsid w:val="005D4171"/>
    <w:rsid w:val="005D6049"/>
    <w:rsid w:val="005D6A95"/>
    <w:rsid w:val="005D6B2C"/>
    <w:rsid w:val="005D6D9C"/>
    <w:rsid w:val="005D6EA0"/>
    <w:rsid w:val="005E2335"/>
    <w:rsid w:val="005E34CA"/>
    <w:rsid w:val="005E3C18"/>
    <w:rsid w:val="005E6812"/>
    <w:rsid w:val="005E7881"/>
    <w:rsid w:val="005E78E0"/>
    <w:rsid w:val="005F0D62"/>
    <w:rsid w:val="005F0D9C"/>
    <w:rsid w:val="005F284E"/>
    <w:rsid w:val="005F4712"/>
    <w:rsid w:val="005F752F"/>
    <w:rsid w:val="006015CE"/>
    <w:rsid w:val="00604784"/>
    <w:rsid w:val="00606419"/>
    <w:rsid w:val="00607410"/>
    <w:rsid w:val="006075B9"/>
    <w:rsid w:val="00607D29"/>
    <w:rsid w:val="0061171D"/>
    <w:rsid w:val="00612952"/>
    <w:rsid w:val="00613CA8"/>
    <w:rsid w:val="00614CC1"/>
    <w:rsid w:val="00615A9D"/>
    <w:rsid w:val="00616C57"/>
    <w:rsid w:val="00617387"/>
    <w:rsid w:val="00617ECA"/>
    <w:rsid w:val="006205D6"/>
    <w:rsid w:val="00620929"/>
    <w:rsid w:val="006252D8"/>
    <w:rsid w:val="006259BC"/>
    <w:rsid w:val="0062636B"/>
    <w:rsid w:val="00632182"/>
    <w:rsid w:val="00632AE0"/>
    <w:rsid w:val="00633C17"/>
    <w:rsid w:val="00634D9E"/>
    <w:rsid w:val="00636E3E"/>
    <w:rsid w:val="006379F7"/>
    <w:rsid w:val="00637E4D"/>
    <w:rsid w:val="006401E1"/>
    <w:rsid w:val="00640620"/>
    <w:rsid w:val="00641A1F"/>
    <w:rsid w:val="00641C4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D6F"/>
    <w:rsid w:val="00681E42"/>
    <w:rsid w:val="006840A6"/>
    <w:rsid w:val="006850CD"/>
    <w:rsid w:val="00685AAB"/>
    <w:rsid w:val="00692986"/>
    <w:rsid w:val="00693836"/>
    <w:rsid w:val="00695D22"/>
    <w:rsid w:val="006A07AA"/>
    <w:rsid w:val="006A08B6"/>
    <w:rsid w:val="006A25E5"/>
    <w:rsid w:val="006A2B46"/>
    <w:rsid w:val="006A336D"/>
    <w:rsid w:val="006A37B9"/>
    <w:rsid w:val="006A7FD2"/>
    <w:rsid w:val="006B21DE"/>
    <w:rsid w:val="006B2672"/>
    <w:rsid w:val="006B38D2"/>
    <w:rsid w:val="006B54BF"/>
    <w:rsid w:val="006B5F44"/>
    <w:rsid w:val="006B5F90"/>
    <w:rsid w:val="006B62E4"/>
    <w:rsid w:val="006C1BBA"/>
    <w:rsid w:val="006C2079"/>
    <w:rsid w:val="006C51E0"/>
    <w:rsid w:val="006C5A62"/>
    <w:rsid w:val="006C5D68"/>
    <w:rsid w:val="006C6976"/>
    <w:rsid w:val="006C6DD0"/>
    <w:rsid w:val="006D04AE"/>
    <w:rsid w:val="006D04EA"/>
    <w:rsid w:val="006D0AB7"/>
    <w:rsid w:val="006D16C4"/>
    <w:rsid w:val="006D3E96"/>
    <w:rsid w:val="006D4515"/>
    <w:rsid w:val="006D4BB1"/>
    <w:rsid w:val="006D6593"/>
    <w:rsid w:val="006E23EA"/>
    <w:rsid w:val="006E4940"/>
    <w:rsid w:val="006F03A8"/>
    <w:rsid w:val="006F14A2"/>
    <w:rsid w:val="006F2ACA"/>
    <w:rsid w:val="006F2ADC"/>
    <w:rsid w:val="006F2BFE"/>
    <w:rsid w:val="006F31E9"/>
    <w:rsid w:val="006F6284"/>
    <w:rsid w:val="007002C5"/>
    <w:rsid w:val="00704387"/>
    <w:rsid w:val="007070D8"/>
    <w:rsid w:val="00707669"/>
    <w:rsid w:val="00711CBA"/>
    <w:rsid w:val="00711FB5"/>
    <w:rsid w:val="00712A01"/>
    <w:rsid w:val="00713DBF"/>
    <w:rsid w:val="00714F58"/>
    <w:rsid w:val="00722FBF"/>
    <w:rsid w:val="00722FC2"/>
    <w:rsid w:val="00724879"/>
    <w:rsid w:val="00724E1B"/>
    <w:rsid w:val="00725949"/>
    <w:rsid w:val="00727FA2"/>
    <w:rsid w:val="007300CE"/>
    <w:rsid w:val="007322D9"/>
    <w:rsid w:val="00732BC0"/>
    <w:rsid w:val="00735D68"/>
    <w:rsid w:val="0073720F"/>
    <w:rsid w:val="00737796"/>
    <w:rsid w:val="00740DE3"/>
    <w:rsid w:val="0074165C"/>
    <w:rsid w:val="00742B4D"/>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C75"/>
    <w:rsid w:val="00756EDF"/>
    <w:rsid w:val="007600E3"/>
    <w:rsid w:val="00763899"/>
    <w:rsid w:val="00765C43"/>
    <w:rsid w:val="00765EFB"/>
    <w:rsid w:val="007671CA"/>
    <w:rsid w:val="00767C61"/>
    <w:rsid w:val="0077008A"/>
    <w:rsid w:val="0077234A"/>
    <w:rsid w:val="00773C1F"/>
    <w:rsid w:val="00773EAA"/>
    <w:rsid w:val="00774DA4"/>
    <w:rsid w:val="00776599"/>
    <w:rsid w:val="0078114B"/>
    <w:rsid w:val="00781DD2"/>
    <w:rsid w:val="00783042"/>
    <w:rsid w:val="00783ECF"/>
    <w:rsid w:val="0078413A"/>
    <w:rsid w:val="007959E8"/>
    <w:rsid w:val="00795E9C"/>
    <w:rsid w:val="007A0521"/>
    <w:rsid w:val="007A2E12"/>
    <w:rsid w:val="007A3475"/>
    <w:rsid w:val="007A41C8"/>
    <w:rsid w:val="007A54CE"/>
    <w:rsid w:val="007A5BAC"/>
    <w:rsid w:val="007A6FD9"/>
    <w:rsid w:val="007A7FFA"/>
    <w:rsid w:val="007B04EB"/>
    <w:rsid w:val="007B0D4F"/>
    <w:rsid w:val="007B5A3D"/>
    <w:rsid w:val="007B5B95"/>
    <w:rsid w:val="007B68EA"/>
    <w:rsid w:val="007B7453"/>
    <w:rsid w:val="007B7965"/>
    <w:rsid w:val="007C00DF"/>
    <w:rsid w:val="007C1E8B"/>
    <w:rsid w:val="007C2D89"/>
    <w:rsid w:val="007C4593"/>
    <w:rsid w:val="007C4998"/>
    <w:rsid w:val="007C5309"/>
    <w:rsid w:val="007C6069"/>
    <w:rsid w:val="007C7E2C"/>
    <w:rsid w:val="007D06C4"/>
    <w:rsid w:val="007D1352"/>
    <w:rsid w:val="007D2508"/>
    <w:rsid w:val="007D346A"/>
    <w:rsid w:val="007D6518"/>
    <w:rsid w:val="007D76BD"/>
    <w:rsid w:val="007E0BF1"/>
    <w:rsid w:val="007F0ED8"/>
    <w:rsid w:val="007F0F63"/>
    <w:rsid w:val="007F47BC"/>
    <w:rsid w:val="007F58C3"/>
    <w:rsid w:val="007F75CE"/>
    <w:rsid w:val="00800A37"/>
    <w:rsid w:val="008012DF"/>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3FD3"/>
    <w:rsid w:val="00825138"/>
    <w:rsid w:val="008269DD"/>
    <w:rsid w:val="00830621"/>
    <w:rsid w:val="00831F9C"/>
    <w:rsid w:val="0083348C"/>
    <w:rsid w:val="008373D3"/>
    <w:rsid w:val="00837964"/>
    <w:rsid w:val="00840617"/>
    <w:rsid w:val="00840F84"/>
    <w:rsid w:val="00842A47"/>
    <w:rsid w:val="00843815"/>
    <w:rsid w:val="00843C13"/>
    <w:rsid w:val="008454F8"/>
    <w:rsid w:val="0085173A"/>
    <w:rsid w:val="00853EC0"/>
    <w:rsid w:val="00856316"/>
    <w:rsid w:val="008603CE"/>
    <w:rsid w:val="008620FC"/>
    <w:rsid w:val="008627A5"/>
    <w:rsid w:val="00863E05"/>
    <w:rsid w:val="00865566"/>
    <w:rsid w:val="00865ACA"/>
    <w:rsid w:val="00865D28"/>
    <w:rsid w:val="00865F85"/>
    <w:rsid w:val="00867213"/>
    <w:rsid w:val="00867C10"/>
    <w:rsid w:val="00870439"/>
    <w:rsid w:val="00870DA1"/>
    <w:rsid w:val="00870E5C"/>
    <w:rsid w:val="0087364A"/>
    <w:rsid w:val="008835EB"/>
    <w:rsid w:val="00883F93"/>
    <w:rsid w:val="00884DB3"/>
    <w:rsid w:val="00885A9D"/>
    <w:rsid w:val="008864F6"/>
    <w:rsid w:val="0089049D"/>
    <w:rsid w:val="008928C9"/>
    <w:rsid w:val="008930CB"/>
    <w:rsid w:val="008938DC"/>
    <w:rsid w:val="00893FD1"/>
    <w:rsid w:val="00894836"/>
    <w:rsid w:val="00894FB7"/>
    <w:rsid w:val="00895172"/>
    <w:rsid w:val="00895680"/>
    <w:rsid w:val="00896DFF"/>
    <w:rsid w:val="0089762C"/>
    <w:rsid w:val="008A1893"/>
    <w:rsid w:val="008A3215"/>
    <w:rsid w:val="008A57E6"/>
    <w:rsid w:val="008A6F81"/>
    <w:rsid w:val="008A769A"/>
    <w:rsid w:val="008B0C9C"/>
    <w:rsid w:val="008B166D"/>
    <w:rsid w:val="008B17F4"/>
    <w:rsid w:val="008B344F"/>
    <w:rsid w:val="008B3615"/>
    <w:rsid w:val="008B4AC4"/>
    <w:rsid w:val="008B50C8"/>
    <w:rsid w:val="008B5281"/>
    <w:rsid w:val="008B7C81"/>
    <w:rsid w:val="008B7E05"/>
    <w:rsid w:val="008C1797"/>
    <w:rsid w:val="008C219C"/>
    <w:rsid w:val="008C2B1B"/>
    <w:rsid w:val="008C475E"/>
    <w:rsid w:val="008C619A"/>
    <w:rsid w:val="008C65A2"/>
    <w:rsid w:val="008D0CE8"/>
    <w:rsid w:val="008D2D1D"/>
    <w:rsid w:val="008D377D"/>
    <w:rsid w:val="008D3B02"/>
    <w:rsid w:val="008D453D"/>
    <w:rsid w:val="008D53AD"/>
    <w:rsid w:val="008D562B"/>
    <w:rsid w:val="008D5733"/>
    <w:rsid w:val="008D622B"/>
    <w:rsid w:val="008D666C"/>
    <w:rsid w:val="008D7B54"/>
    <w:rsid w:val="008E0C9D"/>
    <w:rsid w:val="008E1648"/>
    <w:rsid w:val="008E1B3E"/>
    <w:rsid w:val="008E2319"/>
    <w:rsid w:val="008E4222"/>
    <w:rsid w:val="008E4BB6"/>
    <w:rsid w:val="008E5518"/>
    <w:rsid w:val="008E6A84"/>
    <w:rsid w:val="008F0CDC"/>
    <w:rsid w:val="008F17A3"/>
    <w:rsid w:val="008F1ED3"/>
    <w:rsid w:val="008F23A5"/>
    <w:rsid w:val="008F4C29"/>
    <w:rsid w:val="008F6797"/>
    <w:rsid w:val="008F70BD"/>
    <w:rsid w:val="008F788F"/>
    <w:rsid w:val="008F7EA2"/>
    <w:rsid w:val="00902722"/>
    <w:rsid w:val="009027BC"/>
    <w:rsid w:val="00902C1C"/>
    <w:rsid w:val="009062E6"/>
    <w:rsid w:val="0091184D"/>
    <w:rsid w:val="00911BE5"/>
    <w:rsid w:val="00913CA9"/>
    <w:rsid w:val="00914300"/>
    <w:rsid w:val="009145AE"/>
    <w:rsid w:val="009146CE"/>
    <w:rsid w:val="00914CA7"/>
    <w:rsid w:val="00914EF2"/>
    <w:rsid w:val="00915C3E"/>
    <w:rsid w:val="009161A8"/>
    <w:rsid w:val="0092039A"/>
    <w:rsid w:val="009245BA"/>
    <w:rsid w:val="009245F5"/>
    <w:rsid w:val="009249EC"/>
    <w:rsid w:val="009273B3"/>
    <w:rsid w:val="009305B5"/>
    <w:rsid w:val="009429D5"/>
    <w:rsid w:val="00942BF1"/>
    <w:rsid w:val="0094404F"/>
    <w:rsid w:val="00945180"/>
    <w:rsid w:val="00945428"/>
    <w:rsid w:val="0094607B"/>
    <w:rsid w:val="00953604"/>
    <w:rsid w:val="0095496B"/>
    <w:rsid w:val="00957CCD"/>
    <w:rsid w:val="009610DC"/>
    <w:rsid w:val="00961490"/>
    <w:rsid w:val="0096381A"/>
    <w:rsid w:val="00965E04"/>
    <w:rsid w:val="00966579"/>
    <w:rsid w:val="009674AD"/>
    <w:rsid w:val="00970CDC"/>
    <w:rsid w:val="00977010"/>
    <w:rsid w:val="00977D02"/>
    <w:rsid w:val="009809BB"/>
    <w:rsid w:val="00981E3E"/>
    <w:rsid w:val="0098364B"/>
    <w:rsid w:val="0098366B"/>
    <w:rsid w:val="0098553D"/>
    <w:rsid w:val="009911AF"/>
    <w:rsid w:val="00991875"/>
    <w:rsid w:val="00991F92"/>
    <w:rsid w:val="00992985"/>
    <w:rsid w:val="00992EA4"/>
    <w:rsid w:val="00993889"/>
    <w:rsid w:val="0099551B"/>
    <w:rsid w:val="00997BF1"/>
    <w:rsid w:val="009A089C"/>
    <w:rsid w:val="009A118E"/>
    <w:rsid w:val="009A21CD"/>
    <w:rsid w:val="009A278C"/>
    <w:rsid w:val="009A2BC2"/>
    <w:rsid w:val="009A42C1"/>
    <w:rsid w:val="009A5429"/>
    <w:rsid w:val="009A5E38"/>
    <w:rsid w:val="009A72AD"/>
    <w:rsid w:val="009B09E0"/>
    <w:rsid w:val="009B0BC5"/>
    <w:rsid w:val="009B1247"/>
    <w:rsid w:val="009B3DB5"/>
    <w:rsid w:val="009B46F9"/>
    <w:rsid w:val="009B6029"/>
    <w:rsid w:val="009B6971"/>
    <w:rsid w:val="009C0F80"/>
    <w:rsid w:val="009C27F1"/>
    <w:rsid w:val="009C3152"/>
    <w:rsid w:val="009C4CFA"/>
    <w:rsid w:val="009C5070"/>
    <w:rsid w:val="009C6004"/>
    <w:rsid w:val="009D0074"/>
    <w:rsid w:val="009D112C"/>
    <w:rsid w:val="009D47FA"/>
    <w:rsid w:val="009D4C5B"/>
    <w:rsid w:val="009D50D2"/>
    <w:rsid w:val="009D6BCA"/>
    <w:rsid w:val="009E0F62"/>
    <w:rsid w:val="009E1A5A"/>
    <w:rsid w:val="009E4A58"/>
    <w:rsid w:val="009E5A2D"/>
    <w:rsid w:val="009E5AB2"/>
    <w:rsid w:val="009E6219"/>
    <w:rsid w:val="009F03B3"/>
    <w:rsid w:val="009F766F"/>
    <w:rsid w:val="009F7AAA"/>
    <w:rsid w:val="009F7EA9"/>
    <w:rsid w:val="00A0096C"/>
    <w:rsid w:val="00A01757"/>
    <w:rsid w:val="00A028C0"/>
    <w:rsid w:val="00A02BAE"/>
    <w:rsid w:val="00A0526B"/>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90F"/>
    <w:rsid w:val="00A41C79"/>
    <w:rsid w:val="00A41CB5"/>
    <w:rsid w:val="00A42CDF"/>
    <w:rsid w:val="00A43107"/>
    <w:rsid w:val="00A4452E"/>
    <w:rsid w:val="00A4472C"/>
    <w:rsid w:val="00A44E69"/>
    <w:rsid w:val="00A4661E"/>
    <w:rsid w:val="00A55BD6"/>
    <w:rsid w:val="00A55D50"/>
    <w:rsid w:val="00A57142"/>
    <w:rsid w:val="00A62AFA"/>
    <w:rsid w:val="00A648CD"/>
    <w:rsid w:val="00A6537A"/>
    <w:rsid w:val="00A67866"/>
    <w:rsid w:val="00A70B07"/>
    <w:rsid w:val="00A711FF"/>
    <w:rsid w:val="00A723F8"/>
    <w:rsid w:val="00A77CCB"/>
    <w:rsid w:val="00A83D8D"/>
    <w:rsid w:val="00A8446B"/>
    <w:rsid w:val="00A84620"/>
    <w:rsid w:val="00A8473F"/>
    <w:rsid w:val="00A862D6"/>
    <w:rsid w:val="00A8715E"/>
    <w:rsid w:val="00A9295B"/>
    <w:rsid w:val="00A93B09"/>
    <w:rsid w:val="00A94247"/>
    <w:rsid w:val="00A952D7"/>
    <w:rsid w:val="00A95588"/>
    <w:rsid w:val="00A963F7"/>
    <w:rsid w:val="00A96AD8"/>
    <w:rsid w:val="00A9793D"/>
    <w:rsid w:val="00AA00A5"/>
    <w:rsid w:val="00AA052C"/>
    <w:rsid w:val="00AA1E45"/>
    <w:rsid w:val="00AA27A7"/>
    <w:rsid w:val="00AA4286"/>
    <w:rsid w:val="00AA456B"/>
    <w:rsid w:val="00AA57F5"/>
    <w:rsid w:val="00AA672E"/>
    <w:rsid w:val="00AA6EC9"/>
    <w:rsid w:val="00AA73B7"/>
    <w:rsid w:val="00AA7C30"/>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A56"/>
    <w:rsid w:val="00AE070A"/>
    <w:rsid w:val="00AE101C"/>
    <w:rsid w:val="00AE33FB"/>
    <w:rsid w:val="00AE37E5"/>
    <w:rsid w:val="00AE51AD"/>
    <w:rsid w:val="00AE5EB4"/>
    <w:rsid w:val="00AF0C18"/>
    <w:rsid w:val="00AF47C5"/>
    <w:rsid w:val="00AF5398"/>
    <w:rsid w:val="00B03695"/>
    <w:rsid w:val="00B049AF"/>
    <w:rsid w:val="00B07242"/>
    <w:rsid w:val="00B10534"/>
    <w:rsid w:val="00B10608"/>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5DA"/>
    <w:rsid w:val="00B378E5"/>
    <w:rsid w:val="00B4346D"/>
    <w:rsid w:val="00B440F4"/>
    <w:rsid w:val="00B447A5"/>
    <w:rsid w:val="00B44EA1"/>
    <w:rsid w:val="00B4654C"/>
    <w:rsid w:val="00B46AF0"/>
    <w:rsid w:val="00B47293"/>
    <w:rsid w:val="00B50E50"/>
    <w:rsid w:val="00B52120"/>
    <w:rsid w:val="00B540FE"/>
    <w:rsid w:val="00B54ABC"/>
    <w:rsid w:val="00B54DDE"/>
    <w:rsid w:val="00B56FBE"/>
    <w:rsid w:val="00B60ACF"/>
    <w:rsid w:val="00B62B58"/>
    <w:rsid w:val="00B633E6"/>
    <w:rsid w:val="00B65149"/>
    <w:rsid w:val="00B66567"/>
    <w:rsid w:val="00B66F52"/>
    <w:rsid w:val="00B66FE5"/>
    <w:rsid w:val="00B72880"/>
    <w:rsid w:val="00B758BF"/>
    <w:rsid w:val="00B77BE4"/>
    <w:rsid w:val="00B77EC8"/>
    <w:rsid w:val="00B827A6"/>
    <w:rsid w:val="00B831CE"/>
    <w:rsid w:val="00B86677"/>
    <w:rsid w:val="00B87131"/>
    <w:rsid w:val="00B939B1"/>
    <w:rsid w:val="00B93E44"/>
    <w:rsid w:val="00B9629B"/>
    <w:rsid w:val="00B96D40"/>
    <w:rsid w:val="00B97386"/>
    <w:rsid w:val="00BA160A"/>
    <w:rsid w:val="00BA263B"/>
    <w:rsid w:val="00BA42B2"/>
    <w:rsid w:val="00BA5451"/>
    <w:rsid w:val="00BA58D4"/>
    <w:rsid w:val="00BA5B9E"/>
    <w:rsid w:val="00BA7C9A"/>
    <w:rsid w:val="00BB203B"/>
    <w:rsid w:val="00BB5F8F"/>
    <w:rsid w:val="00BB657A"/>
    <w:rsid w:val="00BC1A4E"/>
    <w:rsid w:val="00BC1A53"/>
    <w:rsid w:val="00BC1A6E"/>
    <w:rsid w:val="00BC2233"/>
    <w:rsid w:val="00BC4790"/>
    <w:rsid w:val="00BC5DC7"/>
    <w:rsid w:val="00BC6B8B"/>
    <w:rsid w:val="00BC73D8"/>
    <w:rsid w:val="00BD52D7"/>
    <w:rsid w:val="00BD5AD2"/>
    <w:rsid w:val="00BE22F3"/>
    <w:rsid w:val="00BE572E"/>
    <w:rsid w:val="00BE5B52"/>
    <w:rsid w:val="00BE7B8D"/>
    <w:rsid w:val="00BF0993"/>
    <w:rsid w:val="00BF10A9"/>
    <w:rsid w:val="00BF1703"/>
    <w:rsid w:val="00BF231C"/>
    <w:rsid w:val="00BF2755"/>
    <w:rsid w:val="00BF51E5"/>
    <w:rsid w:val="00BF6E34"/>
    <w:rsid w:val="00BF74A6"/>
    <w:rsid w:val="00C013AD"/>
    <w:rsid w:val="00C04904"/>
    <w:rsid w:val="00C056B3"/>
    <w:rsid w:val="00C103E5"/>
    <w:rsid w:val="00C129F7"/>
    <w:rsid w:val="00C13319"/>
    <w:rsid w:val="00C13EE9"/>
    <w:rsid w:val="00C157A3"/>
    <w:rsid w:val="00C21488"/>
    <w:rsid w:val="00C21540"/>
    <w:rsid w:val="00C21906"/>
    <w:rsid w:val="00C21BFA"/>
    <w:rsid w:val="00C22148"/>
    <w:rsid w:val="00C24C8D"/>
    <w:rsid w:val="00C25FE2"/>
    <w:rsid w:val="00C26B53"/>
    <w:rsid w:val="00C279B2"/>
    <w:rsid w:val="00C33E50"/>
    <w:rsid w:val="00C34C20"/>
    <w:rsid w:val="00C35A3E"/>
    <w:rsid w:val="00C42130"/>
    <w:rsid w:val="00C423A4"/>
    <w:rsid w:val="00C42D6D"/>
    <w:rsid w:val="00C44BF5"/>
    <w:rsid w:val="00C521D6"/>
    <w:rsid w:val="00C55232"/>
    <w:rsid w:val="00C553A4"/>
    <w:rsid w:val="00C55A06"/>
    <w:rsid w:val="00C55D03"/>
    <w:rsid w:val="00C601BC"/>
    <w:rsid w:val="00C6329F"/>
    <w:rsid w:val="00C63340"/>
    <w:rsid w:val="00C643F9"/>
    <w:rsid w:val="00C64E95"/>
    <w:rsid w:val="00C665DB"/>
    <w:rsid w:val="00C71372"/>
    <w:rsid w:val="00C717FF"/>
    <w:rsid w:val="00C72410"/>
    <w:rsid w:val="00C7287F"/>
    <w:rsid w:val="00C75A9A"/>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3DCC"/>
    <w:rsid w:val="00CA5963"/>
    <w:rsid w:val="00CA662A"/>
    <w:rsid w:val="00CA7AFD"/>
    <w:rsid w:val="00CA7C3C"/>
    <w:rsid w:val="00CB0189"/>
    <w:rsid w:val="00CB0BA2"/>
    <w:rsid w:val="00CB1A42"/>
    <w:rsid w:val="00CB1B0C"/>
    <w:rsid w:val="00CB2C0B"/>
    <w:rsid w:val="00CB517D"/>
    <w:rsid w:val="00CC038D"/>
    <w:rsid w:val="00CC08DB"/>
    <w:rsid w:val="00CC39FF"/>
    <w:rsid w:val="00CC3C2F"/>
    <w:rsid w:val="00CC4236"/>
    <w:rsid w:val="00CC4AC8"/>
    <w:rsid w:val="00CC5233"/>
    <w:rsid w:val="00CC5DE6"/>
    <w:rsid w:val="00CC6E4E"/>
    <w:rsid w:val="00CC6FE8"/>
    <w:rsid w:val="00CC7202"/>
    <w:rsid w:val="00CD0A0C"/>
    <w:rsid w:val="00CD2808"/>
    <w:rsid w:val="00CD28BF"/>
    <w:rsid w:val="00CD4092"/>
    <w:rsid w:val="00CD4A20"/>
    <w:rsid w:val="00CD50A1"/>
    <w:rsid w:val="00CD519E"/>
    <w:rsid w:val="00CD561D"/>
    <w:rsid w:val="00CE0C4F"/>
    <w:rsid w:val="00CE30EA"/>
    <w:rsid w:val="00CE3FB6"/>
    <w:rsid w:val="00CF048A"/>
    <w:rsid w:val="00CF155A"/>
    <w:rsid w:val="00CF2947"/>
    <w:rsid w:val="00CF686F"/>
    <w:rsid w:val="00CF6E60"/>
    <w:rsid w:val="00CF7BCA"/>
    <w:rsid w:val="00D008FD"/>
    <w:rsid w:val="00D0321C"/>
    <w:rsid w:val="00D035EC"/>
    <w:rsid w:val="00D04002"/>
    <w:rsid w:val="00D05DFD"/>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DFD"/>
    <w:rsid w:val="00D32719"/>
    <w:rsid w:val="00D33333"/>
    <w:rsid w:val="00D33457"/>
    <w:rsid w:val="00D345EC"/>
    <w:rsid w:val="00D346D0"/>
    <w:rsid w:val="00D352A2"/>
    <w:rsid w:val="00D3660F"/>
    <w:rsid w:val="00D4162B"/>
    <w:rsid w:val="00D4514F"/>
    <w:rsid w:val="00D451E2"/>
    <w:rsid w:val="00D45E89"/>
    <w:rsid w:val="00D45E8D"/>
    <w:rsid w:val="00D466AE"/>
    <w:rsid w:val="00D4734F"/>
    <w:rsid w:val="00D51BF3"/>
    <w:rsid w:val="00D56E45"/>
    <w:rsid w:val="00D66846"/>
    <w:rsid w:val="00D675FB"/>
    <w:rsid w:val="00D71F25"/>
    <w:rsid w:val="00D72A9C"/>
    <w:rsid w:val="00D77031"/>
    <w:rsid w:val="00D84941"/>
    <w:rsid w:val="00D84FA1"/>
    <w:rsid w:val="00D851F0"/>
    <w:rsid w:val="00D86DB7"/>
    <w:rsid w:val="00D86FD8"/>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76F3"/>
    <w:rsid w:val="00DB0258"/>
    <w:rsid w:val="00DB38EE"/>
    <w:rsid w:val="00DB498B"/>
    <w:rsid w:val="00DB66CA"/>
    <w:rsid w:val="00DB6BCA"/>
    <w:rsid w:val="00DB73F7"/>
    <w:rsid w:val="00DC0321"/>
    <w:rsid w:val="00DC3067"/>
    <w:rsid w:val="00DC370B"/>
    <w:rsid w:val="00DC5B90"/>
    <w:rsid w:val="00DD00FF"/>
    <w:rsid w:val="00DD0619"/>
    <w:rsid w:val="00DD07FB"/>
    <w:rsid w:val="00DD13B6"/>
    <w:rsid w:val="00DD25C6"/>
    <w:rsid w:val="00DD2E45"/>
    <w:rsid w:val="00DD4FE5"/>
    <w:rsid w:val="00DD54B0"/>
    <w:rsid w:val="00DD57EE"/>
    <w:rsid w:val="00DD6BCC"/>
    <w:rsid w:val="00DE0A4B"/>
    <w:rsid w:val="00DE2410"/>
    <w:rsid w:val="00DE2939"/>
    <w:rsid w:val="00DE6B62"/>
    <w:rsid w:val="00DE6E81"/>
    <w:rsid w:val="00DE703F"/>
    <w:rsid w:val="00DE7595"/>
    <w:rsid w:val="00DF0EF9"/>
    <w:rsid w:val="00DF1961"/>
    <w:rsid w:val="00DF44DE"/>
    <w:rsid w:val="00DF5F11"/>
    <w:rsid w:val="00DF7A00"/>
    <w:rsid w:val="00E01138"/>
    <w:rsid w:val="00E02DFB"/>
    <w:rsid w:val="00E030F9"/>
    <w:rsid w:val="00E0311A"/>
    <w:rsid w:val="00E03138"/>
    <w:rsid w:val="00E06404"/>
    <w:rsid w:val="00E065D2"/>
    <w:rsid w:val="00E06F12"/>
    <w:rsid w:val="00E11A85"/>
    <w:rsid w:val="00E12495"/>
    <w:rsid w:val="00E15CCD"/>
    <w:rsid w:val="00E202EF"/>
    <w:rsid w:val="00E210B5"/>
    <w:rsid w:val="00E220B3"/>
    <w:rsid w:val="00E23D99"/>
    <w:rsid w:val="00E2552F"/>
    <w:rsid w:val="00E30142"/>
    <w:rsid w:val="00E3137A"/>
    <w:rsid w:val="00E32CCF"/>
    <w:rsid w:val="00E34A98"/>
    <w:rsid w:val="00E35D1E"/>
    <w:rsid w:val="00E364F9"/>
    <w:rsid w:val="00E365FA"/>
    <w:rsid w:val="00E36789"/>
    <w:rsid w:val="00E415A7"/>
    <w:rsid w:val="00E44A83"/>
    <w:rsid w:val="00E502C1"/>
    <w:rsid w:val="00E502DD"/>
    <w:rsid w:val="00E507F7"/>
    <w:rsid w:val="00E50D3A"/>
    <w:rsid w:val="00E51387"/>
    <w:rsid w:val="00E51E68"/>
    <w:rsid w:val="00E52EFD"/>
    <w:rsid w:val="00E5408A"/>
    <w:rsid w:val="00E56800"/>
    <w:rsid w:val="00E60761"/>
    <w:rsid w:val="00E609D9"/>
    <w:rsid w:val="00E60C63"/>
    <w:rsid w:val="00E620F2"/>
    <w:rsid w:val="00E62FF9"/>
    <w:rsid w:val="00E635D6"/>
    <w:rsid w:val="00E639BC"/>
    <w:rsid w:val="00E664CC"/>
    <w:rsid w:val="00E67D76"/>
    <w:rsid w:val="00E70388"/>
    <w:rsid w:val="00E70671"/>
    <w:rsid w:val="00E70F92"/>
    <w:rsid w:val="00E72427"/>
    <w:rsid w:val="00E74C54"/>
    <w:rsid w:val="00E77A03"/>
    <w:rsid w:val="00E80165"/>
    <w:rsid w:val="00E80B11"/>
    <w:rsid w:val="00E81D3C"/>
    <w:rsid w:val="00E822E8"/>
    <w:rsid w:val="00E82554"/>
    <w:rsid w:val="00E82606"/>
    <w:rsid w:val="00E82BE8"/>
    <w:rsid w:val="00E846C8"/>
    <w:rsid w:val="00E84957"/>
    <w:rsid w:val="00E84A55"/>
    <w:rsid w:val="00E85BFF"/>
    <w:rsid w:val="00E90391"/>
    <w:rsid w:val="00E906C2"/>
    <w:rsid w:val="00E9311F"/>
    <w:rsid w:val="00E934D1"/>
    <w:rsid w:val="00E94AF0"/>
    <w:rsid w:val="00E95D13"/>
    <w:rsid w:val="00E95DD3"/>
    <w:rsid w:val="00E968BC"/>
    <w:rsid w:val="00E969D5"/>
    <w:rsid w:val="00EA2267"/>
    <w:rsid w:val="00EA33A2"/>
    <w:rsid w:val="00EA58D1"/>
    <w:rsid w:val="00EA61BC"/>
    <w:rsid w:val="00EA681A"/>
    <w:rsid w:val="00EA735B"/>
    <w:rsid w:val="00EB17DE"/>
    <w:rsid w:val="00EB1E69"/>
    <w:rsid w:val="00EB2086"/>
    <w:rsid w:val="00EB5EDF"/>
    <w:rsid w:val="00EB60FE"/>
    <w:rsid w:val="00EB74DB"/>
    <w:rsid w:val="00EC0ED2"/>
    <w:rsid w:val="00EC1B72"/>
    <w:rsid w:val="00EC5359"/>
    <w:rsid w:val="00EC562A"/>
    <w:rsid w:val="00EC7DED"/>
    <w:rsid w:val="00ED067A"/>
    <w:rsid w:val="00ED274C"/>
    <w:rsid w:val="00ED2B50"/>
    <w:rsid w:val="00EE0350"/>
    <w:rsid w:val="00EE0719"/>
    <w:rsid w:val="00EE0E80"/>
    <w:rsid w:val="00EE54A6"/>
    <w:rsid w:val="00EE613F"/>
    <w:rsid w:val="00EE7295"/>
    <w:rsid w:val="00EE7869"/>
    <w:rsid w:val="00EF036E"/>
    <w:rsid w:val="00EF054A"/>
    <w:rsid w:val="00EF0F4C"/>
    <w:rsid w:val="00EF1389"/>
    <w:rsid w:val="00EF2772"/>
    <w:rsid w:val="00EF3235"/>
    <w:rsid w:val="00EF364E"/>
    <w:rsid w:val="00EF7E72"/>
    <w:rsid w:val="00F03A49"/>
    <w:rsid w:val="00F06D37"/>
    <w:rsid w:val="00F07506"/>
    <w:rsid w:val="00F07B9D"/>
    <w:rsid w:val="00F11586"/>
    <w:rsid w:val="00F1183B"/>
    <w:rsid w:val="00F11C9F"/>
    <w:rsid w:val="00F12263"/>
    <w:rsid w:val="00F1409D"/>
    <w:rsid w:val="00F14214"/>
    <w:rsid w:val="00F14996"/>
    <w:rsid w:val="00F157A9"/>
    <w:rsid w:val="00F2521E"/>
    <w:rsid w:val="00F25BB6"/>
    <w:rsid w:val="00F26B7E"/>
    <w:rsid w:val="00F27A3B"/>
    <w:rsid w:val="00F31D76"/>
    <w:rsid w:val="00F3263D"/>
    <w:rsid w:val="00F33817"/>
    <w:rsid w:val="00F420D5"/>
    <w:rsid w:val="00F42195"/>
    <w:rsid w:val="00F451EA"/>
    <w:rsid w:val="00F45447"/>
    <w:rsid w:val="00F456C6"/>
    <w:rsid w:val="00F4577B"/>
    <w:rsid w:val="00F46496"/>
    <w:rsid w:val="00F474D0"/>
    <w:rsid w:val="00F50179"/>
    <w:rsid w:val="00F515EE"/>
    <w:rsid w:val="00F56511"/>
    <w:rsid w:val="00F606F0"/>
    <w:rsid w:val="00F60B01"/>
    <w:rsid w:val="00F6194E"/>
    <w:rsid w:val="00F623AC"/>
    <w:rsid w:val="00F6412A"/>
    <w:rsid w:val="00F64D3A"/>
    <w:rsid w:val="00F65893"/>
    <w:rsid w:val="00F66A4A"/>
    <w:rsid w:val="00F71E22"/>
    <w:rsid w:val="00F72142"/>
    <w:rsid w:val="00F72AE7"/>
    <w:rsid w:val="00F81141"/>
    <w:rsid w:val="00F833BA"/>
    <w:rsid w:val="00F84FD0"/>
    <w:rsid w:val="00F859A8"/>
    <w:rsid w:val="00F86D87"/>
    <w:rsid w:val="00F87659"/>
    <w:rsid w:val="00F9108B"/>
    <w:rsid w:val="00F91349"/>
    <w:rsid w:val="00F93A8A"/>
    <w:rsid w:val="00F95248"/>
    <w:rsid w:val="00F956A9"/>
    <w:rsid w:val="00F963ED"/>
    <w:rsid w:val="00F966CF"/>
    <w:rsid w:val="00F96CAE"/>
    <w:rsid w:val="00F97C99"/>
    <w:rsid w:val="00FA0291"/>
    <w:rsid w:val="00FA4DAC"/>
    <w:rsid w:val="00FA662D"/>
    <w:rsid w:val="00FA73B1"/>
    <w:rsid w:val="00FB0CB9"/>
    <w:rsid w:val="00FB231D"/>
    <w:rsid w:val="00FB45F1"/>
    <w:rsid w:val="00FB4A72"/>
    <w:rsid w:val="00FB54E8"/>
    <w:rsid w:val="00FB60FF"/>
    <w:rsid w:val="00FB7054"/>
    <w:rsid w:val="00FC17B7"/>
    <w:rsid w:val="00FC1A0B"/>
    <w:rsid w:val="00FC2CB7"/>
    <w:rsid w:val="00FC3B51"/>
    <w:rsid w:val="00FC4090"/>
    <w:rsid w:val="00FC55B4"/>
    <w:rsid w:val="00FD00E6"/>
    <w:rsid w:val="00FD09A1"/>
    <w:rsid w:val="00FD275B"/>
    <w:rsid w:val="00FD2A7C"/>
    <w:rsid w:val="00FD59EB"/>
    <w:rsid w:val="00FD7299"/>
    <w:rsid w:val="00FD7602"/>
    <w:rsid w:val="00FE1FBE"/>
    <w:rsid w:val="00FE3901"/>
    <w:rsid w:val="00FE39D3"/>
    <w:rsid w:val="00FE4BCE"/>
    <w:rsid w:val="00FE54AE"/>
    <w:rsid w:val="00FE576A"/>
    <w:rsid w:val="00FE7221"/>
    <w:rsid w:val="00FE7E79"/>
    <w:rsid w:val="00FF09D4"/>
    <w:rsid w:val="00FF3E7D"/>
    <w:rsid w:val="00FF5B99"/>
    <w:rsid w:val="00FF730C"/>
    <w:rsid w:val="00FF73F4"/>
    <w:rsid w:val="00FF7CE4"/>
    <w:rsid w:val="00FF7E39"/>
    <w:rsid w:val="0FFF4434"/>
    <w:rsid w:val="3D9E9A63"/>
    <w:rsid w:val="3DD5F31E"/>
    <w:rsid w:val="3FE922A1"/>
    <w:rsid w:val="45FBC37A"/>
    <w:rsid w:val="5B3B849B"/>
    <w:rsid w:val="5D93C927"/>
    <w:rsid w:val="5F512696"/>
    <w:rsid w:val="5F9FA6C0"/>
    <w:rsid w:val="5FCB2C77"/>
    <w:rsid w:val="66FD1343"/>
    <w:rsid w:val="69F72DF3"/>
    <w:rsid w:val="69FB3A37"/>
    <w:rsid w:val="6A7D8E17"/>
    <w:rsid w:val="6D8B6459"/>
    <w:rsid w:val="6DAD3BE9"/>
    <w:rsid w:val="6F1B8299"/>
    <w:rsid w:val="6FF310BF"/>
    <w:rsid w:val="6FFB8123"/>
    <w:rsid w:val="6FFF9CFC"/>
    <w:rsid w:val="7723E6DF"/>
    <w:rsid w:val="77EED87B"/>
    <w:rsid w:val="77FD6C81"/>
    <w:rsid w:val="77FE5098"/>
    <w:rsid w:val="77FEC736"/>
    <w:rsid w:val="79D79FE1"/>
    <w:rsid w:val="7BA311C3"/>
    <w:rsid w:val="7BFE2E34"/>
    <w:rsid w:val="7DAB40F4"/>
    <w:rsid w:val="7FDFC407"/>
    <w:rsid w:val="7FEF20D7"/>
    <w:rsid w:val="7FF9889A"/>
    <w:rsid w:val="965E1AE2"/>
    <w:rsid w:val="96BE5983"/>
    <w:rsid w:val="A76A1193"/>
    <w:rsid w:val="D1BBBE73"/>
    <w:rsid w:val="D8D5333E"/>
    <w:rsid w:val="DD7F6163"/>
    <w:rsid w:val="E77B0F14"/>
    <w:rsid w:val="E7FDC9A7"/>
    <w:rsid w:val="EF5EC2DA"/>
    <w:rsid w:val="EF79BA8D"/>
    <w:rsid w:val="EFEF9751"/>
    <w:rsid w:val="EFF30141"/>
    <w:rsid w:val="F59E7125"/>
    <w:rsid w:val="F96790AB"/>
    <w:rsid w:val="FB87882A"/>
    <w:rsid w:val="FBE79803"/>
    <w:rsid w:val="FDDE51CA"/>
    <w:rsid w:val="FF73860D"/>
    <w:rsid w:val="FFDB28A8"/>
    <w:rsid w:val="FFF5F01F"/>
    <w:rsid w:val="FFFD1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after="160"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after="160"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after="160"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spacing w:after="160" w:line="278" w:lineRule="auto"/>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spacing w:after="160" w:line="278" w:lineRule="auto"/>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line="278" w:lineRule="auto"/>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spacing w:after="160" w:line="278" w:lineRule="auto"/>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line="278" w:lineRule="auto"/>
      <w:ind w:left="4395"/>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line="278" w:lineRule="auto"/>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line="278" w:lineRule="auto"/>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line="278" w:lineRule="auto"/>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line="278" w:lineRule="auto"/>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line="278" w:lineRule="auto"/>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line="278" w:lineRule="auto"/>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line="278" w:lineRule="auto"/>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160" w:afterLines="50" w:line="278" w:lineRule="auto"/>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line="278" w:lineRule="auto"/>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spacing w:after="160" w:line="278" w:lineRule="auto"/>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spacing w:after="160" w:line="278" w:lineRule="auto"/>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line="278" w:lineRule="auto"/>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line="278" w:lineRule="auto"/>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line="278" w:lineRule="auto"/>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ind w:left="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spacing w:after="160" w:line="278" w:lineRule="auto"/>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spacing w:after="160" w:line="278" w:lineRule="auto"/>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spacing w:after="160" w:line="278" w:lineRule="auto"/>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spacing w:after="160" w:line="278" w:lineRule="auto"/>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spacing w:after="160" w:line="278" w:lineRule="auto"/>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spacing w:after="160" w:line="278" w:lineRule="auto"/>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after="16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after="16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after="160"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after="16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line="278" w:lineRule="auto"/>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spacing w:after="160" w:line="278" w:lineRule="auto"/>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spacing w:after="160" w:line="278" w:lineRule="auto"/>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spacing w:after="160" w:line="278" w:lineRule="auto"/>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after="160"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spacing w:after="160" w:line="278" w:lineRule="auto"/>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spacing w:after="160" w:line="278" w:lineRule="auto"/>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after="160"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pPr>
      <w:spacing w:after="160" w:line="278" w:lineRule="auto"/>
    </w:pPr>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spacing w:after="160" w:line="278" w:lineRule="auto"/>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spacing w:after="160" w:line="278" w:lineRule="auto"/>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after="160"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spacing w:after="160" w:line="278" w:lineRule="auto"/>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spacing w:after="160" w:line="278" w:lineRule="auto"/>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spacing w:after="160" w:line="278" w:lineRule="auto"/>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after="160"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vAnchor="page" w:hAnchor="page" w:x="1419" w:y="14097"/>
    </w:pPr>
  </w:style>
  <w:style w:type="paragraph" w:customStyle="1" w:styleId="197">
    <w:name w:val="其他实施日期"/>
    <w:basedOn w:val="157"/>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3"/>
    <w:semiHidden/>
    <w:qFormat/>
    <w:uiPriority w:val="99"/>
    <w:rPr>
      <w:kern w:val="2"/>
      <w:sz w:val="21"/>
      <w:szCs w:val="21"/>
    </w:rPr>
  </w:style>
  <w:style w:type="character" w:customStyle="1" w:styleId="234">
    <w:name w:val="批注主题 字符"/>
    <w:basedOn w:val="233"/>
    <w:link w:val="27"/>
    <w:semiHidden/>
    <w:qFormat/>
    <w:uiPriority w:val="99"/>
    <w:rPr>
      <w:b/>
      <w:bCs/>
      <w:kern w:val="2"/>
      <w:sz w:val="21"/>
      <w:szCs w:val="21"/>
    </w:rPr>
  </w:style>
  <w:style w:type="paragraph" w:customStyle="1" w:styleId="235">
    <w:name w:val="Revision"/>
    <w:hidden/>
    <w:unhideWhenUsed/>
    <w:qFormat/>
    <w:uiPriority w:val="99"/>
    <w:pPr>
      <w:spacing w:after="0" w:line="240" w:lineRule="auto"/>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460542A510C4EA3A7FBD7E536A5230A"/>
        <w:style w:val=""/>
        <w:category>
          <w:name w:val="常规"/>
          <w:gallery w:val="placeholder"/>
        </w:category>
        <w:types>
          <w:type w:val="bbPlcHdr"/>
        </w:types>
        <w:behaviors>
          <w:behavior w:val="content"/>
        </w:behaviors>
        <w:description w:val=""/>
        <w:guid w:val="{77CAAF9E-1AE1-44CA-87D6-A4C5833DB171}"/>
      </w:docPartPr>
      <w:docPartBody>
        <w:p>
          <w:pPr>
            <w:pStyle w:val="5"/>
          </w:pPr>
          <w:r>
            <w:rPr>
              <w:rStyle w:val="4"/>
              <w:rFonts w:hint="eastAsia"/>
            </w:rPr>
            <w:t>单击或点击此处输入文字。</w:t>
          </w:r>
        </w:p>
      </w:docPartBody>
    </w:docPart>
    <w:docPart>
      <w:docPartPr>
        <w:name w:val="6B60FF96F75C4EFA9489DA7595E390D8"/>
        <w:style w:val=""/>
        <w:category>
          <w:name w:val="常规"/>
          <w:gallery w:val="placeholder"/>
        </w:category>
        <w:types>
          <w:type w:val="bbPlcHdr"/>
        </w:types>
        <w:behaviors>
          <w:behavior w:val="content"/>
        </w:behaviors>
        <w:description w:val=""/>
        <w:guid w:val="{3B040449-368E-4127-92B9-8454C54BF4CB}"/>
      </w:docPartPr>
      <w:docPartBody>
        <w:p>
          <w:pPr>
            <w:pStyle w:val="6"/>
          </w:pPr>
          <w:r>
            <w:rPr>
              <w:rStyle w:val="4"/>
              <w:rFonts w:hint="eastAsia"/>
            </w:rPr>
            <w:t>选择一项。</w:t>
          </w:r>
        </w:p>
      </w:docPartBody>
    </w:docPart>
    <w:docPart>
      <w:docPartPr>
        <w:name w:val="98064DDF67E549BA8E1AE94F2EDAB764"/>
        <w:style w:val=""/>
        <w:category>
          <w:name w:val="常规"/>
          <w:gallery w:val="placeholder"/>
        </w:category>
        <w:types>
          <w:type w:val="bbPlcHdr"/>
        </w:types>
        <w:behaviors>
          <w:behavior w:val="content"/>
        </w:behaviors>
        <w:description w:val=""/>
        <w:guid w:val="{C5D47445-B3A9-427D-B7E2-C0A22F333272}"/>
      </w:docPartPr>
      <w:docPartBody>
        <w:p>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_GB2312"/>
    <w:panose1 w:val="00000000000000000000"/>
    <w:charset w:val="86"/>
    <w:family w:val="auto"/>
    <w:pitch w:val="default"/>
    <w:sig w:usb0="00000000" w:usb1="00000000" w:usb2="00000000" w:usb3="00000000" w:csb0="00000000" w:csb1="00000000"/>
  </w:font>
  <w:font w:name="等线">
    <w:altName w:val="仿宋_GB2312"/>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EFE"/>
    <w:rsid w:val="00025B2F"/>
    <w:rsid w:val="000E6907"/>
    <w:rsid w:val="00195061"/>
    <w:rsid w:val="002523F1"/>
    <w:rsid w:val="003018FC"/>
    <w:rsid w:val="00315B64"/>
    <w:rsid w:val="00382679"/>
    <w:rsid w:val="00415257"/>
    <w:rsid w:val="004157CA"/>
    <w:rsid w:val="00420F2D"/>
    <w:rsid w:val="004465A0"/>
    <w:rsid w:val="005440BB"/>
    <w:rsid w:val="005730EB"/>
    <w:rsid w:val="005911BC"/>
    <w:rsid w:val="005B42B7"/>
    <w:rsid w:val="005F0D78"/>
    <w:rsid w:val="00656214"/>
    <w:rsid w:val="00800A37"/>
    <w:rsid w:val="00865566"/>
    <w:rsid w:val="00914EF2"/>
    <w:rsid w:val="009F25A4"/>
    <w:rsid w:val="009F766F"/>
    <w:rsid w:val="00AC081F"/>
    <w:rsid w:val="00CD0D5E"/>
    <w:rsid w:val="00D103EA"/>
    <w:rsid w:val="00E24EFE"/>
    <w:rsid w:val="00E507F7"/>
    <w:rsid w:val="00E923C2"/>
    <w:rsid w:val="00EF3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460542A510C4EA3A7FBD7E536A5230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6B60FF96F75C4EFA9489DA7595E390D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98064DDF67E549BA8E1AE94F2EDAB76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15</Pages>
  <Words>6078</Words>
  <Characters>2592</Characters>
  <Lines>152</Lines>
  <Paragraphs>361</Paragraphs>
  <TotalTime>44</TotalTime>
  <ScaleCrop>false</ScaleCrop>
  <LinksUpToDate>false</LinksUpToDate>
  <CharactersWithSpaces>8309</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2025-02-28T16:57:00Z</dcterms:created>
  <dc:creator>张玉博</dc:creator>
  <dc:description>&lt;config cover="true" show_menu="true" version="1.0.0" doctype="SDKXY"&gt;_x000d_
&lt;/config&gt;</dc:description>
  <cp:lastModifiedBy>scjgj</cp:lastModifiedBy>
  <cp:lastPrinted>2025-03-01T09:22:00Z</cp:lastPrinted>
  <dcterms:modified xsi:type="dcterms:W3CDTF">2025-03-25T12:21:53Z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2052-11.8.2.10386</vt:lpwstr>
  </property>
  <property fmtid="{D5CDD505-2E9C-101B-9397-08002B2CF9AE}" pid="15" name="ICV">
    <vt:lpwstr>457ADE0B3FB3F2FA2C3EB567F925CC63_42</vt:lpwstr>
  </property>
</Properties>
</file>