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1889A">
      <w:pPr>
        <w:spacing w:line="360" w:lineRule="auto"/>
        <w:jc w:val="center"/>
        <w:outlineLvl w:val="0"/>
        <w:rPr>
          <w:rFonts w:hint="eastAsia" w:ascii="Times New Roman" w:hAnsi="Times New Roman" w:eastAsia="黑体" w:cs="Times New Roman"/>
          <w:b/>
          <w:bCs/>
          <w:sz w:val="36"/>
          <w:szCs w:val="36"/>
        </w:rPr>
      </w:pPr>
      <w:r>
        <w:rPr>
          <w:rFonts w:hint="eastAsia" w:ascii="Times New Roman" w:hAnsi="Times New Roman" w:eastAsia="黑体" w:cs="Times New Roman"/>
          <w:b/>
          <w:bCs/>
          <w:sz w:val="36"/>
          <w:szCs w:val="36"/>
        </w:rPr>
        <w:t>上海市地方标准</w:t>
      </w:r>
      <w:r>
        <w:rPr>
          <w:rFonts w:hint="eastAsia" w:ascii="Times New Roman" w:hAnsi="Times New Roman" w:eastAsia="黑体" w:cs="Times New Roman"/>
          <w:b/>
          <w:bCs/>
          <w:sz w:val="36"/>
          <w:szCs w:val="36"/>
        </w:rPr>
        <w:t>《标准组织国际化运作指南》</w:t>
      </w:r>
    </w:p>
    <w:p w14:paraId="74CBB953">
      <w:pPr>
        <w:spacing w:line="360" w:lineRule="auto"/>
        <w:jc w:val="center"/>
        <w:outlineLvl w:val="0"/>
        <w:rPr>
          <w:rFonts w:hint="eastAsia" w:ascii="Times New Roman" w:hAnsi="Times New Roman" w:eastAsia="黑体" w:cs="Times New Roman"/>
          <w:b/>
          <w:bCs/>
          <w:sz w:val="36"/>
          <w:szCs w:val="36"/>
        </w:rPr>
      </w:pPr>
      <w:r>
        <w:rPr>
          <w:rFonts w:hint="eastAsia" w:ascii="Times New Roman" w:hAnsi="Times New Roman" w:eastAsia="黑体" w:cs="Times New Roman"/>
          <w:b/>
          <w:bCs/>
          <w:sz w:val="36"/>
          <w:szCs w:val="36"/>
          <w:lang w:eastAsia="zh-CN"/>
        </w:rPr>
        <w:t>（征求意见稿）</w:t>
      </w:r>
      <w:r>
        <w:rPr>
          <w:rFonts w:hint="eastAsia" w:ascii="Times New Roman" w:hAnsi="Times New Roman" w:eastAsia="黑体" w:cs="Times New Roman"/>
          <w:b/>
          <w:bCs/>
          <w:sz w:val="36"/>
          <w:szCs w:val="36"/>
        </w:rPr>
        <w:t>编制说明</w:t>
      </w:r>
    </w:p>
    <w:p w14:paraId="07C79235">
      <w:pPr>
        <w:spacing w:line="360" w:lineRule="auto"/>
        <w:ind w:firstLine="640" w:firstLineChars="200"/>
        <w:jc w:val="left"/>
        <w:outlineLvl w:val="0"/>
        <w:rPr>
          <w:rFonts w:hint="eastAsia" w:ascii="黑体" w:hAnsi="黑体" w:eastAsia="黑体" w:cs="黑体"/>
          <w:sz w:val="32"/>
          <w:szCs w:val="32"/>
        </w:rPr>
      </w:pPr>
      <w:r>
        <w:rPr>
          <w:rFonts w:hint="eastAsia" w:ascii="黑体" w:hAnsi="黑体" w:eastAsia="黑体" w:cs="黑体"/>
          <w:sz w:val="32"/>
          <w:szCs w:val="32"/>
        </w:rPr>
        <w:t>一、任务来源</w:t>
      </w:r>
    </w:p>
    <w:p w14:paraId="4B79CA6B">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 xml:space="preserve"> 本地方标准项目由上海市市场监督管理局提出、上海市社会管理和公共服务标准化技术委员会归口，由上海市市场监督管理局批准立项，列入《2023年度第三批上海市地方标准制修订项目计划》（沪市监标技〔2023〕561号），由上海市质量和标准化研究院牵头起草。</w:t>
      </w:r>
    </w:p>
    <w:p w14:paraId="6467F321">
      <w:pPr>
        <w:spacing w:line="360" w:lineRule="auto"/>
        <w:ind w:firstLine="640" w:firstLineChars="200"/>
        <w:jc w:val="left"/>
        <w:outlineLvl w:val="0"/>
        <w:rPr>
          <w:rFonts w:hint="eastAsia" w:ascii="黑体" w:hAnsi="黑体" w:eastAsia="黑体" w:cs="黑体"/>
          <w:sz w:val="32"/>
          <w:szCs w:val="32"/>
        </w:rPr>
      </w:pPr>
      <w:r>
        <w:rPr>
          <w:rFonts w:hint="eastAsia" w:ascii="黑体" w:hAnsi="黑体" w:eastAsia="黑体" w:cs="黑体"/>
          <w:sz w:val="32"/>
          <w:szCs w:val="32"/>
        </w:rPr>
        <w:t>二、标准编制目的和意义</w:t>
      </w:r>
    </w:p>
    <w:p w14:paraId="3D4988AD">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（一）贯彻落实国家标准制度型开放战略发展的长远需要</w:t>
      </w:r>
    </w:p>
    <w:p w14:paraId="1860CD27">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国家标准化发展纲要》将标准制度型开放提升至战略高度。我国标准化开放程度将大幅提升，标准信息共享度、标准制定透明度、国内外标准一致性都将得到显著提高，国内国际相互促进将成为我国标准化的主要驱动方式。这表明我国不仅要积极参与国际标准化工作，持续完善国际标准体系，还要构建开放式标准制定机制，推动国内外相关方共同参与标准制定。上海制定《标准组织国际化运作指南》是打造国际标准服务高地的重要举措，也是贯彻落实纲要的具体行动。</w:t>
      </w:r>
    </w:p>
    <w:p w14:paraId="771335A7">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（二）先行先试发展本市开放式标准制定机制的客观需要</w:t>
      </w:r>
    </w:p>
    <w:p w14:paraId="7C560D31">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上海作为国内最具活力和潜力的区域经济体，一直是国家制度创新的试验田。在标准制度型开放方面，上海作为国际大都市和我国对外开放的前沿阵地，顺应国际贸易趋势，利用产业优势基础，积极参与国际标准的制定，尤其注重发展市场化、开放式的标准制定机制，致力于打造更高水平的上海标准。制定《标准组织国际化运作指南》是上海</w:t>
      </w:r>
      <w:r>
        <w:rPr>
          <w:rFonts w:hint="default" w:ascii="仿宋_GB2312" w:hAnsi="仿宋_GB2312" w:eastAsia="仿宋_GB2312" w:cs="Times New Roman"/>
          <w:kern w:val="0"/>
          <w:sz w:val="30"/>
          <w:szCs w:val="30"/>
          <w:lang w:val="en-US" w:eastAsia="zh-CN"/>
        </w:rPr>
        <w:t>先行培育国际性专业标准组织</w:t>
      </w:r>
      <w:r>
        <w:rPr>
          <w:rFonts w:hint="eastAsia" w:ascii="仿宋_GB2312" w:hAnsi="仿宋_GB2312" w:eastAsia="仿宋_GB2312" w:cs="Times New Roman"/>
          <w:kern w:val="0"/>
          <w:sz w:val="30"/>
          <w:szCs w:val="30"/>
          <w:lang w:val="en-US" w:eastAsia="zh-CN"/>
        </w:rPr>
        <w:t>的一次积极尝试，有助于吸引全球标准优质技术资源，丰富上海标准内涵，从而推动上海实行更高水平制度型开放，率先建设有全球影响力的高标准制度规则体系，服务于国家对外开放战略。</w:t>
      </w:r>
    </w:p>
    <w:p w14:paraId="4A58F177">
      <w:pPr>
        <w:ind w:firstLine="602" w:firstLineChars="200"/>
        <w:rPr>
          <w:rFonts w:hint="eastAsia" w:ascii="仿宋_GB2312" w:hAnsi="仿宋_GB2312" w:eastAsia="仿宋_GB2312" w:cs="Times New Roman"/>
          <w:b/>
          <w:bCs/>
          <w:kern w:val="0"/>
          <w:sz w:val="30"/>
          <w:szCs w:val="30"/>
          <w:lang w:val="en-US" w:eastAsia="zh-CN"/>
        </w:rPr>
      </w:pPr>
      <w:r>
        <w:rPr>
          <w:rFonts w:hint="default" w:ascii="仿宋_GB2312" w:hAnsi="仿宋_GB2312" w:eastAsia="仿宋_GB2312" w:cs="Times New Roman"/>
          <w:b/>
          <w:bCs/>
          <w:kern w:val="0"/>
          <w:sz w:val="30"/>
          <w:szCs w:val="30"/>
          <w:lang w:val="en-US" w:eastAsia="zh-CN"/>
        </w:rPr>
        <w:t>（</w:t>
      </w:r>
      <w:r>
        <w:rPr>
          <w:rFonts w:hint="eastAsia" w:ascii="仿宋_GB2312" w:hAnsi="仿宋_GB2312" w:eastAsia="仿宋_GB2312" w:cs="Times New Roman"/>
          <w:b/>
          <w:bCs/>
          <w:kern w:val="0"/>
          <w:sz w:val="30"/>
          <w:szCs w:val="30"/>
          <w:lang w:val="en-US" w:eastAsia="zh-CN"/>
        </w:rPr>
        <w:t>三</w:t>
      </w:r>
      <w:r>
        <w:rPr>
          <w:rFonts w:hint="default" w:ascii="仿宋_GB2312" w:hAnsi="仿宋_GB2312" w:eastAsia="仿宋_GB2312" w:cs="Times New Roman"/>
          <w:b/>
          <w:bCs/>
          <w:kern w:val="0"/>
          <w:sz w:val="30"/>
          <w:szCs w:val="30"/>
          <w:lang w:val="en-US" w:eastAsia="zh-CN"/>
        </w:rPr>
        <w:t>）</w:t>
      </w:r>
      <w:r>
        <w:rPr>
          <w:rFonts w:hint="eastAsia" w:ascii="仿宋_GB2312" w:hAnsi="仿宋_GB2312" w:eastAsia="仿宋_GB2312" w:cs="Times New Roman"/>
          <w:b/>
          <w:bCs/>
          <w:kern w:val="0"/>
          <w:sz w:val="30"/>
          <w:szCs w:val="30"/>
          <w:lang w:val="en-US" w:eastAsia="zh-CN"/>
        </w:rPr>
        <w:t>推动解决</w:t>
      </w:r>
      <w:r>
        <w:rPr>
          <w:rFonts w:hint="default" w:ascii="仿宋_GB2312" w:hAnsi="仿宋_GB2312" w:eastAsia="仿宋_GB2312" w:cs="Times New Roman"/>
          <w:b/>
          <w:bCs/>
          <w:kern w:val="0"/>
          <w:sz w:val="30"/>
          <w:szCs w:val="30"/>
          <w:lang w:val="en-US" w:eastAsia="zh-CN"/>
        </w:rPr>
        <w:t>当前标准化开放程度受限</w:t>
      </w:r>
      <w:r>
        <w:rPr>
          <w:rFonts w:hint="eastAsia" w:ascii="仿宋_GB2312" w:hAnsi="仿宋_GB2312" w:eastAsia="仿宋_GB2312" w:cs="Times New Roman"/>
          <w:b/>
          <w:bCs/>
          <w:kern w:val="0"/>
          <w:sz w:val="30"/>
          <w:szCs w:val="30"/>
          <w:lang w:val="en-US" w:eastAsia="zh-CN"/>
        </w:rPr>
        <w:t>问题</w:t>
      </w:r>
      <w:r>
        <w:rPr>
          <w:rFonts w:hint="default" w:ascii="仿宋_GB2312" w:hAnsi="仿宋_GB2312" w:eastAsia="仿宋_GB2312" w:cs="Times New Roman"/>
          <w:b/>
          <w:bCs/>
          <w:kern w:val="0"/>
          <w:sz w:val="30"/>
          <w:szCs w:val="30"/>
          <w:lang w:val="en-US" w:eastAsia="zh-CN"/>
        </w:rPr>
        <w:t>的现实需要</w:t>
      </w:r>
    </w:p>
    <w:p w14:paraId="2E83DB11">
      <w:pPr>
        <w:ind w:firstLine="600" w:firstLineChars="200"/>
        <w:rPr>
          <w:rFonts w:hint="eastAsia" w:ascii="仿宋_GB2312" w:hAnsi="仿宋_GB2312" w:eastAsia="仿宋_GB2312" w:cs="Times New Roman"/>
          <w:kern w:val="0"/>
          <w:sz w:val="30"/>
          <w:szCs w:val="30"/>
          <w:lang w:val="en-US" w:eastAsia="zh-CN"/>
        </w:rPr>
      </w:pPr>
      <w:r>
        <w:rPr>
          <w:rFonts w:hint="default" w:ascii="仿宋_GB2312" w:hAnsi="仿宋_GB2312" w:eastAsia="仿宋_GB2312" w:cs="Times New Roman"/>
          <w:kern w:val="0"/>
          <w:sz w:val="30"/>
          <w:szCs w:val="30"/>
          <w:lang w:val="en-US" w:eastAsia="zh-CN"/>
        </w:rPr>
        <w:t>上海现有的标准化开放程度和实效有限，尚未实现标准化“引进来”、“走出去”双通道的高度畅通。上海现有标准化技术组织的规模、技术实力、标准制定能力和水平、国际影响力等尚未达到主流国际性标准组织水平。标准创新联合体等新颖的</w:t>
      </w:r>
      <w:r>
        <w:rPr>
          <w:rFonts w:hint="eastAsia" w:ascii="仿宋_GB2312" w:hAnsi="仿宋_GB2312" w:eastAsia="仿宋_GB2312" w:cs="Times New Roman"/>
          <w:kern w:val="0"/>
          <w:sz w:val="30"/>
          <w:szCs w:val="30"/>
          <w:lang w:val="en-US" w:eastAsia="zh-CN"/>
        </w:rPr>
        <w:t>标准化机构</w:t>
      </w:r>
      <w:r>
        <w:rPr>
          <w:rFonts w:hint="default" w:ascii="仿宋_GB2312" w:hAnsi="仿宋_GB2312" w:eastAsia="仿宋_GB2312" w:cs="Times New Roman"/>
          <w:kern w:val="0"/>
          <w:sz w:val="30"/>
          <w:szCs w:val="30"/>
          <w:lang w:val="en-US" w:eastAsia="zh-CN"/>
        </w:rPr>
        <w:t>的管理方式、标准制定程序、国际化发展等方面需要进一步探索。地方标准、团体标准、企业标准等各类标准成果需要更大力度地吸收和引进国外专家意见，以适应技术和市场发展趋势。</w:t>
      </w:r>
      <w:r>
        <w:rPr>
          <w:rFonts w:hint="eastAsia" w:ascii="仿宋_GB2312" w:hAnsi="仿宋_GB2312" w:eastAsia="仿宋_GB2312" w:cs="Times New Roman"/>
          <w:kern w:val="0"/>
          <w:sz w:val="30"/>
          <w:szCs w:val="30"/>
          <w:lang w:val="en-US" w:eastAsia="zh-CN"/>
        </w:rPr>
        <w:t>上述</w:t>
      </w:r>
      <w:r>
        <w:rPr>
          <w:rFonts w:hint="default" w:ascii="仿宋_GB2312" w:hAnsi="仿宋_GB2312" w:eastAsia="仿宋_GB2312" w:cs="Times New Roman"/>
          <w:kern w:val="0"/>
          <w:sz w:val="30"/>
          <w:szCs w:val="30"/>
          <w:lang w:val="en-US" w:eastAsia="zh-CN"/>
        </w:rPr>
        <w:t>问题</w:t>
      </w:r>
      <w:r>
        <w:rPr>
          <w:rFonts w:hint="eastAsia" w:ascii="仿宋_GB2312" w:hAnsi="仿宋_GB2312" w:eastAsia="仿宋_GB2312" w:cs="Times New Roman"/>
          <w:kern w:val="0"/>
          <w:sz w:val="30"/>
          <w:szCs w:val="30"/>
          <w:lang w:val="en-US" w:eastAsia="zh-CN"/>
        </w:rPr>
        <w:t>急需解决</w:t>
      </w:r>
      <w:r>
        <w:rPr>
          <w:rFonts w:hint="default" w:ascii="仿宋_GB2312" w:hAnsi="仿宋_GB2312" w:eastAsia="仿宋_GB2312" w:cs="Times New Roman"/>
          <w:kern w:val="0"/>
          <w:sz w:val="30"/>
          <w:szCs w:val="30"/>
          <w:lang w:val="en-US" w:eastAsia="zh-CN"/>
        </w:rPr>
        <w:t>，</w:t>
      </w:r>
      <w:r>
        <w:rPr>
          <w:rFonts w:hint="eastAsia" w:ascii="仿宋_GB2312" w:hAnsi="仿宋_GB2312" w:eastAsia="仿宋_GB2312" w:cs="Times New Roman"/>
          <w:kern w:val="0"/>
          <w:sz w:val="30"/>
          <w:szCs w:val="30"/>
          <w:lang w:val="en-US" w:eastAsia="zh-CN"/>
        </w:rPr>
        <w:t>以更大步伐</w:t>
      </w:r>
      <w:r>
        <w:rPr>
          <w:rFonts w:hint="default" w:ascii="仿宋_GB2312" w:hAnsi="仿宋_GB2312" w:eastAsia="仿宋_GB2312" w:cs="Times New Roman"/>
          <w:kern w:val="0"/>
          <w:sz w:val="30"/>
          <w:szCs w:val="30"/>
          <w:lang w:val="en-US" w:eastAsia="zh-CN"/>
        </w:rPr>
        <w:t>推动上海标准化事业迈向更高水平，助力我国标准制度型开放战略的深入实施。</w:t>
      </w:r>
    </w:p>
    <w:p w14:paraId="473333F8">
      <w:pPr>
        <w:spacing w:line="360" w:lineRule="auto"/>
        <w:ind w:firstLine="640" w:firstLineChars="200"/>
        <w:jc w:val="left"/>
        <w:outlineLvl w:val="0"/>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eastAsia="zh-CN"/>
        </w:rPr>
        <w:t>编制</w:t>
      </w:r>
      <w:r>
        <w:rPr>
          <w:rFonts w:hint="eastAsia" w:ascii="黑体" w:hAnsi="黑体" w:eastAsia="黑体" w:cs="黑体"/>
          <w:sz w:val="32"/>
          <w:szCs w:val="32"/>
        </w:rPr>
        <w:t>过程</w:t>
      </w:r>
    </w:p>
    <w:p w14:paraId="11765712">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（一）调研阶段</w:t>
      </w:r>
    </w:p>
    <w:p w14:paraId="6EC27F4C">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在市场监管总局的指导下，上海市质量和标准化研究院于2022年8月至10月，对具有国际影响力的标准化机构的内部运作机制及其国际化发展进行了信息搜集和研究，并撰写了专题报告，为我国标准国际化发展提供建议。2022年11月至2023年5月，上海市质量和标准化研究院在上海市市场监管局标准创新处的指导下，对上海标准国际化现状及上海标准化机构的国际化运作进行了广泛调研，并对深圳市市场监督管理局进行了专项调研，总结了深圳在标准国际化方面的成功经验，梳理了适合上海标准化机构国际化发展的策略，初步确立了标准研制的原则、思路和主体框架。</w:t>
      </w:r>
    </w:p>
    <w:p w14:paraId="59A94900">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（二）立项阶段</w:t>
      </w:r>
    </w:p>
    <w:p w14:paraId="0CEC7FEB">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起草组基于《世界贸易组织技术性贸易壁垒（WTO/TBT）协定》附件3“</w:t>
      </w:r>
      <w:bookmarkStart w:id="0" w:name="OLE_LINK8"/>
      <w:r>
        <w:rPr>
          <w:rFonts w:hint="eastAsia" w:ascii="仿宋_GB2312" w:hAnsi="仿宋_GB2312" w:eastAsia="仿宋_GB2312" w:cs="Times New Roman"/>
          <w:kern w:val="0"/>
          <w:sz w:val="30"/>
          <w:szCs w:val="30"/>
          <w:lang w:val="en-US" w:eastAsia="zh-CN"/>
        </w:rPr>
        <w:t>编制、采用和应用标准的良好行为规范</w:t>
      </w:r>
      <w:bookmarkEnd w:id="0"/>
      <w:r>
        <w:rPr>
          <w:rFonts w:hint="eastAsia" w:ascii="仿宋_GB2312" w:hAnsi="仿宋_GB2312" w:eastAsia="仿宋_GB2312" w:cs="Times New Roman"/>
          <w:kern w:val="0"/>
          <w:sz w:val="30"/>
          <w:szCs w:val="30"/>
          <w:lang w:val="en-US" w:eastAsia="zh-CN"/>
        </w:rPr>
        <w:t>”、《</w:t>
      </w:r>
      <w:bookmarkStart w:id="1" w:name="OLE_LINK2"/>
      <w:r>
        <w:rPr>
          <w:rFonts w:hint="eastAsia" w:ascii="仿宋_GB2312" w:hAnsi="仿宋_GB2312" w:eastAsia="仿宋_GB2312" w:cs="Times New Roman"/>
          <w:kern w:val="0"/>
          <w:sz w:val="30"/>
          <w:szCs w:val="30"/>
          <w:lang w:val="en-US" w:eastAsia="zh-CN"/>
        </w:rPr>
        <w:t>ISO/IEC导则 第2部分：ISO和IEC文件的结构和起草的原则与规则</w:t>
      </w:r>
      <w:bookmarkEnd w:id="1"/>
      <w:r>
        <w:rPr>
          <w:rFonts w:hint="eastAsia" w:ascii="仿宋_GB2312" w:hAnsi="仿宋_GB2312" w:eastAsia="仿宋_GB2312" w:cs="Times New Roman"/>
          <w:kern w:val="0"/>
          <w:sz w:val="30"/>
          <w:szCs w:val="30"/>
          <w:lang w:val="en-US" w:eastAsia="zh-CN"/>
        </w:rPr>
        <w:t>》、</w:t>
      </w:r>
      <w:bookmarkStart w:id="2" w:name="OLE_LINK7"/>
      <w:r>
        <w:rPr>
          <w:rFonts w:hint="eastAsia" w:ascii="仿宋_GB2312" w:hAnsi="仿宋_GB2312" w:eastAsia="仿宋_GB2312" w:cs="Times New Roman"/>
          <w:kern w:val="0"/>
          <w:sz w:val="30"/>
          <w:szCs w:val="30"/>
          <w:lang w:val="en-US" w:eastAsia="zh-CN"/>
        </w:rPr>
        <w:t>ISO/IEC 指南59：2019</w:t>
      </w:r>
      <w:bookmarkEnd w:id="2"/>
      <w:r>
        <w:rPr>
          <w:rFonts w:hint="eastAsia" w:ascii="仿宋_GB2312" w:hAnsi="仿宋_GB2312" w:eastAsia="仿宋_GB2312" w:cs="Times New Roman"/>
          <w:kern w:val="0"/>
          <w:sz w:val="30"/>
          <w:szCs w:val="30"/>
          <w:lang w:val="en-US" w:eastAsia="zh-CN"/>
        </w:rPr>
        <w:t>《ISO和IEC针对国家机构的标准化良好实践指南》、GB/T 20004.1《团体标准化 第1部分：良好行为指南》、GB/T 20004.2《团体标准化 第2部分：良好行为评价指南》、</w:t>
      </w:r>
      <w:bookmarkStart w:id="3" w:name="OLE_LINK6"/>
      <w:r>
        <w:rPr>
          <w:rFonts w:hint="eastAsia" w:ascii="仿宋_GB2312" w:hAnsi="仿宋_GB2312" w:eastAsia="仿宋_GB2312" w:cs="Times New Roman"/>
          <w:kern w:val="0"/>
          <w:sz w:val="30"/>
          <w:szCs w:val="30"/>
          <w:lang w:val="en-US" w:eastAsia="zh-CN"/>
        </w:rPr>
        <w:t>GB/T 20000.6</w:t>
      </w:r>
      <w:bookmarkEnd w:id="3"/>
      <w:r>
        <w:rPr>
          <w:rFonts w:hint="eastAsia" w:ascii="仿宋_GB2312" w:hAnsi="仿宋_GB2312" w:eastAsia="仿宋_GB2312" w:cs="Times New Roman"/>
          <w:kern w:val="0"/>
          <w:sz w:val="30"/>
          <w:szCs w:val="30"/>
          <w:lang w:val="en-US" w:eastAsia="zh-CN"/>
        </w:rPr>
        <w:t>《标准化活动规则 第6部分：良好实践指南》等文件，形成了标准草案。2023年12月4日，被纳入2023年度第三批上海市地方标准制修订项目计划。</w:t>
      </w:r>
    </w:p>
    <w:p w14:paraId="4D849838">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（三）起草阶段</w:t>
      </w:r>
    </w:p>
    <w:p w14:paraId="786495D5">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2024年1月至2024年11月，起草组调研了本市标准国际化发展现状以及标准化机构运作情况，具体对象包括ASTM International、IEEE、UL、SAE等国际性专业标准组织中国代表办事处、国家标准化技术委员会承担单位、团体标准组织和行业协会、具有国际组织能力和基础的企业等，共收到16家单位34条意见，其中采纳32条，修改采纳1条，未采纳1条，并根据调研对象反馈意见于2025年3月形成意见征求稿。</w:t>
      </w:r>
    </w:p>
    <w:p w14:paraId="49EF274E">
      <w:pPr>
        <w:spacing w:line="360" w:lineRule="auto"/>
        <w:ind w:firstLine="640" w:firstLineChars="200"/>
        <w:jc w:val="left"/>
        <w:outlineLvl w:val="0"/>
        <w:rPr>
          <w:rFonts w:hint="eastAsia" w:ascii="黑体" w:hAnsi="黑体" w:eastAsia="黑体" w:cs="黑体"/>
          <w:sz w:val="32"/>
          <w:szCs w:val="32"/>
        </w:rPr>
      </w:pPr>
      <w:r>
        <w:rPr>
          <w:rFonts w:hint="eastAsia" w:ascii="黑体" w:hAnsi="黑体" w:eastAsia="黑体" w:cs="黑体"/>
          <w:sz w:val="32"/>
          <w:szCs w:val="32"/>
          <w:lang w:eastAsia="zh-CN"/>
        </w:rPr>
        <w:t>四、编制</w:t>
      </w:r>
      <w:r>
        <w:rPr>
          <w:rFonts w:hint="eastAsia" w:ascii="黑体" w:hAnsi="黑体" w:eastAsia="黑体" w:cs="黑体"/>
          <w:sz w:val="32"/>
          <w:szCs w:val="32"/>
        </w:rPr>
        <w:t>原则</w:t>
      </w:r>
    </w:p>
    <w:p w14:paraId="02955123">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（一）先进性</w:t>
      </w:r>
    </w:p>
    <w:p w14:paraId="1A99EFB0">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标准研制吸收融合美国和欧盟等在国际上具有影响力的标准化机构的先进理念与特色实践，重点借鉴国内标准化工作的良好实践相关规范的思路、架构与内容，与我国现有的政策、法规、标准、规范等相一致，全面提出科学、统一、可行的标准化机构国际化运作指导，为上海标准化机构提供开展国际化工作的科学依据。</w:t>
      </w:r>
    </w:p>
    <w:p w14:paraId="176DAA8B">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（二）实用性</w:t>
      </w:r>
    </w:p>
    <w:p w14:paraId="62480D06">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标准研制充分考虑不同规模、不同属性、不同业态的上海标准化机构对标准国际化工作的需求和工作现状，并经充分的座谈研讨、征求意见和实践验证，确保标准的可操作性和可落地性，提出适用于各类组织的国际化运作指南。本标准适用于国际性专业标准组织的新建，同时也可为已有国家、行业、地方、团体、企业标准的制定组织和机构提供国际化发展的参考。</w:t>
      </w:r>
    </w:p>
    <w:p w14:paraId="34D607F4">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（三）开放性</w:t>
      </w:r>
    </w:p>
    <w:p w14:paraId="33F3CA4B">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标准研制深入汲取了国际性专业标准组织在品牌建设、海外市场布局和拓展以及提升国际影响力方面的经验和策略，并向这些组织的专业人员征求意见。邀请在上海已具有国际合作基础或积极参与国际标准化活动的组织和机构代表参与标准起草。在征求意见阶段，广泛征集了各相关方的意见和建议，以寻求与上海标准化机构国际化发展相适应的策略。</w:t>
      </w:r>
    </w:p>
    <w:p w14:paraId="4C397B83">
      <w:pPr>
        <w:spacing w:line="360" w:lineRule="auto"/>
        <w:ind w:firstLine="640" w:firstLineChars="200"/>
        <w:jc w:val="left"/>
        <w:outlineLvl w:val="0"/>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、标准</w:t>
      </w:r>
      <w:r>
        <w:rPr>
          <w:rFonts w:hint="eastAsia" w:ascii="黑体" w:hAnsi="黑体" w:eastAsia="黑体" w:cs="黑体"/>
          <w:sz w:val="32"/>
          <w:szCs w:val="32"/>
          <w:lang w:eastAsia="zh-CN"/>
        </w:rPr>
        <w:t>的</w:t>
      </w:r>
      <w:r>
        <w:rPr>
          <w:rFonts w:hint="eastAsia" w:ascii="黑体" w:hAnsi="黑体" w:eastAsia="黑体" w:cs="黑体"/>
          <w:sz w:val="32"/>
          <w:szCs w:val="32"/>
        </w:rPr>
        <w:t>主要</w:t>
      </w:r>
      <w:r>
        <w:rPr>
          <w:rFonts w:hint="eastAsia" w:ascii="黑体" w:hAnsi="黑体" w:eastAsia="黑体" w:cs="黑体"/>
          <w:sz w:val="32"/>
          <w:szCs w:val="32"/>
          <w:lang w:eastAsia="zh-CN"/>
        </w:rPr>
        <w:t>技术内容</w:t>
      </w:r>
    </w:p>
    <w:p w14:paraId="33BC3DA8">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（一）整体框架</w:t>
      </w:r>
    </w:p>
    <w:p w14:paraId="44F74FF9">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参考</w:t>
      </w:r>
      <w:r>
        <w:rPr>
          <w:rFonts w:hint="eastAsia" w:ascii="仿宋_GB2312" w:hAnsi="仿宋_GB2312" w:eastAsia="仿宋_GB2312" w:cs="Times New Roman"/>
          <w:kern w:val="0"/>
          <w:sz w:val="30"/>
          <w:szCs w:val="30"/>
          <w:lang w:val="en-US" w:eastAsia="zh-CN"/>
        </w:rPr>
        <w:tab/>
      </w:r>
      <w:r>
        <w:rPr>
          <w:rFonts w:hint="eastAsia" w:ascii="仿宋_GB2312" w:hAnsi="仿宋_GB2312" w:eastAsia="仿宋_GB2312" w:cs="Times New Roman"/>
          <w:kern w:val="0"/>
          <w:sz w:val="30"/>
          <w:szCs w:val="30"/>
          <w:lang w:val="en-US" w:eastAsia="zh-CN"/>
        </w:rPr>
        <w:t>GB/T 20001.7《标准编写规则 第7部分:指南标准》要求以及GB/T 20004.1《团体标准化 第1部分：良好行为指南》、GB/T 20000.6《标准化活动规则 第6部分：良好实践指南》标准的结构内容，本标准的主要架构分为“基本原则”、“组织方式”、“文件的制定程序”、“标准推广与应用”四部分。</w:t>
      </w:r>
    </w:p>
    <w:p w14:paraId="1EEB0243">
      <w:pPr>
        <w:ind w:firstLine="602"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b/>
          <w:bCs/>
          <w:kern w:val="0"/>
          <w:sz w:val="30"/>
          <w:szCs w:val="30"/>
          <w:lang w:val="en-US" w:eastAsia="zh-CN"/>
        </w:rPr>
        <w:t>“基本原则”</w:t>
      </w:r>
      <w:r>
        <w:rPr>
          <w:rFonts w:hint="eastAsia" w:ascii="仿宋_GB2312" w:hAnsi="仿宋_GB2312" w:eastAsia="仿宋_GB2312" w:cs="Times New Roman"/>
          <w:kern w:val="0"/>
          <w:sz w:val="30"/>
          <w:szCs w:val="30"/>
          <w:lang w:val="en-US" w:eastAsia="zh-CN"/>
        </w:rPr>
        <w:t>阐述了在标准化机构国际化运作中应遵循的核心准则，涵盖了促进国际贸易与合作、防止工作重复、鼓励广泛参与、达成国际共识、推动市场公平竞争、促进技术创新以及推动环境保护和可持续发展目标等方面，为标准化机构国际化运作提供了根本性指导。</w:t>
      </w:r>
    </w:p>
    <w:p w14:paraId="03B9FF56">
      <w:pPr>
        <w:ind w:firstLine="602"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b/>
          <w:bCs/>
          <w:kern w:val="0"/>
          <w:sz w:val="30"/>
          <w:szCs w:val="30"/>
          <w:lang w:val="en-US" w:eastAsia="zh-CN"/>
        </w:rPr>
        <w:t>“组织方式”</w:t>
      </w:r>
      <w:r>
        <w:rPr>
          <w:rFonts w:hint="eastAsia" w:ascii="仿宋_GB2312" w:hAnsi="仿宋_GB2312" w:eastAsia="仿宋_GB2312" w:cs="Times New Roman"/>
          <w:kern w:val="0"/>
          <w:sz w:val="30"/>
          <w:szCs w:val="30"/>
          <w:lang w:val="en-US" w:eastAsia="zh-CN"/>
        </w:rPr>
        <w:t>确立了科学合理的组织架构，以保障标准化机构的高效运作和国际化发展，包括从组织的成立、基础保障、成员管理、会议组织、知识产权管理、申诉处理到国际活动等多个关键领域。其核心目标是确保标准化机构在制定标准的过程中能够广泛吸纳国际合作伙伴的见解，制定出符合市场需求的政策和制度，并以开放和透明的方式运作，推动国际交流与合作。</w:t>
      </w:r>
    </w:p>
    <w:p w14:paraId="4534F44B">
      <w:pPr>
        <w:ind w:firstLine="602"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b/>
          <w:bCs/>
          <w:kern w:val="0"/>
          <w:sz w:val="30"/>
          <w:szCs w:val="30"/>
          <w:lang w:val="en-US" w:eastAsia="zh-CN"/>
        </w:rPr>
        <w:t>“文件的制定程序”</w:t>
      </w:r>
      <w:r>
        <w:rPr>
          <w:rFonts w:hint="eastAsia" w:ascii="仿宋_GB2312" w:hAnsi="仿宋_GB2312" w:eastAsia="仿宋_GB2312" w:cs="Times New Roman"/>
          <w:kern w:val="0"/>
          <w:sz w:val="30"/>
          <w:szCs w:val="30"/>
          <w:lang w:val="en-US" w:eastAsia="zh-CN"/>
        </w:rPr>
        <w:t>明确了在国际化背景下，标准化机构在制定标准文件时应遵循的步骤和规则，其目的是保障制定过程的开放性、透明性和公正性，推动广泛的参与和达成协商一致，同时确保信息的公开和及时传播。在预备、立项、起草、征求意见、技术审查、批准发布等各个阶段，标准化机构需重视邀请外国专家参与、考虑国际需求和标准、提供语言协助以及确保国际成员的参与和意见得到充分的考虑。</w:t>
      </w:r>
    </w:p>
    <w:p w14:paraId="26EE7D28">
      <w:pPr>
        <w:ind w:firstLine="602"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b/>
          <w:bCs/>
          <w:kern w:val="0"/>
          <w:sz w:val="30"/>
          <w:szCs w:val="30"/>
          <w:lang w:val="en-US" w:eastAsia="zh-CN"/>
        </w:rPr>
        <w:t>“标准推广与应用”</w:t>
      </w:r>
      <w:r>
        <w:rPr>
          <w:rFonts w:hint="eastAsia" w:ascii="仿宋_GB2312" w:hAnsi="仿宋_GB2312" w:eastAsia="仿宋_GB2312" w:cs="Times New Roman"/>
          <w:kern w:val="0"/>
          <w:sz w:val="30"/>
          <w:szCs w:val="30"/>
          <w:lang w:val="en-US" w:eastAsia="zh-CN"/>
        </w:rPr>
        <w:t>提出了针对国际化推广和应用的具体指导措施，细分为信息公开、标准应用、标准评价和品牌建设四个关键领域，为标准化机构在全球范围内的品牌推广和标准应用提供参考。</w:t>
      </w:r>
    </w:p>
    <w:p w14:paraId="09FDC122">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综上所述，“基本原则”构成了标准化机构国际化运作的基本准绳，而“组织方式”、“文件的制定程序”以及“标准推广与应用”则是标准化机构国际化运作过程中的三大关键措施。</w:t>
      </w:r>
    </w:p>
    <w:p w14:paraId="5E145543">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（二）范围</w:t>
      </w:r>
    </w:p>
    <w:p w14:paraId="04CBB13B">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为了构建更高水平的标准体系，本市的各类标准化组织正积极迈向国际化，以实现标准化的“引进来”和“走出去”双通道的高效畅通为目标，致力于组织建设、加强培训和标准制定。上海打造具有全球影响力的标准化机构需依托于上海标准与产业、技术的紧密联系和国际合作基础之上，提升上海标准化机构及其成果的国际认同度，推动上海标准化机构快速成长为具有全球影响力的标准化机构。本市标准化技术委员会承担机构、行业协会、标准制定团体、专业标准研究机构、企业联盟等标准化机构均有可能率先取得突破，应加以国际化运作指导。</w:t>
      </w:r>
    </w:p>
    <w:p w14:paraId="462612B3">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因此，本标准适用于各种规模、属性、业态或类型的标准化组织，为其提供国际化运作的技术指导，提升上海标准化机构及其成果的国际认同度，推动上海标准化机构快速成长为具有全球影响力的标准化机构。</w:t>
      </w:r>
    </w:p>
    <w:p w14:paraId="67D88F18">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（三）术语和定义</w:t>
      </w:r>
    </w:p>
    <w:p w14:paraId="49A7BDCC">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本标准引用GB/T 20000.1-2014《标准化工作指南第1部分：标准化和相关活动的通用术语》中的“标准化机构”、“标准化技术组织”作为使用对象，符合国际通用习惯，也与我国国家标准保持一致，涵盖不同规模、属性、业态或类型的标准相关机构。</w:t>
      </w:r>
    </w:p>
    <w:p w14:paraId="5674C282">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本标准根据上海市标准化创新指导文件《上海市促进</w:t>
      </w:r>
      <w:r>
        <w:rPr>
          <w:rFonts w:hint="default" w:ascii="仿宋_GB2312" w:hAnsi="仿宋_GB2312" w:eastAsia="仿宋_GB2312" w:cs="Times New Roman"/>
          <w:kern w:val="0"/>
          <w:sz w:val="30"/>
          <w:szCs w:val="30"/>
          <w:lang w:val="en-US" w:eastAsia="zh-CN"/>
        </w:rPr>
        <w:t>浦东新区标准化创新发展若干规定</w:t>
      </w:r>
      <w:r>
        <w:rPr>
          <w:rFonts w:hint="eastAsia" w:ascii="仿宋_GB2312" w:hAnsi="仿宋_GB2312" w:eastAsia="仿宋_GB2312" w:cs="Times New Roman"/>
          <w:kern w:val="0"/>
          <w:sz w:val="30"/>
          <w:szCs w:val="30"/>
          <w:lang w:val="en-US" w:eastAsia="zh-CN"/>
        </w:rPr>
        <w:t>》制定“标准创新联合体”的定义，为本市标准化机构在组织架构方面提供国际化运作指导，构建适合市场、技术、产品发展的组织方式。</w:t>
      </w:r>
    </w:p>
    <w:p w14:paraId="54B50CA2">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本标准对“国际化运作”进行定义。“运作”一词指的是组织或机构执行工作、开展活动的过程，其主体通常是组织或机构本身，与本标准的适用对象相吻合。在标准的制定过程中，标准化机构通过吸引境内外企业参与、积极投身于国际标准化活动、主动参与国际标准的制定，以及推动中外标准的相互认可等措施，促进国内与国际标准化的协同进步，提升标准化机构的国际影响力，构成了标准化机构国际化运作的关键策略。</w:t>
      </w:r>
    </w:p>
    <w:p w14:paraId="4F6A62B3">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（四）基本原则</w:t>
      </w:r>
    </w:p>
    <w:p w14:paraId="1E9C6C8A">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透明度、开放性是世界贸易组织（WTO）关于国际标准制定的原则，被众多国外先进团体标准组织所奉行。公开透明的标准制定程序帮助这些标准化机构吸纳了来自全球各地的专业人才，这是团体标准成为事实性国际标准的关键因素之一。因此，根据《世界贸易组织技术性贸易壁垒协定（WTO/TBT）良好实践规范》，制定了指导标准化机构国际化运作的准则，旨在为标准化机构的国际化发展提供原则性的指导。这些准则主要基于避免在国际贸易和合作中造成不必要的障碍、减少与国内外相关标准机构工作的重复或重叠、确保开放性、促进协商一致、保证及时公开、有效解决争议、以及避免对发展和创新造成不必要的障碍等原则。只有在满足这些总体要求的前提下，才能顺利开展国际化运作工作，吸纳外国相关方积极参与标准制定，建立开放式的标准制定与实施机制。</w:t>
      </w:r>
    </w:p>
    <w:p w14:paraId="734382AB">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（五）组织方式</w:t>
      </w:r>
    </w:p>
    <w:p w14:paraId="6B54011D">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通过调研，我们了解到国家和上海的政策正在积极鼓励标准化机构采用创新的组织形式，例如建立标准创新联合体，吸引国外组织、企业、机构和专家共同参与，确保标准制定过程的国际化和多元化，以迅速制定新技术、新产业所需的标准。</w:t>
      </w:r>
    </w:p>
    <w:p w14:paraId="0634A918">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本标准的组织方式章节汲取了全球范围内具有影响力的美欧标准化机构的经验，既包括拥有超过百年历史的传统国际性标准组织，也涵盖了随着信息技术的迅猛发展而迅速崛起的新兴标准化机构。</w:t>
      </w:r>
    </w:p>
    <w:p w14:paraId="0CC92DC1">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传统标准化机构在产业创新和市场竞争领域主导制定的团体标准，在全球范围内广泛应用，在整体架构、标准制定、标准应用、标准管理、经营模式等方面呈现出共同特征，如拥有完善的组织架构，明确领导层，设立专门的标准管理和制定机构，各司其职，形成合力；会员制度开放，面向全球招收会员，鼓励所有感兴趣的业界团体、专业人士、教师学生参与；除制修订标准外，依托技术合作和行业发展，同时提供世界一流的标准产品和增值服务，形成标准研发与服务拓展的良性互动，加强标准的市场接受度和国际影响力。</w:t>
      </w:r>
    </w:p>
    <w:p w14:paraId="25426F87">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新型标准化机构主要存在于高速发展的ICT领域，成立时间相对较短，运行机制独具特色，如组织形式不拘一格，采用企业协议联盟、非盈利组织、非法人实体模式等；组织构架相对简单，趋向于扁平化；标准制定流程可能并不采用严格的协商一致原则，制定标准的周期大大缩短；自成立之初就有来自多个国家的相关方共同参与，呈现鲜明的国际性。</w:t>
      </w:r>
    </w:p>
    <w:p w14:paraId="2FF6376B">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作为国际性的专业标准化机构，应确立与组织发展相匹配的愿景、使命、价值观、战略和目标，并采用先进的管理理念，推动品牌建设，以提升组织在国际标准化领域的影响力和竞争力。本标准从组织的成立、基础保障、成员管理、会议组织、知识产权管理、申诉处理到国际活动等多个关键领域提出指导。</w:t>
      </w:r>
    </w:p>
    <w:p w14:paraId="478AA4E0">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（六）文件的制定程序</w:t>
      </w:r>
    </w:p>
    <w:p w14:paraId="206B74A1">
      <w:pPr>
        <w:ind w:firstLine="600" w:firstLineChars="200"/>
        <w:rPr>
          <w:rFonts w:hint="default"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国际专业标准化机构所倡导的开放、透明、协商一致的标准制定流程，是吸引国际专家意见的核心要素。在我国标准化工作的推进中，虽然融入了许多具有中国特色的实践方法，但为了实现国际化，我们仍需遵循国际通用的标准制定流程。本标准在理论层面参考了GB/T 20004.1《团体标准化 第1部分：良好行为指南》、GB/T 20004.2《团体标准化 第2部分:良好行为评价指南》、GB/T 20000.6《标准化活动规则 第6部分：良好实践指南》等国家标准，将国际化发展的要素和具体操作方法融入到通用规则以及预备、立项、起草、征求意见、技术审查和批准发布等各个阶段的程序中。在实际操作上，本标准借鉴了全球具有影响力的美欧标准化机构的做法，并吸收了ASTM、IEEE、SAE、UL等机构专家的意见。</w:t>
      </w:r>
    </w:p>
    <w:p w14:paraId="5FAE2B7B">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（七）</w:t>
      </w:r>
      <w:bookmarkStart w:id="4" w:name="_Toc22410"/>
      <w:r>
        <w:rPr>
          <w:rFonts w:hint="eastAsia" w:ascii="仿宋_GB2312" w:hAnsi="仿宋_GB2312" w:eastAsia="仿宋_GB2312" w:cs="Times New Roman"/>
          <w:b/>
          <w:bCs/>
          <w:kern w:val="0"/>
          <w:sz w:val="30"/>
          <w:szCs w:val="30"/>
          <w:lang w:val="en-US" w:eastAsia="zh-CN"/>
        </w:rPr>
        <w:t>标准推广与应用</w:t>
      </w:r>
      <w:bookmarkEnd w:id="4"/>
    </w:p>
    <w:p w14:paraId="0E6C3036">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无论传统还是新型的国外标准化机构，都是逐步获得享誉国际的知名度、遍布全球的标准应用。一方面，国外典型标准化机构领先的国际化意识打开走向世界的大门。各标准化机构通过制定组织长短期目标和计划、打造品牌形象等方式，给组织打上鲜明的国际化烙印，如ASTM International、SAE International。另一方面，高度积极的全球合作态度使标准化机构的国际地位持续提升。国外典型标准化机构的国际化合作（互认）程度普遍较高，主要是通过签署组织合作协议（PSDO）、合作备忘录（MOU），承担秘书处工作等形式与各个国家标准机构、国际标准组织、有影响力的国际技术机构开展高度积极的合作，推进该组织标准国际化进程。如ASTM和IEEE等机构，不仅仅和ISO、IEC等国际标准化组织建立了标准平行审批机制，甚至成为部分国家的国家标准制定机构。因此，本标准从信息公开、标准应用、标准评价、品牌建设四个方面为上海标准化机构提供国际化运作的指导。</w:t>
      </w:r>
    </w:p>
    <w:p w14:paraId="7F7BBA01">
      <w:pPr>
        <w:spacing w:line="360" w:lineRule="auto"/>
        <w:ind w:firstLine="640" w:firstLineChars="200"/>
        <w:jc w:val="left"/>
        <w:outlineLvl w:val="0"/>
        <w:rPr>
          <w:rFonts w:hint="eastAsia" w:ascii="黑体" w:hAnsi="黑体" w:eastAsia="黑体" w:cs="黑体"/>
          <w:sz w:val="32"/>
          <w:szCs w:val="32"/>
        </w:rPr>
      </w:pPr>
      <w:r>
        <w:rPr>
          <w:rFonts w:hint="eastAsia" w:ascii="黑体" w:hAnsi="黑体" w:eastAsia="黑体" w:cs="黑体"/>
          <w:sz w:val="32"/>
          <w:szCs w:val="32"/>
        </w:rPr>
        <w:t>六、与国内外同类标准技术内容的对比情况</w:t>
      </w:r>
    </w:p>
    <w:p w14:paraId="60F75013">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（一）国际标准</w:t>
      </w:r>
    </w:p>
    <w:p w14:paraId="68B6D1F4">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国际标准化组织（ISO）和国际电工委员会（IEC）制定了国际标准化工作指导性文件《ISO/IEC导则》（ISO/IEC Directives），为参与标准制定过程的人员设计，包括技术委员会和分技术委员会的成员、秘书处以及任何对国际标准化活动感兴趣的人士。《ISO/IEC导则》分为两部分，“ISO/IEC导则1”主要规定了ISO、IEC技术工作的程序和要求，“ISO/IEC导则2”主要规定了</w:t>
      </w:r>
      <w:r>
        <w:rPr>
          <w:rFonts w:hint="default" w:ascii="仿宋_GB2312" w:hAnsi="仿宋_GB2312" w:eastAsia="仿宋_GB2312" w:cs="Times New Roman"/>
          <w:kern w:val="0"/>
          <w:sz w:val="30"/>
          <w:szCs w:val="30"/>
          <w:lang w:val="en-US" w:eastAsia="zh-CN"/>
        </w:rPr>
        <w:t>ISO和IEC文件的结构和起草原则与规则</w:t>
      </w:r>
      <w:r>
        <w:rPr>
          <w:rFonts w:hint="eastAsia" w:ascii="仿宋_GB2312" w:hAnsi="仿宋_GB2312" w:eastAsia="仿宋_GB2312" w:cs="Times New Roman"/>
          <w:kern w:val="0"/>
          <w:sz w:val="30"/>
          <w:szCs w:val="30"/>
          <w:lang w:val="en-US" w:eastAsia="zh-CN"/>
        </w:rPr>
        <w:t>。综上可知，本标准在适用范围、功能、定位上与上述文件无冲突，整体思路与流程上保持一致。</w:t>
      </w:r>
    </w:p>
    <w:p w14:paraId="385A2C28">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（二）国家标准和行业标准</w:t>
      </w:r>
    </w:p>
    <w:p w14:paraId="18D496C0">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在“国家标准全文公开系统”和“全国标准信息公共服务平台”中，没有搜索到与“国际化运作”有关的国家标准或行业标准。与标准化良好行为评价相关标准具体如下：</w:t>
      </w:r>
    </w:p>
    <w:p w14:paraId="7A6A30C2">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（1）GB/T 20004.1-2016《团体标准化 第1部分：良好行为指南》提供了团体开展标准化活动的一般原则，以及团体标准制定机构的管理运行、团体标准的制定程序和编写规则等方面的良好行为指南。该标准适用于指导各类团体开展标准化活动。</w:t>
      </w:r>
    </w:p>
    <w:p w14:paraId="6FCA7192">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（2）GB/T 20004.2-2018《团体标准化 第2部分:良好行为评价指南》确立了对社会团体开展团体标准化良好行为评价的基本原则，提供了评价内容和评价程序等方面的指导和建议。该标准适用于对社会团体开展团体标准化良好行为评价。</w:t>
      </w:r>
    </w:p>
    <w:p w14:paraId="0F4F0E36">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（3）GB/T 20000.6-2024《标准化活动规则 第6部分：良好实践指南》确立了开展标准化活动的总体原则，提供了标准化机构的管理、文件的制定程序和起草，以及标准化活动的参与、与其他标准化机构的协调与合作等方面良好实践的指导和建议。该标准适用于标准化机构及其标准化技术组织、参与者开展标准化活动。</w:t>
      </w:r>
      <w:bookmarkStart w:id="5" w:name="_GoBack"/>
      <w:bookmarkEnd w:id="5"/>
    </w:p>
    <w:p w14:paraId="6DC87A91">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综上所述，未发现与本标准项目对应的国际标准、国家标准，与相关的国家标准、行业标准不产生重复、交叉和矛盾。</w:t>
      </w:r>
    </w:p>
    <w:p w14:paraId="22EA17D1">
      <w:pPr>
        <w:spacing w:line="360" w:lineRule="auto"/>
        <w:ind w:firstLine="640" w:firstLineChars="200"/>
        <w:jc w:val="left"/>
        <w:outlineLvl w:val="0"/>
        <w:rPr>
          <w:rFonts w:hint="eastAsia" w:ascii="黑体" w:hAnsi="黑体" w:eastAsia="黑体" w:cs="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、与有关法律、行政法规及相关标准的关系</w:t>
      </w:r>
    </w:p>
    <w:p w14:paraId="496449FF">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（一）法律、行政法规</w:t>
      </w:r>
    </w:p>
    <w:p w14:paraId="7D6AD645">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经查询，国内暂无标准化机构国际化发展相关法律法规。在政策性文件方面，2021年10月，中共中央、国务院印发了《国家标准化发展纲要》，将标准制度型开放提升到战略高度。到2025年，我国标准化开放程度将大幅提升，标准信息共享度、标准制定透明度、国内外标准一致性都将得到显著提高，国内国际相互促进将成为我国标准化的主要驱动方式。上海市在推动标准国际化方面出台了《上海市标准化发展行动计划》等一系列指导文件和政策措施，旨在提升上海标准的国际影响力，促进国内外标准的互认和对接。本标准的“基本原则”重点依据上述政策文件，确保相关内容与国家和地方政策性文件保持一致。</w:t>
      </w:r>
    </w:p>
    <w:p w14:paraId="6F5FED8C">
      <w:pPr>
        <w:ind w:firstLine="602" w:firstLineChars="200"/>
        <w:rPr>
          <w:rFonts w:hint="eastAsia" w:ascii="仿宋_GB2312" w:hAnsi="仿宋_GB2312" w:eastAsia="仿宋_GB2312" w:cs="Times New Roman"/>
          <w:b/>
          <w:bCs/>
          <w:kern w:val="0"/>
          <w:sz w:val="30"/>
          <w:szCs w:val="30"/>
          <w:lang w:val="en-US" w:eastAsia="zh-CN"/>
        </w:rPr>
      </w:pPr>
      <w:r>
        <w:rPr>
          <w:rFonts w:hint="eastAsia" w:ascii="仿宋_GB2312" w:hAnsi="仿宋_GB2312" w:eastAsia="仿宋_GB2312" w:cs="Times New Roman"/>
          <w:b/>
          <w:bCs/>
          <w:kern w:val="0"/>
          <w:sz w:val="30"/>
          <w:szCs w:val="30"/>
          <w:lang w:val="en-US" w:eastAsia="zh-CN"/>
        </w:rPr>
        <w:t>（二）标准</w:t>
      </w:r>
    </w:p>
    <w:p w14:paraId="76B01467">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经查询，国外暂无标准化机构国际化运作相关国际标准、国外先进标准，国内也暂无相关国家、行业标准、地方标准。相关标准化研究主要集中在单个标准化机构的运行管理体制、标准制定机制、特定法律法规对其带来的潜在影响等方面。例如美国试验与材料协会（ASTM International）、美国机械工程师协会（ASME）等国际性专业标准组织制定的标准在全球范围内广泛应用，成为事实性的国际标准，其组织运作均以国际化为目标，具有丰富的国际化经验和成果。本标准“组织方式”、“文件的制定程序”</w:t>
      </w:r>
      <w:r>
        <w:rPr>
          <w:rFonts w:hint="eastAsia" w:ascii="仿宋_GB2312" w:hAnsi="仿宋_GB2312" w:eastAsia="仿宋_GB2312" w:cs="Times New Roman"/>
          <w:kern w:val="0"/>
          <w:sz w:val="30"/>
          <w:szCs w:val="30"/>
          <w:lang w:val="en-US" w:eastAsia="zh-CN"/>
        </w:rPr>
        <w:t>以及“标准推广与应用”主要基于上海标准化机构的工作实践，适当借鉴国家标准中关于标准化良好行为规范的要求，提出了上海地区标准化机构国际化运作的指导条文。</w:t>
      </w:r>
    </w:p>
    <w:p w14:paraId="05B37902">
      <w:pPr>
        <w:spacing w:line="360" w:lineRule="auto"/>
        <w:ind w:firstLine="640" w:firstLineChars="200"/>
        <w:jc w:val="left"/>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八、重大分歧意见的处理经过和依据</w:t>
      </w:r>
    </w:p>
    <w:p w14:paraId="1683C814">
      <w:pPr>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本标准制定过程中未出现重大分歧意见。</w:t>
      </w:r>
    </w:p>
    <w:p w14:paraId="0791D0A5">
      <w:pPr>
        <w:spacing w:line="360" w:lineRule="auto"/>
        <w:ind w:firstLine="640" w:firstLineChars="200"/>
        <w:jc w:val="left"/>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九、标准实施的措施建议</w:t>
      </w:r>
    </w:p>
    <w:p w14:paraId="799F1D8A">
      <w:pPr>
        <w:widowControl/>
        <w:autoSpaceDE w:val="0"/>
        <w:autoSpaceDN w:val="0"/>
        <w:spacing w:line="360" w:lineRule="auto"/>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标准发布后，标准主要起草单位应在上海市市场监督管理局指导下，组织开展形式多样的宣贯培训，使本市各类组织了解标准并执行标准，共同推进标准化机构国际化实践在本市的深入实施，进一步提升本市各类组织的国际化发展水平。</w:t>
      </w:r>
    </w:p>
    <w:p w14:paraId="5C3243A5">
      <w:pPr>
        <w:spacing w:line="360" w:lineRule="auto"/>
        <w:ind w:firstLine="640" w:firstLineChars="200"/>
        <w:jc w:val="left"/>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十、其他应当说明的事项</w:t>
      </w:r>
    </w:p>
    <w:p w14:paraId="566DFDE3">
      <w:pPr>
        <w:widowControl/>
        <w:autoSpaceDE w:val="0"/>
        <w:autoSpaceDN w:val="0"/>
        <w:spacing w:line="360" w:lineRule="auto"/>
        <w:ind w:firstLine="600" w:firstLineChars="200"/>
        <w:rPr>
          <w:rFonts w:hint="eastAsia" w:ascii="仿宋_GB2312" w:hAnsi="仿宋_GB2312" w:eastAsia="仿宋_GB2312" w:cs="Times New Roman"/>
          <w:kern w:val="0"/>
          <w:sz w:val="30"/>
          <w:szCs w:val="30"/>
          <w:lang w:val="en-US" w:eastAsia="zh-CN"/>
        </w:rPr>
      </w:pPr>
      <w:r>
        <w:rPr>
          <w:rFonts w:hint="eastAsia" w:ascii="仿宋_GB2312" w:hAnsi="仿宋_GB2312" w:eastAsia="仿宋_GB2312" w:cs="Times New Roman"/>
          <w:kern w:val="0"/>
          <w:sz w:val="30"/>
          <w:szCs w:val="30"/>
          <w:lang w:val="en-US" w:eastAsia="zh-CN"/>
        </w:rPr>
        <w:t>无。</w:t>
      </w:r>
    </w:p>
    <w:p w14:paraId="67696ABC">
      <w:pPr>
        <w:ind w:firstLine="600"/>
        <w:rPr>
          <w:rFonts w:hint="default"/>
          <w:color w:val="auto"/>
          <w:lang w:val="en-US" w:eastAsia="zh-CN"/>
        </w:rPr>
      </w:pPr>
    </w:p>
    <w:p w14:paraId="372DBE24">
      <w:pPr>
        <w:rPr>
          <w:color w:val="auto"/>
        </w:rPr>
      </w:pPr>
    </w:p>
    <w:p w14:paraId="2F030487">
      <w:pPr>
        <w:jc w:val="right"/>
        <w:rPr>
          <w:color w:val="auto"/>
        </w:rPr>
      </w:pPr>
      <w:r>
        <w:rPr>
          <w:color w:val="auto"/>
        </w:rPr>
        <w:t>《</w:t>
      </w:r>
      <w:r>
        <w:rPr>
          <w:rFonts w:hint="eastAsia"/>
          <w:color w:val="auto"/>
          <w:lang w:eastAsia="zh-CN"/>
        </w:rPr>
        <w:t>标准组织国际化运作指南</w:t>
      </w:r>
      <w:r>
        <w:rPr>
          <w:rFonts w:hint="eastAsia"/>
          <w:color w:val="auto"/>
        </w:rPr>
        <w:t>》标准起草小组</w:t>
      </w:r>
    </w:p>
    <w:p w14:paraId="31D4E9F7">
      <w:pPr>
        <w:rPr>
          <w:color w:val="auto"/>
        </w:rPr>
      </w:pPr>
      <w:r>
        <w:rPr>
          <w:rFonts w:hint="eastAsia"/>
          <w:color w:val="auto"/>
        </w:rPr>
        <w:t xml:space="preserve">                                   202</w:t>
      </w:r>
      <w:r>
        <w:rPr>
          <w:rFonts w:hint="eastAsia"/>
          <w:color w:val="auto"/>
          <w:lang w:val="en-US" w:eastAsia="zh-CN"/>
        </w:rPr>
        <w:t>5</w:t>
      </w:r>
      <w:r>
        <w:rPr>
          <w:rFonts w:hint="eastAsia"/>
          <w:color w:val="auto"/>
        </w:rPr>
        <w:t>年</w:t>
      </w:r>
      <w:r>
        <w:rPr>
          <w:rFonts w:hint="eastAsia"/>
          <w:color w:val="auto"/>
          <w:lang w:val="en-US" w:eastAsia="zh-CN"/>
        </w:rPr>
        <w:t>3</w:t>
      </w:r>
      <w:r>
        <w:rPr>
          <w:rFonts w:hint="eastAsia"/>
          <w:color w:val="auto"/>
        </w:rPr>
        <w:t xml:space="preserve">月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A9DB92-475B-4730-970E-A6A7B4B955A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681F70D9-D818-4BD0-B00D-1D06812FE1D8}"/>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10022FF" w:usb1="C000E47F" w:usb2="00000029" w:usb3="00000000" w:csb0="200001DF" w:csb1="20000000"/>
  </w:font>
  <w:font w:name="Verdana">
    <w:panose1 w:val="020B0604030504040204"/>
    <w:charset w:val="00"/>
    <w:family w:val="auto"/>
    <w:pitch w:val="default"/>
    <w:sig w:usb0="A10006FF" w:usb1="4000205B" w:usb2="0000001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195FE">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2B4871">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6A2B4871">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3797C"/>
    <w:multiLevelType w:val="multilevel"/>
    <w:tmpl w:val="5603797C"/>
    <w:lvl w:ilvl="0" w:tentative="0">
      <w:start w:val="1"/>
      <w:numFmt w:val="upperLetter"/>
      <w:pStyle w:val="31"/>
      <w:suff w:val="space"/>
      <w:lvlText w:val="%1"/>
      <w:lvlJc w:val="left"/>
      <w:pPr>
        <w:ind w:left="425" w:hanging="425"/>
      </w:pPr>
      <w:rPr>
        <w:rFonts w:hint="eastAsia"/>
      </w:rPr>
    </w:lvl>
    <w:lvl w:ilvl="1" w:tentative="0">
      <w:start w:val="1"/>
      <w:numFmt w:val="decimal"/>
      <w:pStyle w:val="2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1"/>
      <w:suff w:val="nothing"/>
      <w:lvlText w:val="%1%2　"/>
      <w:lvlJc w:val="left"/>
      <w:pPr>
        <w:ind w:left="0" w:firstLine="0"/>
      </w:pPr>
      <w:rPr>
        <w:rFonts w:hint="eastAsia" w:ascii="黑体" w:eastAsia="黑体"/>
        <w:b w:val="0"/>
        <w:i w:val="0"/>
        <w:sz w:val="21"/>
      </w:rPr>
    </w:lvl>
    <w:lvl w:ilvl="2" w:tentative="0">
      <w:start w:val="1"/>
      <w:numFmt w:val="decimal"/>
      <w:pStyle w:val="4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568"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DBF04F4"/>
    <w:multiLevelType w:val="multilevel"/>
    <w:tmpl w:val="6DBF04F4"/>
    <w:lvl w:ilvl="0" w:tentative="0">
      <w:start w:val="1"/>
      <w:numFmt w:val="none"/>
      <w:pStyle w:val="3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kM2QyNTQ4OThhNGVkYjAyYjUyODNlMTRjNTM0NzIifQ=="/>
  </w:docVars>
  <w:rsids>
    <w:rsidRoot w:val="00DC6ED7"/>
    <w:rsid w:val="00002B30"/>
    <w:rsid w:val="00005B89"/>
    <w:rsid w:val="00014F64"/>
    <w:rsid w:val="00020D92"/>
    <w:rsid w:val="00022B31"/>
    <w:rsid w:val="00043EB1"/>
    <w:rsid w:val="0004476C"/>
    <w:rsid w:val="00047731"/>
    <w:rsid w:val="0007039D"/>
    <w:rsid w:val="000904B5"/>
    <w:rsid w:val="000A31FB"/>
    <w:rsid w:val="000A6E53"/>
    <w:rsid w:val="000B1528"/>
    <w:rsid w:val="000D103D"/>
    <w:rsid w:val="000D49D3"/>
    <w:rsid w:val="000D7BEA"/>
    <w:rsid w:val="000E0BE1"/>
    <w:rsid w:val="000E708D"/>
    <w:rsid w:val="000F6028"/>
    <w:rsid w:val="00112986"/>
    <w:rsid w:val="00112BF8"/>
    <w:rsid w:val="00113104"/>
    <w:rsid w:val="001229B3"/>
    <w:rsid w:val="00152B8A"/>
    <w:rsid w:val="00170FF0"/>
    <w:rsid w:val="00196C34"/>
    <w:rsid w:val="001C0419"/>
    <w:rsid w:val="001D4E45"/>
    <w:rsid w:val="001E7430"/>
    <w:rsid w:val="001F7448"/>
    <w:rsid w:val="00211598"/>
    <w:rsid w:val="00216B13"/>
    <w:rsid w:val="00220824"/>
    <w:rsid w:val="00237357"/>
    <w:rsid w:val="00243328"/>
    <w:rsid w:val="00247180"/>
    <w:rsid w:val="00254555"/>
    <w:rsid w:val="002A0134"/>
    <w:rsid w:val="002A3794"/>
    <w:rsid w:val="002D2DE6"/>
    <w:rsid w:val="002E2EFE"/>
    <w:rsid w:val="002E5A92"/>
    <w:rsid w:val="002F4A03"/>
    <w:rsid w:val="0030615A"/>
    <w:rsid w:val="00316558"/>
    <w:rsid w:val="003169F8"/>
    <w:rsid w:val="00332F00"/>
    <w:rsid w:val="00336C96"/>
    <w:rsid w:val="0035450C"/>
    <w:rsid w:val="00387733"/>
    <w:rsid w:val="00393E00"/>
    <w:rsid w:val="003A7076"/>
    <w:rsid w:val="003C4916"/>
    <w:rsid w:val="003D4F63"/>
    <w:rsid w:val="003D7174"/>
    <w:rsid w:val="003E5C6C"/>
    <w:rsid w:val="003F3094"/>
    <w:rsid w:val="003F6CB8"/>
    <w:rsid w:val="003F70F0"/>
    <w:rsid w:val="003F7CAF"/>
    <w:rsid w:val="00416446"/>
    <w:rsid w:val="004340E1"/>
    <w:rsid w:val="004363EA"/>
    <w:rsid w:val="00440BA6"/>
    <w:rsid w:val="00481F29"/>
    <w:rsid w:val="0048300E"/>
    <w:rsid w:val="004A11E5"/>
    <w:rsid w:val="004B114F"/>
    <w:rsid w:val="004B600E"/>
    <w:rsid w:val="004C7885"/>
    <w:rsid w:val="004E2B0A"/>
    <w:rsid w:val="00535C85"/>
    <w:rsid w:val="0058153D"/>
    <w:rsid w:val="00587853"/>
    <w:rsid w:val="005A6318"/>
    <w:rsid w:val="005C6CAF"/>
    <w:rsid w:val="005E3E93"/>
    <w:rsid w:val="005E54C5"/>
    <w:rsid w:val="005E7BFE"/>
    <w:rsid w:val="00607D27"/>
    <w:rsid w:val="00613347"/>
    <w:rsid w:val="00661533"/>
    <w:rsid w:val="00681CC3"/>
    <w:rsid w:val="00681F37"/>
    <w:rsid w:val="0068231C"/>
    <w:rsid w:val="006A681C"/>
    <w:rsid w:val="006B08F2"/>
    <w:rsid w:val="006C1A13"/>
    <w:rsid w:val="006D16F6"/>
    <w:rsid w:val="006E0802"/>
    <w:rsid w:val="006E30DE"/>
    <w:rsid w:val="006E40A5"/>
    <w:rsid w:val="006F6CD9"/>
    <w:rsid w:val="00716D02"/>
    <w:rsid w:val="00717F09"/>
    <w:rsid w:val="00725503"/>
    <w:rsid w:val="007272AA"/>
    <w:rsid w:val="0073040D"/>
    <w:rsid w:val="00756CA4"/>
    <w:rsid w:val="00757231"/>
    <w:rsid w:val="00757341"/>
    <w:rsid w:val="00757A38"/>
    <w:rsid w:val="00773BF9"/>
    <w:rsid w:val="00786C29"/>
    <w:rsid w:val="007A5DA6"/>
    <w:rsid w:val="007C3E46"/>
    <w:rsid w:val="007E539F"/>
    <w:rsid w:val="00813C21"/>
    <w:rsid w:val="00833CB4"/>
    <w:rsid w:val="0083582D"/>
    <w:rsid w:val="00846936"/>
    <w:rsid w:val="00856EEA"/>
    <w:rsid w:val="008643FC"/>
    <w:rsid w:val="00871638"/>
    <w:rsid w:val="00871666"/>
    <w:rsid w:val="008869D6"/>
    <w:rsid w:val="008A3479"/>
    <w:rsid w:val="008D1942"/>
    <w:rsid w:val="008D6A73"/>
    <w:rsid w:val="008F2B35"/>
    <w:rsid w:val="008F4380"/>
    <w:rsid w:val="0095110A"/>
    <w:rsid w:val="00967803"/>
    <w:rsid w:val="00970CAF"/>
    <w:rsid w:val="00985EF9"/>
    <w:rsid w:val="009A5492"/>
    <w:rsid w:val="009B5ACD"/>
    <w:rsid w:val="009B60D9"/>
    <w:rsid w:val="009D0B69"/>
    <w:rsid w:val="009D2C84"/>
    <w:rsid w:val="00A1036F"/>
    <w:rsid w:val="00A5378B"/>
    <w:rsid w:val="00A62A4B"/>
    <w:rsid w:val="00A66DBD"/>
    <w:rsid w:val="00A85863"/>
    <w:rsid w:val="00A94705"/>
    <w:rsid w:val="00A97C02"/>
    <w:rsid w:val="00AB48B5"/>
    <w:rsid w:val="00AB7F70"/>
    <w:rsid w:val="00AF5C90"/>
    <w:rsid w:val="00B25ED1"/>
    <w:rsid w:val="00B30F75"/>
    <w:rsid w:val="00B55494"/>
    <w:rsid w:val="00B75291"/>
    <w:rsid w:val="00B92BB6"/>
    <w:rsid w:val="00BA7651"/>
    <w:rsid w:val="00BB10F6"/>
    <w:rsid w:val="00BF3114"/>
    <w:rsid w:val="00C03B74"/>
    <w:rsid w:val="00C227F0"/>
    <w:rsid w:val="00C337B0"/>
    <w:rsid w:val="00C533F8"/>
    <w:rsid w:val="00C61B57"/>
    <w:rsid w:val="00C70917"/>
    <w:rsid w:val="00C723BA"/>
    <w:rsid w:val="00CA165C"/>
    <w:rsid w:val="00CA4776"/>
    <w:rsid w:val="00CB49EA"/>
    <w:rsid w:val="00CD77D8"/>
    <w:rsid w:val="00CE217C"/>
    <w:rsid w:val="00CE626B"/>
    <w:rsid w:val="00CF5106"/>
    <w:rsid w:val="00D0393A"/>
    <w:rsid w:val="00D06C63"/>
    <w:rsid w:val="00D55BCE"/>
    <w:rsid w:val="00D953DE"/>
    <w:rsid w:val="00DA27C3"/>
    <w:rsid w:val="00DA3F8A"/>
    <w:rsid w:val="00DB413E"/>
    <w:rsid w:val="00DB607A"/>
    <w:rsid w:val="00DB7465"/>
    <w:rsid w:val="00DC0462"/>
    <w:rsid w:val="00DC6ED7"/>
    <w:rsid w:val="00DF17B3"/>
    <w:rsid w:val="00DF34DC"/>
    <w:rsid w:val="00E509A3"/>
    <w:rsid w:val="00E5702D"/>
    <w:rsid w:val="00E70014"/>
    <w:rsid w:val="00E82635"/>
    <w:rsid w:val="00E86EC9"/>
    <w:rsid w:val="00EB063B"/>
    <w:rsid w:val="00EB433C"/>
    <w:rsid w:val="00EF1DCC"/>
    <w:rsid w:val="00EF3A3F"/>
    <w:rsid w:val="00F36D8E"/>
    <w:rsid w:val="00F37CBE"/>
    <w:rsid w:val="00F435C9"/>
    <w:rsid w:val="00F55B2A"/>
    <w:rsid w:val="00F61A1C"/>
    <w:rsid w:val="00F76F2D"/>
    <w:rsid w:val="00F9011B"/>
    <w:rsid w:val="00FA0356"/>
    <w:rsid w:val="00FA0FAA"/>
    <w:rsid w:val="00FA6B4C"/>
    <w:rsid w:val="00FA791F"/>
    <w:rsid w:val="00FC394F"/>
    <w:rsid w:val="00FD0D70"/>
    <w:rsid w:val="00FD58F5"/>
    <w:rsid w:val="00FE051C"/>
    <w:rsid w:val="00FF49C2"/>
    <w:rsid w:val="06F832D7"/>
    <w:rsid w:val="072B5BCC"/>
    <w:rsid w:val="07482464"/>
    <w:rsid w:val="08C07E24"/>
    <w:rsid w:val="0AC53B39"/>
    <w:rsid w:val="184077D8"/>
    <w:rsid w:val="22AC524A"/>
    <w:rsid w:val="27B65729"/>
    <w:rsid w:val="288602EB"/>
    <w:rsid w:val="2B004385"/>
    <w:rsid w:val="2B81177E"/>
    <w:rsid w:val="2D203923"/>
    <w:rsid w:val="2DD15668"/>
    <w:rsid w:val="38B92017"/>
    <w:rsid w:val="3FCE45FA"/>
    <w:rsid w:val="40055128"/>
    <w:rsid w:val="4199638D"/>
    <w:rsid w:val="56895E75"/>
    <w:rsid w:val="601C4AB5"/>
    <w:rsid w:val="6B7B5FDF"/>
    <w:rsid w:val="71241A1C"/>
    <w:rsid w:val="71C051ED"/>
    <w:rsid w:val="734B14E2"/>
    <w:rsid w:val="737722D7"/>
    <w:rsid w:val="737FC131"/>
    <w:rsid w:val="74391980"/>
    <w:rsid w:val="78654DF4"/>
    <w:rsid w:val="7A7F398B"/>
    <w:rsid w:val="7DFE69F5"/>
    <w:rsid w:val="7F37703B"/>
    <w:rsid w:val="7F4514DB"/>
    <w:rsid w:val="89DA1683"/>
    <w:rsid w:val="9D4B5CFF"/>
    <w:rsid w:val="DF6F3571"/>
    <w:rsid w:val="E3ED0C6A"/>
    <w:rsid w:val="F6EDC0E0"/>
    <w:rsid w:val="FD7D89E1"/>
    <w:rsid w:val="FFC3A32D"/>
    <w:rsid w:val="FFF3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0"/>
      <w:szCs w:val="22"/>
      <w:lang w:val="en-US" w:eastAsia="zh-CN" w:bidi="ar-SA"/>
    </w:rPr>
  </w:style>
  <w:style w:type="paragraph" w:styleId="2">
    <w:name w:val="heading 1"/>
    <w:basedOn w:val="1"/>
    <w:next w:val="1"/>
    <w:link w:val="21"/>
    <w:qFormat/>
    <w:uiPriority w:val="9"/>
    <w:pPr>
      <w:keepNext/>
      <w:keepLines/>
      <w:spacing w:line="360" w:lineRule="auto"/>
      <w:outlineLvl w:val="0"/>
    </w:pPr>
    <w:rPr>
      <w:rFonts w:eastAsia="黑体"/>
      <w:bCs/>
      <w:kern w:val="44"/>
      <w:szCs w:val="44"/>
    </w:rPr>
  </w:style>
  <w:style w:type="paragraph" w:styleId="3">
    <w:name w:val="heading 2"/>
    <w:basedOn w:val="1"/>
    <w:next w:val="1"/>
    <w:link w:val="23"/>
    <w:unhideWhenUsed/>
    <w:qFormat/>
    <w:uiPriority w:val="9"/>
    <w:pPr>
      <w:keepNext/>
      <w:keepLines/>
      <w:outlineLvl w:val="1"/>
    </w:pPr>
    <w:rPr>
      <w:rFonts w:eastAsia="楷体_GB2312" w:asciiTheme="majorHAnsi" w:hAnsiTheme="majorHAnsi" w:cstheme="majorBidi"/>
      <w:bCs/>
      <w:szCs w:val="32"/>
    </w:rPr>
  </w:style>
  <w:style w:type="paragraph" w:styleId="4">
    <w:name w:val="heading 3"/>
    <w:basedOn w:val="1"/>
    <w:next w:val="1"/>
    <w:link w:val="27"/>
    <w:semiHidden/>
    <w:unhideWhenUsed/>
    <w:qFormat/>
    <w:uiPriority w:val="9"/>
    <w:pPr>
      <w:keepNext/>
      <w:keepLines/>
      <w:spacing w:before="260" w:after="260" w:line="416" w:lineRule="auto"/>
      <w:outlineLvl w:val="2"/>
    </w:pPr>
    <w:rPr>
      <w:b/>
      <w:bCs/>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4"/>
    <w:semiHidden/>
    <w:unhideWhenUsed/>
    <w:qFormat/>
    <w:uiPriority w:val="99"/>
    <w:pPr>
      <w:jc w:val="left"/>
    </w:pPr>
  </w:style>
  <w:style w:type="paragraph" w:styleId="6">
    <w:name w:val="Body Text"/>
    <w:basedOn w:val="1"/>
    <w:next w:val="7"/>
    <w:unhideWhenUsed/>
    <w:qFormat/>
    <w:uiPriority w:val="99"/>
    <w:pPr>
      <w:spacing w:after="120"/>
    </w:pPr>
  </w:style>
  <w:style w:type="paragraph" w:styleId="7">
    <w:name w:val="Body Text 2"/>
    <w:basedOn w:val="1"/>
    <w:qFormat/>
    <w:uiPriority w:val="0"/>
    <w:pPr>
      <w:adjustRightInd w:val="0"/>
      <w:snapToGrid/>
      <w:spacing w:afterAutospacing="0" w:line="240" w:lineRule="auto"/>
      <w:ind w:left="480" w:leftChars="200"/>
    </w:pPr>
    <w:rPr>
      <w:rFonts w:eastAsia="仿宋"/>
    </w:rPr>
  </w:style>
  <w:style w:type="paragraph" w:styleId="8">
    <w:name w:val="Balloon Text"/>
    <w:basedOn w:val="1"/>
    <w:link w:val="32"/>
    <w:semiHidden/>
    <w:unhideWhenUsed/>
    <w:qFormat/>
    <w:uiPriority w:val="99"/>
    <w:rPr>
      <w:sz w:val="18"/>
      <w:szCs w:val="18"/>
    </w:rPr>
  </w:style>
  <w:style w:type="paragraph" w:styleId="9">
    <w:name w:val="footer"/>
    <w:basedOn w:val="1"/>
    <w:link w:val="26"/>
    <w:unhideWhenUsed/>
    <w:qFormat/>
    <w:uiPriority w:val="99"/>
    <w:pPr>
      <w:tabs>
        <w:tab w:val="center" w:pos="4153"/>
        <w:tab w:val="right" w:pos="8306"/>
      </w:tabs>
      <w:snapToGrid w:val="0"/>
      <w:jc w:val="left"/>
    </w:pPr>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24"/>
    <w:qFormat/>
    <w:uiPriority w:val="11"/>
    <w:pPr>
      <w:spacing w:afterLines="100"/>
      <w:jc w:val="center"/>
      <w:outlineLvl w:val="1"/>
    </w:pPr>
    <w:rPr>
      <w:rFonts w:eastAsia="楷体_GB2312" w:asciiTheme="majorHAnsi" w:hAnsiTheme="majorHAnsi" w:cstheme="majorBidi"/>
      <w:bCs/>
      <w:kern w:val="28"/>
      <w:szCs w:val="32"/>
    </w:rPr>
  </w:style>
  <w:style w:type="paragraph" w:styleId="1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3">
    <w:name w:val="Title"/>
    <w:basedOn w:val="1"/>
    <w:next w:val="1"/>
    <w:link w:val="22"/>
    <w:qFormat/>
    <w:uiPriority w:val="10"/>
    <w:pPr>
      <w:spacing w:before="240" w:afterLines="100"/>
      <w:jc w:val="center"/>
      <w:outlineLvl w:val="0"/>
    </w:pPr>
    <w:rPr>
      <w:rFonts w:eastAsia="方正小标宋简体" w:asciiTheme="majorHAnsi" w:hAnsiTheme="majorHAnsi" w:cstheme="majorBidi"/>
      <w:b/>
      <w:bCs/>
      <w:sz w:val="44"/>
      <w:szCs w:val="32"/>
    </w:rPr>
  </w:style>
  <w:style w:type="paragraph" w:styleId="14">
    <w:name w:val="annotation subject"/>
    <w:basedOn w:val="5"/>
    <w:next w:val="5"/>
    <w:link w:val="35"/>
    <w:semiHidden/>
    <w:unhideWhenUsed/>
    <w:qFormat/>
    <w:uiPriority w:val="99"/>
    <w:rPr>
      <w:b/>
      <w:bCs/>
    </w:rPr>
  </w:style>
  <w:style w:type="table" w:styleId="16">
    <w:name w:val="Table Grid"/>
    <w:basedOn w:val="15"/>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22"/>
    <w:rPr>
      <w:b/>
    </w:rPr>
  </w:style>
  <w:style w:type="character" w:styleId="19">
    <w:name w:val="Emphasis"/>
    <w:basedOn w:val="17"/>
    <w:qFormat/>
    <w:uiPriority w:val="20"/>
    <w:rPr>
      <w:i/>
    </w:rPr>
  </w:style>
  <w:style w:type="character" w:styleId="20">
    <w:name w:val="annotation reference"/>
    <w:basedOn w:val="17"/>
    <w:semiHidden/>
    <w:unhideWhenUsed/>
    <w:qFormat/>
    <w:uiPriority w:val="99"/>
    <w:rPr>
      <w:sz w:val="21"/>
      <w:szCs w:val="21"/>
    </w:rPr>
  </w:style>
  <w:style w:type="character" w:customStyle="1" w:styleId="21">
    <w:name w:val="标题 1 Char"/>
    <w:basedOn w:val="17"/>
    <w:link w:val="2"/>
    <w:qFormat/>
    <w:uiPriority w:val="9"/>
    <w:rPr>
      <w:rFonts w:eastAsia="黑体"/>
      <w:bCs/>
      <w:kern w:val="44"/>
      <w:sz w:val="32"/>
      <w:szCs w:val="44"/>
    </w:rPr>
  </w:style>
  <w:style w:type="character" w:customStyle="1" w:styleId="22">
    <w:name w:val="标题 Char"/>
    <w:basedOn w:val="17"/>
    <w:link w:val="13"/>
    <w:qFormat/>
    <w:uiPriority w:val="10"/>
    <w:rPr>
      <w:rFonts w:eastAsia="方正小标宋简体" w:asciiTheme="majorHAnsi" w:hAnsiTheme="majorHAnsi" w:cstheme="majorBidi"/>
      <w:b/>
      <w:bCs/>
      <w:sz w:val="44"/>
      <w:szCs w:val="32"/>
    </w:rPr>
  </w:style>
  <w:style w:type="character" w:customStyle="1" w:styleId="23">
    <w:name w:val="标题 2 Char"/>
    <w:basedOn w:val="17"/>
    <w:link w:val="3"/>
    <w:qFormat/>
    <w:uiPriority w:val="9"/>
    <w:rPr>
      <w:rFonts w:eastAsia="楷体_GB2312" w:asciiTheme="majorHAnsi" w:hAnsiTheme="majorHAnsi" w:cstheme="majorBidi"/>
      <w:bCs/>
      <w:sz w:val="32"/>
      <w:szCs w:val="32"/>
    </w:rPr>
  </w:style>
  <w:style w:type="character" w:customStyle="1" w:styleId="24">
    <w:name w:val="副标题 Char"/>
    <w:basedOn w:val="17"/>
    <w:link w:val="11"/>
    <w:qFormat/>
    <w:uiPriority w:val="11"/>
    <w:rPr>
      <w:rFonts w:eastAsia="楷体_GB2312" w:asciiTheme="majorHAnsi" w:hAnsiTheme="majorHAnsi" w:cstheme="majorBidi"/>
      <w:bCs/>
      <w:kern w:val="28"/>
      <w:sz w:val="32"/>
      <w:szCs w:val="32"/>
    </w:rPr>
  </w:style>
  <w:style w:type="character" w:customStyle="1" w:styleId="25">
    <w:name w:val="页眉 Char"/>
    <w:basedOn w:val="17"/>
    <w:link w:val="10"/>
    <w:qFormat/>
    <w:uiPriority w:val="99"/>
    <w:rPr>
      <w:rFonts w:eastAsia="仿宋_GB2312"/>
      <w:sz w:val="18"/>
      <w:szCs w:val="18"/>
    </w:rPr>
  </w:style>
  <w:style w:type="character" w:customStyle="1" w:styleId="26">
    <w:name w:val="页脚 Char"/>
    <w:basedOn w:val="17"/>
    <w:link w:val="9"/>
    <w:qFormat/>
    <w:uiPriority w:val="99"/>
    <w:rPr>
      <w:rFonts w:eastAsia="仿宋_GB2312"/>
      <w:sz w:val="18"/>
      <w:szCs w:val="18"/>
    </w:rPr>
  </w:style>
  <w:style w:type="character" w:customStyle="1" w:styleId="27">
    <w:name w:val="标题 3 Char"/>
    <w:basedOn w:val="17"/>
    <w:link w:val="4"/>
    <w:semiHidden/>
    <w:qFormat/>
    <w:uiPriority w:val="9"/>
    <w:rPr>
      <w:rFonts w:eastAsia="仿宋_GB2312"/>
      <w:b/>
      <w:bCs/>
      <w:sz w:val="32"/>
      <w:szCs w:val="32"/>
    </w:rPr>
  </w:style>
  <w:style w:type="paragraph" w:customStyle="1" w:styleId="28">
    <w:name w:val="标准文件_附录表标题"/>
    <w:next w:val="1"/>
    <w:qFormat/>
    <w:uiPriority w:val="0"/>
    <w:pPr>
      <w:numPr>
        <w:ilvl w:val="1"/>
        <w:numId w:val="1"/>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29">
    <w:name w:val="标准文件_表格"/>
    <w:basedOn w:val="1"/>
    <w:qFormat/>
    <w:uiPriority w:val="0"/>
    <w:pPr>
      <w:widowControl/>
      <w:autoSpaceDE w:val="0"/>
      <w:autoSpaceDN w:val="0"/>
      <w:jc w:val="center"/>
    </w:pPr>
    <w:rPr>
      <w:rFonts w:ascii="宋体" w:hAnsi="Times New Roman" w:eastAsia="宋体" w:cs="Times New Roman"/>
      <w:kern w:val="0"/>
      <w:sz w:val="18"/>
      <w:szCs w:val="20"/>
    </w:rPr>
  </w:style>
  <w:style w:type="paragraph" w:customStyle="1" w:styleId="30">
    <w:name w:val="标准文件_注："/>
    <w:next w:val="1"/>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31">
    <w:name w:val="标准文件_附录表标号"/>
    <w:basedOn w:val="1"/>
    <w:next w:val="1"/>
    <w:qFormat/>
    <w:uiPriority w:val="0"/>
    <w:pPr>
      <w:widowControl/>
      <w:numPr>
        <w:ilvl w:val="0"/>
        <w:numId w:val="1"/>
      </w:numPr>
      <w:autoSpaceDE w:val="0"/>
      <w:autoSpaceDN w:val="0"/>
      <w:spacing w:line="14" w:lineRule="exact"/>
      <w:ind w:firstLine="0"/>
      <w:jc w:val="center"/>
    </w:pPr>
    <w:rPr>
      <w:rFonts w:ascii="宋体" w:hAnsi="Times New Roman" w:eastAsia="黑体" w:cs="Times New Roman"/>
      <w:vanish/>
      <w:kern w:val="0"/>
      <w:sz w:val="2"/>
      <w:szCs w:val="20"/>
    </w:rPr>
  </w:style>
  <w:style w:type="character" w:customStyle="1" w:styleId="32">
    <w:name w:val="批注框文本 Char"/>
    <w:basedOn w:val="17"/>
    <w:link w:val="8"/>
    <w:semiHidden/>
    <w:qFormat/>
    <w:uiPriority w:val="99"/>
    <w:rPr>
      <w:rFonts w:eastAsia="仿宋_GB2312"/>
      <w:kern w:val="2"/>
      <w:sz w:val="18"/>
      <w:szCs w:val="18"/>
    </w:rPr>
  </w:style>
  <w:style w:type="paragraph" w:styleId="33">
    <w:name w:val="List Paragraph"/>
    <w:basedOn w:val="1"/>
    <w:qFormat/>
    <w:uiPriority w:val="0"/>
    <w:pPr>
      <w:ind w:firstLine="420" w:firstLineChars="200"/>
    </w:pPr>
    <w:rPr>
      <w:rFonts w:ascii="Times New Roman" w:hAnsi="Times New Roman" w:eastAsia="宋体" w:cs="Times New Roman"/>
      <w:sz w:val="21"/>
      <w:szCs w:val="24"/>
    </w:rPr>
  </w:style>
  <w:style w:type="character" w:customStyle="1" w:styleId="34">
    <w:name w:val="批注文字 Char"/>
    <w:basedOn w:val="17"/>
    <w:link w:val="5"/>
    <w:semiHidden/>
    <w:qFormat/>
    <w:uiPriority w:val="99"/>
    <w:rPr>
      <w:rFonts w:eastAsia="仿宋_GB2312"/>
      <w:kern w:val="2"/>
      <w:sz w:val="32"/>
      <w:szCs w:val="22"/>
    </w:rPr>
  </w:style>
  <w:style w:type="character" w:customStyle="1" w:styleId="35">
    <w:name w:val="批注主题 Char"/>
    <w:basedOn w:val="34"/>
    <w:link w:val="14"/>
    <w:semiHidden/>
    <w:qFormat/>
    <w:uiPriority w:val="99"/>
    <w:rPr>
      <w:rFonts w:eastAsia="仿宋_GB2312"/>
      <w:b/>
      <w:bCs/>
      <w:kern w:val="2"/>
      <w:sz w:val="32"/>
      <w:szCs w:val="22"/>
    </w:rPr>
  </w:style>
  <w:style w:type="character" w:styleId="36">
    <w:name w:val="Placeholder Text"/>
    <w:basedOn w:val="17"/>
    <w:unhideWhenUsed/>
    <w:qFormat/>
    <w:uiPriority w:val="99"/>
    <w:rPr>
      <w:color w:val="808080"/>
    </w:rPr>
  </w:style>
  <w:style w:type="paragraph" w:customStyle="1" w:styleId="3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段"/>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39">
    <w:name w:val="标准文件_一级无标题"/>
    <w:basedOn w:val="40"/>
    <w:autoRedefine/>
    <w:qFormat/>
    <w:uiPriority w:val="0"/>
    <w:pPr>
      <w:spacing w:beforeLines="0" w:afterLines="0"/>
      <w:outlineLvl w:val="9"/>
    </w:pPr>
    <w:rPr>
      <w:rFonts w:ascii="宋体" w:eastAsia="宋体"/>
    </w:rPr>
  </w:style>
  <w:style w:type="paragraph" w:customStyle="1" w:styleId="40">
    <w:name w:val="标准文件_一级条标题"/>
    <w:basedOn w:val="41"/>
    <w:next w:val="37"/>
    <w:autoRedefine/>
    <w:qFormat/>
    <w:uiPriority w:val="0"/>
    <w:pPr>
      <w:numPr>
        <w:ilvl w:val="2"/>
      </w:numPr>
      <w:spacing w:beforeLines="50" w:afterLines="50"/>
      <w:outlineLvl w:val="1"/>
    </w:pPr>
  </w:style>
  <w:style w:type="paragraph" w:customStyle="1" w:styleId="41">
    <w:name w:val="标准文件_章标题"/>
    <w:next w:val="37"/>
    <w:autoRedefine/>
    <w:qFormat/>
    <w:uiPriority w:val="0"/>
    <w:pPr>
      <w:numPr>
        <w:ilvl w:val="1"/>
        <w:numId w:val="3"/>
      </w:numPr>
      <w:spacing w:beforeLines="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6133</Words>
  <Characters>6416</Characters>
  <Lines>54</Lines>
  <Paragraphs>15</Paragraphs>
  <TotalTime>12</TotalTime>
  <ScaleCrop>false</ScaleCrop>
  <LinksUpToDate>false</LinksUpToDate>
  <CharactersWithSpaces>6498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2023-04-04T01:10:00Z</dcterms:created>
  <dc:creator>2023-1-12</dc:creator>
  <cp:lastModifiedBy>琴</cp:lastModifiedBy>
  <cp:lastPrinted>2025-02-14T08:12:00Z</cp:lastPrinted>
  <dcterms:modified xsi:type="dcterms:W3CDTF">2025-03-26T08:21:00Z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E98A96F11689433CA4091FADD6F46498_13</vt:lpwstr>
  </property>
  <property fmtid="{D5CDD505-2E9C-101B-9397-08002B2CF9AE}" pid="4" name="KSOTemplateDocerSaveRecord">
    <vt:lpwstr>eyJoZGlkIjoiYjNkM2QyNTQ4OThhNGVkYjAyYjUyODNlMTRjNTM0NzIiLCJ1c2VySWQiOiIyNTk1OTg0MjgifQ==</vt:lpwstr>
  </property>
</Properties>
</file>