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D20D48">
      <w:pPr>
        <w:pStyle w:val="20"/>
        <w:framePr w:wrap="notBeside" w:vAnchor="page" w:hAnchor="page" w:x="1372" w:y="568"/>
        <w:tabs>
          <w:tab w:val="clear" w:pos="4153"/>
          <w:tab w:val="clear" w:pos="8306"/>
        </w:tabs>
        <w:spacing w:line="240" w:lineRule="auto"/>
        <w:jc w:val="left"/>
        <w:rPr>
          <w:rFonts w:ascii="Times New Roman" w:hAnsi="Times New Roman" w:eastAsia="黑体"/>
          <w:color w:val="auto"/>
          <w:sz w:val="21"/>
          <w:szCs w:val="21"/>
          <w:highlight w:val="none"/>
        </w:rPr>
      </w:pPr>
      <w:bookmarkStart w:id="78" w:name="_GoBack"/>
      <w:bookmarkEnd w:id="78"/>
    </w:p>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4D3B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378E4CC">
            <w:pPr>
              <w:pStyle w:val="20"/>
              <w:framePr w:wrap="notBeside" w:vAnchor="page" w:hAnchor="page" w:x="1372" w:y="568"/>
              <w:tabs>
                <w:tab w:val="clear" w:pos="4153"/>
                <w:tab w:val="clear" w:pos="8306"/>
              </w:tabs>
              <w:spacing w:line="240" w:lineRule="auto"/>
              <w:jc w:val="left"/>
              <w:rPr>
                <w:rFonts w:ascii="黑体" w:hAnsi="黑体" w:eastAsia="黑体"/>
                <w:color w:val="auto"/>
                <w:sz w:val="21"/>
                <w:szCs w:val="21"/>
                <w:highlight w:val="none"/>
              </w:rPr>
            </w:pPr>
            <w:r>
              <w:rPr>
                <w:rFonts w:ascii="Times New Roman" w:hAnsi="Times New Roman" w:eastAsia="黑体"/>
                <w:color w:val="auto"/>
                <w:sz w:val="21"/>
                <w:szCs w:val="21"/>
                <w:highlight w:val="none"/>
              </w:rPr>
              <w:t>ICS</w:t>
            </w:r>
            <w:r>
              <w:rPr>
                <w:rFonts w:ascii="黑体" w:hAnsi="黑体" w:eastAsia="黑体"/>
                <w:color w:val="auto"/>
                <w:sz w:val="21"/>
                <w:szCs w:val="21"/>
                <w:highlight w:val="none"/>
              </w:rPr>
              <w:t xml:space="preserve">  </w:t>
            </w:r>
          </w:p>
        </w:tc>
        <w:tc>
          <w:tcPr>
            <w:tcW w:w="8855" w:type="dxa"/>
          </w:tcPr>
          <w:p w14:paraId="4C0F4E91">
            <w:pPr>
              <w:pStyle w:val="20"/>
              <w:framePr w:wrap="notBeside" w:vAnchor="page" w:hAnchor="page" w:x="1372" w:y="568"/>
              <w:tabs>
                <w:tab w:val="clear" w:pos="4153"/>
                <w:tab w:val="clear" w:pos="8306"/>
              </w:tabs>
              <w:spacing w:line="240" w:lineRule="auto"/>
              <w:jc w:val="both"/>
              <w:rPr>
                <w:rFonts w:hint="default" w:ascii="黑体" w:hAnsi="黑体" w:eastAsia="黑体"/>
                <w:color w:val="auto"/>
                <w:sz w:val="21"/>
                <w:szCs w:val="21"/>
                <w:highlight w:val="none"/>
                <w:lang w:val="en-US" w:eastAsia="zh-CN"/>
              </w:rPr>
            </w:pPr>
            <w:r>
              <w:rPr>
                <w:rFonts w:hint="eastAsia" w:ascii="黑体" w:hAnsi="黑体" w:eastAsia="黑体"/>
                <w:color w:val="auto"/>
                <w:sz w:val="21"/>
                <w:szCs w:val="21"/>
                <w:highlight w:val="none"/>
                <w:lang w:val="en-US" w:eastAsia="zh-CN"/>
              </w:rPr>
              <w:t>01.120</w:t>
            </w:r>
          </w:p>
        </w:tc>
      </w:tr>
      <w:tr w14:paraId="1C971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5F5345F">
            <w:pPr>
              <w:pStyle w:val="20"/>
              <w:framePr w:wrap="notBeside" w:vAnchor="page" w:hAnchor="page" w:x="1372" w:y="568"/>
              <w:tabs>
                <w:tab w:val="clear" w:pos="4153"/>
                <w:tab w:val="clear" w:pos="8306"/>
              </w:tabs>
              <w:spacing w:before="40" w:line="240" w:lineRule="auto"/>
              <w:jc w:val="left"/>
              <w:rPr>
                <w:rFonts w:ascii="黑体" w:hAnsi="黑体" w:eastAsia="黑体"/>
                <w:color w:val="auto"/>
                <w:sz w:val="21"/>
                <w:szCs w:val="21"/>
                <w:highlight w:val="none"/>
              </w:rPr>
            </w:pPr>
            <w:r>
              <w:rPr>
                <w:rFonts w:hint="eastAsia" w:ascii="Times New Roman" w:hAnsi="Times New Roman" w:eastAsia="黑体"/>
                <w:color w:val="auto"/>
                <w:sz w:val="21"/>
                <w:szCs w:val="21"/>
                <w:highlight w:val="none"/>
                <w:lang w:val="en-US" w:eastAsia="zh-CN"/>
              </w:rPr>
              <w:t xml:space="preserve">A </w:t>
            </w:r>
            <w:r>
              <w:rPr>
                <w:rFonts w:ascii="Times New Roman" w:hAnsi="Times New Roman" w:eastAsia="黑体"/>
                <w:color w:val="auto"/>
                <w:sz w:val="21"/>
                <w:szCs w:val="21"/>
                <w:highlight w:val="none"/>
              </w:rPr>
              <w:t xml:space="preserve"> </w:t>
            </w:r>
          </w:p>
        </w:tc>
        <w:tc>
          <w:tcPr>
            <w:tcW w:w="8855" w:type="dxa"/>
          </w:tcPr>
          <w:p w14:paraId="6656C375">
            <w:pPr>
              <w:pStyle w:val="20"/>
              <w:framePr w:wrap="notBeside" w:vAnchor="page" w:hAnchor="page" w:x="1372" w:y="568"/>
              <w:tabs>
                <w:tab w:val="clear" w:pos="4153"/>
                <w:tab w:val="clear" w:pos="8306"/>
              </w:tabs>
              <w:spacing w:before="40" w:line="240" w:lineRule="auto"/>
              <w:jc w:val="left"/>
              <w:rPr>
                <w:rFonts w:hint="default" w:ascii="黑体" w:hAnsi="黑体" w:eastAsia="黑体"/>
                <w:color w:val="auto"/>
                <w:sz w:val="21"/>
                <w:szCs w:val="21"/>
                <w:highlight w:val="none"/>
                <w:lang w:val="en-US" w:eastAsia="zh-CN"/>
              </w:rPr>
            </w:pPr>
            <w:r>
              <w:rPr>
                <w:rFonts w:hint="eastAsia" w:ascii="黑体" w:hAnsi="黑体" w:eastAsia="黑体"/>
                <w:color w:val="auto"/>
                <w:sz w:val="21"/>
                <w:szCs w:val="21"/>
                <w:highlight w:val="none"/>
                <w:lang w:val="en-US" w:eastAsia="zh-CN"/>
              </w:rPr>
              <w:t>00</w:t>
            </w:r>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7CC9DB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55752982">
            <w:pPr>
              <w:pStyle w:val="52"/>
              <w:framePr w:w="0" w:hRule="auto" w:wrap="auto" w:vAnchor="margin" w:hAnchor="text" w:xAlign="left" w:yAlign="inline"/>
              <w:rPr>
                <w:rFonts w:ascii="宋体" w:hAnsi="宋体"/>
                <w:color w:val="auto"/>
                <w:sz w:val="28"/>
                <w:szCs w:val="28"/>
                <w:highlight w:val="none"/>
              </w:rPr>
            </w:pPr>
            <w:bookmarkStart w:id="0" w:name="_Hlk26473981"/>
            <w:r>
              <w:rPr>
                <w:color w:val="auto"/>
                <w:highlight w:val="none"/>
              </w:rPr>
              <w:drawing>
                <wp:inline distT="0" distB="0" distL="0" distR="0">
                  <wp:extent cx="796290" cy="397510"/>
                  <wp:effectExtent l="0" t="0" r="1143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color w:val="auto"/>
                <w:sz w:val="21"/>
                <w:szCs w:val="21"/>
                <w:highlight w:val="none"/>
              </w:rPr>
              <w:t xml:space="preserve"> </w:t>
            </w:r>
            <w:r>
              <w:rPr>
                <w:color w:val="auto"/>
                <w:highlight w:val="none"/>
              </w:rPr>
              <w:fldChar w:fldCharType="begin">
                <w:ffData>
                  <w:name w:val="c1"/>
                  <w:enabled/>
                  <w:calcOnExit w:val="0"/>
                  <w:textInput>
                    <w:maxLength w:val="8"/>
                  </w:textInput>
                </w:ffData>
              </w:fldChar>
            </w:r>
            <w:bookmarkStart w:id="1" w:name="c1"/>
            <w:r>
              <w:rPr>
                <w:color w:val="auto"/>
                <w:highlight w:val="none"/>
              </w:rPr>
              <w:instrText xml:space="preserve"> FORMTEXT </w:instrText>
            </w:r>
            <w:r>
              <w:rPr>
                <w:color w:val="auto"/>
                <w:highlight w:val="none"/>
              </w:rPr>
              <w:fldChar w:fldCharType="separate"/>
            </w:r>
            <w:r>
              <w:rPr>
                <w:rFonts w:hint="eastAsia"/>
                <w:color w:val="auto"/>
                <w:highlight w:val="none"/>
              </w:rPr>
              <w:t>31</w:t>
            </w:r>
            <w:r>
              <w:rPr>
                <w:color w:val="auto"/>
                <w:highlight w:val="none"/>
              </w:rPr>
              <w:fldChar w:fldCharType="end"/>
            </w:r>
            <w:bookmarkEnd w:id="1"/>
          </w:p>
        </w:tc>
      </w:tr>
    </w:tbl>
    <w:p w14:paraId="7DC2E3C6">
      <w:pPr>
        <w:pStyle w:val="53"/>
        <w:framePr w:w="9639" w:h="624" w:hRule="exact" w:hSpace="181" w:vSpace="181" w:wrap="around" w:hAnchor="page" w:x="1305" w:y="2269"/>
        <w:rPr>
          <w:rFonts w:ascii="黑体" w:hAnsi="黑体" w:eastAsia="黑体"/>
          <w:b w:val="0"/>
          <w:bCs w:val="0"/>
          <w:color w:val="auto"/>
          <w:w w:val="100"/>
          <w:sz w:val="48"/>
          <w:szCs w:val="48"/>
          <w:highlight w:val="none"/>
        </w:rPr>
      </w:pPr>
      <w:r>
        <w:rPr>
          <w:rFonts w:ascii="黑体" w:eastAsia="黑体"/>
          <w:b w:val="0"/>
          <w:color w:val="auto"/>
          <w:w w:val="100"/>
          <w:sz w:val="48"/>
          <w:highlight w:val="none"/>
        </w:rPr>
        <w:fldChar w:fldCharType="begin">
          <w:ffData>
            <w:name w:val="c2"/>
            <w:enabled/>
            <w:calcOnExit w:val="0"/>
            <w:textInput/>
          </w:ffData>
        </w:fldChar>
      </w:r>
      <w:bookmarkStart w:id="2" w:name="c2"/>
      <w:r>
        <w:rPr>
          <w:rFonts w:ascii="黑体" w:eastAsia="黑体"/>
          <w:b w:val="0"/>
          <w:color w:val="auto"/>
          <w:w w:val="100"/>
          <w:sz w:val="48"/>
          <w:highlight w:val="none"/>
        </w:rPr>
        <w:instrText xml:space="preserve"> FORMTEXT </w:instrText>
      </w:r>
      <w:r>
        <w:rPr>
          <w:rFonts w:ascii="黑体" w:eastAsia="黑体"/>
          <w:b w:val="0"/>
          <w:color w:val="auto"/>
          <w:w w:val="100"/>
          <w:sz w:val="48"/>
          <w:highlight w:val="none"/>
        </w:rPr>
        <w:fldChar w:fldCharType="separate"/>
      </w:r>
      <w:r>
        <w:rPr>
          <w:rFonts w:hint="eastAsia" w:ascii="黑体" w:eastAsia="黑体"/>
          <w:b w:val="0"/>
          <w:color w:val="auto"/>
          <w:w w:val="100"/>
          <w:sz w:val="48"/>
          <w:highlight w:val="none"/>
        </w:rPr>
        <w:t>上海市</w:t>
      </w:r>
      <w:r>
        <w:rPr>
          <w:rFonts w:ascii="黑体" w:eastAsia="黑体"/>
          <w:b w:val="0"/>
          <w:color w:val="auto"/>
          <w:w w:val="100"/>
          <w:sz w:val="48"/>
          <w:highlight w:val="none"/>
        </w:rPr>
        <w:fldChar w:fldCharType="end"/>
      </w:r>
      <w:bookmarkEnd w:id="2"/>
      <w:r>
        <w:rPr>
          <w:rFonts w:hint="eastAsia" w:ascii="黑体" w:hAnsi="黑体" w:eastAsia="黑体"/>
          <w:b w:val="0"/>
          <w:bCs w:val="0"/>
          <w:color w:val="auto"/>
          <w:w w:val="100"/>
          <w:sz w:val="48"/>
          <w:szCs w:val="48"/>
          <w:highlight w:val="none"/>
        </w:rPr>
        <w:t>地方标准</w:t>
      </w:r>
    </w:p>
    <w:bookmarkEnd w:id="0"/>
    <w:p w14:paraId="3BEBB717">
      <w:pPr>
        <w:pStyle w:val="198"/>
        <w:framePr w:y="3353"/>
        <w:rPr>
          <w:color w:val="auto"/>
          <w:highlight w:val="none"/>
          <w:lang w:val="fr-FR"/>
        </w:rPr>
      </w:pPr>
      <w:r>
        <w:rPr>
          <w:color w:val="auto"/>
          <w:highlight w:val="none"/>
          <w:lang w:val="fr-FR"/>
        </w:rPr>
        <w:t>DB</w:t>
      </w:r>
      <w:r>
        <w:rPr>
          <w:color w:val="auto"/>
          <w:sz w:val="15"/>
          <w:szCs w:val="15"/>
          <w:highlight w:val="none"/>
          <w:lang w:val="fr-FR"/>
        </w:rPr>
        <w:t xml:space="preserve"> </w:t>
      </w:r>
      <w:r>
        <w:rPr>
          <w:color w:val="auto"/>
          <w:highlight w:val="none"/>
        </w:rPr>
        <w:fldChar w:fldCharType="begin">
          <w:ffData>
            <w:name w:val="文字1"/>
            <w:enabled/>
            <w:calcOnExit w:val="0"/>
            <w:textInput>
              <w:default w:val="XX/T"/>
            </w:textInput>
          </w:ffData>
        </w:fldChar>
      </w:r>
      <w:bookmarkStart w:id="3" w:name="文字1"/>
      <w:r>
        <w:rPr>
          <w:color w:val="auto"/>
          <w:highlight w:val="none"/>
          <w:lang w:val="fr-FR"/>
        </w:rPr>
        <w:instrText xml:space="preserve"> FORMTEXT </w:instrText>
      </w:r>
      <w:r>
        <w:rPr>
          <w:color w:val="auto"/>
          <w:highlight w:val="none"/>
        </w:rPr>
        <w:fldChar w:fldCharType="separate"/>
      </w:r>
      <w:r>
        <w:rPr>
          <w:rFonts w:hint="eastAsia"/>
          <w:color w:val="auto"/>
          <w:highlight w:val="none"/>
          <w:lang w:val="fr-FR"/>
        </w:rPr>
        <w:t>31</w:t>
      </w:r>
      <w:r>
        <w:rPr>
          <w:color w:val="auto"/>
          <w:highlight w:val="none"/>
          <w:lang w:val="fr-FR"/>
        </w:rPr>
        <w:t>/T</w:t>
      </w:r>
      <w:r>
        <w:rPr>
          <w:color w:val="auto"/>
          <w:highlight w:val="none"/>
        </w:rPr>
        <w:fldChar w:fldCharType="end"/>
      </w:r>
      <w:bookmarkEnd w:id="3"/>
      <w:r>
        <w:rPr>
          <w:color w:val="auto"/>
          <w:highlight w:val="none"/>
          <w:lang w:val="fr-FR"/>
        </w:rPr>
        <w:t xml:space="preserve"> </w:t>
      </w:r>
      <w:r>
        <w:rPr>
          <w:color w:val="auto"/>
          <w:highlight w:val="none"/>
        </w:rPr>
        <w:fldChar w:fldCharType="begin">
          <w:ffData>
            <w:name w:val="NSTD_CODE_F"/>
            <w:enabled/>
            <w:calcOnExit w:val="0"/>
            <w:textInput>
              <w:default w:val="XXXX"/>
            </w:textInput>
          </w:ffData>
        </w:fldChar>
      </w:r>
      <w:bookmarkStart w:id="4" w:name="NSTD_CODE_F"/>
      <w:r>
        <w:rPr>
          <w:color w:val="auto"/>
          <w:highlight w:val="none"/>
          <w:lang w:val="fr-FR"/>
        </w:rPr>
        <w:instrText xml:space="preserve"> FORMTEXT </w:instrText>
      </w:r>
      <w:r>
        <w:rPr>
          <w:color w:val="auto"/>
          <w:highlight w:val="none"/>
        </w:rPr>
        <w:fldChar w:fldCharType="separate"/>
      </w:r>
      <w:r>
        <w:rPr>
          <w:color w:val="auto"/>
          <w:highlight w:val="none"/>
          <w:lang w:val="fr-FR"/>
        </w:rPr>
        <w:t>XXXX</w:t>
      </w:r>
      <w:r>
        <w:rPr>
          <w:color w:val="auto"/>
          <w:highlight w:val="none"/>
        </w:rPr>
        <w:fldChar w:fldCharType="end"/>
      </w:r>
      <w:bookmarkEnd w:id="4"/>
      <w:r>
        <w:rPr>
          <w:rFonts w:hAnsi="黑体"/>
          <w:color w:val="auto"/>
          <w:highlight w:val="none"/>
          <w:lang w:val="fr-FR"/>
        </w:rPr>
        <w:t>—</w:t>
      </w:r>
      <w:r>
        <w:rPr>
          <w:color w:val="auto"/>
          <w:highlight w:val="none"/>
        </w:rPr>
        <w:fldChar w:fldCharType="begin">
          <w:ffData>
            <w:name w:val="NSTD_CODE_B"/>
            <w:enabled/>
            <w:calcOnExit w:val="0"/>
            <w:textInput>
              <w:default w:val="XXXX"/>
            </w:textInput>
          </w:ffData>
        </w:fldChar>
      </w:r>
      <w:bookmarkStart w:id="5" w:name="NSTD_CODE_B"/>
      <w:r>
        <w:rPr>
          <w:color w:val="auto"/>
          <w:highlight w:val="none"/>
          <w:lang w:val="fr-FR"/>
        </w:rPr>
        <w:instrText xml:space="preserve"> FORMTEXT </w:instrText>
      </w:r>
      <w:r>
        <w:rPr>
          <w:color w:val="auto"/>
          <w:highlight w:val="none"/>
        </w:rPr>
        <w:fldChar w:fldCharType="separate"/>
      </w:r>
      <w:r>
        <w:rPr>
          <w:color w:val="auto"/>
          <w:highlight w:val="none"/>
          <w:lang w:val="fr-FR"/>
        </w:rPr>
        <w:t>XXXX</w:t>
      </w:r>
      <w:r>
        <w:rPr>
          <w:color w:val="auto"/>
          <w:highlight w:val="none"/>
        </w:rPr>
        <w:fldChar w:fldCharType="end"/>
      </w:r>
      <w:bookmarkEnd w:id="5"/>
    </w:p>
    <w:p w14:paraId="097D3965">
      <w:pPr>
        <w:pStyle w:val="199"/>
        <w:framePr w:y="3353"/>
        <w:rPr>
          <w:rFonts w:hAnsi="黑体"/>
          <w:color w:val="auto"/>
          <w:highlight w:val="none"/>
        </w:rPr>
      </w:pPr>
      <w:r>
        <w:rPr>
          <w:rFonts w:hAnsi="黑体"/>
          <w:color w:val="auto"/>
          <w:highlight w:val="none"/>
        </w:rPr>
        <w:fldChar w:fldCharType="begin">
          <w:ffData>
            <w:name w:val="OSTD_CODE"/>
            <w:enabled/>
            <w:calcOnExit w:val="0"/>
            <w:textInput/>
          </w:ffData>
        </w:fldChar>
      </w:r>
      <w:bookmarkStart w:id="6" w:name="OSTD_CODE"/>
      <w:r>
        <w:rPr>
          <w:rFonts w:hAnsi="黑体"/>
          <w:color w:val="auto"/>
          <w:highlight w:val="none"/>
        </w:rPr>
        <w:instrText xml:space="preserve"> FORMTEXT </w:instrText>
      </w:r>
      <w:r>
        <w:rPr>
          <w:rFonts w:hAnsi="黑体"/>
          <w:color w:val="auto"/>
          <w:highlight w:val="none"/>
        </w:rPr>
        <w:fldChar w:fldCharType="separate"/>
      </w:r>
      <w:r>
        <w:rPr>
          <w:rFonts w:hAnsi="黑体"/>
          <w:color w:val="auto"/>
          <w:highlight w:val="none"/>
        </w:rPr>
        <w:t>     </w:t>
      </w:r>
      <w:r>
        <w:rPr>
          <w:rFonts w:hAnsi="黑体"/>
          <w:color w:val="auto"/>
          <w:highlight w:val="none"/>
        </w:rPr>
        <w:fldChar w:fldCharType="end"/>
      </w:r>
      <w:bookmarkEnd w:id="6"/>
    </w:p>
    <w:p w14:paraId="775374C3">
      <w:pPr>
        <w:spacing w:line="240" w:lineRule="auto"/>
        <w:rPr>
          <w:rFonts w:ascii="黑体" w:hAnsi="黑体" w:eastAsia="黑体"/>
          <w:color w:val="auto"/>
          <w:kern w:val="0"/>
          <w:sz w:val="10"/>
          <w:szCs w:val="10"/>
          <w:highlight w:val="none"/>
        </w:rPr>
      </w:pPr>
      <w:r>
        <w:rPr>
          <w:rFonts w:ascii="黑体" w:hAnsi="黑体" w:eastAsia="黑体"/>
          <w:color w:val="auto"/>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1112946D">
      <w:pPr>
        <w:pStyle w:val="53"/>
        <w:framePr w:w="9639" w:h="6976" w:hRule="exact" w:hSpace="0" w:vSpace="0" w:wrap="around" w:hAnchor="page" w:y="6408"/>
        <w:jc w:val="center"/>
        <w:rPr>
          <w:rFonts w:ascii="黑体" w:hAnsi="黑体" w:eastAsia="黑体"/>
          <w:b w:val="0"/>
          <w:bCs w:val="0"/>
          <w:color w:val="auto"/>
          <w:w w:val="100"/>
          <w:highlight w:val="none"/>
        </w:rPr>
      </w:pPr>
    </w:p>
    <w:p w14:paraId="063A2C5C">
      <w:pPr>
        <w:pStyle w:val="200"/>
        <w:framePr w:h="6974" w:hRule="exact" w:wrap="around" w:x="1419" w:anchorLock="1"/>
        <w:rPr>
          <w:color w:val="auto"/>
          <w:sz w:val="30"/>
          <w:szCs w:val="30"/>
          <w:highlight w:val="none"/>
        </w:rPr>
      </w:pPr>
      <w:r>
        <w:rPr>
          <w:rFonts w:hint="eastAsia"/>
          <w:color w:val="auto"/>
          <w:highlight w:val="none"/>
          <w:lang w:val="en-US" w:eastAsia="zh-CN"/>
        </w:rPr>
        <w:t>标准组织</w:t>
      </w:r>
      <w:r>
        <w:rPr>
          <w:rFonts w:hint="eastAsia"/>
          <w:color w:val="auto"/>
          <w:highlight w:val="none"/>
          <w:lang w:eastAsia="zh-CN"/>
        </w:rPr>
        <w:t>国际化运作指南</w:t>
      </w:r>
    </w:p>
    <w:p w14:paraId="600FF96C">
      <w:pPr>
        <w:framePr w:w="9639" w:h="6974" w:hRule="exact" w:wrap="around" w:vAnchor="page" w:hAnchor="page" w:x="1419" w:y="6408" w:anchorLock="1"/>
        <w:ind w:left="-1418"/>
        <w:rPr>
          <w:color w:val="auto"/>
          <w:highlight w:val="none"/>
        </w:rPr>
      </w:pPr>
    </w:p>
    <w:p w14:paraId="79814BB5">
      <w:pPr>
        <w:pStyle w:val="128"/>
        <w:framePr w:w="9639" w:h="6974" w:hRule="exact" w:wrap="around" w:vAnchor="page" w:hAnchor="page" w:x="1419" w:y="6408" w:anchorLock="1"/>
        <w:textAlignment w:val="bottom"/>
        <w:rPr>
          <w:rFonts w:hint="default" w:eastAsia="黑体"/>
          <w:color w:val="auto"/>
          <w:szCs w:val="28"/>
          <w:highlight w:val="none"/>
          <w:lang w:val="en-US" w:eastAsia="zh-CN"/>
        </w:rPr>
      </w:pPr>
      <w:r>
        <w:rPr>
          <w:rFonts w:hint="eastAsia" w:eastAsia="黑体"/>
          <w:b/>
          <w:bCs/>
          <w:color w:val="auto"/>
          <w:szCs w:val="28"/>
          <w:highlight w:val="none"/>
        </w:rPr>
        <w:t xml:space="preserve">Guidelines for </w:t>
      </w:r>
      <w:r>
        <w:rPr>
          <w:rFonts w:hint="eastAsia" w:eastAsia="黑体"/>
          <w:b/>
          <w:bCs/>
          <w:color w:val="auto"/>
          <w:szCs w:val="28"/>
          <w:highlight w:val="none"/>
          <w:lang w:val="en-US" w:eastAsia="zh-CN"/>
        </w:rPr>
        <w:t>i</w:t>
      </w:r>
      <w:r>
        <w:rPr>
          <w:rFonts w:hint="eastAsia" w:eastAsia="黑体"/>
          <w:b/>
          <w:bCs/>
          <w:color w:val="auto"/>
          <w:szCs w:val="28"/>
          <w:highlight w:val="none"/>
        </w:rPr>
        <w:t xml:space="preserve">nternational </w:t>
      </w:r>
      <w:r>
        <w:rPr>
          <w:rFonts w:hint="eastAsia" w:eastAsia="黑体"/>
          <w:b/>
          <w:bCs/>
          <w:color w:val="auto"/>
          <w:szCs w:val="28"/>
          <w:highlight w:val="none"/>
          <w:lang w:val="en-US" w:eastAsia="zh-CN"/>
        </w:rPr>
        <w:t>o</w:t>
      </w:r>
      <w:r>
        <w:rPr>
          <w:rFonts w:hint="eastAsia" w:eastAsia="黑体"/>
          <w:b/>
          <w:bCs/>
          <w:color w:val="auto"/>
          <w:szCs w:val="28"/>
          <w:highlight w:val="none"/>
        </w:rPr>
        <w:t xml:space="preserve">peration of </w:t>
      </w:r>
      <w:r>
        <w:rPr>
          <w:rFonts w:hint="eastAsia" w:eastAsia="黑体"/>
          <w:b/>
          <w:bCs/>
          <w:color w:val="auto"/>
          <w:szCs w:val="28"/>
          <w:highlight w:val="none"/>
          <w:lang w:val="en-US" w:eastAsia="zh-CN"/>
        </w:rPr>
        <w:t>standard</w:t>
      </w:r>
      <w:r>
        <w:rPr>
          <w:rFonts w:hint="default" w:eastAsia="黑体"/>
          <w:b/>
          <w:bCs/>
          <w:color w:val="auto"/>
          <w:szCs w:val="28"/>
          <w:highlight w:val="none"/>
          <w:lang w:val="en-US" w:eastAsia="zh-CN"/>
        </w:rPr>
        <w:t>izing</w:t>
      </w:r>
      <w:r>
        <w:rPr>
          <w:rFonts w:hint="eastAsia" w:eastAsia="黑体"/>
          <w:b/>
          <w:bCs/>
          <w:color w:val="auto"/>
          <w:szCs w:val="28"/>
          <w:highlight w:val="none"/>
          <w:lang w:val="en-US" w:eastAsia="zh-CN"/>
        </w:rPr>
        <w:t xml:space="preserve"> </w:t>
      </w:r>
      <w:r>
        <w:rPr>
          <w:rFonts w:hint="default" w:eastAsia="黑体"/>
          <w:b/>
          <w:bCs/>
          <w:color w:val="auto"/>
          <w:szCs w:val="28"/>
          <w:highlight w:val="none"/>
          <w:lang w:val="en-US" w:eastAsia="zh-CN"/>
        </w:rPr>
        <w:t>body</w:t>
      </w:r>
    </w:p>
    <w:p w14:paraId="270ED878">
      <w:pPr>
        <w:framePr w:w="9639" w:h="6974" w:hRule="exact" w:wrap="around" w:vAnchor="page" w:hAnchor="page" w:x="1419" w:y="6408" w:anchorLock="1"/>
        <w:spacing w:line="760" w:lineRule="exact"/>
        <w:ind w:left="-1418"/>
        <w:rPr>
          <w:color w:val="auto"/>
          <w:highlight w:val="none"/>
        </w:rPr>
      </w:pPr>
    </w:p>
    <w:p w14:paraId="0EC6D7E3">
      <w:pPr>
        <w:pStyle w:val="128"/>
        <w:framePr w:w="9639" w:h="6974" w:hRule="exact" w:wrap="around" w:vAnchor="page" w:hAnchor="page" w:x="1419" w:y="6408" w:anchorLock="1"/>
        <w:textAlignment w:val="bottom"/>
        <w:rPr>
          <w:rFonts w:eastAsia="黑体"/>
          <w:color w:val="auto"/>
          <w:szCs w:val="28"/>
          <w:highlight w:val="none"/>
        </w:rPr>
      </w:pPr>
    </w:p>
    <w:p w14:paraId="25DF4F7A">
      <w:pPr>
        <w:pStyle w:val="128"/>
        <w:framePr w:w="9639" w:h="6974" w:hRule="exact" w:wrap="around" w:vAnchor="page" w:hAnchor="page" w:x="1419" w:y="6408" w:anchorLock="1"/>
        <w:spacing w:before="440" w:after="160"/>
        <w:textAlignment w:val="bottom"/>
        <w:rPr>
          <w:rFonts w:hint="eastAsia" w:eastAsia="宋体"/>
          <w:color w:val="auto"/>
          <w:sz w:val="24"/>
          <w:szCs w:val="28"/>
          <w:highlight w:val="none"/>
          <w:lang w:eastAsia="zh-CN"/>
        </w:rPr>
      </w:pPr>
      <w:r>
        <w:rPr>
          <w:rFonts w:hint="eastAsia"/>
          <w:color w:val="auto"/>
          <w:sz w:val="24"/>
          <w:szCs w:val="28"/>
          <w:highlight w:val="none"/>
          <w:lang w:eastAsia="zh-CN"/>
        </w:rPr>
        <w:t>（征求意见稿）</w:t>
      </w:r>
    </w:p>
    <w:p w14:paraId="191389CE">
      <w:pPr>
        <w:pStyle w:val="128"/>
        <w:framePr w:w="9639" w:h="6974" w:hRule="exact" w:wrap="around" w:vAnchor="page" w:hAnchor="page" w:x="1419" w:y="6408" w:anchorLock="1"/>
        <w:spacing w:before="180" w:line="240" w:lineRule="atLeast"/>
        <w:textAlignment w:val="bottom"/>
        <w:rPr>
          <w:color w:val="auto"/>
          <w:sz w:val="21"/>
          <w:szCs w:val="28"/>
          <w:highlight w:val="none"/>
        </w:rPr>
      </w:pPr>
      <w:r>
        <w:rPr>
          <w:color w:val="auto"/>
          <w:sz w:val="21"/>
          <w:szCs w:val="28"/>
          <w:highlight w:val="none"/>
        </w:rPr>
        <w:fldChar w:fldCharType="begin">
          <w:ffData>
            <w:name w:val="CMPLSH_DATE"/>
            <w:enabled/>
            <w:calcOnExit w:val="0"/>
            <w:textInput/>
          </w:ffData>
        </w:fldChar>
      </w:r>
      <w:bookmarkStart w:id="7" w:name="CMPLSH_DATE"/>
      <w:r>
        <w:rPr>
          <w:color w:val="auto"/>
          <w:sz w:val="21"/>
          <w:szCs w:val="28"/>
          <w:highlight w:val="none"/>
        </w:rPr>
        <w:instrText xml:space="preserve"> FORMTEXT </w:instrText>
      </w:r>
      <w:r>
        <w:rPr>
          <w:color w:val="auto"/>
          <w:sz w:val="21"/>
          <w:szCs w:val="28"/>
          <w:highlight w:val="none"/>
        </w:rPr>
        <w:fldChar w:fldCharType="separate"/>
      </w:r>
      <w:r>
        <w:rPr>
          <w:color w:val="auto"/>
          <w:sz w:val="21"/>
          <w:szCs w:val="28"/>
          <w:highlight w:val="none"/>
        </w:rPr>
        <w:t>     </w:t>
      </w:r>
      <w:r>
        <w:rPr>
          <w:color w:val="auto"/>
          <w:sz w:val="21"/>
          <w:szCs w:val="28"/>
          <w:highlight w:val="none"/>
        </w:rPr>
        <w:fldChar w:fldCharType="end"/>
      </w:r>
      <w:bookmarkEnd w:id="7"/>
    </w:p>
    <w:p w14:paraId="7099740F">
      <w:pPr>
        <w:pStyle w:val="128"/>
        <w:framePr w:w="9639" w:h="6974" w:hRule="exact" w:wrap="around" w:vAnchor="page" w:hAnchor="page" w:x="1419" w:y="6408" w:anchorLock="1"/>
        <w:spacing w:beforeLines="300" w:afterLines="30" w:line="240" w:lineRule="auto"/>
        <w:textAlignment w:val="bottom"/>
        <w:rPr>
          <w:b/>
          <w:color w:val="auto"/>
          <w:sz w:val="21"/>
          <w:szCs w:val="28"/>
          <w:highlight w:val="none"/>
        </w:rPr>
      </w:pPr>
      <w:r>
        <w:rPr>
          <w:b/>
          <w:color w:val="auto"/>
          <w:sz w:val="21"/>
          <w:szCs w:val="28"/>
          <w:highlight w:val="none"/>
        </w:rPr>
        <w:fldChar w:fldCharType="begin">
          <w:ffData>
            <w:name w:val="下拉2"/>
            <w:enabled/>
            <w:calcOnExit w:val="0"/>
            <w:ddList>
              <w:result w:val="1"/>
              <w:listEntry w:val=" "/>
              <w:listEntry w:val="在提交反馈意见时，请将您知道的相关专利连同支持性文件一并附上。"/>
            </w:ddList>
          </w:ffData>
        </w:fldChar>
      </w:r>
      <w:bookmarkStart w:id="8" w:name="下拉2"/>
      <w:r>
        <w:rPr>
          <w:b/>
          <w:color w:val="auto"/>
          <w:sz w:val="21"/>
          <w:szCs w:val="28"/>
          <w:highlight w:val="none"/>
        </w:rPr>
        <w:instrText xml:space="preserve"> FORMDROPDOWN </w:instrText>
      </w:r>
      <w:r>
        <w:rPr>
          <w:b/>
          <w:color w:val="auto"/>
          <w:sz w:val="21"/>
          <w:szCs w:val="28"/>
          <w:highlight w:val="none"/>
        </w:rPr>
        <w:fldChar w:fldCharType="separate"/>
      </w:r>
      <w:r>
        <w:rPr>
          <w:b/>
          <w:color w:val="auto"/>
          <w:sz w:val="21"/>
          <w:szCs w:val="28"/>
          <w:highlight w:val="none"/>
        </w:rPr>
        <w:fldChar w:fldCharType="end"/>
      </w:r>
      <w:bookmarkEnd w:id="8"/>
    </w:p>
    <w:p w14:paraId="459E36BC">
      <w:pPr>
        <w:pStyle w:val="196"/>
        <w:framePr w:wrap="around" w:y="14176"/>
        <w:rPr>
          <w:color w:val="auto"/>
          <w:highlight w:val="none"/>
        </w:rPr>
      </w:pPr>
      <w:r>
        <w:rPr>
          <w:rFonts w:ascii="黑体"/>
          <w:color w:val="auto"/>
          <w:highlight w:val="none"/>
        </w:rPr>
        <w:fldChar w:fldCharType="begin">
          <w:ffData>
            <w:name w:val="PLSH_DATE_Y"/>
            <w:enabled/>
            <w:calcOnExit w:val="0"/>
            <w:textInput>
              <w:default w:val="XXXX"/>
              <w:maxLength w:val="4"/>
            </w:textInput>
          </w:ffData>
        </w:fldChar>
      </w:r>
      <w:bookmarkStart w:id="9" w:name="PLSH_DATE_Y"/>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9"/>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PLSH_DATE_M"/>
            <w:enabled/>
            <w:calcOnExit w:val="0"/>
            <w:textInput>
              <w:default w:val="XX"/>
              <w:maxLength w:val="2"/>
            </w:textInput>
          </w:ffData>
        </w:fldChar>
      </w:r>
      <w:bookmarkStart w:id="10" w:name="PLSH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0"/>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PLSH_DATE_D"/>
            <w:enabled/>
            <w:calcOnExit w:val="0"/>
            <w:textInput>
              <w:default w:val="XX"/>
              <w:maxLength w:val="2"/>
            </w:textInput>
          </w:ffData>
        </w:fldChar>
      </w:r>
      <w:bookmarkStart w:id="11" w:name="PLSH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1"/>
      <w:r>
        <w:rPr>
          <w:rFonts w:hint="eastAsia"/>
          <w:color w:val="auto"/>
          <w:highlight w:val="none"/>
        </w:rPr>
        <w:t>发布</w:t>
      </w:r>
    </w:p>
    <w:p w14:paraId="6C83F9BA">
      <w:pPr>
        <w:pStyle w:val="197"/>
        <w:framePr w:wrap="around" w:y="14176"/>
        <w:rPr>
          <w:color w:val="auto"/>
          <w:highlight w:val="none"/>
        </w:rPr>
      </w:pPr>
      <w:r>
        <w:rPr>
          <w:rFonts w:ascii="黑体"/>
          <w:color w:val="auto"/>
          <w:highlight w:val="none"/>
        </w:rPr>
        <w:fldChar w:fldCharType="begin">
          <w:ffData>
            <w:name w:val="CROT_DATE_Y"/>
            <w:enabled/>
            <w:calcOnExit w:val="0"/>
            <w:textInput>
              <w:default w:val="XXXX"/>
              <w:maxLength w:val="4"/>
            </w:textInput>
          </w:ffData>
        </w:fldChar>
      </w:r>
      <w:bookmarkStart w:id="12" w:name="CROT_DATE_Y"/>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XXXX</w:t>
      </w:r>
      <w:r>
        <w:rPr>
          <w:rFonts w:ascii="黑体"/>
          <w:color w:val="auto"/>
          <w:highlight w:val="none"/>
        </w:rPr>
        <w:fldChar w:fldCharType="end"/>
      </w:r>
      <w:bookmarkEnd w:id="12"/>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CROT_DATE_M"/>
            <w:enabled/>
            <w:calcOnExit w:val="0"/>
            <w:textInput>
              <w:default w:val="XX"/>
              <w:maxLength w:val="2"/>
            </w:textInput>
          </w:ffData>
        </w:fldChar>
      </w:r>
      <w:bookmarkStart w:id="13" w:name="CROT_DATE_M"/>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3"/>
      <w:r>
        <w:rPr>
          <w:color w:val="auto"/>
          <w:highlight w:val="none"/>
        </w:rPr>
        <w:t xml:space="preserve"> </w:t>
      </w:r>
      <w:r>
        <w:rPr>
          <w:rFonts w:ascii="黑体"/>
          <w:color w:val="auto"/>
          <w:highlight w:val="none"/>
        </w:rPr>
        <w:t>-</w:t>
      </w:r>
      <w:r>
        <w:rPr>
          <w:color w:val="auto"/>
          <w:highlight w:val="none"/>
        </w:rPr>
        <w:t xml:space="preserve"> </w:t>
      </w:r>
      <w:r>
        <w:rPr>
          <w:rFonts w:ascii="黑体"/>
          <w:color w:val="auto"/>
          <w:highlight w:val="none"/>
        </w:rPr>
        <w:fldChar w:fldCharType="begin">
          <w:ffData>
            <w:name w:val="CROT_DATE_D"/>
            <w:enabled/>
            <w:calcOnExit w:val="0"/>
            <w:textInput>
              <w:default w:val="XX"/>
              <w:maxLength w:val="2"/>
            </w:textInput>
          </w:ffData>
        </w:fldChar>
      </w:r>
      <w:bookmarkStart w:id="14" w:name="CROT_DATE_D"/>
      <w:r>
        <w:rPr>
          <w:rFonts w:ascii="黑体"/>
          <w:color w:val="auto"/>
          <w:highlight w:val="none"/>
        </w:rPr>
        <w:instrText xml:space="preserve"> FORMTEXT </w:instrText>
      </w:r>
      <w:r>
        <w:rPr>
          <w:rFonts w:ascii="黑体"/>
          <w:color w:val="auto"/>
          <w:highlight w:val="none"/>
        </w:rPr>
        <w:fldChar w:fldCharType="separate"/>
      </w:r>
      <w:r>
        <w:rPr>
          <w:rFonts w:ascii="黑体"/>
          <w:color w:val="auto"/>
          <w:highlight w:val="none"/>
        </w:rPr>
        <w:t>XX</w:t>
      </w:r>
      <w:r>
        <w:rPr>
          <w:rFonts w:ascii="黑体"/>
          <w:color w:val="auto"/>
          <w:highlight w:val="none"/>
        </w:rPr>
        <w:fldChar w:fldCharType="end"/>
      </w:r>
      <w:bookmarkEnd w:id="14"/>
      <w:r>
        <w:rPr>
          <w:rFonts w:hint="eastAsia"/>
          <w:color w:val="auto"/>
          <w:highlight w:val="none"/>
        </w:rPr>
        <w:t>实施</w:t>
      </w:r>
    </w:p>
    <w:p w14:paraId="3810507D">
      <w:pPr>
        <w:pStyle w:val="154"/>
        <w:framePr w:h="584" w:hRule="exact" w:hSpace="181" w:vSpace="181" w:wrap="around" w:y="15027"/>
        <w:rPr>
          <w:rFonts w:hAnsi="黑体"/>
          <w:color w:val="auto"/>
          <w:highlight w:val="none"/>
        </w:rPr>
      </w:pPr>
      <w:r>
        <w:rPr>
          <w:rFonts w:hAnsi="黑体"/>
          <w:color w:val="auto"/>
          <w:w w:val="100"/>
          <w:sz w:val="28"/>
          <w:highlight w:val="none"/>
        </w:rPr>
        <w:fldChar w:fldCharType="begin">
          <w:ffData>
            <w:name w:val="fm"/>
            <w:enabled/>
            <w:calcOnExit w:val="0"/>
            <w:textInput/>
          </w:ffData>
        </w:fldChar>
      </w:r>
      <w:bookmarkStart w:id="15" w:name="fm"/>
      <w:r>
        <w:rPr>
          <w:rFonts w:hAnsi="黑体"/>
          <w:color w:val="auto"/>
          <w:w w:val="100"/>
          <w:sz w:val="28"/>
          <w:highlight w:val="none"/>
        </w:rPr>
        <w:instrText xml:space="preserve"> FORMTEXT </w:instrText>
      </w:r>
      <w:r>
        <w:rPr>
          <w:rFonts w:hAnsi="黑体"/>
          <w:color w:val="auto"/>
          <w:w w:val="100"/>
          <w:sz w:val="28"/>
          <w:highlight w:val="none"/>
        </w:rPr>
        <w:fldChar w:fldCharType="separate"/>
      </w:r>
      <w:r>
        <w:rPr>
          <w:rFonts w:hint="eastAsia" w:hAnsi="黑体"/>
          <w:color w:val="auto"/>
          <w:w w:val="100"/>
          <w:sz w:val="28"/>
          <w:highlight w:val="none"/>
        </w:rPr>
        <w:t>上海市市场监督管理局</w:t>
      </w:r>
      <w:r>
        <w:rPr>
          <w:rFonts w:hAnsi="黑体"/>
          <w:color w:val="auto"/>
          <w:w w:val="100"/>
          <w:sz w:val="28"/>
          <w:highlight w:val="none"/>
        </w:rPr>
        <w:fldChar w:fldCharType="end"/>
      </w:r>
      <w:bookmarkEnd w:id="15"/>
      <w:r>
        <w:rPr>
          <w:rFonts w:ascii="Times New Roman"/>
          <w:color w:val="auto"/>
          <w:w w:val="100"/>
          <w:sz w:val="28"/>
          <w:highlight w:val="none"/>
        </w:rPr>
        <w:t>  </w:t>
      </w:r>
      <w:r>
        <w:rPr>
          <w:rStyle w:val="232"/>
          <w:rFonts w:hint="eastAsia" w:hAnsi="黑体"/>
          <w:color w:val="auto"/>
          <w:position w:val="0"/>
          <w:highlight w:val="none"/>
        </w:rPr>
        <w:t>发</w:t>
      </w:r>
      <w:r>
        <w:rPr>
          <w:rStyle w:val="232"/>
          <w:rFonts w:hint="eastAsia" w:hAnsi="黑体"/>
          <w:color w:val="auto"/>
          <w:spacing w:val="0"/>
          <w:position w:val="0"/>
          <w:highlight w:val="none"/>
        </w:rPr>
        <w:t>布</w:t>
      </w:r>
    </w:p>
    <w:p w14:paraId="2D17106B">
      <w:pPr>
        <w:rPr>
          <w:rFonts w:ascii="宋体" w:hAnsi="宋体"/>
          <w:color w:val="auto"/>
          <w:sz w:val="28"/>
          <w:szCs w:val="28"/>
          <w:highlight w:val="none"/>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color w:val="auto"/>
          <w:sz w:val="28"/>
          <w:szCs w:val="28"/>
          <w:highlight w:val="none"/>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0A7F9EAC">
      <w:pPr>
        <w:pStyle w:val="92"/>
        <w:spacing w:after="468"/>
        <w:rPr>
          <w:color w:val="auto"/>
          <w:highlight w:val="none"/>
        </w:rPr>
      </w:pPr>
      <w:bookmarkStart w:id="16" w:name="_Toc1570"/>
      <w:bookmarkStart w:id="17" w:name="BookMark2"/>
      <w:r>
        <w:rPr>
          <w:color w:val="auto"/>
          <w:spacing w:val="320"/>
          <w:highlight w:val="none"/>
        </w:rPr>
        <w:t>前</w:t>
      </w:r>
      <w:r>
        <w:rPr>
          <w:color w:val="auto"/>
          <w:highlight w:val="none"/>
        </w:rPr>
        <w:t>言</w:t>
      </w:r>
      <w:bookmarkEnd w:id="16"/>
    </w:p>
    <w:p w14:paraId="717C6CC3">
      <w:pPr>
        <w:pStyle w:val="59"/>
        <w:ind w:firstLine="420"/>
        <w:rPr>
          <w:color w:val="auto"/>
          <w:highlight w:val="none"/>
        </w:rPr>
      </w:pPr>
      <w:r>
        <w:rPr>
          <w:rFonts w:hint="eastAsia"/>
          <w:color w:val="auto"/>
          <w:highlight w:val="none"/>
        </w:rPr>
        <w:t>本文件按照GB/T 1.1—2020《标准化工作导则  第1部分：标准化文件的结构和起草规则》的规定起草。</w:t>
      </w:r>
    </w:p>
    <w:p w14:paraId="7089CC33">
      <w:pPr>
        <w:pStyle w:val="234"/>
        <w:rPr>
          <w:color w:val="auto"/>
          <w:highlight w:val="none"/>
        </w:rPr>
      </w:pPr>
      <w:r>
        <w:rPr>
          <w:rFonts w:hint="eastAsia" w:hAnsi="宋体"/>
          <w:color w:val="auto"/>
          <w:highlight w:val="none"/>
        </w:rPr>
        <w:t>请注意本文件的某些内容可能涉及专利。本文件的发布机构不承担识别专利的责任。</w:t>
      </w:r>
    </w:p>
    <w:p w14:paraId="00912788">
      <w:pPr>
        <w:pStyle w:val="59"/>
        <w:ind w:firstLine="420"/>
        <w:rPr>
          <w:rFonts w:hint="eastAsia"/>
          <w:color w:val="auto"/>
          <w:highlight w:val="none"/>
        </w:rPr>
      </w:pPr>
      <w:r>
        <w:rPr>
          <w:rFonts w:hint="eastAsia"/>
          <w:color w:val="auto"/>
          <w:highlight w:val="none"/>
        </w:rPr>
        <w:t>本文件由上海市市场监督管理局提出并组织实施。</w:t>
      </w:r>
    </w:p>
    <w:p w14:paraId="39797861">
      <w:pPr>
        <w:pStyle w:val="59"/>
        <w:ind w:firstLine="420"/>
        <w:rPr>
          <w:rFonts w:hint="eastAsia"/>
          <w:color w:val="auto"/>
          <w:highlight w:val="none"/>
          <w:lang w:eastAsia="zh-CN"/>
        </w:rPr>
      </w:pPr>
      <w:r>
        <w:rPr>
          <w:rFonts w:hint="eastAsia"/>
          <w:color w:val="auto"/>
          <w:highlight w:val="none"/>
        </w:rPr>
        <w:t>本文件由上海市社会管理和公共服务标准化技术委员会归口</w:t>
      </w:r>
      <w:r>
        <w:rPr>
          <w:rFonts w:hint="eastAsia"/>
          <w:color w:val="auto"/>
          <w:highlight w:val="none"/>
          <w:lang w:eastAsia="zh-CN"/>
        </w:rPr>
        <w:t>。</w:t>
      </w:r>
    </w:p>
    <w:p w14:paraId="4635E416">
      <w:pPr>
        <w:pStyle w:val="59"/>
        <w:ind w:firstLine="420"/>
        <w:rPr>
          <w:rFonts w:hint="eastAsia"/>
          <w:color w:val="auto"/>
          <w:highlight w:val="none"/>
          <w:lang w:eastAsia="zh-CN"/>
        </w:rPr>
      </w:pPr>
      <w:r>
        <w:rPr>
          <w:rFonts w:hint="eastAsia"/>
          <w:color w:val="auto"/>
          <w:highlight w:val="none"/>
        </w:rPr>
        <w:t>本文件起草单位：</w:t>
      </w:r>
    </w:p>
    <w:p w14:paraId="2D61FA62">
      <w:pPr>
        <w:pStyle w:val="59"/>
        <w:ind w:firstLine="420"/>
        <w:rPr>
          <w:rFonts w:hint="eastAsia"/>
          <w:color w:val="auto"/>
          <w:highlight w:val="none"/>
        </w:rPr>
      </w:pPr>
      <w:r>
        <w:rPr>
          <w:rFonts w:hint="eastAsia"/>
          <w:color w:val="auto"/>
          <w:highlight w:val="none"/>
        </w:rPr>
        <w:t>本文件主要起草人：</w:t>
      </w:r>
    </w:p>
    <w:p w14:paraId="60F3AD04">
      <w:pPr>
        <w:pStyle w:val="59"/>
        <w:ind w:firstLine="420"/>
        <w:rPr>
          <w:rFonts w:hint="eastAsia"/>
          <w:color w:val="auto"/>
          <w:highlight w:val="none"/>
        </w:rPr>
      </w:pPr>
    </w:p>
    <w:p w14:paraId="6FAFF3C7">
      <w:pPr>
        <w:pStyle w:val="59"/>
        <w:ind w:firstLine="420"/>
        <w:rPr>
          <w:rFonts w:hint="eastAsia"/>
          <w:color w:val="auto"/>
          <w:highlight w:val="none"/>
        </w:rPr>
      </w:pPr>
    </w:p>
    <w:p w14:paraId="75C27F39">
      <w:pPr>
        <w:pStyle w:val="59"/>
        <w:ind w:firstLine="420"/>
        <w:rPr>
          <w:rFonts w:hint="eastAsia"/>
          <w:color w:val="auto"/>
          <w:highlight w:val="none"/>
        </w:rPr>
      </w:pPr>
    </w:p>
    <w:p w14:paraId="028AE346">
      <w:pPr>
        <w:pStyle w:val="59"/>
        <w:ind w:firstLine="420"/>
        <w:rPr>
          <w:rFonts w:hint="eastAsia"/>
          <w:color w:val="auto"/>
          <w:highlight w:val="none"/>
        </w:rPr>
      </w:pPr>
    </w:p>
    <w:p w14:paraId="522AC4E5">
      <w:pPr>
        <w:pStyle w:val="59"/>
        <w:ind w:firstLine="420"/>
        <w:rPr>
          <w:rFonts w:hint="eastAsia"/>
          <w:color w:val="auto"/>
          <w:highlight w:val="none"/>
        </w:rPr>
      </w:pPr>
    </w:p>
    <w:p w14:paraId="06452F2B">
      <w:pPr>
        <w:pStyle w:val="59"/>
        <w:ind w:firstLine="420"/>
        <w:rPr>
          <w:rFonts w:hint="eastAsia"/>
          <w:color w:val="auto"/>
          <w:highlight w:val="none"/>
        </w:rPr>
      </w:pPr>
    </w:p>
    <w:p w14:paraId="674DA610">
      <w:pPr>
        <w:pStyle w:val="59"/>
        <w:ind w:firstLine="420"/>
        <w:rPr>
          <w:rFonts w:hint="eastAsia"/>
          <w:color w:val="auto"/>
          <w:highlight w:val="none"/>
        </w:rPr>
      </w:pPr>
    </w:p>
    <w:p w14:paraId="79058D7A">
      <w:pPr>
        <w:pStyle w:val="59"/>
        <w:ind w:firstLine="420"/>
        <w:rPr>
          <w:rFonts w:hint="eastAsia"/>
          <w:color w:val="auto"/>
          <w:highlight w:val="none"/>
        </w:rPr>
      </w:pPr>
    </w:p>
    <w:p w14:paraId="1D01D4A8">
      <w:pPr>
        <w:pStyle w:val="59"/>
        <w:ind w:firstLine="420"/>
        <w:rPr>
          <w:rFonts w:hint="eastAsia"/>
          <w:color w:val="auto"/>
          <w:highlight w:val="none"/>
        </w:rPr>
      </w:pPr>
    </w:p>
    <w:p w14:paraId="4063947E">
      <w:pPr>
        <w:pStyle w:val="59"/>
        <w:ind w:firstLine="420"/>
        <w:rPr>
          <w:rFonts w:hint="eastAsia"/>
          <w:color w:val="auto"/>
          <w:highlight w:val="none"/>
        </w:rPr>
      </w:pPr>
    </w:p>
    <w:p w14:paraId="474D6DC1">
      <w:pPr>
        <w:pStyle w:val="59"/>
        <w:ind w:firstLine="420"/>
        <w:rPr>
          <w:rFonts w:hint="eastAsia"/>
          <w:color w:val="auto"/>
          <w:highlight w:val="none"/>
        </w:rPr>
      </w:pPr>
    </w:p>
    <w:p w14:paraId="30C84D98">
      <w:pPr>
        <w:pStyle w:val="59"/>
        <w:ind w:firstLine="420"/>
        <w:rPr>
          <w:rFonts w:hint="eastAsia"/>
          <w:color w:val="auto"/>
          <w:highlight w:val="none"/>
        </w:rPr>
      </w:pPr>
    </w:p>
    <w:p w14:paraId="0DE3ECE4">
      <w:pPr>
        <w:pStyle w:val="59"/>
        <w:ind w:firstLine="420"/>
        <w:rPr>
          <w:rFonts w:hint="eastAsia"/>
          <w:color w:val="auto"/>
          <w:highlight w:val="none"/>
        </w:rPr>
      </w:pPr>
    </w:p>
    <w:p w14:paraId="6500FEA5">
      <w:pPr>
        <w:pStyle w:val="59"/>
        <w:ind w:firstLine="420"/>
        <w:rPr>
          <w:rFonts w:hint="eastAsia"/>
          <w:color w:val="auto"/>
          <w:highlight w:val="none"/>
        </w:rPr>
      </w:pPr>
    </w:p>
    <w:p w14:paraId="1B309BD7">
      <w:pPr>
        <w:pStyle w:val="59"/>
        <w:ind w:firstLine="420"/>
        <w:rPr>
          <w:rFonts w:hint="eastAsia"/>
          <w:color w:val="auto"/>
          <w:highlight w:val="none"/>
        </w:rPr>
      </w:pPr>
    </w:p>
    <w:p w14:paraId="67F8A246">
      <w:pPr>
        <w:pStyle w:val="59"/>
        <w:ind w:firstLine="420"/>
        <w:rPr>
          <w:rFonts w:hint="eastAsia"/>
          <w:color w:val="auto"/>
          <w:highlight w:val="none"/>
        </w:rPr>
      </w:pPr>
    </w:p>
    <w:p w14:paraId="610393F2">
      <w:pPr>
        <w:pStyle w:val="59"/>
        <w:ind w:firstLine="420"/>
        <w:rPr>
          <w:rFonts w:hint="eastAsia"/>
          <w:color w:val="auto"/>
          <w:highlight w:val="none"/>
        </w:rPr>
      </w:pPr>
    </w:p>
    <w:p w14:paraId="1C3A7388">
      <w:pPr>
        <w:pStyle w:val="59"/>
        <w:ind w:firstLine="420"/>
        <w:rPr>
          <w:rFonts w:hint="eastAsia"/>
          <w:color w:val="auto"/>
          <w:highlight w:val="none"/>
        </w:rPr>
      </w:pPr>
    </w:p>
    <w:p w14:paraId="64E25B23">
      <w:pPr>
        <w:pStyle w:val="59"/>
        <w:ind w:firstLine="420"/>
        <w:rPr>
          <w:rFonts w:hint="eastAsia"/>
          <w:color w:val="auto"/>
          <w:highlight w:val="none"/>
        </w:rPr>
      </w:pPr>
    </w:p>
    <w:p w14:paraId="45D1B1DE">
      <w:pPr>
        <w:pStyle w:val="59"/>
        <w:ind w:firstLine="420"/>
        <w:rPr>
          <w:rFonts w:hint="eastAsia"/>
          <w:color w:val="auto"/>
          <w:highlight w:val="none"/>
        </w:rPr>
      </w:pPr>
    </w:p>
    <w:p w14:paraId="3A03EF0D">
      <w:pPr>
        <w:pStyle w:val="59"/>
        <w:ind w:firstLine="420"/>
        <w:rPr>
          <w:rFonts w:hint="eastAsia"/>
          <w:color w:val="auto"/>
          <w:highlight w:val="none"/>
        </w:rPr>
      </w:pPr>
    </w:p>
    <w:p w14:paraId="07CE7D3E">
      <w:pPr>
        <w:pStyle w:val="59"/>
        <w:ind w:firstLine="420"/>
        <w:rPr>
          <w:rFonts w:hint="eastAsia"/>
          <w:color w:val="auto"/>
          <w:highlight w:val="none"/>
        </w:rPr>
      </w:pPr>
    </w:p>
    <w:p w14:paraId="7C05D911">
      <w:pPr>
        <w:pStyle w:val="59"/>
        <w:ind w:firstLine="420"/>
        <w:rPr>
          <w:rFonts w:hint="eastAsia"/>
          <w:color w:val="auto"/>
          <w:highlight w:val="none"/>
        </w:rPr>
      </w:pPr>
    </w:p>
    <w:p w14:paraId="1C6D236C">
      <w:pPr>
        <w:pStyle w:val="59"/>
        <w:ind w:firstLine="420"/>
        <w:rPr>
          <w:rFonts w:hint="eastAsia"/>
          <w:color w:val="auto"/>
          <w:highlight w:val="none"/>
        </w:rPr>
      </w:pPr>
    </w:p>
    <w:p w14:paraId="7048F24F">
      <w:pPr>
        <w:pStyle w:val="59"/>
        <w:ind w:firstLine="420"/>
        <w:rPr>
          <w:rFonts w:hint="eastAsia"/>
          <w:color w:val="auto"/>
          <w:highlight w:val="none"/>
        </w:rPr>
      </w:pPr>
    </w:p>
    <w:p w14:paraId="4B30CA37">
      <w:pPr>
        <w:pStyle w:val="59"/>
        <w:ind w:firstLine="420"/>
        <w:rPr>
          <w:rFonts w:hint="eastAsia"/>
          <w:color w:val="auto"/>
          <w:highlight w:val="none"/>
        </w:rPr>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type="lines" w:linePitch="312" w:charSpace="0"/>
        </w:sectPr>
      </w:pPr>
    </w:p>
    <w:p w14:paraId="6395226C">
      <w:pPr>
        <w:pStyle w:val="59"/>
        <w:ind w:firstLine="420"/>
        <w:rPr>
          <w:rFonts w:hint="eastAsia"/>
          <w:color w:val="auto"/>
          <w:highlight w:val="none"/>
        </w:rPr>
      </w:pPr>
    </w:p>
    <w:p w14:paraId="4A01CA40">
      <w:pPr>
        <w:pStyle w:val="59"/>
        <w:ind w:firstLine="420"/>
        <w:rPr>
          <w:rFonts w:hint="eastAsia"/>
          <w:color w:val="auto"/>
          <w:highlight w:val="none"/>
        </w:rPr>
      </w:pPr>
    </w:p>
    <w:p w14:paraId="66C89169">
      <w:pPr>
        <w:pStyle w:val="59"/>
        <w:ind w:firstLine="420"/>
        <w:rPr>
          <w:rFonts w:hint="eastAsia"/>
          <w:color w:val="auto"/>
          <w:highlight w:val="none"/>
        </w:rPr>
      </w:pPr>
    </w:p>
    <w:p w14:paraId="6BD6331B">
      <w:pPr>
        <w:pStyle w:val="59"/>
        <w:ind w:firstLine="420"/>
        <w:rPr>
          <w:rFonts w:hint="eastAsia"/>
          <w:color w:val="auto"/>
          <w:highlight w:val="none"/>
        </w:rPr>
      </w:pPr>
    </w:p>
    <w:p w14:paraId="779E143C">
      <w:pPr>
        <w:pStyle w:val="59"/>
        <w:ind w:firstLine="420"/>
        <w:rPr>
          <w:rFonts w:hint="eastAsia"/>
          <w:color w:val="auto"/>
          <w:highlight w:val="none"/>
        </w:rPr>
      </w:pPr>
    </w:p>
    <w:p w14:paraId="2F506143">
      <w:pPr>
        <w:pStyle w:val="92"/>
        <w:spacing w:after="468"/>
        <w:rPr>
          <w:color w:val="auto"/>
          <w:highlight w:val="none"/>
        </w:rPr>
        <w:sectPr>
          <w:headerReference r:id="rId13" w:type="default"/>
          <w:footerReference r:id="rId15" w:type="default"/>
          <w:headerReference r:id="rId14" w:type="even"/>
          <w:footerReference r:id="rId16" w:type="even"/>
          <w:type w:val="continuous"/>
          <w:pgSz w:w="11906" w:h="16838"/>
          <w:pgMar w:top="2410" w:right="1134" w:bottom="1134" w:left="1134" w:header="1418" w:footer="1134" w:gutter="284"/>
          <w:pgNumType w:fmt="upperRoman" w:start="1"/>
          <w:cols w:space="425" w:num="1"/>
          <w:formProt w:val="0"/>
          <w:docGrid w:type="lines" w:linePitch="312" w:charSpace="0"/>
        </w:sectPr>
      </w:pPr>
    </w:p>
    <w:bookmarkEnd w:id="17"/>
    <w:p w14:paraId="0173AB8E">
      <w:pPr>
        <w:spacing w:line="20" w:lineRule="exact"/>
        <w:jc w:val="center"/>
        <w:rPr>
          <w:rFonts w:ascii="黑体" w:hAnsi="黑体" w:eastAsia="黑体"/>
          <w:color w:val="auto"/>
          <w:sz w:val="32"/>
          <w:szCs w:val="32"/>
          <w:highlight w:val="none"/>
        </w:rPr>
      </w:pPr>
      <w:bookmarkStart w:id="18" w:name="BookMark4"/>
    </w:p>
    <w:p w14:paraId="619DDA5A">
      <w:pPr>
        <w:spacing w:line="20" w:lineRule="exact"/>
        <w:jc w:val="center"/>
        <w:rPr>
          <w:rFonts w:ascii="黑体" w:hAnsi="黑体" w:eastAsia="黑体"/>
          <w:color w:val="auto"/>
          <w:sz w:val="32"/>
          <w:szCs w:val="32"/>
          <w:highlight w:val="none"/>
        </w:rPr>
      </w:pPr>
    </w:p>
    <w:sdt>
      <w:sdtPr>
        <w:rPr>
          <w:color w:val="auto"/>
          <w:highlight w:val="none"/>
        </w:rPr>
        <w:tag w:val="NEW_STAND_NAME"/>
        <w:id w:val="595910757"/>
        <w:lock w:val="sdtLocked"/>
        <w:placeholder>
          <w:docPart w:val="70908CC2CD7142FBA05EA3F6A471B297"/>
        </w:placeholder>
      </w:sdtPr>
      <w:sdtEndPr>
        <w:rPr>
          <w:color w:val="auto"/>
          <w:highlight w:val="none"/>
        </w:rPr>
      </w:sdtEndPr>
      <w:sdtContent>
        <w:p w14:paraId="35D525B5">
          <w:pPr>
            <w:pStyle w:val="180"/>
            <w:spacing w:beforeLines="1" w:afterLines="220"/>
            <w:rPr>
              <w:color w:val="auto"/>
              <w:highlight w:val="none"/>
            </w:rPr>
          </w:pPr>
          <w:bookmarkStart w:id="19" w:name="NEW_STAND_NAME"/>
          <w:r>
            <w:rPr>
              <w:rFonts w:hint="eastAsia"/>
              <w:color w:val="auto"/>
              <w:highlight w:val="none"/>
              <w:lang w:eastAsia="zh-CN"/>
            </w:rPr>
            <w:t>标准组织国际化运作指南</w:t>
          </w:r>
        </w:p>
      </w:sdtContent>
    </w:sdt>
    <w:bookmarkEnd w:id="19"/>
    <w:p w14:paraId="7F9CB0AC">
      <w:pPr>
        <w:pStyle w:val="107"/>
        <w:spacing w:before="312" w:after="312"/>
        <w:rPr>
          <w:color w:val="auto"/>
          <w:highlight w:val="none"/>
        </w:rPr>
      </w:pPr>
      <w:bookmarkStart w:id="20" w:name="_Toc31314"/>
      <w:bookmarkStart w:id="21" w:name="_Toc24884218"/>
      <w:bookmarkStart w:id="22" w:name="_Toc17233325"/>
      <w:bookmarkStart w:id="23" w:name="_Toc26986771"/>
      <w:bookmarkStart w:id="24" w:name="_Toc26986530"/>
      <w:bookmarkStart w:id="25" w:name="_Toc26718930"/>
      <w:bookmarkStart w:id="26" w:name="_Toc17233333"/>
      <w:bookmarkStart w:id="27" w:name="_Toc26648465"/>
      <w:bookmarkStart w:id="28" w:name="_Toc24884211"/>
      <w:r>
        <w:rPr>
          <w:rFonts w:hint="eastAsia"/>
          <w:color w:val="auto"/>
          <w:highlight w:val="none"/>
        </w:rPr>
        <w:t>范围</w:t>
      </w:r>
      <w:bookmarkEnd w:id="20"/>
      <w:bookmarkEnd w:id="21"/>
      <w:bookmarkEnd w:id="22"/>
      <w:bookmarkEnd w:id="23"/>
      <w:bookmarkEnd w:id="24"/>
      <w:bookmarkEnd w:id="25"/>
      <w:bookmarkEnd w:id="26"/>
      <w:bookmarkEnd w:id="27"/>
      <w:bookmarkEnd w:id="28"/>
    </w:p>
    <w:p w14:paraId="0388AB06">
      <w:pPr>
        <w:snapToGrid w:val="0"/>
        <w:spacing w:line="340" w:lineRule="atLeast"/>
        <w:ind w:firstLine="420" w:firstLineChars="200"/>
        <w:rPr>
          <w:rFonts w:hint="eastAsia" w:ascii="宋体" w:hAnsi="宋体" w:eastAsia="宋体" w:cs="Times New Roman"/>
          <w:color w:val="auto"/>
          <w:sz w:val="21"/>
          <w:szCs w:val="21"/>
          <w:highlight w:val="none"/>
        </w:rPr>
      </w:pPr>
      <w:bookmarkStart w:id="29" w:name="_Toc26648466"/>
      <w:bookmarkStart w:id="30" w:name="_Toc24884219"/>
      <w:bookmarkStart w:id="31" w:name="_Toc24884212"/>
      <w:bookmarkStart w:id="32" w:name="_Toc17233334"/>
      <w:bookmarkStart w:id="33" w:name="_Toc17233326"/>
      <w:r>
        <w:rPr>
          <w:rFonts w:hint="eastAsia" w:ascii="宋体" w:hAnsi="宋体" w:eastAsia="宋体" w:cs="Times New Roman"/>
          <w:color w:val="auto"/>
          <w:sz w:val="21"/>
          <w:szCs w:val="21"/>
          <w:highlight w:val="none"/>
        </w:rPr>
        <w:t>本文件确立了上海市标准</w:t>
      </w:r>
      <w:r>
        <w:rPr>
          <w:rFonts w:hint="eastAsia" w:ascii="宋体" w:hAnsi="宋体" w:cs="Times New Roman"/>
          <w:color w:val="auto"/>
          <w:sz w:val="21"/>
          <w:szCs w:val="21"/>
          <w:highlight w:val="none"/>
          <w:lang w:eastAsia="zh-CN"/>
        </w:rPr>
        <w:t>化机构</w:t>
      </w:r>
      <w:r>
        <w:rPr>
          <w:rFonts w:hint="eastAsia" w:ascii="宋体" w:hAnsi="宋体" w:eastAsia="宋体" w:cs="Times New Roman"/>
          <w:color w:val="auto"/>
          <w:sz w:val="21"/>
          <w:szCs w:val="21"/>
          <w:highlight w:val="none"/>
        </w:rPr>
        <w:t>国际化运作的基本原则，规范了组织</w:t>
      </w:r>
      <w:r>
        <w:rPr>
          <w:rFonts w:hint="eastAsia" w:ascii="宋体" w:hAnsi="宋体" w:cs="Times New Roman"/>
          <w:color w:val="auto"/>
          <w:sz w:val="21"/>
          <w:szCs w:val="21"/>
          <w:highlight w:val="none"/>
          <w:lang w:eastAsia="zh-CN"/>
        </w:rPr>
        <w:t>方式</w:t>
      </w:r>
      <w:r>
        <w:rPr>
          <w:rFonts w:hint="eastAsia" w:ascii="宋体" w:hAnsi="宋体" w:eastAsia="宋体" w:cs="Times New Roman"/>
          <w:color w:val="auto"/>
          <w:sz w:val="21"/>
          <w:szCs w:val="21"/>
          <w:highlight w:val="none"/>
        </w:rPr>
        <w:t>、</w:t>
      </w:r>
      <w:r>
        <w:rPr>
          <w:rFonts w:hint="eastAsia" w:ascii="宋体" w:hAnsi="宋体" w:cs="Times New Roman"/>
          <w:color w:val="auto"/>
          <w:sz w:val="21"/>
          <w:szCs w:val="21"/>
          <w:highlight w:val="none"/>
          <w:lang w:eastAsia="zh-CN"/>
        </w:rPr>
        <w:t>文件的制定程序</w:t>
      </w:r>
      <w:r>
        <w:rPr>
          <w:rFonts w:hint="eastAsia" w:ascii="宋体" w:hAnsi="宋体" w:eastAsia="宋体" w:cs="Times New Roman"/>
          <w:color w:val="auto"/>
          <w:sz w:val="21"/>
          <w:szCs w:val="21"/>
          <w:highlight w:val="none"/>
        </w:rPr>
        <w:t>、</w:t>
      </w:r>
      <w:r>
        <w:rPr>
          <w:rFonts w:hint="eastAsia" w:ascii="宋体" w:hAnsi="宋体" w:cs="Times New Roman"/>
          <w:color w:val="auto"/>
          <w:sz w:val="21"/>
          <w:szCs w:val="21"/>
          <w:highlight w:val="none"/>
          <w:lang w:eastAsia="zh-CN"/>
        </w:rPr>
        <w:t>标准</w:t>
      </w:r>
      <w:r>
        <w:rPr>
          <w:rFonts w:hint="eastAsia" w:ascii="宋体" w:hAnsi="宋体" w:eastAsia="宋体" w:cs="Times New Roman"/>
          <w:color w:val="auto"/>
          <w:sz w:val="21"/>
          <w:szCs w:val="21"/>
          <w:highlight w:val="none"/>
        </w:rPr>
        <w:t>推广与应用等方面的</w:t>
      </w:r>
      <w:r>
        <w:rPr>
          <w:rFonts w:hint="eastAsia" w:ascii="宋体" w:hAnsi="宋体" w:cs="Times New Roman"/>
          <w:color w:val="auto"/>
          <w:sz w:val="21"/>
          <w:szCs w:val="21"/>
          <w:highlight w:val="none"/>
          <w:lang w:eastAsia="zh-CN"/>
        </w:rPr>
        <w:t>指导和</w:t>
      </w:r>
      <w:r>
        <w:rPr>
          <w:rFonts w:hint="eastAsia" w:ascii="宋体" w:hAnsi="宋体" w:eastAsia="宋体" w:cs="Times New Roman"/>
          <w:color w:val="auto"/>
          <w:sz w:val="21"/>
          <w:szCs w:val="21"/>
          <w:highlight w:val="none"/>
        </w:rPr>
        <w:t>建议。</w:t>
      </w:r>
    </w:p>
    <w:p w14:paraId="160439CD">
      <w:pPr>
        <w:pStyle w:val="59"/>
        <w:ind w:firstLine="420"/>
        <w:rPr>
          <w:rFonts w:hint="eastAsia" w:eastAsia="宋体"/>
          <w:color w:val="auto"/>
          <w:highlight w:val="none"/>
          <w:lang w:val="en-US" w:eastAsia="zh-CN"/>
        </w:rPr>
      </w:pPr>
      <w:r>
        <w:rPr>
          <w:rFonts w:hint="eastAsia" w:ascii="宋体" w:hAnsi="宋体" w:eastAsia="宋体" w:cs="Times New Roman"/>
          <w:color w:val="auto"/>
          <w:sz w:val="21"/>
          <w:szCs w:val="21"/>
          <w:highlight w:val="none"/>
        </w:rPr>
        <w:t>本文件适用于上海市各类标准</w:t>
      </w:r>
      <w:r>
        <w:rPr>
          <w:rFonts w:hint="eastAsia" w:hAnsi="宋体" w:cs="Times New Roman"/>
          <w:color w:val="auto"/>
          <w:sz w:val="21"/>
          <w:szCs w:val="21"/>
          <w:highlight w:val="none"/>
          <w:lang w:eastAsia="zh-CN"/>
        </w:rPr>
        <w:t>化机构</w:t>
      </w:r>
      <w:r>
        <w:rPr>
          <w:rFonts w:hint="eastAsia" w:ascii="宋体" w:hAnsi="宋体" w:eastAsia="宋体" w:cs="Times New Roman"/>
          <w:color w:val="auto"/>
          <w:sz w:val="21"/>
          <w:szCs w:val="21"/>
          <w:highlight w:val="none"/>
        </w:rPr>
        <w:t>，为其所开展的国际化运作活动提供指导。</w:t>
      </w:r>
      <w:r>
        <w:rPr>
          <w:rFonts w:hint="eastAsia" w:hAnsi="宋体" w:cs="Times New Roman"/>
          <w:color w:val="auto"/>
          <w:sz w:val="21"/>
          <w:szCs w:val="21"/>
          <w:highlight w:val="none"/>
          <w:lang w:eastAsia="zh-CN"/>
        </w:rPr>
        <w:t>其他类型机构可参考使用。</w:t>
      </w:r>
    </w:p>
    <w:p w14:paraId="0B4F0E55">
      <w:pPr>
        <w:pStyle w:val="107"/>
        <w:spacing w:before="312" w:after="312"/>
        <w:rPr>
          <w:color w:val="auto"/>
          <w:highlight w:val="none"/>
        </w:rPr>
      </w:pPr>
      <w:bookmarkStart w:id="34" w:name="_Toc19989"/>
      <w:bookmarkStart w:id="35" w:name="_Toc26718931"/>
      <w:bookmarkStart w:id="36" w:name="_Toc26986531"/>
      <w:bookmarkStart w:id="37" w:name="_Toc26986772"/>
      <w:r>
        <w:rPr>
          <w:rFonts w:hint="eastAsia"/>
          <w:color w:val="auto"/>
          <w:highlight w:val="none"/>
        </w:rPr>
        <w:t>规范性引用文件</w:t>
      </w:r>
      <w:bookmarkEnd w:id="29"/>
      <w:bookmarkEnd w:id="30"/>
      <w:bookmarkEnd w:id="31"/>
      <w:bookmarkEnd w:id="32"/>
      <w:bookmarkEnd w:id="33"/>
      <w:bookmarkEnd w:id="34"/>
      <w:bookmarkEnd w:id="35"/>
      <w:bookmarkEnd w:id="36"/>
      <w:bookmarkEnd w:id="37"/>
    </w:p>
    <w:sdt>
      <w:sdtPr>
        <w:rPr>
          <w:rFonts w:hint="eastAsia"/>
          <w:color w:val="auto"/>
          <w:highlight w:val="none"/>
        </w:rPr>
        <w:id w:val="715848253"/>
        <w:placeholder>
          <w:docPart w:val="F4F0F2EB905E4E14AFDF7B1C53A130A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6870ED3C">
          <w:pPr>
            <w:pStyle w:val="59"/>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E3AA5ED">
      <w:pPr>
        <w:pStyle w:val="59"/>
        <w:ind w:firstLine="420"/>
        <w:rPr>
          <w:rFonts w:hint="eastAsia"/>
          <w:color w:val="auto"/>
          <w:highlight w:val="none"/>
          <w:lang w:val="en-US" w:eastAsia="zh-CN"/>
        </w:rPr>
      </w:pPr>
      <w:r>
        <w:rPr>
          <w:rFonts w:hint="eastAsia"/>
          <w:color w:val="auto"/>
          <w:highlight w:val="none"/>
          <w:lang w:val="en-US" w:eastAsia="zh-CN"/>
        </w:rPr>
        <w:t>GB/T 20000.1  标准化工作指南 第1部分:标准化和相关活动的通用术语</w:t>
      </w:r>
    </w:p>
    <w:p w14:paraId="1A7943BA">
      <w:pPr>
        <w:pStyle w:val="59"/>
        <w:ind w:firstLine="420"/>
        <w:rPr>
          <w:rFonts w:hint="default"/>
          <w:color w:val="auto"/>
          <w:highlight w:val="none"/>
          <w:lang w:val="en-US" w:eastAsia="zh-CN"/>
        </w:rPr>
      </w:pPr>
      <w:r>
        <w:rPr>
          <w:rFonts w:hint="eastAsia"/>
          <w:color w:val="auto"/>
          <w:highlight w:val="none"/>
        </w:rPr>
        <w:t>GB</w:t>
      </w:r>
      <w:r>
        <w:rPr>
          <w:rFonts w:hint="eastAsia"/>
          <w:color w:val="auto"/>
          <w:highlight w:val="none"/>
          <w:lang w:val="en-US" w:eastAsia="zh-CN"/>
        </w:rPr>
        <w:t>/</w:t>
      </w:r>
      <w:r>
        <w:rPr>
          <w:rFonts w:hint="eastAsia"/>
          <w:color w:val="auto"/>
          <w:highlight w:val="none"/>
        </w:rPr>
        <w:t>T 20000.6</w:t>
      </w:r>
      <w:r>
        <w:rPr>
          <w:rFonts w:hint="eastAsia"/>
          <w:color w:val="auto"/>
          <w:highlight w:val="none"/>
          <w:lang w:val="en-US" w:eastAsia="zh-CN"/>
        </w:rPr>
        <w:t xml:space="preserve">  标准化工作指南 第6部分:标准化良好行为规范</w:t>
      </w:r>
    </w:p>
    <w:p w14:paraId="1F549D60">
      <w:pPr>
        <w:pStyle w:val="59"/>
        <w:ind w:firstLine="420"/>
        <w:rPr>
          <w:rFonts w:hint="eastAsia"/>
          <w:color w:val="auto"/>
          <w:highlight w:val="none"/>
        </w:rPr>
      </w:pPr>
      <w:r>
        <w:rPr>
          <w:rFonts w:hint="eastAsia"/>
          <w:color w:val="auto"/>
          <w:highlight w:val="none"/>
        </w:rPr>
        <w:t>GB/T 20000.10</w:t>
      </w:r>
      <w:r>
        <w:rPr>
          <w:rFonts w:hint="eastAsia"/>
          <w:color w:val="auto"/>
          <w:highlight w:val="none"/>
          <w:lang w:val="en-US" w:eastAsia="zh-CN"/>
        </w:rPr>
        <w:t xml:space="preserve">  </w:t>
      </w:r>
      <w:r>
        <w:rPr>
          <w:rFonts w:hint="eastAsia"/>
          <w:color w:val="auto"/>
          <w:highlight w:val="none"/>
        </w:rPr>
        <w:t>标准化工作指南 第10部分:国家标准的英文译本翻译通则</w:t>
      </w:r>
    </w:p>
    <w:p w14:paraId="67EB2BA6">
      <w:pPr>
        <w:pStyle w:val="59"/>
        <w:ind w:firstLine="420"/>
        <w:rPr>
          <w:rFonts w:hint="eastAsia"/>
          <w:color w:val="auto"/>
          <w:highlight w:val="none"/>
        </w:rPr>
      </w:pPr>
      <w:r>
        <w:rPr>
          <w:rFonts w:hint="eastAsia"/>
          <w:color w:val="auto"/>
          <w:highlight w:val="none"/>
        </w:rPr>
        <w:t>GB/T 20000.11</w:t>
      </w:r>
      <w:r>
        <w:rPr>
          <w:rFonts w:hint="eastAsia"/>
          <w:color w:val="auto"/>
          <w:highlight w:val="none"/>
          <w:lang w:val="en-US" w:eastAsia="zh-CN"/>
        </w:rPr>
        <w:t xml:space="preserve">  </w:t>
      </w:r>
      <w:r>
        <w:rPr>
          <w:rFonts w:hint="eastAsia"/>
          <w:color w:val="auto"/>
          <w:highlight w:val="none"/>
        </w:rPr>
        <w:t>标准化工作指南 第11部分:国家标准的英文译本通用表述</w:t>
      </w:r>
    </w:p>
    <w:p w14:paraId="642C7583">
      <w:pPr>
        <w:pStyle w:val="59"/>
        <w:ind w:firstLine="420"/>
        <w:rPr>
          <w:rFonts w:hint="eastAsia"/>
          <w:color w:val="auto"/>
          <w:highlight w:val="none"/>
        </w:rPr>
      </w:pPr>
      <w:r>
        <w:rPr>
          <w:rFonts w:hint="eastAsia"/>
          <w:color w:val="auto"/>
          <w:highlight w:val="none"/>
          <w:lang w:val="en-US" w:eastAsia="zh-CN"/>
        </w:rPr>
        <w:t xml:space="preserve">GB/T 20003.1  </w:t>
      </w:r>
      <w:r>
        <w:rPr>
          <w:rFonts w:hint="default"/>
          <w:color w:val="auto"/>
          <w:highlight w:val="none"/>
        </w:rPr>
        <w:t>标准制定的特殊程序 第1部分:涉及专利的标准</w:t>
      </w:r>
    </w:p>
    <w:p w14:paraId="02417C9B">
      <w:pPr>
        <w:pStyle w:val="107"/>
        <w:spacing w:before="312" w:after="312"/>
        <w:rPr>
          <w:color w:val="auto"/>
          <w:highlight w:val="none"/>
        </w:rPr>
      </w:pPr>
      <w:bookmarkStart w:id="38" w:name="_Toc22923"/>
      <w:r>
        <w:rPr>
          <w:rFonts w:hint="eastAsia"/>
          <w:color w:val="auto"/>
          <w:szCs w:val="21"/>
          <w:highlight w:val="none"/>
        </w:rPr>
        <w:t>术语和定义</w:t>
      </w:r>
      <w:bookmarkEnd w:id="38"/>
    </w:p>
    <w:sdt>
      <w:sdtPr>
        <w:rPr>
          <w:color w:val="auto"/>
          <w:highlight w:val="none"/>
        </w:rPr>
        <w:id w:val="-1909835108"/>
        <w:placeholder>
          <w:docPart w:val="33FE8666AB4242E29DEDCBE893DD6C9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37414C76">
          <w:pPr>
            <w:pStyle w:val="59"/>
            <w:ind w:firstLine="420"/>
            <w:rPr>
              <w:color w:val="auto"/>
              <w:highlight w:val="none"/>
            </w:rPr>
          </w:pPr>
          <w:bookmarkStart w:id="39" w:name="_Toc26986532"/>
          <w:bookmarkEnd w:id="39"/>
          <w:r>
            <w:rPr>
              <w:rFonts w:hint="eastAsia"/>
              <w:color w:val="auto"/>
              <w:highlight w:val="none"/>
              <w:lang w:val="en-US" w:eastAsia="zh-CN"/>
            </w:rPr>
            <w:t>GB/T 20000.1界定的以及</w:t>
          </w:r>
          <w:r>
            <w:rPr>
              <w:color w:val="auto"/>
              <w:highlight w:val="none"/>
            </w:rPr>
            <w:t>下列术语和定义适用于本文件。</w:t>
          </w:r>
        </w:p>
      </w:sdtContent>
    </w:sdt>
    <w:p w14:paraId="219CAFA7">
      <w:pPr>
        <w:pStyle w:val="226"/>
        <w:ind w:left="420" w:hanging="420" w:hangingChars="200"/>
        <w:rPr>
          <w:rFonts w:hint="default"/>
          <w:color w:val="auto"/>
          <w:highlight w:val="none"/>
          <w:lang w:val="en-US" w:eastAsia="zh-CN"/>
        </w:rPr>
      </w:pPr>
    </w:p>
    <w:p w14:paraId="5B5B772E">
      <w:pPr>
        <w:numPr>
          <w:ilvl w:val="2"/>
          <w:numId w:val="0"/>
        </w:numPr>
        <w:ind w:leftChars="-200" w:firstLine="840" w:firstLineChars="400"/>
        <w:rPr>
          <w:rFonts w:hint="default" w:ascii="宋体" w:hAnsi="Times New Roman" w:eastAsia="宋体"/>
          <w:b/>
          <w:bCs/>
          <w:color w:val="auto"/>
          <w:kern w:val="0"/>
          <w:szCs w:val="20"/>
          <w:highlight w:val="none"/>
          <w:lang w:val="en-US" w:eastAsia="zh-CN"/>
        </w:rPr>
      </w:pPr>
      <w:r>
        <w:rPr>
          <w:rFonts w:hint="eastAsia" w:ascii="黑体" w:hAnsi="黑体" w:eastAsia="黑体" w:cs="Times New Roman"/>
          <w:color w:val="auto"/>
          <w:kern w:val="0"/>
          <w:sz w:val="21"/>
          <w:szCs w:val="20"/>
          <w:highlight w:val="none"/>
          <w:lang w:val="en-US" w:eastAsia="zh-CN" w:bidi="ar-SA"/>
        </w:rPr>
        <w:t>标准化机构</w:t>
      </w:r>
      <w:r>
        <w:rPr>
          <w:rFonts w:hint="eastAsia" w:ascii="宋体" w:hAnsi="Times New Roman"/>
          <w:b/>
          <w:bCs/>
          <w:color w:val="auto"/>
          <w:kern w:val="0"/>
          <w:szCs w:val="20"/>
          <w:highlight w:val="none"/>
        </w:rPr>
        <w:t xml:space="preserve"> </w:t>
      </w:r>
      <w:r>
        <w:rPr>
          <w:rFonts w:hint="eastAsia" w:ascii="Times New Roman" w:hAnsi="Times New Roman" w:eastAsia="黑体" w:cs="Times New Roman"/>
          <w:b/>
          <w:bCs/>
          <w:color w:val="auto"/>
          <w:sz w:val="21"/>
          <w:highlight w:val="none"/>
          <w:lang w:val="en-US" w:eastAsia="zh-CN" w:bidi="ar-SA"/>
        </w:rPr>
        <w:t>standard</w:t>
      </w:r>
      <w:r>
        <w:rPr>
          <w:rFonts w:hint="eastAsia" w:ascii="Times New Roman" w:hAnsi="Times New Roman" w:eastAsia="黑体" w:cs="Times New Roman"/>
          <w:b/>
          <w:bCs/>
          <w:color w:val="auto"/>
          <w:kern w:val="2"/>
          <w:sz w:val="21"/>
          <w:szCs w:val="21"/>
          <w:highlight w:val="none"/>
          <w:lang w:val="en-US" w:eastAsia="zh-CN" w:bidi="ar-SA"/>
        </w:rPr>
        <w:t>izing</w:t>
      </w:r>
      <w:r>
        <w:rPr>
          <w:rFonts w:hint="eastAsia" w:ascii="Times New Roman" w:hAnsi="Times New Roman" w:eastAsia="黑体" w:cs="Times New Roman"/>
          <w:b/>
          <w:bCs/>
          <w:color w:val="auto"/>
          <w:sz w:val="21"/>
          <w:highlight w:val="none"/>
          <w:lang w:val="en-US" w:eastAsia="zh-CN" w:bidi="ar-SA"/>
        </w:rPr>
        <w:t xml:space="preserve"> </w:t>
      </w:r>
      <w:r>
        <w:rPr>
          <w:rFonts w:hint="eastAsia" w:ascii="Times New Roman" w:hAnsi="Times New Roman"/>
          <w:b/>
          <w:bCs/>
          <w:color w:val="auto"/>
          <w:kern w:val="0"/>
          <w:szCs w:val="20"/>
          <w:highlight w:val="none"/>
          <w:lang w:val="en-US" w:eastAsia="zh-CN"/>
        </w:rPr>
        <w:t>body</w:t>
      </w:r>
    </w:p>
    <w:p w14:paraId="1168271E">
      <w:pPr>
        <w:pStyle w:val="59"/>
        <w:ind w:firstLine="420"/>
        <w:rPr>
          <w:rFonts w:hint="eastAsia"/>
          <w:color w:val="auto"/>
          <w:highlight w:val="none"/>
          <w:lang w:val="en-US" w:eastAsia="zh-CN"/>
        </w:rPr>
      </w:pPr>
      <w:r>
        <w:rPr>
          <w:rFonts w:hint="eastAsia"/>
          <w:color w:val="auto"/>
          <w:highlight w:val="none"/>
          <w:lang w:val="en-US" w:eastAsia="zh-CN"/>
        </w:rPr>
        <w:t>公认的从事标准化活动的机构。</w:t>
      </w:r>
    </w:p>
    <w:p w14:paraId="3CAAD910">
      <w:pPr>
        <w:pStyle w:val="59"/>
        <w:ind w:firstLine="420"/>
        <w:rPr>
          <w:rFonts w:hint="default"/>
          <w:color w:val="auto"/>
          <w:highlight w:val="none"/>
          <w:lang w:val="en-US" w:eastAsia="zh-CN"/>
        </w:rPr>
      </w:pPr>
      <w:r>
        <w:rPr>
          <w:rFonts w:hint="eastAsia"/>
          <w:color w:val="auto"/>
          <w:highlight w:val="none"/>
          <w:lang w:val="en-US" w:eastAsia="zh-CN"/>
        </w:rPr>
        <w:t>[来源：GB/T 20000.1-2014，6.3]</w:t>
      </w:r>
    </w:p>
    <w:p w14:paraId="24AD9DE3">
      <w:pPr>
        <w:pStyle w:val="226"/>
        <w:ind w:left="420" w:hanging="420" w:hangingChars="200"/>
        <w:rPr>
          <w:rFonts w:hint="default"/>
          <w:color w:val="auto"/>
          <w:highlight w:val="none"/>
          <w:lang w:val="en-US" w:eastAsia="zh-CN"/>
        </w:rPr>
      </w:pPr>
    </w:p>
    <w:p w14:paraId="00AED649">
      <w:pPr>
        <w:pStyle w:val="59"/>
        <w:rPr>
          <w:rFonts w:hint="default"/>
          <w:color w:val="auto"/>
          <w:highlight w:val="none"/>
          <w:lang w:val="en-US" w:eastAsia="zh-CN"/>
        </w:rPr>
      </w:pPr>
      <w:r>
        <w:rPr>
          <w:rFonts w:hint="eastAsia" w:ascii="黑体" w:hAnsi="黑体" w:eastAsia="黑体" w:cs="Times New Roman"/>
          <w:color w:val="auto"/>
          <w:sz w:val="21"/>
          <w:highlight w:val="none"/>
          <w:lang w:val="en-US" w:eastAsia="zh-CN" w:bidi="ar-SA"/>
        </w:rPr>
        <w:t>标准化技术组织</w:t>
      </w:r>
      <w:r>
        <w:rPr>
          <w:rFonts w:hint="eastAsia"/>
          <w:color w:val="auto"/>
          <w:highlight w:val="none"/>
          <w:lang w:val="en-US" w:eastAsia="zh-CN"/>
        </w:rPr>
        <w:t xml:space="preserve"> </w:t>
      </w:r>
      <w:r>
        <w:rPr>
          <w:rFonts w:hint="eastAsia" w:ascii="Times New Roman" w:hAnsi="Times New Roman" w:eastAsia="黑体" w:cs="Times New Roman"/>
          <w:b/>
          <w:bCs/>
          <w:color w:val="auto"/>
          <w:kern w:val="2"/>
          <w:sz w:val="21"/>
          <w:szCs w:val="21"/>
          <w:highlight w:val="none"/>
          <w:lang w:val="en-US" w:eastAsia="zh-CN" w:bidi="ar-SA"/>
        </w:rPr>
        <w:t>standardizing technical organization</w:t>
      </w:r>
    </w:p>
    <w:p w14:paraId="62AB858E">
      <w:pPr>
        <w:pStyle w:val="59"/>
        <w:ind w:firstLine="420"/>
        <w:rPr>
          <w:rFonts w:hint="eastAsia"/>
          <w:color w:val="auto"/>
          <w:highlight w:val="none"/>
          <w:lang w:val="en-US" w:eastAsia="zh-CN"/>
        </w:rPr>
      </w:pPr>
      <w:r>
        <w:rPr>
          <w:rFonts w:hint="eastAsia"/>
          <w:color w:val="auto"/>
          <w:highlight w:val="none"/>
          <w:lang w:val="en-US" w:eastAsia="zh-CN"/>
        </w:rPr>
        <w:t>由标准机构或标准化机构设立的负责标准的起草或编制的组织。</w:t>
      </w:r>
    </w:p>
    <w:p w14:paraId="6C5F263B">
      <w:pPr>
        <w:pStyle w:val="59"/>
        <w:ind w:firstLine="420"/>
        <w:rPr>
          <w:rFonts w:hint="default"/>
          <w:color w:val="auto"/>
          <w:highlight w:val="none"/>
          <w:lang w:val="en-US" w:eastAsia="zh-CN"/>
        </w:rPr>
      </w:pPr>
      <w:r>
        <w:rPr>
          <w:rFonts w:hint="eastAsia"/>
          <w:color w:val="auto"/>
          <w:highlight w:val="none"/>
          <w:lang w:val="en-US" w:eastAsia="zh-CN"/>
        </w:rPr>
        <w:t>[来源：GB/T 20000.1-2014，6.5]</w:t>
      </w:r>
    </w:p>
    <w:p w14:paraId="1AF1A1E7">
      <w:pPr>
        <w:pStyle w:val="226"/>
        <w:ind w:left="420" w:hanging="420" w:hangingChars="200"/>
        <w:rPr>
          <w:rFonts w:hint="default"/>
          <w:color w:val="auto"/>
          <w:highlight w:val="none"/>
          <w:lang w:val="en-US" w:eastAsia="zh-CN"/>
        </w:rPr>
      </w:pPr>
    </w:p>
    <w:p w14:paraId="180EEA15">
      <w:pPr>
        <w:pStyle w:val="59"/>
        <w:rPr>
          <w:rFonts w:hint="eastAsia"/>
          <w:color w:val="auto"/>
          <w:highlight w:val="none"/>
          <w:lang w:val="en-US" w:eastAsia="zh-CN"/>
        </w:rPr>
      </w:pPr>
      <w:r>
        <w:rPr>
          <w:rFonts w:hint="eastAsia" w:ascii="黑体" w:hAnsi="黑体" w:eastAsia="黑体" w:cs="Times New Roman"/>
          <w:color w:val="auto"/>
          <w:sz w:val="21"/>
          <w:highlight w:val="none"/>
          <w:lang w:val="en-US" w:eastAsia="zh-CN" w:bidi="ar-SA"/>
        </w:rPr>
        <w:t>标准创新联合体</w:t>
      </w:r>
      <w:r>
        <w:rPr>
          <w:rFonts w:hint="eastAsia"/>
          <w:color w:val="auto"/>
          <w:highlight w:val="none"/>
          <w:lang w:val="en-US" w:eastAsia="zh-CN"/>
        </w:rPr>
        <w:t xml:space="preserve"> </w:t>
      </w:r>
      <w:r>
        <w:rPr>
          <w:rFonts w:hint="eastAsia" w:ascii="Times New Roman" w:hAnsi="Times New Roman" w:eastAsia="黑体" w:cs="Times New Roman"/>
          <w:b/>
          <w:bCs/>
          <w:color w:val="auto"/>
          <w:sz w:val="21"/>
          <w:highlight w:val="none"/>
          <w:lang w:val="en-US" w:eastAsia="zh-CN" w:bidi="ar-SA"/>
        </w:rPr>
        <w:t>standard innovation consortium</w:t>
      </w:r>
    </w:p>
    <w:p w14:paraId="2FFB4B3C">
      <w:pPr>
        <w:pStyle w:val="59"/>
        <w:rPr>
          <w:rFonts w:hint="eastAsia"/>
          <w:color w:val="auto"/>
          <w:highlight w:val="none"/>
          <w:lang w:val="en-US" w:eastAsia="zh-CN"/>
        </w:rPr>
      </w:pPr>
      <w:r>
        <w:rPr>
          <w:rFonts w:hint="eastAsia"/>
          <w:color w:val="auto"/>
          <w:highlight w:val="none"/>
          <w:lang w:val="en-US" w:eastAsia="zh-CN"/>
        </w:rPr>
        <w:t>由企业、科研机构、高等院校、金融基础设施运营机构或标准化技术组织等相互联合，或与境内外其他企业或组织联合形成，共同制定企业联合标准的组织。</w:t>
      </w:r>
    </w:p>
    <w:p w14:paraId="49D1891A">
      <w:pPr>
        <w:pStyle w:val="226"/>
        <w:ind w:left="420" w:hanging="420" w:hangingChars="200"/>
        <w:rPr>
          <w:rFonts w:hint="default"/>
          <w:color w:val="auto"/>
          <w:highlight w:val="none"/>
          <w:lang w:val="en-US" w:eastAsia="zh-CN"/>
        </w:rPr>
      </w:pPr>
    </w:p>
    <w:p w14:paraId="63495849">
      <w:pPr>
        <w:pStyle w:val="226"/>
        <w:numPr>
          <w:ilvl w:val="2"/>
          <w:numId w:val="0"/>
        </w:numPr>
        <w:ind w:leftChars="-200" w:firstLine="840" w:firstLineChars="400"/>
        <w:rPr>
          <w:color w:val="auto"/>
          <w:highlight w:val="none"/>
        </w:rPr>
      </w:pPr>
      <w:r>
        <w:rPr>
          <w:rFonts w:hint="eastAsia" w:ascii="黑体" w:hAnsi="黑体" w:eastAsia="黑体"/>
          <w:color w:val="auto"/>
          <w:highlight w:val="none"/>
          <w:lang w:eastAsia="zh-CN"/>
        </w:rPr>
        <w:t>国际化运作</w:t>
      </w:r>
      <w:r>
        <w:rPr>
          <w:rFonts w:hint="eastAsia" w:ascii="黑体" w:hAnsi="黑体" w:eastAsia="黑体"/>
          <w:color w:val="auto"/>
          <w:highlight w:val="none"/>
          <w:lang w:val="en-US" w:eastAsia="zh-CN"/>
        </w:rPr>
        <w:t xml:space="preserve"> </w:t>
      </w:r>
      <w:r>
        <w:rPr>
          <w:rFonts w:hint="eastAsia" w:ascii="Times New Roman" w:eastAsia="黑体" w:cs="Times New Roman"/>
          <w:b/>
          <w:bCs/>
          <w:color w:val="auto"/>
          <w:highlight w:val="none"/>
          <w:lang w:val="en-US" w:eastAsia="zh-CN"/>
        </w:rPr>
        <w:t>i</w:t>
      </w:r>
      <w:r>
        <w:rPr>
          <w:rFonts w:hint="eastAsia" w:ascii="Times New Roman" w:hAnsi="Times New Roman" w:eastAsia="黑体" w:cs="Times New Roman"/>
          <w:b/>
          <w:bCs/>
          <w:color w:val="auto"/>
          <w:highlight w:val="none"/>
          <w:lang w:val="en-US" w:eastAsia="zh-CN"/>
        </w:rPr>
        <w:t>nternational operation</w:t>
      </w:r>
    </w:p>
    <w:p w14:paraId="0645033E">
      <w:pPr>
        <w:pStyle w:val="59"/>
        <w:ind w:firstLine="420"/>
        <w:rPr>
          <w:rFonts w:hint="eastAsia"/>
          <w:color w:val="auto"/>
          <w:highlight w:val="none"/>
          <w:lang w:eastAsia="zh-CN"/>
        </w:rPr>
      </w:pPr>
      <w:r>
        <w:rPr>
          <w:rFonts w:hint="eastAsia"/>
          <w:color w:val="auto"/>
          <w:highlight w:val="none"/>
          <w:lang w:eastAsia="zh-CN"/>
        </w:rPr>
        <w:t>吸纳</w:t>
      </w:r>
      <w:r>
        <w:rPr>
          <w:rFonts w:hint="eastAsia"/>
          <w:color w:val="auto"/>
          <w:highlight w:val="none"/>
          <w:lang w:val="en-US" w:eastAsia="zh-CN"/>
        </w:rPr>
        <w:t>境</w:t>
      </w:r>
      <w:r>
        <w:rPr>
          <w:rFonts w:hint="eastAsia"/>
          <w:color w:val="auto"/>
          <w:highlight w:val="none"/>
          <w:lang w:eastAsia="zh-CN"/>
        </w:rPr>
        <w:t>内外机构、组织、企业、专家参与我国标准制定、参与国际标准化活动、推动中外标准互认等有利于国内国际标准化协同发展的举措。</w:t>
      </w:r>
    </w:p>
    <w:p w14:paraId="562CE33D">
      <w:pPr>
        <w:pStyle w:val="107"/>
        <w:spacing w:before="312" w:after="312"/>
        <w:rPr>
          <w:color w:val="auto"/>
          <w:highlight w:val="none"/>
        </w:rPr>
      </w:pPr>
      <w:bookmarkStart w:id="40" w:name="_Toc7580"/>
      <w:r>
        <w:rPr>
          <w:rFonts w:hint="eastAsia"/>
          <w:color w:val="auto"/>
          <w:highlight w:val="none"/>
        </w:rPr>
        <w:t>基本</w:t>
      </w:r>
      <w:r>
        <w:rPr>
          <w:rFonts w:hint="eastAsia"/>
          <w:color w:val="auto"/>
          <w:highlight w:val="none"/>
          <w:lang w:eastAsia="zh-CN"/>
        </w:rPr>
        <w:t>原则</w:t>
      </w:r>
      <w:bookmarkEnd w:id="40"/>
    </w:p>
    <w:p w14:paraId="09B768FB">
      <w:pPr>
        <w:pStyle w:val="165"/>
        <w:rPr>
          <w:rFonts w:hint="eastAsia"/>
          <w:color w:val="auto"/>
          <w:highlight w:val="none"/>
          <w:lang w:val="en-US" w:eastAsia="zh-CN"/>
        </w:rPr>
      </w:pPr>
      <w:bookmarkStart w:id="41" w:name="OLE_LINK3"/>
      <w:r>
        <w:rPr>
          <w:rFonts w:hint="eastAsia"/>
          <w:color w:val="auto"/>
          <w:highlight w:val="none"/>
          <w:lang w:eastAsia="zh-CN"/>
        </w:rPr>
        <w:t>标准化机构制</w:t>
      </w:r>
      <w:r>
        <w:rPr>
          <w:rFonts w:hint="eastAsia"/>
          <w:color w:val="auto"/>
          <w:highlight w:val="none"/>
          <w:lang w:val="en-US" w:eastAsia="zh-CN"/>
        </w:rPr>
        <w:t>定、采用或实施标准应遵守WTO/TBT基本原则，其目的或结果不应对国际贸易和合作造成不必要的障碍。</w:t>
      </w:r>
    </w:p>
    <w:p w14:paraId="72AC03A2">
      <w:pPr>
        <w:pStyle w:val="165"/>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避免与国内外相关标准化机构的工作重复或重叠。</w:t>
      </w:r>
    </w:p>
    <w:p w14:paraId="113D2054">
      <w:pPr>
        <w:pStyle w:val="165"/>
        <w:rPr>
          <w:rFonts w:hint="eastAsia"/>
          <w:color w:val="auto"/>
          <w:highlight w:val="none"/>
          <w:lang w:val="en-US" w:eastAsia="zh-CN"/>
        </w:rPr>
      </w:pPr>
      <w:r>
        <w:rPr>
          <w:rFonts w:hint="eastAsia"/>
          <w:color w:val="auto"/>
          <w:highlight w:val="none"/>
          <w:lang w:eastAsia="zh-CN"/>
        </w:rPr>
        <w:t>标准化机构宜</w:t>
      </w:r>
      <w:r>
        <w:rPr>
          <w:rFonts w:hint="eastAsia"/>
          <w:color w:val="auto"/>
          <w:highlight w:val="none"/>
        </w:rPr>
        <w:t>将代表不同利益的相关方纳入制定过程中</w:t>
      </w:r>
      <w:r>
        <w:rPr>
          <w:rFonts w:hint="eastAsia"/>
          <w:color w:val="auto"/>
          <w:highlight w:val="none"/>
          <w:lang w:eastAsia="zh-CN"/>
        </w:rPr>
        <w:t>，并</w:t>
      </w:r>
      <w:r>
        <w:rPr>
          <w:rFonts w:hint="eastAsia"/>
          <w:color w:val="auto"/>
          <w:highlight w:val="none"/>
        </w:rPr>
        <w:t>确保</w:t>
      </w:r>
      <w:r>
        <w:rPr>
          <w:rFonts w:hint="eastAsia" w:ascii="宋体" w:hAnsi="Times New Roman"/>
          <w:color w:val="auto"/>
          <w:sz w:val="21"/>
          <w:highlight w:val="none"/>
        </w:rPr>
        <w:t>利益相关方充分表达意见</w:t>
      </w:r>
      <w:r>
        <w:rPr>
          <w:rFonts w:hint="eastAsia"/>
          <w:color w:val="auto"/>
          <w:sz w:val="21"/>
          <w:highlight w:val="none"/>
          <w:lang w:eastAsia="zh-CN"/>
        </w:rPr>
        <w:t>，并</w:t>
      </w:r>
      <w:r>
        <w:rPr>
          <w:rFonts w:hint="eastAsia"/>
          <w:color w:val="auto"/>
          <w:highlight w:val="none"/>
          <w:lang w:val="en-US" w:eastAsia="zh-CN"/>
        </w:rPr>
        <w:t>尽一切努力就所开发的标准达成共识。</w:t>
      </w:r>
    </w:p>
    <w:p w14:paraId="28565D91">
      <w:pPr>
        <w:pStyle w:val="165"/>
        <w:rPr>
          <w:rFonts w:hint="eastAsia"/>
          <w:color w:val="auto"/>
          <w:highlight w:val="none"/>
          <w:lang w:val="en-US" w:eastAsia="zh-CN"/>
        </w:rPr>
      </w:pPr>
      <w:bookmarkStart w:id="42" w:name="OLE_LINK1"/>
      <w:r>
        <w:rPr>
          <w:rFonts w:hint="eastAsia"/>
          <w:color w:val="auto"/>
          <w:highlight w:val="none"/>
          <w:lang w:val="en-US" w:eastAsia="zh-CN"/>
        </w:rPr>
        <w:t>标准化机构新制定的标准</w:t>
      </w:r>
      <w:r>
        <w:rPr>
          <w:rFonts w:hint="eastAsia"/>
          <w:color w:val="auto"/>
          <w:highlight w:val="none"/>
          <w:lang w:eastAsia="zh-CN"/>
        </w:rPr>
        <w:t>宜</w:t>
      </w:r>
      <w:r>
        <w:rPr>
          <w:rFonts w:hint="eastAsia"/>
          <w:color w:val="auto"/>
          <w:highlight w:val="none"/>
          <w:lang w:val="en-US" w:eastAsia="zh-CN"/>
        </w:rPr>
        <w:t>满足如下要求：</w:t>
      </w:r>
    </w:p>
    <w:p w14:paraId="6CCD0B6F">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a)  支持公开和公平的市场；</w:t>
      </w:r>
    </w:p>
    <w:p w14:paraId="6DB40EAE">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b)  支持适合预期应用或用途的产品、服务、创新或解决方案的跨境流动；</w:t>
      </w:r>
    </w:p>
    <w:p w14:paraId="6443156D">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c)  支持公平竞争；</w:t>
      </w:r>
    </w:p>
    <w:p w14:paraId="774D95E3">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d)  支持创新和技术发展；</w:t>
      </w:r>
    </w:p>
    <w:p w14:paraId="76D03FA1">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e)  考虑标准对环境的影响；</w:t>
      </w:r>
    </w:p>
    <w:p w14:paraId="1EDDC173">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f)  促进可持续发展目标；</w:t>
      </w:r>
    </w:p>
    <w:p w14:paraId="05922F85">
      <w:pPr>
        <w:pStyle w:val="165"/>
        <w:numPr>
          <w:ilvl w:val="2"/>
          <w:numId w:val="0"/>
        </w:numPr>
        <w:ind w:leftChars="0" w:firstLine="420" w:firstLineChars="200"/>
        <w:rPr>
          <w:rFonts w:hint="eastAsia"/>
          <w:color w:val="auto"/>
          <w:highlight w:val="none"/>
          <w:lang w:val="en-US" w:eastAsia="zh-CN"/>
        </w:rPr>
      </w:pPr>
      <w:r>
        <w:rPr>
          <w:rFonts w:hint="eastAsia"/>
          <w:color w:val="auto"/>
          <w:highlight w:val="none"/>
          <w:lang w:val="en-US" w:eastAsia="zh-CN"/>
        </w:rPr>
        <w:t>g)  旨在为基于标准的产品或服务的所有用户的利益而设计。</w:t>
      </w:r>
    </w:p>
    <w:bookmarkEnd w:id="42"/>
    <w:p w14:paraId="07798B73">
      <w:pPr>
        <w:pStyle w:val="165"/>
        <w:rPr>
          <w:color w:val="auto"/>
          <w:highlight w:val="none"/>
        </w:rPr>
      </w:pPr>
      <w:r>
        <w:rPr>
          <w:rFonts w:hint="eastAsia"/>
          <w:color w:val="auto"/>
          <w:highlight w:val="none"/>
          <w:lang w:val="en-US" w:eastAsia="zh-CN"/>
        </w:rPr>
        <w:t>在适当的情况下，标准化机构应根据产品的性能要求而不是设</w:t>
      </w:r>
      <w:bookmarkEnd w:id="41"/>
      <w:r>
        <w:rPr>
          <w:rFonts w:hint="eastAsia"/>
          <w:color w:val="auto"/>
          <w:highlight w:val="none"/>
          <w:lang w:val="en-US" w:eastAsia="zh-CN"/>
        </w:rPr>
        <w:t>计或描述性特征来制定标准，确保标准不会对发展和创新造成不必要的障碍。</w:t>
      </w:r>
    </w:p>
    <w:p w14:paraId="2F337BBA">
      <w:pPr>
        <w:pStyle w:val="107"/>
        <w:spacing w:before="312" w:after="312"/>
        <w:rPr>
          <w:color w:val="auto"/>
          <w:highlight w:val="none"/>
        </w:rPr>
      </w:pPr>
      <w:bookmarkStart w:id="43" w:name="_Toc28160"/>
      <w:r>
        <w:rPr>
          <w:rFonts w:hint="eastAsia"/>
          <w:color w:val="auto"/>
          <w:highlight w:val="none"/>
          <w:lang w:eastAsia="zh-CN"/>
        </w:rPr>
        <w:t>组织</w:t>
      </w:r>
      <w:bookmarkEnd w:id="43"/>
      <w:r>
        <w:rPr>
          <w:rFonts w:hint="eastAsia"/>
          <w:color w:val="auto"/>
          <w:highlight w:val="none"/>
          <w:lang w:val="en-US" w:eastAsia="zh-CN"/>
        </w:rPr>
        <w:t>方式</w:t>
      </w:r>
    </w:p>
    <w:p w14:paraId="4FED98F3">
      <w:pPr>
        <w:pStyle w:val="108"/>
        <w:spacing w:before="156" w:after="156"/>
        <w:rPr>
          <w:color w:val="auto"/>
          <w:highlight w:val="none"/>
        </w:rPr>
      </w:pPr>
      <w:bookmarkStart w:id="44" w:name="_Toc15271"/>
      <w:r>
        <w:rPr>
          <w:rFonts w:hint="eastAsia"/>
          <w:color w:val="auto"/>
          <w:highlight w:val="none"/>
          <w:lang w:val="en-US" w:eastAsia="zh-CN"/>
        </w:rPr>
        <w:t>成立</w:t>
      </w:r>
      <w:bookmarkEnd w:id="44"/>
    </w:p>
    <w:p w14:paraId="51B0B2E1">
      <w:pPr>
        <w:pStyle w:val="168"/>
        <w:rPr>
          <w:rFonts w:hint="default"/>
          <w:color w:val="auto"/>
          <w:highlight w:val="none"/>
          <w:lang w:val="en-US" w:eastAsia="zh-CN"/>
        </w:rPr>
      </w:pPr>
      <w:r>
        <w:rPr>
          <w:rFonts w:hint="eastAsia"/>
          <w:color w:val="auto"/>
          <w:highlight w:val="none"/>
          <w:lang w:val="en-US" w:eastAsia="zh-CN"/>
        </w:rPr>
        <w:t>标准化机构宜以建设成为国际性专业标准组织为目标，制定符合组织发展需求和规划的愿景、使命、价值观、战略和目标，以先进管理理念推进品牌建设。</w:t>
      </w:r>
    </w:p>
    <w:p w14:paraId="2980A1F7">
      <w:pPr>
        <w:pStyle w:val="168"/>
        <w:rPr>
          <w:color w:val="auto"/>
          <w:highlight w:val="none"/>
        </w:rPr>
      </w:pPr>
      <w:r>
        <w:rPr>
          <w:rFonts w:hint="eastAsia"/>
          <w:color w:val="auto"/>
          <w:highlight w:val="none"/>
          <w:lang w:eastAsia="zh-CN"/>
        </w:rPr>
        <w:t>标准化机构宜制</w:t>
      </w:r>
      <w:r>
        <w:rPr>
          <w:rFonts w:hint="eastAsia"/>
          <w:color w:val="auto"/>
          <w:highlight w:val="none"/>
          <w:lang w:val="en-US" w:eastAsia="zh-CN"/>
        </w:rPr>
        <w:t>定支持其</w:t>
      </w:r>
      <w:r>
        <w:rPr>
          <w:rFonts w:hint="eastAsia"/>
          <w:color w:val="auto"/>
          <w:highlight w:val="none"/>
        </w:rPr>
        <w:t>高质量、国际化发展的</w:t>
      </w:r>
      <w:r>
        <w:rPr>
          <w:rFonts w:hint="eastAsia"/>
          <w:color w:val="auto"/>
          <w:highlight w:val="none"/>
          <w:lang w:val="en-US" w:eastAsia="zh-CN"/>
        </w:rPr>
        <w:t>政策与制度，包括</w:t>
      </w:r>
      <w:r>
        <w:rPr>
          <w:rFonts w:hint="eastAsia"/>
          <w:color w:val="auto"/>
          <w:highlight w:val="none"/>
          <w:lang w:eastAsia="zh-CN"/>
        </w:rPr>
        <w:t>章程、知识产权</w:t>
      </w:r>
      <w:r>
        <w:rPr>
          <w:rFonts w:hint="eastAsia"/>
          <w:color w:val="auto"/>
          <w:highlight w:val="none"/>
        </w:rPr>
        <w:t>政策、商业条款和条件、反垄断政策、出版</w:t>
      </w:r>
      <w:r>
        <w:rPr>
          <w:rFonts w:hint="eastAsia"/>
          <w:color w:val="auto"/>
          <w:highlight w:val="none"/>
          <w:lang w:val="en-US" w:eastAsia="zh-CN"/>
        </w:rPr>
        <w:t>规定以及</w:t>
      </w:r>
      <w:r>
        <w:rPr>
          <w:rFonts w:hint="eastAsia"/>
          <w:color w:val="auto"/>
          <w:highlight w:val="none"/>
        </w:rPr>
        <w:t>标准维护</w:t>
      </w:r>
      <w:r>
        <w:rPr>
          <w:rFonts w:hint="eastAsia"/>
          <w:color w:val="auto"/>
          <w:highlight w:val="none"/>
          <w:lang w:val="en-US" w:eastAsia="zh-CN"/>
        </w:rPr>
        <w:t>机制等</w:t>
      </w:r>
      <w:r>
        <w:rPr>
          <w:rFonts w:hint="eastAsia"/>
          <w:color w:val="auto"/>
          <w:highlight w:val="none"/>
        </w:rPr>
        <w:t>。</w:t>
      </w:r>
    </w:p>
    <w:p w14:paraId="31DC3D23">
      <w:pPr>
        <w:pStyle w:val="168"/>
        <w:rPr>
          <w:rFonts w:hint="eastAsia"/>
          <w:color w:val="auto"/>
          <w:highlight w:val="none"/>
          <w:lang w:eastAsia="zh-CN"/>
        </w:rPr>
      </w:pPr>
      <w:r>
        <w:rPr>
          <w:rFonts w:hint="eastAsia"/>
          <w:color w:val="auto"/>
          <w:highlight w:val="none"/>
          <w:lang w:val="en-US" w:eastAsia="zh-CN"/>
        </w:rPr>
        <w:t>标准化机构的构成</w:t>
      </w:r>
      <w:r>
        <w:rPr>
          <w:rFonts w:hint="eastAsia"/>
          <w:color w:val="auto"/>
          <w:highlight w:val="none"/>
          <w:lang w:eastAsia="zh-CN"/>
        </w:rPr>
        <w:t>宜</w:t>
      </w:r>
      <w:r>
        <w:rPr>
          <w:rFonts w:hint="eastAsia"/>
          <w:color w:val="auto"/>
          <w:highlight w:val="none"/>
          <w:lang w:val="en-US" w:eastAsia="zh-CN"/>
        </w:rPr>
        <w:t>充分考虑国外合作方、利益相关方的意见和需求，构建适合市场、技术、产品发展的组织方式，如标准创新联合体等。</w:t>
      </w:r>
    </w:p>
    <w:p w14:paraId="29C60C52">
      <w:pPr>
        <w:pStyle w:val="168"/>
        <w:rPr>
          <w:rFonts w:hint="eastAsia"/>
          <w:color w:val="auto"/>
          <w:highlight w:val="none"/>
          <w:lang w:val="en-US" w:eastAsia="zh-CN"/>
        </w:rPr>
      </w:pPr>
      <w:r>
        <w:rPr>
          <w:rFonts w:hint="eastAsia"/>
          <w:color w:val="auto"/>
          <w:highlight w:val="none"/>
          <w:lang w:val="en-US" w:eastAsia="zh-CN"/>
        </w:rPr>
        <w:t>标准化机构的组织架构</w:t>
      </w:r>
      <w:r>
        <w:rPr>
          <w:rFonts w:hint="eastAsia"/>
          <w:color w:val="auto"/>
          <w:highlight w:val="none"/>
          <w:lang w:eastAsia="zh-CN"/>
        </w:rPr>
        <w:t>宜</w:t>
      </w:r>
      <w:r>
        <w:rPr>
          <w:rFonts w:hint="eastAsia"/>
          <w:color w:val="auto"/>
          <w:highlight w:val="none"/>
          <w:lang w:val="en-US" w:eastAsia="zh-CN"/>
        </w:rPr>
        <w:t>充分吸纳国外组织、企业、机构和专家的参与，共同制定满足市场和创新需要的标准。</w:t>
      </w:r>
    </w:p>
    <w:p w14:paraId="04F4F102">
      <w:pPr>
        <w:pStyle w:val="108"/>
        <w:spacing w:before="156" w:after="156"/>
        <w:rPr>
          <w:rFonts w:hint="default"/>
          <w:color w:val="auto"/>
          <w:highlight w:val="none"/>
          <w:lang w:val="en-US" w:eastAsia="zh-CN"/>
        </w:rPr>
      </w:pPr>
      <w:bookmarkStart w:id="45" w:name="_Toc8105"/>
      <w:r>
        <w:rPr>
          <w:rFonts w:hint="eastAsia"/>
          <w:color w:val="auto"/>
          <w:highlight w:val="none"/>
          <w:lang w:val="en-US" w:eastAsia="zh-CN"/>
        </w:rPr>
        <w:t>基础保障</w:t>
      </w:r>
      <w:bookmarkEnd w:id="45"/>
    </w:p>
    <w:p w14:paraId="1EE812FA">
      <w:pPr>
        <w:pStyle w:val="168"/>
        <w:rPr>
          <w:color w:val="auto"/>
          <w:highlight w:val="none"/>
        </w:rPr>
      </w:pPr>
      <w:r>
        <w:rPr>
          <w:rFonts w:hint="eastAsia" w:hAnsi="宋体" w:cs="宋体"/>
          <w:color w:val="auto"/>
          <w:kern w:val="0"/>
          <w:sz w:val="21"/>
          <w:szCs w:val="21"/>
          <w:highlight w:val="none"/>
          <w:lang w:val="en-US" w:eastAsia="zh-CN" w:bidi="ar"/>
        </w:rPr>
        <w:t>标准化机构</w:t>
      </w:r>
      <w:r>
        <w:rPr>
          <w:rFonts w:hint="eastAsia" w:ascii="宋体" w:hAnsi="宋体" w:eastAsia="宋体" w:cs="宋体"/>
          <w:color w:val="auto"/>
          <w:kern w:val="0"/>
          <w:sz w:val="21"/>
          <w:szCs w:val="21"/>
          <w:highlight w:val="none"/>
          <w:lang w:val="en-US" w:eastAsia="zh-CN" w:bidi="ar"/>
        </w:rPr>
        <w:t>宜建立信息公开的机制，公开其制度文件、项目计划和标准化文件的批准发布等信息。</w:t>
      </w:r>
    </w:p>
    <w:p w14:paraId="64829DF3">
      <w:pPr>
        <w:pStyle w:val="168"/>
        <w:rPr>
          <w:rFonts w:hint="default"/>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建设包含标准化文件、参考资料、历史数据的标准信息平台或标准数据库，便于国际成员（委员或会员）轻松访问标准信息。</w:t>
      </w:r>
    </w:p>
    <w:p w14:paraId="62FDE28A">
      <w:pPr>
        <w:pStyle w:val="168"/>
        <w:rPr>
          <w:rFonts w:hint="default"/>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提供标准制定在线协作工具，保留相关工作记录，便于国际成员（委员或会员）对标准各阶段文件的修改、审查和投票。</w:t>
      </w:r>
    </w:p>
    <w:p w14:paraId="58E28D77">
      <w:pPr>
        <w:pStyle w:val="168"/>
        <w:rPr>
          <w:rFonts w:hint="default"/>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宜根据运营模式</w:t>
      </w:r>
      <w:r>
        <w:rPr>
          <w:rFonts w:hint="eastAsia"/>
          <w:color w:val="auto"/>
          <w:highlight w:val="none"/>
          <w:lang w:val="en-US" w:eastAsia="zh-CN"/>
        </w:rPr>
        <w:t>通过设立基金、接受捐赠等方式，以稳定的财务资源支持标准制定。</w:t>
      </w:r>
    </w:p>
    <w:p w14:paraId="5CCD9DE3">
      <w:pPr>
        <w:pStyle w:val="168"/>
        <w:rPr>
          <w:rFonts w:hint="default"/>
          <w:color w:val="auto"/>
          <w:highlight w:val="none"/>
          <w:lang w:val="en-US" w:eastAsia="zh-CN"/>
        </w:rPr>
      </w:pPr>
      <w:r>
        <w:rPr>
          <w:rFonts w:hint="eastAsia"/>
          <w:color w:val="auto"/>
          <w:highlight w:val="none"/>
          <w:lang w:val="en-US" w:eastAsia="zh-CN"/>
        </w:rPr>
        <w:t>条件允许的情况下，标准化机构宜设置工作语言为英语或其他适宜国际化发展的外国语种。</w:t>
      </w:r>
    </w:p>
    <w:p w14:paraId="11D8EBDF">
      <w:pPr>
        <w:pStyle w:val="168"/>
        <w:rPr>
          <w:color w:val="auto"/>
          <w:highlight w:val="none"/>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配备具有国际标准化工作经验、</w:t>
      </w:r>
      <w:r>
        <w:rPr>
          <w:rFonts w:hint="eastAsia"/>
          <w:color w:val="auto"/>
          <w:highlight w:val="none"/>
          <w:lang w:eastAsia="zh-CN"/>
        </w:rPr>
        <w:t>熟悉</w:t>
      </w:r>
      <w:r>
        <w:rPr>
          <w:rFonts w:hint="eastAsia"/>
          <w:color w:val="auto"/>
          <w:highlight w:val="none"/>
          <w:lang w:val="en-US" w:eastAsia="zh-CN"/>
        </w:rPr>
        <w:t>出入境手续和外汇结算方法的</w:t>
      </w:r>
      <w:r>
        <w:rPr>
          <w:rFonts w:hint="eastAsia"/>
          <w:color w:val="auto"/>
          <w:highlight w:val="none"/>
          <w:lang w:eastAsia="zh-CN"/>
        </w:rPr>
        <w:t>工作人员</w:t>
      </w:r>
      <w:r>
        <w:rPr>
          <w:rFonts w:hint="eastAsia"/>
          <w:color w:val="auto"/>
          <w:highlight w:val="none"/>
          <w:lang w:val="en-US" w:eastAsia="zh-CN"/>
        </w:rPr>
        <w:t>，协助组织国际化运作。</w:t>
      </w:r>
    </w:p>
    <w:p w14:paraId="3BD38C6B">
      <w:pPr>
        <w:pStyle w:val="108"/>
        <w:spacing w:before="156" w:after="156"/>
        <w:rPr>
          <w:color w:val="auto"/>
          <w:highlight w:val="none"/>
        </w:rPr>
      </w:pPr>
      <w:bookmarkStart w:id="46" w:name="_Toc10992"/>
      <w:r>
        <w:rPr>
          <w:rFonts w:hint="eastAsia"/>
          <w:color w:val="auto"/>
          <w:highlight w:val="none"/>
          <w:lang w:val="en-US" w:eastAsia="zh-CN"/>
        </w:rPr>
        <w:t>成员</w:t>
      </w:r>
      <w:r>
        <w:rPr>
          <w:rFonts w:hint="eastAsia"/>
          <w:color w:val="auto"/>
          <w:highlight w:val="none"/>
          <w:lang w:eastAsia="zh-CN"/>
        </w:rPr>
        <w:t>管理</w:t>
      </w:r>
      <w:bookmarkEnd w:id="46"/>
    </w:p>
    <w:p w14:paraId="57875070">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将招募国际成员（委员或会员）纳入组织重点工作计划，制定国际成员（委员或会员）招募方案，并有效落实。</w:t>
      </w:r>
    </w:p>
    <w:p w14:paraId="1D672DF4">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主动开放加入组织的渠道，确保国际成员（委员或会员）与国内成员（委员或会员）均可参与标准化活动。</w:t>
      </w:r>
    </w:p>
    <w:p w14:paraId="01A2F596">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按照业务需要对其所有成员（委员或会员）进行分类、分领域管理，为相关方提供均衡的参与机会，并区分个人、企业、正式成员、观察员等不同类别，确保所有成员（委员或会员）均享有与其身份相对应的权利，并承担相应的义务。</w:t>
      </w:r>
    </w:p>
    <w:p w14:paraId="3953CD60">
      <w:pPr>
        <w:pStyle w:val="168"/>
        <w:rPr>
          <w:rFonts w:hint="eastAsia"/>
          <w:color w:val="auto"/>
          <w:highlight w:val="none"/>
          <w:lang w:val="en-US" w:eastAsia="zh-CN"/>
        </w:rPr>
      </w:pPr>
      <w:r>
        <w:rPr>
          <w:rFonts w:hint="eastAsia"/>
          <w:color w:val="auto"/>
          <w:highlight w:val="none"/>
          <w:lang w:val="en-US" w:eastAsia="zh-CN"/>
        </w:rPr>
        <w:t>标准化机构宜根据业务发展特点对国际成员（委员或会员）明确收费形式和减免条件，对学生会员和个人参与者等提供优惠政策。</w:t>
      </w:r>
    </w:p>
    <w:p w14:paraId="3B07B726">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通过培训、信息推送等方式，确认国际成员（委员或会员）已获取并充分理解标准化机构的标准制定程序。在其参与过程中遇到障碍时，可安排人员协助国际成员参与标准制定工作。</w:t>
      </w:r>
    </w:p>
    <w:p w14:paraId="0B5CFFC0">
      <w:pPr>
        <w:pStyle w:val="168"/>
        <w:rPr>
          <w:rFonts w:hint="eastAsia"/>
          <w:color w:val="auto"/>
          <w:highlight w:val="none"/>
          <w:lang w:val="en-US" w:eastAsia="zh-CN"/>
        </w:rPr>
      </w:pPr>
      <w:r>
        <w:rPr>
          <w:rFonts w:hint="eastAsia"/>
          <w:color w:val="auto"/>
          <w:highlight w:val="none"/>
          <w:lang w:val="en-US" w:eastAsia="zh-CN"/>
        </w:rPr>
        <w:t>标准化机构可邀请具有知名度的外国专家参与组织建设和标准化活动，促进组织的国际化发展。</w:t>
      </w:r>
    </w:p>
    <w:p w14:paraId="35987C2E">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适时开展国际化工作相关的满意度调查，主动关心国际成员（委员或会员）参与标准化活动的困难和障碍，为其提供有针对性的帮助。</w:t>
      </w:r>
    </w:p>
    <w:p w14:paraId="011328DB">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根据上海市各级政府提供的人才政策支持范围，为符合要求的外国专家及其团队提供居留和出入境、来华工作、落户、安居等服务便利，对其相关创新、创业项目等提供支持。</w:t>
      </w:r>
    </w:p>
    <w:p w14:paraId="7AD61DCC">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依托国际合作基础和外国专家资源，开展标准化国际合作教育培训活动，培养我国国际标准化人才，从而加强国内外成员（委员或会员）的配合度和默契。</w:t>
      </w:r>
    </w:p>
    <w:p w14:paraId="3FEFA623">
      <w:pPr>
        <w:pStyle w:val="108"/>
        <w:spacing w:before="156" w:after="156"/>
        <w:rPr>
          <w:rFonts w:hint="default"/>
          <w:color w:val="auto"/>
          <w:highlight w:val="none"/>
          <w:lang w:val="en-US" w:eastAsia="zh-CN"/>
        </w:rPr>
      </w:pPr>
      <w:bookmarkStart w:id="47" w:name="_Toc16994"/>
      <w:r>
        <w:rPr>
          <w:rFonts w:hint="eastAsia"/>
          <w:color w:val="auto"/>
          <w:highlight w:val="none"/>
          <w:lang w:val="en-US" w:eastAsia="zh-CN"/>
        </w:rPr>
        <w:t>会议组织</w:t>
      </w:r>
      <w:bookmarkEnd w:id="47"/>
    </w:p>
    <w:p w14:paraId="39921F34">
      <w:pPr>
        <w:pStyle w:val="168"/>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充分考虑国际成员（委员或会员）参加现场会议的经济和时间成本，制定适合国际成员（委员或会员）参与标准化活动的会议方案，尽可能选择举办在线会议、现场和在线同期会议等。</w:t>
      </w:r>
    </w:p>
    <w:p w14:paraId="029062BF">
      <w:pPr>
        <w:pStyle w:val="168"/>
        <w:rPr>
          <w:rFonts w:hint="eastAsia"/>
          <w:color w:val="auto"/>
          <w:highlight w:val="none"/>
          <w:lang w:val="en-US" w:eastAsia="zh-CN"/>
        </w:rPr>
      </w:pPr>
      <w:r>
        <w:rPr>
          <w:rFonts w:hint="eastAsia"/>
          <w:color w:val="auto"/>
          <w:highlight w:val="none"/>
          <w:lang w:val="en-US" w:eastAsia="zh-CN"/>
        </w:rPr>
        <w:t>会议组织者</w:t>
      </w:r>
      <w:r>
        <w:rPr>
          <w:rFonts w:hint="eastAsia"/>
          <w:color w:val="auto"/>
          <w:highlight w:val="none"/>
          <w:lang w:eastAsia="zh-CN"/>
        </w:rPr>
        <w:t>宜</w:t>
      </w:r>
      <w:r>
        <w:rPr>
          <w:rFonts w:hint="eastAsia"/>
          <w:color w:val="auto"/>
          <w:highlight w:val="none"/>
          <w:lang w:val="en-US" w:eastAsia="zh-CN"/>
        </w:rPr>
        <w:t>在会议前制定明确、详细的会议流程或安排，对会议录像等重要事项进行征询，提前发送至国际成员（委员或会员）。</w:t>
      </w:r>
    </w:p>
    <w:p w14:paraId="528F2F5C">
      <w:pPr>
        <w:pStyle w:val="168"/>
        <w:rPr>
          <w:rFonts w:hint="eastAsia"/>
          <w:color w:val="auto"/>
          <w:highlight w:val="none"/>
          <w:lang w:val="en-US" w:eastAsia="zh-CN"/>
        </w:rPr>
      </w:pPr>
      <w:r>
        <w:rPr>
          <w:rFonts w:hint="eastAsia"/>
          <w:color w:val="auto"/>
          <w:highlight w:val="none"/>
          <w:lang w:val="en-US" w:eastAsia="zh-CN"/>
        </w:rPr>
        <w:t>会议组织者</w:t>
      </w:r>
      <w:r>
        <w:rPr>
          <w:rFonts w:hint="eastAsia"/>
          <w:color w:val="auto"/>
          <w:highlight w:val="none"/>
          <w:lang w:eastAsia="zh-CN"/>
        </w:rPr>
        <w:t>宜</w:t>
      </w:r>
      <w:r>
        <w:rPr>
          <w:rFonts w:hint="eastAsia"/>
          <w:color w:val="auto"/>
          <w:highlight w:val="none"/>
          <w:lang w:val="en-US" w:eastAsia="zh-CN"/>
        </w:rPr>
        <w:t>精确统计国际成员（委员或会员）的参会意愿，分析其语言需求，并在会议上提供翻译服务。</w:t>
      </w:r>
    </w:p>
    <w:p w14:paraId="00D7C10B">
      <w:pPr>
        <w:pStyle w:val="168"/>
        <w:rPr>
          <w:rFonts w:hint="eastAsia" w:eastAsia="宋体"/>
          <w:color w:val="auto"/>
          <w:highlight w:val="none"/>
          <w:lang w:val="en-US" w:eastAsia="zh-CN"/>
        </w:rPr>
      </w:pPr>
      <w:r>
        <w:rPr>
          <w:rFonts w:hint="eastAsia"/>
          <w:color w:val="auto"/>
          <w:highlight w:val="none"/>
          <w:lang w:val="en-US" w:eastAsia="zh-CN"/>
        </w:rPr>
        <w:t>会议组织者</w:t>
      </w:r>
      <w:r>
        <w:rPr>
          <w:rFonts w:hint="eastAsia"/>
          <w:color w:val="auto"/>
          <w:highlight w:val="none"/>
          <w:lang w:eastAsia="zh-CN"/>
        </w:rPr>
        <w:t>宜</w:t>
      </w:r>
      <w:r>
        <w:rPr>
          <w:rFonts w:hint="eastAsia"/>
          <w:color w:val="auto"/>
          <w:highlight w:val="none"/>
          <w:lang w:val="en-US" w:eastAsia="zh-CN"/>
        </w:rPr>
        <w:t>为国际成员（委员或会员）参加现场会议提供邀请函或会议通知、交通路线、住宿信息等，为国际成员（委员或会员）顺利参会提供便利。</w:t>
      </w:r>
    </w:p>
    <w:p w14:paraId="75136623">
      <w:pPr>
        <w:pStyle w:val="168"/>
        <w:rPr>
          <w:rFonts w:hint="eastAsia"/>
          <w:color w:val="auto"/>
          <w:highlight w:val="none"/>
          <w:lang w:val="en-US" w:eastAsia="zh-CN"/>
        </w:rPr>
      </w:pPr>
      <w:r>
        <w:rPr>
          <w:rFonts w:hint="eastAsia"/>
          <w:color w:val="auto"/>
          <w:highlight w:val="none"/>
          <w:lang w:val="en-US" w:eastAsia="zh-CN"/>
        </w:rPr>
        <w:t>会议组织者</w:t>
      </w:r>
      <w:r>
        <w:rPr>
          <w:rFonts w:hint="eastAsia"/>
          <w:color w:val="auto"/>
          <w:highlight w:val="none"/>
          <w:lang w:eastAsia="zh-CN"/>
        </w:rPr>
        <w:t>宜</w:t>
      </w:r>
      <w:r>
        <w:rPr>
          <w:rFonts w:hint="eastAsia"/>
          <w:color w:val="auto"/>
          <w:highlight w:val="none"/>
          <w:lang w:val="en-US" w:eastAsia="zh-CN"/>
        </w:rPr>
        <w:t>充分考虑国际成员（委员或会员）的需求和习惯，选择适合的在线会议工具。</w:t>
      </w:r>
    </w:p>
    <w:p w14:paraId="63E40F07">
      <w:pPr>
        <w:pStyle w:val="168"/>
        <w:rPr>
          <w:rFonts w:hint="eastAsia"/>
          <w:color w:val="auto"/>
          <w:highlight w:val="none"/>
          <w:lang w:val="en-US" w:eastAsia="zh-CN"/>
        </w:rPr>
      </w:pPr>
      <w:r>
        <w:rPr>
          <w:rFonts w:hint="eastAsia"/>
          <w:color w:val="auto"/>
          <w:highlight w:val="none"/>
          <w:lang w:val="en-US" w:eastAsia="zh-CN"/>
        </w:rPr>
        <w:t>会议组织者</w:t>
      </w:r>
      <w:r>
        <w:rPr>
          <w:rFonts w:hint="eastAsia"/>
          <w:color w:val="auto"/>
          <w:highlight w:val="none"/>
          <w:lang w:eastAsia="zh-CN"/>
        </w:rPr>
        <w:t>宜在会议之前按照规定的时间要求，向</w:t>
      </w:r>
      <w:r>
        <w:rPr>
          <w:rFonts w:hint="eastAsia"/>
          <w:color w:val="auto"/>
          <w:highlight w:val="none"/>
          <w:lang w:val="en-US" w:eastAsia="zh-CN"/>
        </w:rPr>
        <w:t>国际成员（委员或会员）</w:t>
      </w:r>
      <w:r>
        <w:rPr>
          <w:rFonts w:hint="eastAsia"/>
          <w:color w:val="auto"/>
          <w:highlight w:val="none"/>
          <w:lang w:eastAsia="zh-CN"/>
        </w:rPr>
        <w:t>提供会议议程和会议材料</w:t>
      </w:r>
      <w:r>
        <w:rPr>
          <w:rFonts w:hint="eastAsia"/>
          <w:color w:val="auto"/>
          <w:highlight w:val="none"/>
          <w:lang w:val="en-US" w:eastAsia="zh-CN"/>
        </w:rPr>
        <w:t>，以便其做好参会准备工作。</w:t>
      </w:r>
    </w:p>
    <w:p w14:paraId="69418FD9">
      <w:pPr>
        <w:pStyle w:val="168"/>
        <w:rPr>
          <w:rFonts w:hint="eastAsia"/>
          <w:color w:val="auto"/>
          <w:highlight w:val="none"/>
          <w:lang w:val="en-US" w:eastAsia="zh-CN"/>
        </w:rPr>
      </w:pPr>
      <w:r>
        <w:rPr>
          <w:rFonts w:hint="eastAsia"/>
          <w:color w:val="auto"/>
          <w:highlight w:val="none"/>
          <w:lang w:val="en-US" w:eastAsia="zh-CN"/>
        </w:rPr>
        <w:t>会议组织者</w:t>
      </w:r>
      <w:r>
        <w:rPr>
          <w:rFonts w:hint="eastAsia"/>
          <w:color w:val="auto"/>
          <w:highlight w:val="none"/>
          <w:lang w:eastAsia="zh-CN"/>
        </w:rPr>
        <w:t>宜</w:t>
      </w:r>
      <w:r>
        <w:rPr>
          <w:rFonts w:hint="eastAsia"/>
          <w:color w:val="auto"/>
          <w:highlight w:val="none"/>
          <w:lang w:val="en-US" w:eastAsia="zh-CN"/>
        </w:rPr>
        <w:t>在会后尽快编写会议纪要，及时分发给成员（委员或会员），并根据需要发布宣传稿、新闻稿等。</w:t>
      </w:r>
    </w:p>
    <w:p w14:paraId="7E23EE1F">
      <w:pPr>
        <w:pStyle w:val="108"/>
        <w:spacing w:before="156" w:after="156"/>
        <w:rPr>
          <w:color w:val="auto"/>
          <w:highlight w:val="none"/>
        </w:rPr>
      </w:pPr>
      <w:bookmarkStart w:id="48" w:name="_Toc29354"/>
      <w:r>
        <w:rPr>
          <w:rFonts w:hint="eastAsia"/>
          <w:color w:val="auto"/>
          <w:highlight w:val="none"/>
          <w:lang w:eastAsia="zh-CN"/>
        </w:rPr>
        <w:t>知识产权管理</w:t>
      </w:r>
      <w:bookmarkEnd w:id="48"/>
    </w:p>
    <w:p w14:paraId="7AD9FBF7">
      <w:pPr>
        <w:pStyle w:val="168"/>
        <w:rPr>
          <w:rFonts w:hint="eastAsia"/>
          <w:color w:val="auto"/>
          <w:highlight w:val="none"/>
          <w:lang w:val="en-US" w:eastAsia="zh-CN"/>
        </w:rPr>
      </w:pPr>
      <w:r>
        <w:rPr>
          <w:rFonts w:hint="eastAsia"/>
          <w:color w:val="auto"/>
          <w:highlight w:val="none"/>
          <w:lang w:val="en-US" w:eastAsia="zh-CN"/>
        </w:rPr>
        <w:t>标准化机构的知识产权政策</w:t>
      </w:r>
      <w:r>
        <w:rPr>
          <w:rFonts w:hint="eastAsia"/>
          <w:color w:val="auto"/>
          <w:highlight w:val="none"/>
          <w:lang w:eastAsia="zh-CN"/>
        </w:rPr>
        <w:t>宜</w:t>
      </w:r>
      <w:r>
        <w:rPr>
          <w:rFonts w:hint="eastAsia"/>
          <w:color w:val="auto"/>
          <w:highlight w:val="none"/>
          <w:lang w:val="en-US" w:eastAsia="zh-CN"/>
        </w:rPr>
        <w:t>符合GB/T 20003.1的要求，不妨碍国际公平竞争，不限制标准实施者特别是国外标准使用方基于标准开发竞争性技术和进行技术创新。</w:t>
      </w:r>
    </w:p>
    <w:p w14:paraId="475ECD10">
      <w:pPr>
        <w:pStyle w:val="168"/>
        <w:rPr>
          <w:rFonts w:hint="eastAsia"/>
          <w:color w:val="auto"/>
          <w:highlight w:val="none"/>
          <w:lang w:val="en-US" w:eastAsia="zh-CN"/>
        </w:rPr>
      </w:pPr>
      <w:r>
        <w:rPr>
          <w:rFonts w:hint="eastAsia"/>
          <w:color w:val="auto"/>
          <w:highlight w:val="none"/>
          <w:lang w:val="en-US" w:eastAsia="zh-CN"/>
        </w:rPr>
        <w:t>标准化机构在制定标准过程中引用或参考其他标准组织或机构发布的标准时，</w:t>
      </w:r>
      <w:r>
        <w:rPr>
          <w:rFonts w:hint="eastAsia"/>
          <w:color w:val="auto"/>
          <w:highlight w:val="none"/>
          <w:lang w:eastAsia="zh-CN"/>
        </w:rPr>
        <w:t>宜</w:t>
      </w:r>
      <w:r>
        <w:rPr>
          <w:rFonts w:hint="eastAsia"/>
          <w:color w:val="auto"/>
          <w:highlight w:val="none"/>
          <w:lang w:val="en-US" w:eastAsia="zh-CN"/>
        </w:rPr>
        <w:t>严格遵守所引用或参考标准的发布组织或机构的知识产权政策。</w:t>
      </w:r>
    </w:p>
    <w:p w14:paraId="08D41624">
      <w:pPr>
        <w:pStyle w:val="108"/>
        <w:spacing w:before="156" w:after="156"/>
        <w:rPr>
          <w:rFonts w:hint="eastAsia"/>
          <w:color w:val="auto"/>
          <w:highlight w:val="none"/>
          <w:lang w:val="en-US" w:eastAsia="zh-CN"/>
        </w:rPr>
      </w:pPr>
      <w:bookmarkStart w:id="49" w:name="_Toc22184"/>
      <w:r>
        <w:rPr>
          <w:rFonts w:hint="eastAsia"/>
          <w:color w:val="auto"/>
          <w:highlight w:val="none"/>
          <w:lang w:val="en-US" w:eastAsia="zh-CN"/>
        </w:rPr>
        <w:t>申诉</w:t>
      </w:r>
      <w:bookmarkEnd w:id="49"/>
    </w:p>
    <w:p w14:paraId="30A01F67">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rPr>
        <w:t>建立现实可行、方便国际</w:t>
      </w:r>
      <w:r>
        <w:rPr>
          <w:rFonts w:hint="eastAsia"/>
          <w:color w:val="auto"/>
          <w:highlight w:val="none"/>
          <w:lang w:val="en-US" w:eastAsia="zh-CN"/>
        </w:rPr>
        <w:t>成员（委员或会员）</w:t>
      </w:r>
      <w:r>
        <w:rPr>
          <w:rFonts w:hint="eastAsia"/>
          <w:color w:val="auto"/>
          <w:highlight w:val="none"/>
        </w:rPr>
        <w:t>的</w:t>
      </w:r>
      <w:r>
        <w:rPr>
          <w:rFonts w:hint="eastAsia"/>
          <w:color w:val="auto"/>
          <w:highlight w:val="none"/>
          <w:lang w:eastAsia="zh-CN"/>
        </w:rPr>
        <w:t>申诉</w:t>
      </w:r>
      <w:r>
        <w:rPr>
          <w:rFonts w:hint="eastAsia"/>
          <w:color w:val="auto"/>
          <w:highlight w:val="none"/>
        </w:rPr>
        <w:t>机制，用于公正处理与</w:t>
      </w:r>
      <w:r>
        <w:rPr>
          <w:rFonts w:hint="eastAsia"/>
          <w:color w:val="auto"/>
          <w:highlight w:val="none"/>
          <w:lang w:val="en-US" w:eastAsia="zh-CN"/>
        </w:rPr>
        <w:t>标准制修订</w:t>
      </w:r>
      <w:r>
        <w:rPr>
          <w:rFonts w:hint="eastAsia"/>
          <w:color w:val="auto"/>
          <w:highlight w:val="none"/>
        </w:rPr>
        <w:t>相关的程序</w:t>
      </w:r>
      <w:r>
        <w:rPr>
          <w:rFonts w:hint="eastAsia"/>
          <w:color w:val="auto"/>
          <w:highlight w:val="none"/>
          <w:lang w:eastAsia="zh-CN"/>
        </w:rPr>
        <w:t>申诉。</w:t>
      </w:r>
    </w:p>
    <w:p w14:paraId="4FE48FA7">
      <w:pPr>
        <w:pStyle w:val="108"/>
        <w:spacing w:before="156" w:after="156"/>
        <w:rPr>
          <w:color w:val="auto"/>
          <w:highlight w:val="none"/>
        </w:rPr>
      </w:pPr>
      <w:bookmarkStart w:id="50" w:name="_Toc542"/>
      <w:r>
        <w:rPr>
          <w:rFonts w:hint="eastAsia"/>
          <w:color w:val="auto"/>
          <w:highlight w:val="none"/>
          <w:lang w:eastAsia="zh-CN"/>
        </w:rPr>
        <w:t>国际</w:t>
      </w:r>
      <w:bookmarkEnd w:id="50"/>
      <w:r>
        <w:rPr>
          <w:rFonts w:hint="eastAsia"/>
          <w:color w:val="auto"/>
          <w:highlight w:val="none"/>
          <w:lang w:eastAsia="zh-CN"/>
        </w:rPr>
        <w:t>活动</w:t>
      </w:r>
    </w:p>
    <w:p w14:paraId="2DACD35B">
      <w:pPr>
        <w:pStyle w:val="168"/>
        <w:rPr>
          <w:rFonts w:hint="eastAsia"/>
          <w:color w:val="auto"/>
          <w:highlight w:val="none"/>
          <w:lang w:val="en-US" w:eastAsia="zh-CN"/>
        </w:rPr>
      </w:pPr>
      <w:r>
        <w:rPr>
          <w:rFonts w:hint="eastAsia"/>
          <w:color w:val="auto"/>
          <w:highlight w:val="none"/>
          <w:lang w:val="en-US" w:eastAsia="zh-CN"/>
        </w:rPr>
        <w:t>标准化机构宜积极</w:t>
      </w:r>
      <w:r>
        <w:rPr>
          <w:rFonts w:hint="eastAsia" w:ascii="宋体" w:hAnsi="Times New Roman"/>
          <w:color w:val="auto"/>
          <w:sz w:val="21"/>
          <w:highlight w:val="none"/>
        </w:rPr>
        <w:t>支持成员</w:t>
      </w:r>
      <w:r>
        <w:rPr>
          <w:rFonts w:hint="eastAsia"/>
          <w:color w:val="auto"/>
          <w:highlight w:val="none"/>
          <w:lang w:val="en-US" w:eastAsia="zh-CN"/>
        </w:rPr>
        <w:t>参与国际标准组织活动，包括承担秘书处、研制国际标准、担任外国专家和领导职位等。</w:t>
      </w:r>
    </w:p>
    <w:p w14:paraId="2707C93D">
      <w:pPr>
        <w:pStyle w:val="168"/>
        <w:rPr>
          <w:rFonts w:hint="eastAsia"/>
          <w:color w:val="auto"/>
          <w:highlight w:val="none"/>
          <w:lang w:val="en-US" w:eastAsia="zh-CN"/>
        </w:rPr>
      </w:pPr>
      <w:r>
        <w:rPr>
          <w:rFonts w:hint="eastAsia"/>
          <w:color w:val="auto"/>
          <w:highlight w:val="none"/>
          <w:lang w:val="en-US" w:eastAsia="zh-CN"/>
        </w:rPr>
        <w:t>标准化机构宜关注国际标准化组织（ISO）、国际电工委员会（IEC）、国际电信联盟（ITU）等国际、国外组织拟成立的标准化技术组织，积极争取成为国内技术对口单位或参与标准化活动，做出有效的技术贡献。</w:t>
      </w:r>
    </w:p>
    <w:p w14:paraId="2BD21625">
      <w:pPr>
        <w:pStyle w:val="168"/>
        <w:rPr>
          <w:rFonts w:hint="eastAsia"/>
          <w:color w:val="auto"/>
          <w:highlight w:val="none"/>
          <w:lang w:val="en-US" w:eastAsia="zh-CN"/>
        </w:rPr>
      </w:pPr>
      <w:r>
        <w:rPr>
          <w:rFonts w:hint="eastAsia"/>
          <w:color w:val="auto"/>
          <w:highlight w:val="none"/>
          <w:lang w:eastAsia="zh-CN"/>
        </w:rPr>
        <w:t>标准化机构宜</w:t>
      </w:r>
      <w:r>
        <w:rPr>
          <w:rFonts w:hint="eastAsia"/>
          <w:color w:val="auto"/>
          <w:highlight w:val="none"/>
          <w:lang w:val="en-US" w:eastAsia="zh-CN"/>
        </w:rPr>
        <w:t>依托已有国际标准化合作基础、国际产业链或技术合作网络，布局境外办公场所或工作联络点，便利国际合作。</w:t>
      </w:r>
    </w:p>
    <w:p w14:paraId="44FDE0DD">
      <w:pPr>
        <w:pStyle w:val="168"/>
        <w:rPr>
          <w:rFonts w:hint="eastAsia"/>
          <w:color w:val="auto"/>
          <w:highlight w:val="none"/>
          <w:lang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与国际和国外标准化机构、组织等建立联络，例如互派观察员、彼此作为联络组织、合作制定标准</w:t>
      </w:r>
      <w:r>
        <w:rPr>
          <w:rFonts w:hint="eastAsia"/>
          <w:color w:val="auto"/>
          <w:highlight w:val="none"/>
          <w:lang w:eastAsia="zh-CN"/>
        </w:rPr>
        <w:t>等。</w:t>
      </w:r>
    </w:p>
    <w:p w14:paraId="5B1BF80D">
      <w:pPr>
        <w:pStyle w:val="168"/>
        <w:rPr>
          <w:rFonts w:hint="eastAsia"/>
          <w:color w:val="auto"/>
          <w:highlight w:val="none"/>
          <w:lang w:val="en-US" w:eastAsia="zh-CN"/>
        </w:rPr>
      </w:pPr>
      <w:r>
        <w:rPr>
          <w:rFonts w:hint="eastAsia"/>
          <w:color w:val="auto"/>
          <w:highlight w:val="none"/>
          <w:lang w:eastAsia="zh-CN"/>
        </w:rPr>
        <w:t>标准化机构宜借助参与</w:t>
      </w:r>
      <w:r>
        <w:rPr>
          <w:rFonts w:hint="eastAsia"/>
          <w:color w:val="auto"/>
          <w:highlight w:val="none"/>
          <w:lang w:val="en-US" w:eastAsia="zh-CN"/>
        </w:rPr>
        <w:t>国际技术联盟、国际会议、国际性社会组织的机会，推动标准化交流和合作。</w:t>
      </w:r>
    </w:p>
    <w:p w14:paraId="3B4C6692">
      <w:pPr>
        <w:pStyle w:val="107"/>
        <w:spacing w:before="312" w:after="312"/>
        <w:rPr>
          <w:color w:val="auto"/>
          <w:highlight w:val="none"/>
        </w:rPr>
      </w:pPr>
      <w:bookmarkStart w:id="51" w:name="_Toc6040"/>
      <w:r>
        <w:rPr>
          <w:rFonts w:hint="eastAsia"/>
          <w:color w:val="auto"/>
          <w:highlight w:val="none"/>
          <w:lang w:val="en-US" w:eastAsia="zh-CN"/>
        </w:rPr>
        <w:t>文件的</w:t>
      </w:r>
      <w:r>
        <w:rPr>
          <w:rFonts w:hint="eastAsia"/>
          <w:color w:val="auto"/>
          <w:highlight w:val="none"/>
          <w:lang w:eastAsia="zh-CN"/>
        </w:rPr>
        <w:t>制定</w:t>
      </w:r>
      <w:bookmarkEnd w:id="51"/>
      <w:r>
        <w:rPr>
          <w:rFonts w:hint="eastAsia"/>
          <w:color w:val="auto"/>
          <w:highlight w:val="none"/>
          <w:lang w:val="en-US" w:eastAsia="zh-CN"/>
        </w:rPr>
        <w:t>程序</w:t>
      </w:r>
    </w:p>
    <w:p w14:paraId="75D285AC">
      <w:pPr>
        <w:pStyle w:val="108"/>
        <w:spacing w:before="156" w:after="156"/>
        <w:rPr>
          <w:rFonts w:hAnsi="Times New Roman" w:cs="Times New Roman"/>
          <w:color w:val="auto"/>
          <w:highlight w:val="none"/>
        </w:rPr>
      </w:pPr>
      <w:bookmarkStart w:id="52" w:name="_Toc29963"/>
      <w:r>
        <w:rPr>
          <w:rFonts w:hint="eastAsia" w:cs="Times New Roman"/>
          <w:color w:val="auto"/>
          <w:highlight w:val="none"/>
          <w:lang w:val="en-US" w:eastAsia="zh-CN"/>
        </w:rPr>
        <w:t>通用规则</w:t>
      </w:r>
      <w:bookmarkEnd w:id="52"/>
    </w:p>
    <w:p w14:paraId="7730D66D">
      <w:pPr>
        <w:pStyle w:val="108"/>
        <w:numPr>
          <w:ilvl w:val="2"/>
          <w:numId w:val="0"/>
        </w:numPr>
        <w:spacing w:before="156" w:after="156"/>
        <w:ind w:leftChars="0"/>
        <w:rPr>
          <w:color w:val="auto"/>
          <w:highlight w:val="none"/>
        </w:rPr>
      </w:pPr>
      <w:bookmarkStart w:id="53" w:name="_Toc4801"/>
      <w:r>
        <w:rPr>
          <w:rFonts w:hint="eastAsia" w:cs="Times New Roman"/>
          <w:color w:val="auto"/>
          <w:highlight w:val="none"/>
          <w:lang w:val="en-US" w:eastAsia="zh-CN"/>
        </w:rPr>
        <w:t xml:space="preserve">6.1.1  </w:t>
      </w:r>
      <w:r>
        <w:rPr>
          <w:rFonts w:hint="eastAsia" w:hAnsi="Times New Roman" w:cs="Times New Roman"/>
          <w:color w:val="auto"/>
          <w:highlight w:val="none"/>
        </w:rPr>
        <w:t>开放</w:t>
      </w:r>
      <w:bookmarkEnd w:id="53"/>
    </w:p>
    <w:p w14:paraId="5808967A">
      <w:pPr>
        <w:pStyle w:val="168"/>
        <w:numPr>
          <w:ilvl w:val="3"/>
          <w:numId w:val="0"/>
        </w:numPr>
        <w:ind w:leftChars="0"/>
        <w:rPr>
          <w:rFonts w:hint="default"/>
          <w:color w:val="auto"/>
          <w:highlight w:val="none"/>
          <w:lang w:val="en-US" w:eastAsia="zh-CN"/>
        </w:rPr>
      </w:pPr>
      <w:r>
        <w:rPr>
          <w:rFonts w:hint="eastAsia"/>
          <w:color w:val="auto"/>
          <w:highlight w:val="none"/>
          <w:lang w:val="en-US" w:eastAsia="zh-CN"/>
        </w:rPr>
        <w:t xml:space="preserve">    开放是指任何符合既定条件的相关方都能够加入相应的标准化机构，参与文件制定活动等。</w:t>
      </w:r>
      <w:r>
        <w:rPr>
          <w:color w:val="auto"/>
          <w:highlight w:val="none"/>
        </w:rPr>
        <w:t>标准制定活动</w:t>
      </w:r>
      <w:r>
        <w:rPr>
          <w:rFonts w:hint="eastAsia"/>
          <w:color w:val="auto"/>
          <w:highlight w:val="none"/>
          <w:lang w:eastAsia="zh-CN"/>
        </w:rPr>
        <w:t>的参与宜</w:t>
      </w:r>
      <w:r>
        <w:rPr>
          <w:rFonts w:hint="eastAsia"/>
          <w:color w:val="auto"/>
          <w:highlight w:val="none"/>
        </w:rPr>
        <w:t>不分国籍、不论身份，</w:t>
      </w:r>
      <w:r>
        <w:rPr>
          <w:color w:val="auto"/>
          <w:highlight w:val="none"/>
        </w:rPr>
        <w:t>向直接和实质上受相关活动影响的人开放</w:t>
      </w:r>
      <w:r>
        <w:rPr>
          <w:rFonts w:hint="eastAsia"/>
          <w:color w:val="auto"/>
          <w:highlight w:val="none"/>
          <w:lang w:eastAsia="zh-CN"/>
        </w:rPr>
        <w:t>，</w:t>
      </w:r>
      <w:r>
        <w:rPr>
          <w:rFonts w:hint="eastAsia"/>
          <w:color w:val="auto"/>
          <w:highlight w:val="none"/>
          <w:lang w:val="en-US" w:eastAsia="zh-CN"/>
        </w:rPr>
        <w:t>并主动</w:t>
      </w:r>
      <w:r>
        <w:rPr>
          <w:rFonts w:hint="eastAsia"/>
          <w:color w:val="auto"/>
          <w:highlight w:val="none"/>
          <w:lang w:eastAsia="zh-CN"/>
        </w:rPr>
        <w:t>吸纳国内外相关方共同参与标准制定。</w:t>
      </w:r>
    </w:p>
    <w:p w14:paraId="2805F562">
      <w:pPr>
        <w:pStyle w:val="108"/>
        <w:numPr>
          <w:ilvl w:val="2"/>
          <w:numId w:val="0"/>
        </w:numPr>
        <w:spacing w:before="156" w:after="156"/>
        <w:ind w:leftChars="0"/>
        <w:rPr>
          <w:rFonts w:hint="eastAsia" w:hAnsi="Times New Roman" w:cs="Times New Roman"/>
          <w:color w:val="auto"/>
          <w:highlight w:val="none"/>
          <w:lang w:val="en-US" w:eastAsia="zh-CN"/>
        </w:rPr>
      </w:pPr>
      <w:bookmarkStart w:id="54" w:name="_Toc10335"/>
      <w:r>
        <w:rPr>
          <w:rFonts w:hint="eastAsia" w:cs="Times New Roman"/>
          <w:color w:val="auto"/>
          <w:highlight w:val="none"/>
          <w:lang w:val="en-US" w:eastAsia="zh-CN"/>
        </w:rPr>
        <w:t xml:space="preserve">6.1.2  </w:t>
      </w:r>
      <w:r>
        <w:rPr>
          <w:rFonts w:hint="eastAsia" w:hAnsi="Times New Roman" w:cs="Times New Roman"/>
          <w:color w:val="auto"/>
          <w:highlight w:val="none"/>
          <w:lang w:val="en-US" w:eastAsia="zh-CN"/>
        </w:rPr>
        <w:t>协商一致</w:t>
      </w:r>
      <w:bookmarkEnd w:id="54"/>
    </w:p>
    <w:p w14:paraId="644D3AF8">
      <w:pPr>
        <w:pStyle w:val="168"/>
        <w:numPr>
          <w:ilvl w:val="3"/>
          <w:numId w:val="0"/>
        </w:numPr>
        <w:ind w:leftChars="0"/>
        <w:rPr>
          <w:rFonts w:hint="eastAsia" w:hAnsi="Times New Roman" w:eastAsia="宋体" w:cs="Times New Roman"/>
          <w:color w:val="auto"/>
          <w:highlight w:val="none"/>
          <w:lang w:eastAsia="zh-CN"/>
        </w:rPr>
      </w:pPr>
      <w:r>
        <w:rPr>
          <w:rFonts w:hint="eastAsia" w:cs="Times New Roman"/>
          <w:color w:val="auto"/>
          <w:highlight w:val="none"/>
          <w:lang w:val="en-US" w:eastAsia="zh-CN"/>
        </w:rPr>
        <w:t xml:space="preserve">   </w:t>
      </w:r>
      <w:r>
        <w:rPr>
          <w:rFonts w:hint="eastAsia"/>
          <w:color w:val="auto"/>
          <w:highlight w:val="none"/>
          <w:lang w:val="en-US" w:eastAsia="zh-CN"/>
        </w:rPr>
        <w:t xml:space="preserve"> 协商一致是指形成的文件获得参与者普遍同意。</w:t>
      </w:r>
      <w:r>
        <w:rPr>
          <w:rFonts w:hint="eastAsia"/>
          <w:color w:val="auto"/>
          <w:highlight w:val="none"/>
        </w:rPr>
        <w:t>标准制定</w:t>
      </w:r>
      <w:r>
        <w:rPr>
          <w:rFonts w:hint="eastAsia"/>
          <w:color w:val="auto"/>
          <w:highlight w:val="none"/>
          <w:lang w:eastAsia="zh-CN"/>
        </w:rPr>
        <w:t>过程宜</w:t>
      </w:r>
      <w:r>
        <w:rPr>
          <w:rFonts w:hint="eastAsia"/>
          <w:color w:val="auto"/>
          <w:highlight w:val="none"/>
          <w:lang w:val="en-US" w:eastAsia="zh-CN"/>
        </w:rPr>
        <w:t>考虑利益相关方的不同观点，</w:t>
      </w:r>
      <w:r>
        <w:rPr>
          <w:rFonts w:hint="eastAsia"/>
          <w:color w:val="auto"/>
          <w:highlight w:val="none"/>
        </w:rPr>
        <w:t>防止由于</w:t>
      </w:r>
      <w:r>
        <w:rPr>
          <w:rFonts w:hint="eastAsia"/>
          <w:color w:val="auto"/>
          <w:highlight w:val="none"/>
          <w:lang w:val="en-US" w:eastAsia="zh-CN"/>
        </w:rPr>
        <w:t>外国</w:t>
      </w:r>
      <w:r>
        <w:rPr>
          <w:rFonts w:hint="eastAsia"/>
          <w:color w:val="auto"/>
          <w:highlight w:val="none"/>
          <w:lang w:eastAsia="zh-CN"/>
        </w:rPr>
        <w:t>专家</w:t>
      </w:r>
      <w:r>
        <w:rPr>
          <w:rFonts w:hint="eastAsia"/>
          <w:color w:val="auto"/>
          <w:highlight w:val="none"/>
        </w:rPr>
        <w:t>参与、远程参与等因素，造成任意一方占据主导地位或利用其优势地位、权威性、领导力或影响力，排斥对其他国际参与者观点的公正考量。</w:t>
      </w:r>
    </w:p>
    <w:p w14:paraId="4CEA39F6">
      <w:pPr>
        <w:pStyle w:val="108"/>
        <w:numPr>
          <w:ilvl w:val="2"/>
          <w:numId w:val="0"/>
        </w:numPr>
        <w:spacing w:before="156" w:after="156"/>
        <w:ind w:leftChars="0"/>
        <w:rPr>
          <w:rFonts w:hint="eastAsia" w:eastAsia="黑体"/>
          <w:color w:val="auto"/>
          <w:highlight w:val="none"/>
          <w:lang w:eastAsia="zh-CN"/>
        </w:rPr>
      </w:pPr>
      <w:bookmarkStart w:id="55" w:name="_Toc10354"/>
      <w:r>
        <w:rPr>
          <w:rFonts w:hint="eastAsia" w:cs="Times New Roman"/>
          <w:color w:val="auto"/>
          <w:highlight w:val="none"/>
          <w:lang w:val="en-US" w:eastAsia="zh-CN"/>
        </w:rPr>
        <w:t xml:space="preserve">6.1.3  </w:t>
      </w:r>
      <w:r>
        <w:rPr>
          <w:rFonts w:hint="eastAsia"/>
          <w:color w:val="auto"/>
          <w:highlight w:val="none"/>
          <w:lang w:val="en-US" w:eastAsia="zh-CN"/>
        </w:rPr>
        <w:t>透明</w:t>
      </w:r>
      <w:bookmarkEnd w:id="55"/>
    </w:p>
    <w:p w14:paraId="357EAE6C">
      <w:pPr>
        <w:pStyle w:val="168"/>
        <w:numPr>
          <w:ilvl w:val="3"/>
          <w:numId w:val="0"/>
        </w:numPr>
        <w:ind w:leftChars="0"/>
        <w:rPr>
          <w:rFonts w:hint="eastAsia"/>
          <w:color w:val="auto"/>
          <w:highlight w:val="none"/>
        </w:rPr>
      </w:pPr>
      <w:r>
        <w:rPr>
          <w:rFonts w:hint="eastAsia"/>
          <w:color w:val="auto"/>
          <w:highlight w:val="none"/>
          <w:lang w:val="en-US" w:eastAsia="zh-CN"/>
        </w:rPr>
        <w:t xml:space="preserve">    透明是指标准化机构在一定范围内向社会公开其制度和决策文件制定过程中的有关信息。</w:t>
      </w:r>
      <w:r>
        <w:rPr>
          <w:color w:val="auto"/>
          <w:highlight w:val="none"/>
        </w:rPr>
        <w:t>标准制定活动</w:t>
      </w:r>
      <w:r>
        <w:rPr>
          <w:rFonts w:hint="eastAsia"/>
          <w:color w:val="auto"/>
          <w:highlight w:val="none"/>
          <w:lang w:eastAsia="zh-CN"/>
        </w:rPr>
        <w:t>信息宜</w:t>
      </w:r>
      <w:r>
        <w:rPr>
          <w:rFonts w:hint="eastAsia"/>
          <w:color w:val="auto"/>
          <w:highlight w:val="none"/>
          <w:lang w:val="en-US" w:eastAsia="zh-CN"/>
        </w:rPr>
        <w:t>及时通过公开、适当的渠道对外发布</w:t>
      </w:r>
      <w:r>
        <w:rPr>
          <w:rFonts w:hint="eastAsia"/>
          <w:color w:val="auto"/>
          <w:highlight w:val="none"/>
        </w:rPr>
        <w:t xml:space="preserve">，为国内外各利益相关方实质性参与标准活动提供便利。 </w:t>
      </w:r>
    </w:p>
    <w:p w14:paraId="1A6DD7DD">
      <w:pPr>
        <w:pStyle w:val="108"/>
        <w:spacing w:before="156" w:after="156"/>
        <w:rPr>
          <w:rFonts w:hint="eastAsia" w:cs="Times New Roman"/>
          <w:color w:val="auto"/>
          <w:highlight w:val="none"/>
          <w:lang w:eastAsia="zh-CN"/>
        </w:rPr>
      </w:pPr>
      <w:bookmarkStart w:id="56" w:name="_Toc29492"/>
      <w:bookmarkStart w:id="57" w:name="OLE_LINK11"/>
      <w:r>
        <w:rPr>
          <w:rFonts w:hint="eastAsia" w:cs="Times New Roman"/>
          <w:color w:val="auto"/>
          <w:highlight w:val="none"/>
          <w:lang w:eastAsia="zh-CN"/>
        </w:rPr>
        <w:t>程序</w:t>
      </w:r>
      <w:bookmarkEnd w:id="56"/>
    </w:p>
    <w:bookmarkEnd w:id="57"/>
    <w:p w14:paraId="5179AB3D">
      <w:pPr>
        <w:pStyle w:val="108"/>
        <w:numPr>
          <w:ilvl w:val="2"/>
          <w:numId w:val="0"/>
        </w:numPr>
        <w:spacing w:before="156" w:after="156"/>
        <w:ind w:leftChars="0"/>
        <w:rPr>
          <w:rFonts w:hint="default" w:cs="Times New Roman"/>
          <w:color w:val="auto"/>
          <w:highlight w:val="none"/>
          <w:lang w:val="en-US" w:eastAsia="zh-CN"/>
        </w:rPr>
      </w:pPr>
      <w:bookmarkStart w:id="58" w:name="_Toc3652"/>
      <w:r>
        <w:rPr>
          <w:rFonts w:hint="eastAsia" w:cs="Times New Roman"/>
          <w:color w:val="auto"/>
          <w:highlight w:val="none"/>
          <w:lang w:val="en-US" w:eastAsia="zh-CN"/>
        </w:rPr>
        <w:t>6.2.1  阶段</w:t>
      </w:r>
      <w:bookmarkEnd w:id="58"/>
    </w:p>
    <w:p w14:paraId="4AD25DC0">
      <w:pPr>
        <w:pStyle w:val="168"/>
        <w:numPr>
          <w:ilvl w:val="3"/>
          <w:numId w:val="0"/>
        </w:numPr>
        <w:ind w:leftChars="0" w:firstLine="420"/>
        <w:rPr>
          <w:rFonts w:hint="eastAsia" w:hAnsi="Times New Roman" w:cs="Times New Roman"/>
          <w:color w:val="auto"/>
          <w:highlight w:val="none"/>
          <w:lang w:val="en-US" w:eastAsia="zh-CN"/>
        </w:rPr>
      </w:pPr>
      <w:r>
        <w:rPr>
          <w:rFonts w:hint="eastAsia" w:cs="Times New Roman"/>
          <w:color w:val="auto"/>
          <w:highlight w:val="none"/>
          <w:lang w:val="en-US" w:eastAsia="zh-CN"/>
        </w:rPr>
        <w:t>标准化机构的</w:t>
      </w:r>
      <w:r>
        <w:rPr>
          <w:rFonts w:hint="eastAsia" w:hAnsi="Times New Roman" w:cs="Times New Roman"/>
          <w:color w:val="auto"/>
          <w:highlight w:val="none"/>
          <w:lang w:val="en-US" w:eastAsia="zh-CN"/>
        </w:rPr>
        <w:t>标准制定程序</w:t>
      </w:r>
      <w:r>
        <w:rPr>
          <w:rFonts w:hint="eastAsia"/>
          <w:color w:val="auto"/>
          <w:highlight w:val="none"/>
          <w:lang w:eastAsia="zh-CN"/>
        </w:rPr>
        <w:t>宜</w:t>
      </w:r>
      <w:r>
        <w:rPr>
          <w:rFonts w:hint="eastAsia" w:hAnsi="Times New Roman" w:cs="Times New Roman"/>
          <w:color w:val="auto"/>
          <w:highlight w:val="none"/>
          <w:lang w:val="en-US" w:eastAsia="zh-CN"/>
        </w:rPr>
        <w:t>予以</w:t>
      </w:r>
      <w:r>
        <w:rPr>
          <w:rFonts w:hint="eastAsia" w:cs="Times New Roman"/>
          <w:color w:val="auto"/>
          <w:highlight w:val="none"/>
          <w:lang w:val="en-US" w:eastAsia="zh-CN"/>
        </w:rPr>
        <w:t>公开</w:t>
      </w:r>
      <w:r>
        <w:rPr>
          <w:rFonts w:hint="eastAsia" w:hAnsi="Times New Roman" w:cs="Times New Roman"/>
          <w:color w:val="auto"/>
          <w:highlight w:val="none"/>
          <w:lang w:val="en-US" w:eastAsia="zh-CN"/>
        </w:rPr>
        <w:t>发布并实施，</w:t>
      </w:r>
      <w:r>
        <w:rPr>
          <w:rFonts w:hint="eastAsia" w:cs="Times New Roman"/>
          <w:color w:val="auto"/>
          <w:highlight w:val="none"/>
          <w:lang w:val="en-US" w:eastAsia="zh-CN"/>
        </w:rPr>
        <w:t>并</w:t>
      </w:r>
      <w:r>
        <w:rPr>
          <w:rFonts w:hint="eastAsia" w:hAnsi="Times New Roman" w:cs="Times New Roman"/>
          <w:color w:val="auto"/>
          <w:highlight w:val="none"/>
          <w:lang w:val="en-US" w:eastAsia="zh-CN"/>
        </w:rPr>
        <w:t>至少包含</w:t>
      </w:r>
      <w:r>
        <w:rPr>
          <w:rFonts w:hint="eastAsia" w:cs="Times New Roman"/>
          <w:color w:val="auto"/>
          <w:highlight w:val="none"/>
          <w:lang w:val="en-US" w:eastAsia="zh-CN"/>
        </w:rPr>
        <w:t>预备</w:t>
      </w:r>
      <w:r>
        <w:rPr>
          <w:rFonts w:hint="eastAsia" w:hAnsi="Times New Roman" w:cs="Times New Roman"/>
          <w:color w:val="auto"/>
          <w:highlight w:val="none"/>
          <w:lang w:val="en-US" w:eastAsia="zh-CN"/>
        </w:rPr>
        <w:t>、立项、起草、征求意见、</w:t>
      </w:r>
      <w:r>
        <w:rPr>
          <w:rFonts w:hint="eastAsia" w:cs="Times New Roman"/>
          <w:color w:val="auto"/>
          <w:highlight w:val="none"/>
          <w:lang w:val="en-US" w:eastAsia="zh-CN"/>
        </w:rPr>
        <w:t>技术审查和批准发布</w:t>
      </w:r>
      <w:r>
        <w:rPr>
          <w:rFonts w:hint="eastAsia" w:hAnsi="Times New Roman" w:cs="Times New Roman"/>
          <w:color w:val="auto"/>
          <w:highlight w:val="none"/>
          <w:lang w:val="en-US" w:eastAsia="zh-CN"/>
        </w:rPr>
        <w:t>等阶段，可根据组织国际</w:t>
      </w:r>
      <w:r>
        <w:rPr>
          <w:rFonts w:hint="eastAsia" w:cs="Times New Roman"/>
          <w:color w:val="auto"/>
          <w:highlight w:val="none"/>
          <w:lang w:val="en-US" w:eastAsia="zh-CN"/>
        </w:rPr>
        <w:t>化运作</w:t>
      </w:r>
      <w:r>
        <w:rPr>
          <w:rFonts w:hint="eastAsia" w:hAnsi="Times New Roman" w:cs="Times New Roman"/>
          <w:color w:val="auto"/>
          <w:highlight w:val="none"/>
          <w:lang w:val="en-US" w:eastAsia="zh-CN"/>
        </w:rPr>
        <w:t>需要进行增加、调整</w:t>
      </w:r>
      <w:r>
        <w:rPr>
          <w:rFonts w:hint="eastAsia" w:cs="Times New Roman"/>
          <w:color w:val="auto"/>
          <w:highlight w:val="none"/>
          <w:lang w:val="en-US" w:eastAsia="zh-CN"/>
        </w:rPr>
        <w:t>和</w:t>
      </w:r>
      <w:r>
        <w:rPr>
          <w:rFonts w:hint="eastAsia" w:hAnsi="Times New Roman" w:cs="Times New Roman"/>
          <w:color w:val="auto"/>
          <w:highlight w:val="none"/>
          <w:lang w:val="en-US" w:eastAsia="zh-CN"/>
        </w:rPr>
        <w:t>细化。</w:t>
      </w:r>
    </w:p>
    <w:p w14:paraId="6215D93E">
      <w:pPr>
        <w:pStyle w:val="108"/>
        <w:numPr>
          <w:ilvl w:val="2"/>
          <w:numId w:val="0"/>
        </w:numPr>
        <w:spacing w:before="156" w:after="156"/>
        <w:ind w:leftChars="0"/>
        <w:rPr>
          <w:rFonts w:hint="eastAsia" w:cs="Times New Roman"/>
          <w:color w:val="auto"/>
          <w:highlight w:val="none"/>
          <w:lang w:val="en-US" w:eastAsia="zh-CN"/>
        </w:rPr>
      </w:pPr>
      <w:bookmarkStart w:id="59" w:name="_Toc30796"/>
      <w:r>
        <w:rPr>
          <w:rFonts w:hint="eastAsia" w:cs="Times New Roman"/>
          <w:color w:val="auto"/>
          <w:highlight w:val="none"/>
          <w:lang w:val="en-US" w:eastAsia="zh-CN"/>
        </w:rPr>
        <w:t xml:space="preserve">6.2.2  </w:t>
      </w:r>
      <w:bookmarkEnd w:id="59"/>
      <w:r>
        <w:rPr>
          <w:rFonts w:hint="eastAsia" w:cs="Times New Roman"/>
          <w:color w:val="auto"/>
          <w:highlight w:val="none"/>
          <w:lang w:val="en-US" w:eastAsia="zh-CN"/>
        </w:rPr>
        <w:t>预备阶段</w:t>
      </w:r>
    </w:p>
    <w:p w14:paraId="0D8C38B1">
      <w:pPr>
        <w:pStyle w:val="168"/>
        <w:numPr>
          <w:ilvl w:val="3"/>
          <w:numId w:val="0"/>
        </w:numPr>
        <w:ind w:leftChars="0" w:firstLine="420" w:firstLineChars="200"/>
        <w:rPr>
          <w:rFonts w:hint="eastAsia"/>
          <w:color w:val="auto"/>
          <w:highlight w:val="none"/>
          <w:lang w:eastAsia="zh-CN"/>
        </w:rPr>
      </w:pPr>
      <w:r>
        <w:rPr>
          <w:rFonts w:hint="eastAsia"/>
          <w:color w:val="auto"/>
          <w:highlight w:val="none"/>
          <w:lang w:eastAsia="zh-CN"/>
        </w:rPr>
        <w:t>预备阶段的主要工作是形成项目提案。在提案阶段的国际化运作方法包括但不限于：</w:t>
      </w:r>
    </w:p>
    <w:p w14:paraId="06D71443">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a)  坚持高质量、严要求的标准建设目标，设立国际优势明显、特色鲜明的标准制修订项目；</w:t>
      </w:r>
    </w:p>
    <w:p w14:paraId="2F90CD02">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b)  开展国际标准体系覆盖领域的重合性研究，挖掘和探索国际标准化组织（ISO）、国际电工委员会（IEC）、国际电信联盟（ITU）等国际、国外组织已覆盖领域之外的新技术、新领域标准化需求；</w:t>
      </w:r>
    </w:p>
    <w:p w14:paraId="4C67AD60">
      <w:pPr>
        <w:pStyle w:val="168"/>
        <w:numPr>
          <w:ilvl w:val="3"/>
          <w:numId w:val="0"/>
        </w:numPr>
        <w:ind w:leftChars="0" w:firstLine="420" w:firstLineChars="200"/>
        <w:rPr>
          <w:rFonts w:hint="default"/>
          <w:color w:val="auto"/>
          <w:highlight w:val="none"/>
          <w:lang w:val="en-US" w:eastAsia="zh-CN"/>
        </w:rPr>
      </w:pPr>
      <w:r>
        <w:rPr>
          <w:rFonts w:hint="eastAsia"/>
          <w:color w:val="auto"/>
          <w:highlight w:val="none"/>
          <w:lang w:val="en-US" w:eastAsia="zh-CN"/>
        </w:rPr>
        <w:t>c)  关注标准的国际市场发展需求和实际应用，提案建议书应要求充分表述标准制修订项目的国际、国外市场、技术和标准发展情况；</w:t>
      </w:r>
    </w:p>
    <w:p w14:paraId="779AF7D6">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 xml:space="preserve">d）  </w:t>
      </w:r>
      <w:r>
        <w:rPr>
          <w:rFonts w:hint="eastAsia"/>
          <w:color w:val="auto"/>
          <w:highlight w:val="none"/>
          <w:lang w:eastAsia="zh-CN"/>
        </w:rPr>
        <w:t>探索标准解决方案形式的创新，例如根据实际需求和技术发展形成具有国际影响力的标准化文件，包括但不限于公认文件、公开规范、研讨会协议、实践指南、社区指南等</w:t>
      </w:r>
      <w:r>
        <w:rPr>
          <w:rFonts w:hint="eastAsia"/>
          <w:color w:val="auto"/>
          <w:highlight w:val="none"/>
          <w:lang w:val="en-US" w:eastAsia="zh-CN"/>
        </w:rPr>
        <w:t>；</w:t>
      </w:r>
    </w:p>
    <w:p w14:paraId="6C5890CE">
      <w:pPr>
        <w:pStyle w:val="168"/>
        <w:numPr>
          <w:ilvl w:val="3"/>
          <w:numId w:val="0"/>
        </w:numPr>
        <w:ind w:leftChars="0" w:firstLine="420" w:firstLineChars="200"/>
        <w:rPr>
          <w:rFonts w:hint="eastAsia"/>
          <w:color w:val="auto"/>
          <w:highlight w:val="none"/>
          <w:lang w:eastAsia="zh-CN"/>
        </w:rPr>
      </w:pPr>
      <w:r>
        <w:rPr>
          <w:rFonts w:hint="eastAsia"/>
          <w:color w:val="auto"/>
          <w:highlight w:val="none"/>
          <w:lang w:val="en-US" w:eastAsia="zh-CN"/>
        </w:rPr>
        <w:t>e）  为外国专家提供语言帮助，视情况需要通过设立外国专家对应语言特别会议、指派沟通专员等举措，鼓励外国专家主导或共同参与标准提案的研制</w:t>
      </w:r>
      <w:r>
        <w:rPr>
          <w:rFonts w:hint="eastAsia"/>
          <w:color w:val="auto"/>
          <w:highlight w:val="none"/>
          <w:lang w:eastAsia="zh-CN"/>
        </w:rPr>
        <w:t>。</w:t>
      </w:r>
    </w:p>
    <w:p w14:paraId="625DC92C">
      <w:pPr>
        <w:pStyle w:val="108"/>
        <w:numPr>
          <w:ilvl w:val="2"/>
          <w:numId w:val="0"/>
        </w:numPr>
        <w:spacing w:before="156" w:after="156"/>
        <w:ind w:leftChars="0"/>
        <w:rPr>
          <w:rFonts w:hint="eastAsia" w:cs="Times New Roman"/>
          <w:color w:val="auto"/>
          <w:highlight w:val="none"/>
          <w:lang w:val="en-US" w:eastAsia="zh-CN"/>
        </w:rPr>
      </w:pPr>
      <w:bookmarkStart w:id="60" w:name="_Toc17402"/>
      <w:r>
        <w:rPr>
          <w:rFonts w:hint="eastAsia" w:cs="Times New Roman"/>
          <w:color w:val="auto"/>
          <w:highlight w:val="none"/>
          <w:lang w:val="en-US" w:eastAsia="zh-CN"/>
        </w:rPr>
        <w:t>6.2.3  立项</w:t>
      </w:r>
      <w:bookmarkEnd w:id="60"/>
      <w:r>
        <w:rPr>
          <w:rFonts w:hint="eastAsia" w:cs="Times New Roman"/>
          <w:color w:val="auto"/>
          <w:highlight w:val="none"/>
          <w:lang w:val="en-US" w:eastAsia="zh-CN"/>
        </w:rPr>
        <w:t>阶段</w:t>
      </w:r>
    </w:p>
    <w:p w14:paraId="062B931B">
      <w:pPr>
        <w:pStyle w:val="168"/>
        <w:numPr>
          <w:ilvl w:val="3"/>
          <w:numId w:val="0"/>
        </w:numPr>
        <w:ind w:leftChars="0" w:firstLine="420" w:firstLineChars="200"/>
        <w:rPr>
          <w:rFonts w:hint="default"/>
          <w:color w:val="auto"/>
          <w:highlight w:val="none"/>
          <w:lang w:val="en-US" w:eastAsia="zh-CN"/>
        </w:rPr>
      </w:pPr>
      <w:r>
        <w:rPr>
          <w:rFonts w:hint="eastAsia"/>
          <w:color w:val="auto"/>
          <w:highlight w:val="none"/>
          <w:lang w:val="en-US" w:eastAsia="zh-CN"/>
        </w:rPr>
        <w:t>立项阶段的主要工作是</w:t>
      </w:r>
      <w:r>
        <w:rPr>
          <w:rFonts w:hint="eastAsia"/>
          <w:color w:val="auto"/>
          <w:highlight w:val="none"/>
          <w:lang w:eastAsia="zh-CN"/>
        </w:rPr>
        <w:t>审核项目提案和立项</w:t>
      </w:r>
      <w:r>
        <w:rPr>
          <w:rFonts w:hint="eastAsia"/>
          <w:color w:val="auto"/>
          <w:highlight w:val="none"/>
          <w:lang w:val="en-US" w:eastAsia="zh-CN"/>
        </w:rPr>
        <w:t>。在立项阶段</w:t>
      </w:r>
      <w:r>
        <w:rPr>
          <w:rFonts w:hint="eastAsia"/>
          <w:color w:val="auto"/>
          <w:highlight w:val="none"/>
          <w:lang w:eastAsia="zh-CN"/>
        </w:rPr>
        <w:t>的国际化运作方法包括但不限于：</w:t>
      </w:r>
    </w:p>
    <w:p w14:paraId="1BA799BC">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a)  聚焦新技术、新产业、新业态模式，以市场性、创新性、引领性为原则，并充分考虑</w:t>
      </w:r>
      <w:r>
        <w:rPr>
          <w:rFonts w:hint="eastAsia"/>
          <w:color w:val="auto"/>
          <w:highlight w:val="none"/>
          <w:u w:val="none"/>
          <w:lang w:val="en-US" w:eastAsia="zh-CN"/>
        </w:rPr>
        <w:t>产业高质量发展指导意见，</w:t>
      </w:r>
      <w:r>
        <w:rPr>
          <w:rFonts w:hint="eastAsia"/>
          <w:color w:val="auto"/>
          <w:highlight w:val="none"/>
          <w:lang w:val="en-US" w:eastAsia="zh-CN"/>
        </w:rPr>
        <w:t>建立标准审议评价机制，重点关注提案内容的国际需求和国际先进性；</w:t>
      </w:r>
    </w:p>
    <w:p w14:paraId="64498716">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b)  邀请具有国际标准化、国际技术合作经验的第三方机构参与提案编写或评估程序；</w:t>
      </w:r>
    </w:p>
    <w:p w14:paraId="7E3C1BED">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c)  在全体成员（委员或会员）范围内通报标准制修订项目计划，以便国际成员（委员或会员）参与标准编制工作或发表意见；</w:t>
      </w:r>
    </w:p>
    <w:p w14:paraId="5A22B3DA">
      <w:pPr>
        <w:pStyle w:val="168"/>
        <w:numPr>
          <w:ilvl w:val="3"/>
          <w:numId w:val="0"/>
        </w:numPr>
        <w:ind w:leftChars="0" w:firstLine="420" w:firstLineChars="200"/>
        <w:rPr>
          <w:rFonts w:hint="eastAsia"/>
          <w:color w:val="auto"/>
          <w:highlight w:val="none"/>
          <w:lang w:val="en-US" w:eastAsia="zh-CN"/>
        </w:rPr>
      </w:pPr>
      <w:r>
        <w:rPr>
          <w:rFonts w:hint="eastAsia"/>
          <w:color w:val="auto"/>
          <w:highlight w:val="none"/>
          <w:lang w:val="en-US" w:eastAsia="zh-CN"/>
        </w:rPr>
        <w:t>d)  对外公布标准制修订项目计划，吸引国内外感兴趣的相关方主动参与。</w:t>
      </w:r>
    </w:p>
    <w:p w14:paraId="52C11936">
      <w:pPr>
        <w:pStyle w:val="108"/>
        <w:numPr>
          <w:ilvl w:val="2"/>
          <w:numId w:val="0"/>
        </w:numPr>
        <w:spacing w:before="156" w:after="156"/>
        <w:ind w:leftChars="0"/>
        <w:rPr>
          <w:rFonts w:hint="eastAsia" w:cs="Times New Roman"/>
          <w:color w:val="auto"/>
          <w:highlight w:val="none"/>
          <w:lang w:val="en-US" w:eastAsia="zh-CN"/>
        </w:rPr>
      </w:pPr>
      <w:bookmarkStart w:id="61" w:name="_Toc20810"/>
      <w:r>
        <w:rPr>
          <w:rFonts w:hint="eastAsia" w:cs="Times New Roman"/>
          <w:color w:val="auto"/>
          <w:highlight w:val="none"/>
          <w:lang w:val="en-US" w:eastAsia="zh-CN"/>
        </w:rPr>
        <w:t>6.2.4  起草</w:t>
      </w:r>
      <w:bookmarkEnd w:id="61"/>
      <w:r>
        <w:rPr>
          <w:rFonts w:hint="eastAsia" w:cs="Times New Roman"/>
          <w:color w:val="auto"/>
          <w:highlight w:val="none"/>
          <w:lang w:val="en-US" w:eastAsia="zh-CN"/>
        </w:rPr>
        <w:t>阶段</w:t>
      </w:r>
    </w:p>
    <w:p w14:paraId="178D9DDD">
      <w:pPr>
        <w:pStyle w:val="59"/>
        <w:ind w:left="0" w:leftChars="0" w:firstLine="420" w:firstLineChars="0"/>
        <w:rPr>
          <w:rFonts w:hint="default"/>
          <w:color w:val="auto"/>
          <w:highlight w:val="none"/>
          <w:lang w:val="en-US" w:eastAsia="zh-CN"/>
        </w:rPr>
      </w:pPr>
      <w:r>
        <w:rPr>
          <w:rFonts w:hint="eastAsia"/>
          <w:color w:val="auto"/>
          <w:highlight w:val="none"/>
          <w:lang w:val="en-US" w:eastAsia="zh-CN"/>
        </w:rPr>
        <w:t>起草阶段的主要工作是</w:t>
      </w:r>
      <w:r>
        <w:rPr>
          <w:rFonts w:hint="eastAsia"/>
          <w:color w:val="auto"/>
          <w:highlight w:val="none"/>
          <w:lang w:eastAsia="zh-CN"/>
        </w:rPr>
        <w:t>按照项目立项计划起草工作组讨论稿，并形成征求意见稿</w:t>
      </w:r>
      <w:r>
        <w:rPr>
          <w:rFonts w:hint="eastAsia"/>
          <w:color w:val="auto"/>
          <w:highlight w:val="none"/>
          <w:lang w:val="en-US" w:eastAsia="zh-CN"/>
        </w:rPr>
        <w:t>。在起草阶段</w:t>
      </w:r>
      <w:r>
        <w:rPr>
          <w:rFonts w:hint="eastAsia"/>
          <w:color w:val="auto"/>
          <w:highlight w:val="none"/>
          <w:lang w:eastAsia="zh-CN"/>
        </w:rPr>
        <w:t>的国际化运作方法包括但不限于：</w:t>
      </w:r>
    </w:p>
    <w:p w14:paraId="686EC088">
      <w:pPr>
        <w:pStyle w:val="59"/>
        <w:ind w:left="0" w:leftChars="0" w:firstLine="420" w:firstLineChars="0"/>
        <w:rPr>
          <w:rFonts w:hint="eastAsia"/>
          <w:color w:val="auto"/>
          <w:highlight w:val="none"/>
          <w:lang w:eastAsia="zh-CN"/>
        </w:rPr>
      </w:pPr>
      <w:r>
        <w:rPr>
          <w:rFonts w:hint="eastAsia"/>
          <w:color w:val="auto"/>
          <w:highlight w:val="none"/>
          <w:lang w:val="en-US" w:eastAsia="zh-CN"/>
        </w:rPr>
        <w:t>a)  主动联系同组织的外国专家，</w:t>
      </w:r>
      <w:r>
        <w:rPr>
          <w:rFonts w:hint="eastAsia"/>
          <w:color w:val="auto"/>
          <w:highlight w:val="none"/>
          <w:lang w:eastAsia="zh-CN"/>
        </w:rPr>
        <w:t>组建由国内外相关方共同组成的标准起草组；</w:t>
      </w:r>
    </w:p>
    <w:p w14:paraId="5B668800">
      <w:pPr>
        <w:pStyle w:val="59"/>
        <w:ind w:left="0" w:leftChars="0" w:firstLine="420" w:firstLineChars="0"/>
        <w:rPr>
          <w:rFonts w:hint="eastAsia"/>
          <w:color w:val="auto"/>
          <w:highlight w:val="none"/>
          <w:lang w:val="en-US" w:eastAsia="zh-CN"/>
        </w:rPr>
      </w:pPr>
      <w:r>
        <w:rPr>
          <w:rFonts w:hint="eastAsia"/>
          <w:color w:val="auto"/>
          <w:highlight w:val="none"/>
          <w:lang w:val="en-US" w:eastAsia="zh-CN"/>
        </w:rPr>
        <w:t>b)  通过技术交流、征询意见等方式，鼓励国际会员主导或参与已立项标准的起草过程，如调查分析、实验和验证等；</w:t>
      </w:r>
    </w:p>
    <w:p w14:paraId="461B2F47">
      <w:pPr>
        <w:pStyle w:val="168"/>
        <w:numPr>
          <w:ilvl w:val="3"/>
          <w:numId w:val="0"/>
        </w:numPr>
        <w:ind w:leftChars="0" w:firstLine="420" w:firstLineChars="200"/>
        <w:rPr>
          <w:rFonts w:hint="eastAsia"/>
          <w:color w:val="auto"/>
          <w:highlight w:val="none"/>
          <w:lang w:eastAsia="zh-CN"/>
        </w:rPr>
      </w:pPr>
      <w:r>
        <w:rPr>
          <w:rFonts w:hint="eastAsia"/>
          <w:color w:val="auto"/>
          <w:highlight w:val="none"/>
          <w:lang w:val="en-US" w:eastAsia="zh-CN"/>
        </w:rPr>
        <w:t>c)  为外国专家提供语言帮助，视情况需要通过设立外国专家对应语言特别会议、指派沟通专员等举措，鼓励外国专家主导或共同参与标准提案的研制；</w:t>
      </w:r>
    </w:p>
    <w:p w14:paraId="6D825F8B">
      <w:pPr>
        <w:pStyle w:val="59"/>
        <w:ind w:left="0" w:leftChars="0" w:firstLine="420" w:firstLineChars="0"/>
        <w:rPr>
          <w:rFonts w:hint="eastAsia"/>
          <w:color w:val="auto"/>
          <w:highlight w:val="none"/>
          <w:lang w:val="en-US" w:eastAsia="zh-CN"/>
        </w:rPr>
      </w:pPr>
      <w:r>
        <w:rPr>
          <w:rFonts w:hint="eastAsia"/>
          <w:color w:val="auto"/>
          <w:highlight w:val="none"/>
          <w:lang w:val="en-US" w:eastAsia="zh-CN"/>
        </w:rPr>
        <w:t>d)  定期发布中文、英文等不同语言版本的关于标准制定意义、标准制定进度等内容的宣传稿，吸引国内外感兴趣的相关方主动参与标准起草；</w:t>
      </w:r>
    </w:p>
    <w:p w14:paraId="5309CFE8">
      <w:pPr>
        <w:pStyle w:val="59"/>
        <w:ind w:left="0" w:leftChars="0" w:firstLine="420" w:firstLineChars="0"/>
        <w:rPr>
          <w:rFonts w:hint="default"/>
          <w:color w:val="auto"/>
          <w:highlight w:val="none"/>
          <w:lang w:val="en-US" w:eastAsia="zh-CN"/>
        </w:rPr>
      </w:pPr>
      <w:r>
        <w:rPr>
          <w:rFonts w:hint="eastAsia"/>
          <w:color w:val="auto"/>
          <w:highlight w:val="none"/>
          <w:lang w:val="en-US" w:eastAsia="zh-CN"/>
        </w:rPr>
        <w:t>e)  为外国专家提供GB/T 1.1标准编写规则的培训和服务，包括标准的结构、起草表述方法、格式等内容。</w:t>
      </w:r>
    </w:p>
    <w:p w14:paraId="40AE0FE7">
      <w:pPr>
        <w:pStyle w:val="108"/>
        <w:numPr>
          <w:ilvl w:val="2"/>
          <w:numId w:val="0"/>
        </w:numPr>
        <w:spacing w:before="156" w:after="156"/>
        <w:ind w:leftChars="0"/>
        <w:rPr>
          <w:rFonts w:hint="eastAsia" w:cs="Times New Roman"/>
          <w:color w:val="auto"/>
          <w:highlight w:val="none"/>
          <w:lang w:val="en-US" w:eastAsia="zh-CN"/>
        </w:rPr>
      </w:pPr>
      <w:bookmarkStart w:id="62" w:name="_Toc28481"/>
      <w:r>
        <w:rPr>
          <w:rFonts w:hint="eastAsia" w:cs="Times New Roman"/>
          <w:color w:val="auto"/>
          <w:highlight w:val="none"/>
          <w:lang w:val="en-US" w:eastAsia="zh-CN"/>
        </w:rPr>
        <w:t>6.2.5  征求意见</w:t>
      </w:r>
      <w:bookmarkEnd w:id="62"/>
      <w:r>
        <w:rPr>
          <w:rFonts w:hint="eastAsia" w:cs="Times New Roman"/>
          <w:color w:val="auto"/>
          <w:highlight w:val="none"/>
          <w:lang w:val="en-US" w:eastAsia="zh-CN"/>
        </w:rPr>
        <w:t>阶段</w:t>
      </w:r>
    </w:p>
    <w:p w14:paraId="651CB19F">
      <w:pPr>
        <w:pStyle w:val="59"/>
        <w:rPr>
          <w:rFonts w:hint="default"/>
          <w:color w:val="auto"/>
          <w:highlight w:val="none"/>
          <w:lang w:val="en-US" w:eastAsia="zh-CN"/>
        </w:rPr>
      </w:pPr>
      <w:r>
        <w:rPr>
          <w:rFonts w:hint="eastAsia"/>
          <w:color w:val="auto"/>
          <w:highlight w:val="none"/>
          <w:lang w:val="en-US" w:eastAsia="zh-CN"/>
        </w:rPr>
        <w:t>征求意见阶段的主要工作是向相关方征求意见，并形成送审稿。在征求意见阶段</w:t>
      </w:r>
      <w:r>
        <w:rPr>
          <w:rFonts w:hint="eastAsia"/>
          <w:color w:val="auto"/>
          <w:highlight w:val="none"/>
          <w:lang w:eastAsia="zh-CN"/>
        </w:rPr>
        <w:t>的国际化运作方法包括但不限于：</w:t>
      </w:r>
    </w:p>
    <w:p w14:paraId="56FB4559">
      <w:pPr>
        <w:pStyle w:val="59"/>
        <w:rPr>
          <w:rFonts w:hint="eastAsia"/>
          <w:color w:val="auto"/>
          <w:highlight w:val="none"/>
          <w:lang w:val="en-US" w:eastAsia="zh-CN"/>
        </w:rPr>
      </w:pPr>
      <w:r>
        <w:rPr>
          <w:rFonts w:hint="eastAsia"/>
          <w:color w:val="auto"/>
          <w:highlight w:val="none"/>
          <w:lang w:val="en-US" w:eastAsia="zh-CN"/>
        </w:rPr>
        <w:t>a)  在全体国内外成员（委员或会员）范围内征求意见；</w:t>
      </w:r>
    </w:p>
    <w:p w14:paraId="2AEED2C4">
      <w:pPr>
        <w:pStyle w:val="59"/>
        <w:rPr>
          <w:rFonts w:hint="default" w:eastAsia="宋体"/>
          <w:color w:val="auto"/>
          <w:highlight w:val="none"/>
          <w:lang w:val="en-US" w:eastAsia="zh-CN"/>
        </w:rPr>
      </w:pPr>
      <w:r>
        <w:rPr>
          <w:rFonts w:hint="eastAsia"/>
          <w:color w:val="auto"/>
          <w:highlight w:val="none"/>
          <w:lang w:val="en-US" w:eastAsia="zh-CN"/>
        </w:rPr>
        <w:t>b)  向所有成员（委员或会员）公开意见和建议情况；</w:t>
      </w:r>
    </w:p>
    <w:p w14:paraId="2A7FF7F2">
      <w:pPr>
        <w:pStyle w:val="59"/>
        <w:rPr>
          <w:rFonts w:hint="default" w:eastAsia="宋体"/>
          <w:color w:val="auto"/>
          <w:highlight w:val="none"/>
          <w:lang w:val="en-US" w:eastAsia="zh-CN"/>
        </w:rPr>
      </w:pPr>
      <w:r>
        <w:rPr>
          <w:rFonts w:hint="eastAsia"/>
          <w:color w:val="auto"/>
          <w:highlight w:val="none"/>
          <w:lang w:val="en-US" w:eastAsia="zh-CN"/>
        </w:rPr>
        <w:t xml:space="preserve">c)  </w:t>
      </w:r>
      <w:r>
        <w:rPr>
          <w:rFonts w:hint="eastAsia"/>
          <w:color w:val="auto"/>
          <w:highlight w:val="none"/>
        </w:rPr>
        <w:t>充分考虑所有国内外参与者的书面评议意见和异议</w:t>
      </w:r>
      <w:r>
        <w:rPr>
          <w:rFonts w:hint="eastAsia"/>
          <w:color w:val="auto"/>
          <w:highlight w:val="none"/>
          <w:lang w:eastAsia="zh-CN"/>
        </w:rPr>
        <w:t>，</w:t>
      </w:r>
      <w:r>
        <w:rPr>
          <w:rFonts w:hint="eastAsia"/>
          <w:color w:val="auto"/>
          <w:highlight w:val="none"/>
          <w:lang w:val="en-US" w:eastAsia="zh-CN"/>
        </w:rPr>
        <w:t>对反对和疑问作出回复，努力找到反对意见的解决方案。</w:t>
      </w:r>
    </w:p>
    <w:p w14:paraId="4D3F6A6E">
      <w:pPr>
        <w:pStyle w:val="108"/>
        <w:numPr>
          <w:ilvl w:val="2"/>
          <w:numId w:val="0"/>
        </w:numPr>
        <w:spacing w:before="156" w:after="156"/>
        <w:ind w:leftChars="0"/>
        <w:rPr>
          <w:rFonts w:hint="eastAsia" w:cs="Times New Roman"/>
          <w:color w:val="auto"/>
          <w:highlight w:val="none"/>
          <w:lang w:val="en-US" w:eastAsia="zh-CN"/>
        </w:rPr>
      </w:pPr>
      <w:bookmarkStart w:id="63" w:name="_Toc16092"/>
      <w:r>
        <w:rPr>
          <w:rFonts w:hint="eastAsia" w:cs="Times New Roman"/>
          <w:color w:val="auto"/>
          <w:highlight w:val="none"/>
          <w:lang w:val="en-US" w:eastAsia="zh-CN"/>
        </w:rPr>
        <w:t xml:space="preserve">6.2.6  </w:t>
      </w:r>
      <w:bookmarkEnd w:id="63"/>
      <w:r>
        <w:rPr>
          <w:rFonts w:hint="eastAsia" w:cs="Times New Roman"/>
          <w:color w:val="auto"/>
          <w:highlight w:val="none"/>
          <w:lang w:val="en-US" w:eastAsia="zh-CN"/>
        </w:rPr>
        <w:t>技术审查阶段</w:t>
      </w:r>
    </w:p>
    <w:p w14:paraId="5428E828">
      <w:pPr>
        <w:pStyle w:val="59"/>
        <w:rPr>
          <w:rFonts w:hint="eastAsia"/>
          <w:color w:val="auto"/>
          <w:highlight w:val="none"/>
          <w:lang w:val="en-US" w:eastAsia="zh-CN"/>
        </w:rPr>
      </w:pPr>
      <w:r>
        <w:rPr>
          <w:rFonts w:hint="eastAsia"/>
          <w:color w:val="auto"/>
          <w:highlight w:val="none"/>
          <w:lang w:val="en-US" w:eastAsia="zh-CN"/>
        </w:rPr>
        <w:t>技术审查阶段的主要工作是审查送审稿的技术内容，并形成报批稿。在技术审查阶段的国际化运作方法包括但不限于：</w:t>
      </w:r>
    </w:p>
    <w:p w14:paraId="63EBB4D7">
      <w:pPr>
        <w:pStyle w:val="59"/>
        <w:rPr>
          <w:rFonts w:hint="eastAsia"/>
          <w:color w:val="auto"/>
          <w:highlight w:val="none"/>
          <w:lang w:eastAsia="zh-CN"/>
        </w:rPr>
      </w:pPr>
      <w:r>
        <w:rPr>
          <w:rFonts w:hint="eastAsia"/>
          <w:color w:val="auto"/>
          <w:highlight w:val="none"/>
          <w:lang w:val="en-US" w:eastAsia="zh-CN"/>
        </w:rPr>
        <w:t>a)  明确对标准的审查和</w:t>
      </w:r>
      <w:r>
        <w:rPr>
          <w:rFonts w:hint="eastAsia"/>
          <w:color w:val="auto"/>
          <w:highlight w:val="none"/>
        </w:rPr>
        <w:t>投票</w:t>
      </w:r>
      <w:r>
        <w:rPr>
          <w:rFonts w:hint="eastAsia"/>
          <w:color w:val="auto"/>
          <w:highlight w:val="none"/>
          <w:lang w:val="en-US" w:eastAsia="zh-CN"/>
        </w:rPr>
        <w:t>规则，审查和</w:t>
      </w:r>
      <w:r>
        <w:rPr>
          <w:rFonts w:hint="eastAsia"/>
          <w:color w:val="auto"/>
          <w:highlight w:val="none"/>
        </w:rPr>
        <w:t>投票不受国籍</w:t>
      </w:r>
      <w:r>
        <w:rPr>
          <w:rFonts w:hint="eastAsia"/>
          <w:color w:val="auto"/>
          <w:highlight w:val="none"/>
          <w:lang w:eastAsia="zh-CN"/>
        </w:rPr>
        <w:t>或</w:t>
      </w:r>
      <w:r>
        <w:rPr>
          <w:rFonts w:hint="eastAsia"/>
          <w:color w:val="auto"/>
          <w:highlight w:val="none"/>
        </w:rPr>
        <w:t>地域限制</w:t>
      </w:r>
      <w:r>
        <w:rPr>
          <w:rFonts w:hint="eastAsia"/>
          <w:color w:val="auto"/>
          <w:highlight w:val="none"/>
          <w:lang w:eastAsia="zh-CN"/>
        </w:rPr>
        <w:t>；</w:t>
      </w:r>
    </w:p>
    <w:p w14:paraId="0883A931">
      <w:pPr>
        <w:pStyle w:val="59"/>
        <w:rPr>
          <w:rFonts w:hint="default"/>
          <w:color w:val="auto"/>
          <w:highlight w:val="none"/>
          <w:lang w:val="en-US" w:eastAsia="zh-CN"/>
        </w:rPr>
      </w:pPr>
      <w:r>
        <w:rPr>
          <w:rFonts w:hint="eastAsia"/>
          <w:color w:val="auto"/>
          <w:highlight w:val="none"/>
          <w:lang w:val="en-US" w:eastAsia="zh-CN"/>
        </w:rPr>
        <w:t>b)  依照国际标准审查会流程安排会议审查，充分考虑国际成员（委员或会员）的工作习惯；</w:t>
      </w:r>
    </w:p>
    <w:p w14:paraId="4DF657A9">
      <w:pPr>
        <w:pStyle w:val="59"/>
        <w:rPr>
          <w:rFonts w:hint="eastAsia" w:eastAsia="宋体"/>
          <w:color w:val="auto"/>
          <w:highlight w:val="none"/>
          <w:lang w:val="en-US" w:eastAsia="zh-CN"/>
        </w:rPr>
      </w:pPr>
      <w:r>
        <w:rPr>
          <w:rFonts w:hint="eastAsia"/>
          <w:color w:val="auto"/>
          <w:highlight w:val="none"/>
          <w:lang w:val="en-US" w:eastAsia="zh-CN"/>
        </w:rPr>
        <w:t>c)  如有国际会员申诉，应开展专项调研，</w:t>
      </w:r>
      <w:r>
        <w:rPr>
          <w:rFonts w:hint="eastAsia"/>
          <w:color w:val="auto"/>
          <w:highlight w:val="none"/>
        </w:rPr>
        <w:t>公正处理与</w:t>
      </w:r>
      <w:r>
        <w:rPr>
          <w:rFonts w:hint="eastAsia"/>
          <w:color w:val="auto"/>
          <w:highlight w:val="none"/>
          <w:lang w:val="en-US" w:eastAsia="zh-CN"/>
        </w:rPr>
        <w:t>标准制修订</w:t>
      </w:r>
      <w:r>
        <w:rPr>
          <w:rFonts w:hint="eastAsia"/>
          <w:color w:val="auto"/>
          <w:highlight w:val="none"/>
        </w:rPr>
        <w:t>相关的程序</w:t>
      </w:r>
      <w:r>
        <w:rPr>
          <w:rFonts w:hint="eastAsia"/>
          <w:color w:val="auto"/>
          <w:highlight w:val="none"/>
          <w:lang w:eastAsia="zh-CN"/>
        </w:rPr>
        <w:t>申诉。</w:t>
      </w:r>
    </w:p>
    <w:p w14:paraId="3593E9C2">
      <w:pPr>
        <w:pStyle w:val="108"/>
        <w:numPr>
          <w:ilvl w:val="2"/>
          <w:numId w:val="0"/>
        </w:numPr>
        <w:spacing w:before="156" w:after="156"/>
        <w:ind w:leftChars="0"/>
        <w:rPr>
          <w:rFonts w:hint="eastAsia" w:cs="Times New Roman"/>
          <w:color w:val="auto"/>
          <w:highlight w:val="none"/>
          <w:lang w:val="en-US" w:eastAsia="zh-CN"/>
        </w:rPr>
      </w:pPr>
      <w:r>
        <w:rPr>
          <w:rFonts w:hint="eastAsia" w:cs="Times New Roman"/>
          <w:color w:val="auto"/>
          <w:highlight w:val="none"/>
          <w:lang w:val="en-US" w:eastAsia="zh-CN"/>
        </w:rPr>
        <w:t>6.2.7  批准发布阶段</w:t>
      </w:r>
    </w:p>
    <w:p w14:paraId="77A40DB4">
      <w:pPr>
        <w:pStyle w:val="59"/>
        <w:rPr>
          <w:rFonts w:hint="eastAsia"/>
          <w:color w:val="auto"/>
          <w:highlight w:val="none"/>
          <w:lang w:val="en-US" w:eastAsia="zh-CN"/>
        </w:rPr>
      </w:pPr>
      <w:r>
        <w:rPr>
          <w:rFonts w:hint="eastAsia"/>
          <w:color w:val="auto"/>
          <w:highlight w:val="none"/>
          <w:lang w:val="en-US" w:eastAsia="zh-CN"/>
        </w:rPr>
        <w:t>批准发布阶段的主要工作是审核报批稿，并按照有关程序批准和发布。在批准发布阶段的国际化运作方法包括但不限于：</w:t>
      </w:r>
    </w:p>
    <w:p w14:paraId="491A9DC6">
      <w:pPr>
        <w:pStyle w:val="59"/>
        <w:rPr>
          <w:rFonts w:hint="eastAsia"/>
          <w:color w:val="auto"/>
          <w:highlight w:val="none"/>
          <w:lang w:val="en-US" w:eastAsia="zh-CN"/>
        </w:rPr>
      </w:pPr>
      <w:r>
        <w:rPr>
          <w:rFonts w:hint="eastAsia"/>
          <w:color w:val="auto"/>
          <w:highlight w:val="none"/>
          <w:lang w:val="en-US" w:eastAsia="zh-CN"/>
        </w:rPr>
        <w:t>a)  明确标准通过和发布的议事规则，关注国际成员（委员或会员）意见的采纳，以及有无国际会员的程序性申诉；</w:t>
      </w:r>
    </w:p>
    <w:p w14:paraId="2339F027">
      <w:pPr>
        <w:pStyle w:val="59"/>
        <w:rPr>
          <w:rFonts w:hint="eastAsia"/>
          <w:color w:val="auto"/>
          <w:highlight w:val="none"/>
          <w:lang w:val="en-US" w:eastAsia="zh-CN"/>
        </w:rPr>
      </w:pPr>
      <w:r>
        <w:rPr>
          <w:rFonts w:hint="eastAsia"/>
          <w:color w:val="auto"/>
          <w:highlight w:val="none"/>
          <w:lang w:val="en-US" w:eastAsia="zh-CN"/>
        </w:rPr>
        <w:t>b)  一旦报批稿获得批准发布，宜提供中文、英文等不同语言版本的标准文本；</w:t>
      </w:r>
    </w:p>
    <w:p w14:paraId="605224D2">
      <w:pPr>
        <w:pStyle w:val="59"/>
        <w:rPr>
          <w:rFonts w:hint="eastAsia" w:eastAsia="宋体"/>
          <w:color w:val="auto"/>
          <w:highlight w:val="none"/>
          <w:lang w:val="en-US" w:eastAsia="zh-CN"/>
        </w:rPr>
      </w:pPr>
      <w:r>
        <w:rPr>
          <w:rFonts w:hint="eastAsia"/>
          <w:color w:val="auto"/>
          <w:highlight w:val="none"/>
          <w:lang w:val="en-US" w:eastAsia="zh-CN"/>
        </w:rPr>
        <w:t>c)  在发布标准的同时，</w:t>
      </w:r>
      <w:r>
        <w:rPr>
          <w:rFonts w:hint="eastAsia" w:hAnsi="宋体"/>
          <w:color w:val="auto"/>
          <w:sz w:val="21"/>
          <w:szCs w:val="21"/>
          <w:highlight w:val="none"/>
          <w:lang w:eastAsia="zh-CN"/>
        </w:rPr>
        <w:t>标准化机构</w:t>
      </w:r>
      <w:r>
        <w:rPr>
          <w:rFonts w:hint="eastAsia"/>
          <w:color w:val="auto"/>
          <w:highlight w:val="none"/>
          <w:lang w:val="en-US" w:eastAsia="zh-CN"/>
        </w:rPr>
        <w:t>宜</w:t>
      </w:r>
      <w:r>
        <w:rPr>
          <w:rFonts w:hint="eastAsia" w:ascii="宋体" w:hAnsi="宋体"/>
          <w:color w:val="auto"/>
          <w:sz w:val="21"/>
          <w:szCs w:val="21"/>
          <w:highlight w:val="none"/>
        </w:rPr>
        <w:t>在相关标准信息服务平台上自我声明公开标准信息，包括</w:t>
      </w:r>
      <w:r>
        <w:rPr>
          <w:rFonts w:hint="eastAsia" w:hAnsi="宋体"/>
          <w:color w:val="auto"/>
          <w:sz w:val="21"/>
          <w:szCs w:val="21"/>
          <w:highlight w:val="none"/>
          <w:lang w:val="en-US" w:eastAsia="zh-CN"/>
        </w:rPr>
        <w:t>但</w:t>
      </w:r>
      <w:r>
        <w:rPr>
          <w:rFonts w:hint="eastAsia" w:ascii="宋体" w:hAnsi="宋体"/>
          <w:color w:val="auto"/>
          <w:sz w:val="21"/>
          <w:szCs w:val="21"/>
          <w:highlight w:val="none"/>
        </w:rPr>
        <w:t>不限于全国标准信息服务平台、地方标准信息服务平台等</w:t>
      </w:r>
      <w:r>
        <w:rPr>
          <w:rFonts w:hint="eastAsia" w:hAnsi="宋体"/>
          <w:color w:val="auto"/>
          <w:sz w:val="21"/>
          <w:szCs w:val="21"/>
          <w:highlight w:val="none"/>
          <w:lang w:eastAsia="zh-CN"/>
        </w:rPr>
        <w:t>。</w:t>
      </w:r>
    </w:p>
    <w:p w14:paraId="3F124845">
      <w:pPr>
        <w:pStyle w:val="108"/>
        <w:numPr>
          <w:ilvl w:val="2"/>
          <w:numId w:val="0"/>
        </w:numPr>
        <w:spacing w:before="156" w:after="156"/>
        <w:ind w:leftChars="0"/>
        <w:rPr>
          <w:rFonts w:hint="default" w:cs="Times New Roman"/>
          <w:color w:val="auto"/>
          <w:highlight w:val="none"/>
          <w:lang w:val="en-US" w:eastAsia="zh-CN"/>
        </w:rPr>
      </w:pPr>
      <w:bookmarkStart w:id="64" w:name="OLE_LINK10"/>
      <w:bookmarkStart w:id="65" w:name="_Toc8697"/>
      <w:r>
        <w:rPr>
          <w:rFonts w:hint="eastAsia" w:cs="Times New Roman"/>
          <w:color w:val="auto"/>
          <w:highlight w:val="none"/>
          <w:lang w:val="en-US" w:eastAsia="zh-CN"/>
        </w:rPr>
        <w:t>6.2.8</w:t>
      </w:r>
      <w:bookmarkEnd w:id="64"/>
      <w:r>
        <w:rPr>
          <w:rFonts w:hint="eastAsia" w:cs="Times New Roman"/>
          <w:color w:val="auto"/>
          <w:highlight w:val="none"/>
          <w:lang w:val="en-US" w:eastAsia="zh-CN"/>
        </w:rPr>
        <w:t xml:space="preserve">  </w:t>
      </w:r>
      <w:bookmarkEnd w:id="65"/>
      <w:r>
        <w:rPr>
          <w:rFonts w:hint="eastAsia" w:cs="Times New Roman"/>
          <w:color w:val="auto"/>
          <w:highlight w:val="none"/>
          <w:lang w:val="en-US" w:eastAsia="zh-CN"/>
        </w:rPr>
        <w:t>文件的维护</w:t>
      </w:r>
    </w:p>
    <w:p w14:paraId="400ECA7A">
      <w:pPr>
        <w:pStyle w:val="59"/>
        <w:ind w:left="0" w:leftChars="0" w:firstLine="420" w:firstLineChars="0"/>
        <w:rPr>
          <w:rFonts w:hint="eastAsia"/>
          <w:color w:val="auto"/>
          <w:highlight w:val="none"/>
          <w:lang w:val="en-US" w:eastAsia="zh-CN"/>
        </w:rPr>
      </w:pPr>
      <w:r>
        <w:rPr>
          <w:rFonts w:hint="eastAsia"/>
          <w:color w:val="auto"/>
          <w:highlight w:val="none"/>
          <w:lang w:val="en-US" w:eastAsia="zh-CN"/>
        </w:rPr>
        <w:t>标准化机构宜定期复审已发布的文件，根据科学和技术发展情况、市场以及监管的需求等，识别是否存在已经过时、不适用或无效的技术内容，给出继续有效、修订或废止的复审结论。对于不适用的文件，宜及时修订或废止。在文件的维护过程中的国际化运作方法包括但不限于：</w:t>
      </w:r>
    </w:p>
    <w:p w14:paraId="683CB5CD">
      <w:pPr>
        <w:pStyle w:val="59"/>
        <w:ind w:left="0" w:leftChars="0" w:firstLine="420" w:firstLineChars="0"/>
        <w:rPr>
          <w:rFonts w:hint="eastAsia"/>
          <w:color w:val="auto"/>
          <w:highlight w:val="none"/>
          <w:lang w:eastAsia="zh-CN"/>
        </w:rPr>
      </w:pPr>
      <w:r>
        <w:rPr>
          <w:rFonts w:hint="eastAsia"/>
          <w:color w:val="auto"/>
          <w:highlight w:val="none"/>
          <w:lang w:val="en-US" w:eastAsia="zh-CN"/>
        </w:rPr>
        <w:t>a)  明确复审工作细则和具体要求，审查和投票不受</w:t>
      </w:r>
      <w:r>
        <w:rPr>
          <w:rFonts w:hint="eastAsia"/>
          <w:color w:val="auto"/>
          <w:highlight w:val="none"/>
        </w:rPr>
        <w:t>国籍</w:t>
      </w:r>
      <w:r>
        <w:rPr>
          <w:rFonts w:hint="eastAsia"/>
          <w:color w:val="auto"/>
          <w:highlight w:val="none"/>
          <w:lang w:eastAsia="zh-CN"/>
        </w:rPr>
        <w:t>或</w:t>
      </w:r>
      <w:r>
        <w:rPr>
          <w:rFonts w:hint="eastAsia"/>
          <w:color w:val="auto"/>
          <w:highlight w:val="none"/>
        </w:rPr>
        <w:t>地域限制</w:t>
      </w:r>
      <w:r>
        <w:rPr>
          <w:rFonts w:hint="eastAsia"/>
          <w:color w:val="auto"/>
          <w:highlight w:val="none"/>
          <w:lang w:eastAsia="zh-CN"/>
        </w:rPr>
        <w:t>；</w:t>
      </w:r>
    </w:p>
    <w:p w14:paraId="229CC17E">
      <w:pPr>
        <w:pStyle w:val="59"/>
        <w:ind w:left="0" w:leftChars="0" w:firstLine="420" w:firstLineChars="0"/>
        <w:rPr>
          <w:rFonts w:hint="default"/>
          <w:color w:val="auto"/>
          <w:highlight w:val="none"/>
          <w:lang w:val="en-US" w:eastAsia="zh-CN"/>
        </w:rPr>
      </w:pPr>
      <w:r>
        <w:rPr>
          <w:rFonts w:hint="eastAsia"/>
          <w:color w:val="auto"/>
          <w:highlight w:val="none"/>
          <w:lang w:val="en-US" w:eastAsia="zh-CN"/>
        </w:rPr>
        <w:t>b)  复审结论及时发布和公开。</w:t>
      </w:r>
    </w:p>
    <w:p w14:paraId="6B8F1F19">
      <w:pPr>
        <w:pStyle w:val="107"/>
        <w:spacing w:before="312" w:after="312"/>
        <w:rPr>
          <w:color w:val="auto"/>
          <w:highlight w:val="none"/>
        </w:rPr>
      </w:pPr>
      <w:bookmarkStart w:id="66" w:name="_Toc22410"/>
      <w:r>
        <w:rPr>
          <w:rFonts w:hint="eastAsia"/>
          <w:color w:val="auto"/>
          <w:highlight w:val="none"/>
          <w:lang w:eastAsia="zh-CN"/>
        </w:rPr>
        <w:t>标准推广与应用</w:t>
      </w:r>
      <w:bookmarkEnd w:id="66"/>
    </w:p>
    <w:p w14:paraId="604B5C4E">
      <w:pPr>
        <w:pStyle w:val="108"/>
        <w:spacing w:before="156" w:after="156"/>
        <w:rPr>
          <w:color w:val="auto"/>
          <w:highlight w:val="none"/>
        </w:rPr>
      </w:pPr>
      <w:bookmarkStart w:id="67" w:name="_Toc23566"/>
      <w:bookmarkStart w:id="68" w:name="OLE_LINK12"/>
      <w:r>
        <w:rPr>
          <w:rFonts w:hint="eastAsia" w:cs="Times New Roman"/>
          <w:color w:val="auto"/>
          <w:highlight w:val="none"/>
          <w:lang w:eastAsia="zh-CN"/>
        </w:rPr>
        <w:t>信息公开</w:t>
      </w:r>
      <w:bookmarkEnd w:id="67"/>
    </w:p>
    <w:bookmarkEnd w:id="68"/>
    <w:p w14:paraId="76D65E55">
      <w:pPr>
        <w:pStyle w:val="168"/>
        <w:rPr>
          <w:color w:val="auto"/>
          <w:highlight w:val="none"/>
        </w:rPr>
      </w:pPr>
      <w:bookmarkStart w:id="69" w:name="OLE_LINK9"/>
      <w:r>
        <w:rPr>
          <w:rFonts w:hint="eastAsia" w:cs="Times New Roman"/>
          <w:color w:val="auto"/>
          <w:highlight w:val="none"/>
          <w:lang w:val="en-US" w:eastAsia="zh-CN"/>
        </w:rPr>
        <w:t>标准化机构</w:t>
      </w:r>
      <w:r>
        <w:rPr>
          <w:rFonts w:hint="eastAsia"/>
          <w:color w:val="auto"/>
          <w:highlight w:val="none"/>
          <w:lang w:eastAsia="zh-CN"/>
        </w:rPr>
        <w:t>宜</w:t>
      </w:r>
      <w:r>
        <w:rPr>
          <w:rFonts w:hint="eastAsia"/>
          <w:color w:val="auto"/>
          <w:highlight w:val="none"/>
        </w:rPr>
        <w:t>至少每六个月公布一次工作方案，包括正在编制的标准以及完成的标准。</w:t>
      </w:r>
    </w:p>
    <w:bookmarkEnd w:id="69"/>
    <w:p w14:paraId="57A8C008">
      <w:pPr>
        <w:pStyle w:val="168"/>
        <w:rPr>
          <w:rFonts w:hint="eastAsia"/>
          <w:color w:val="auto"/>
          <w:highlight w:val="none"/>
          <w:lang w:eastAsia="zh-CN"/>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通过传统媒体、网络平台、电子邮件等刊登与推送标准</w:t>
      </w:r>
      <w:r>
        <w:rPr>
          <w:rFonts w:hint="eastAsia"/>
          <w:color w:val="auto"/>
          <w:highlight w:val="none"/>
        </w:rPr>
        <w:t>工作方案</w:t>
      </w:r>
      <w:r>
        <w:rPr>
          <w:rFonts w:hint="eastAsia"/>
          <w:color w:val="auto"/>
          <w:highlight w:val="none"/>
          <w:lang w:eastAsia="zh-CN"/>
        </w:rPr>
        <w:t>、标准制修订状态</w:t>
      </w:r>
      <w:r>
        <w:rPr>
          <w:rFonts w:hint="eastAsia"/>
          <w:color w:val="auto"/>
          <w:highlight w:val="none"/>
        </w:rPr>
        <w:t>等标准相关信息</w:t>
      </w:r>
      <w:r>
        <w:rPr>
          <w:rFonts w:hint="eastAsia"/>
          <w:color w:val="auto"/>
          <w:highlight w:val="none"/>
          <w:lang w:eastAsia="zh-CN"/>
        </w:rPr>
        <w:t>，</w:t>
      </w:r>
      <w:r>
        <w:rPr>
          <w:rFonts w:hint="eastAsia"/>
          <w:color w:val="auto"/>
          <w:highlight w:val="none"/>
        </w:rPr>
        <w:t>便于国内外</w:t>
      </w:r>
      <w:r>
        <w:rPr>
          <w:rFonts w:hint="eastAsia"/>
          <w:color w:val="auto"/>
          <w:highlight w:val="none"/>
          <w:lang w:val="en-US" w:eastAsia="zh-CN"/>
        </w:rPr>
        <w:t>成员（委员或会员）及利益相关方</w:t>
      </w:r>
      <w:r>
        <w:rPr>
          <w:rFonts w:hint="eastAsia"/>
          <w:color w:val="auto"/>
          <w:highlight w:val="none"/>
        </w:rPr>
        <w:t>获得</w:t>
      </w:r>
      <w:r>
        <w:rPr>
          <w:rFonts w:hint="eastAsia"/>
          <w:color w:val="auto"/>
          <w:highlight w:val="none"/>
          <w:lang w:eastAsia="zh-CN"/>
        </w:rPr>
        <w:t>。</w:t>
      </w:r>
    </w:p>
    <w:p w14:paraId="5840902F">
      <w:pPr>
        <w:pStyle w:val="168"/>
        <w:rPr>
          <w:color w:val="auto"/>
          <w:highlight w:val="none"/>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对国际成员（委员或会员）的参与进行及时反馈和沟通，对其在标准化机构中的贡献、成果等给予证明、公示、奖励，提升其参与的积极性。</w:t>
      </w:r>
    </w:p>
    <w:p w14:paraId="7907CFF3">
      <w:pPr>
        <w:pStyle w:val="108"/>
        <w:spacing w:before="156" w:after="156"/>
        <w:rPr>
          <w:color w:val="auto"/>
          <w:highlight w:val="none"/>
        </w:rPr>
      </w:pPr>
      <w:bookmarkStart w:id="70" w:name="_Toc22791"/>
      <w:bookmarkStart w:id="71" w:name="OLE_LINK13"/>
      <w:r>
        <w:rPr>
          <w:rFonts w:hint="eastAsia"/>
          <w:color w:val="auto"/>
          <w:highlight w:val="none"/>
          <w:lang w:eastAsia="zh-CN"/>
        </w:rPr>
        <w:t>标准应用</w:t>
      </w:r>
      <w:bookmarkEnd w:id="70"/>
    </w:p>
    <w:bookmarkEnd w:id="71"/>
    <w:p w14:paraId="78D5C81F">
      <w:pPr>
        <w:pStyle w:val="168"/>
        <w:rPr>
          <w:color w:val="auto"/>
          <w:highlight w:val="none"/>
        </w:rPr>
      </w:pPr>
      <w:r>
        <w:rPr>
          <w:rFonts w:hint="eastAsia"/>
          <w:color w:val="auto"/>
          <w:highlight w:val="none"/>
          <w:lang w:val="en-US" w:eastAsia="zh-CN"/>
        </w:rPr>
        <w:t>标准化机构</w:t>
      </w:r>
      <w:r>
        <w:rPr>
          <w:rFonts w:hint="eastAsia"/>
          <w:color w:val="auto"/>
          <w:highlight w:val="none"/>
          <w:lang w:eastAsia="zh-CN"/>
        </w:rPr>
        <w:t>宜</w:t>
      </w:r>
      <w:r>
        <w:rPr>
          <w:rFonts w:hint="eastAsia"/>
          <w:color w:val="auto"/>
          <w:highlight w:val="none"/>
          <w:lang w:val="en-US" w:eastAsia="zh-CN"/>
        </w:rPr>
        <w:t>按照GB/T 20000.10和GB/T 20000.11的规定，同步制定标准的英文或其他语种</w:t>
      </w:r>
      <w:r>
        <w:rPr>
          <w:rFonts w:hint="default"/>
          <w:color w:val="auto"/>
          <w:highlight w:val="none"/>
          <w:lang w:val="en-US" w:eastAsia="zh-CN"/>
        </w:rPr>
        <w:t>译本</w:t>
      </w:r>
      <w:r>
        <w:rPr>
          <w:rFonts w:hint="eastAsia"/>
          <w:color w:val="auto"/>
          <w:highlight w:val="none"/>
          <w:lang w:val="en-US" w:eastAsia="zh-CN"/>
        </w:rPr>
        <w:t>，便于国际宣传和交流。</w:t>
      </w:r>
    </w:p>
    <w:p w14:paraId="1106868E">
      <w:pPr>
        <w:pStyle w:val="168"/>
        <w:rPr>
          <w:color w:val="auto"/>
          <w:highlight w:val="none"/>
        </w:rPr>
      </w:pPr>
      <w:r>
        <w:rPr>
          <w:rFonts w:hint="eastAsia"/>
          <w:color w:val="auto"/>
          <w:highlight w:val="none"/>
          <w:lang w:eastAsia="zh-CN"/>
        </w:rPr>
        <w:t>标准化机构宜</w:t>
      </w:r>
      <w:r>
        <w:rPr>
          <w:rFonts w:hint="eastAsia"/>
          <w:color w:val="auto"/>
          <w:highlight w:val="none"/>
          <w:lang w:val="en-US" w:eastAsia="zh-CN"/>
        </w:rPr>
        <w:t>积极争取标准被国外政府、组织、机构、企业等采信或采购，推动标准的国际化应用。</w:t>
      </w:r>
      <w:bookmarkStart w:id="72" w:name="_Toc5116"/>
    </w:p>
    <w:p w14:paraId="1F5648A2">
      <w:pPr>
        <w:pStyle w:val="108"/>
        <w:spacing w:before="156" w:after="156"/>
        <w:rPr>
          <w:rFonts w:hint="eastAsia"/>
          <w:color w:val="auto"/>
          <w:highlight w:val="none"/>
          <w:lang w:eastAsia="zh-CN"/>
        </w:rPr>
      </w:pPr>
      <w:r>
        <w:rPr>
          <w:rFonts w:hint="eastAsia"/>
          <w:color w:val="auto"/>
          <w:highlight w:val="none"/>
          <w:lang w:eastAsia="zh-CN"/>
        </w:rPr>
        <w:t>标准评价</w:t>
      </w:r>
      <w:bookmarkEnd w:id="72"/>
    </w:p>
    <w:p w14:paraId="67201FA4">
      <w:pPr>
        <w:pStyle w:val="168"/>
        <w:rPr>
          <w:rFonts w:hint="eastAsia"/>
          <w:color w:val="auto"/>
          <w:highlight w:val="none"/>
          <w:lang w:val="en-US" w:eastAsia="zh-CN"/>
        </w:rPr>
      </w:pPr>
      <w:r>
        <w:rPr>
          <w:rFonts w:hint="eastAsia"/>
          <w:color w:val="auto"/>
          <w:highlight w:val="none"/>
          <w:lang w:eastAsia="zh-CN"/>
        </w:rPr>
        <w:t>标准化机构宜按照GB</w:t>
      </w:r>
      <w:r>
        <w:rPr>
          <w:rFonts w:hint="eastAsia"/>
          <w:color w:val="auto"/>
          <w:highlight w:val="none"/>
          <w:lang w:val="en-US" w:eastAsia="zh-CN"/>
        </w:rPr>
        <w:t>/</w:t>
      </w:r>
      <w:r>
        <w:rPr>
          <w:rFonts w:hint="eastAsia"/>
          <w:color w:val="auto"/>
          <w:highlight w:val="none"/>
          <w:lang w:eastAsia="zh-CN"/>
        </w:rPr>
        <w:t>T 20000.6的规定加强对标准实施和应用的评价，在开展良好行为评价机制建设中注重标准的国外实施和应用、国际合作与交流。</w:t>
      </w:r>
    </w:p>
    <w:p w14:paraId="18CB4053">
      <w:pPr>
        <w:pStyle w:val="168"/>
        <w:rPr>
          <w:color w:val="auto"/>
          <w:highlight w:val="none"/>
        </w:rPr>
      </w:pPr>
      <w:r>
        <w:rPr>
          <w:rFonts w:hint="eastAsia"/>
          <w:color w:val="auto"/>
          <w:highlight w:val="none"/>
          <w:lang w:eastAsia="zh-CN"/>
        </w:rPr>
        <w:t>标准化机构宜</w:t>
      </w:r>
      <w:r>
        <w:rPr>
          <w:rFonts w:hint="eastAsia"/>
          <w:color w:val="auto"/>
          <w:highlight w:val="none"/>
          <w:lang w:val="en-US" w:eastAsia="zh-CN"/>
        </w:rPr>
        <w:t>对标准的使用情况进行监督，鼓励国外政府、组织、机构、企业、专家的监督</w:t>
      </w:r>
      <w:r>
        <w:rPr>
          <w:rFonts w:hint="eastAsia" w:ascii="宋体" w:hAnsi="宋体" w:eastAsia="宋体" w:cs="Times New Roman"/>
          <w:color w:val="auto"/>
          <w:kern w:val="2"/>
          <w:sz w:val="21"/>
          <w:szCs w:val="21"/>
          <w:highlight w:val="none"/>
          <w:lang w:val="en-US" w:eastAsia="zh-CN" w:bidi="ar-SA"/>
        </w:rPr>
        <w:t>和意见反馈</w:t>
      </w:r>
      <w:r>
        <w:rPr>
          <w:rFonts w:hint="eastAsia"/>
          <w:color w:val="auto"/>
          <w:highlight w:val="none"/>
          <w:lang w:val="en-US" w:eastAsia="zh-CN"/>
        </w:rPr>
        <w:t>。</w:t>
      </w:r>
    </w:p>
    <w:p w14:paraId="4473F27C">
      <w:pPr>
        <w:pStyle w:val="108"/>
        <w:spacing w:before="156" w:after="156"/>
        <w:rPr>
          <w:color w:val="auto"/>
          <w:highlight w:val="none"/>
        </w:rPr>
      </w:pPr>
      <w:bookmarkStart w:id="73" w:name="_Toc6447"/>
      <w:r>
        <w:rPr>
          <w:rFonts w:hint="eastAsia"/>
          <w:color w:val="auto"/>
          <w:highlight w:val="none"/>
          <w:lang w:eastAsia="zh-CN"/>
        </w:rPr>
        <w:t>品牌建设</w:t>
      </w:r>
      <w:bookmarkEnd w:id="73"/>
    </w:p>
    <w:p w14:paraId="71A5C770">
      <w:pPr>
        <w:pStyle w:val="168"/>
        <w:rPr>
          <w:rFonts w:hint="eastAsia"/>
          <w:color w:val="auto"/>
          <w:highlight w:val="none"/>
          <w:lang w:eastAsia="zh-CN"/>
        </w:rPr>
      </w:pPr>
      <w:r>
        <w:rPr>
          <w:rFonts w:hint="eastAsia"/>
          <w:color w:val="auto"/>
          <w:highlight w:val="none"/>
          <w:lang w:val="en-US" w:eastAsia="zh-CN"/>
        </w:rPr>
        <w:t>标准化机构宜加强品牌建设，并充分考量国际化发展需要，在商标、宣传语、战略规划中纳入国际化元素。</w:t>
      </w:r>
    </w:p>
    <w:p w14:paraId="0638DD71">
      <w:pPr>
        <w:pStyle w:val="168"/>
        <w:rPr>
          <w:rFonts w:hint="eastAsia"/>
          <w:color w:val="auto"/>
          <w:highlight w:val="none"/>
          <w:lang w:eastAsia="zh-CN"/>
        </w:rPr>
      </w:pPr>
      <w:r>
        <w:rPr>
          <w:rFonts w:hint="eastAsia"/>
          <w:color w:val="auto"/>
          <w:highlight w:val="none"/>
          <w:lang w:eastAsia="zh-CN"/>
        </w:rPr>
        <w:t>标准化机构</w:t>
      </w:r>
      <w:r>
        <w:rPr>
          <w:rFonts w:hint="eastAsia"/>
          <w:color w:val="auto"/>
          <w:highlight w:val="none"/>
          <w:lang w:val="en-US" w:eastAsia="zh-CN"/>
        </w:rPr>
        <w:t>宜</w:t>
      </w:r>
      <w:r>
        <w:rPr>
          <w:rFonts w:hint="eastAsia"/>
          <w:color w:val="auto"/>
          <w:highlight w:val="none"/>
          <w:lang w:eastAsia="zh-CN"/>
        </w:rPr>
        <w:t>利用国际会议、国际论坛、</w:t>
      </w:r>
      <w:r>
        <w:rPr>
          <w:rFonts w:hint="eastAsia"/>
          <w:color w:val="auto"/>
          <w:highlight w:val="none"/>
          <w:lang w:val="en-US" w:eastAsia="zh-CN"/>
        </w:rPr>
        <w:t>外国</w:t>
      </w:r>
      <w:r>
        <w:rPr>
          <w:rFonts w:hint="eastAsia"/>
          <w:color w:val="auto"/>
          <w:highlight w:val="none"/>
          <w:lang w:eastAsia="zh-CN"/>
        </w:rPr>
        <w:t>媒体等技术交流与传播途径对外宣传和推广标准。</w:t>
      </w:r>
    </w:p>
    <w:p w14:paraId="5B60C715">
      <w:pPr>
        <w:pStyle w:val="168"/>
        <w:rPr>
          <w:color w:val="auto"/>
          <w:highlight w:val="none"/>
        </w:rPr>
      </w:pPr>
      <w:r>
        <w:rPr>
          <w:rFonts w:hint="eastAsia"/>
          <w:color w:val="auto"/>
          <w:highlight w:val="none"/>
          <w:lang w:eastAsia="zh-CN"/>
        </w:rPr>
        <w:t>标准化机构</w:t>
      </w:r>
      <w:r>
        <w:rPr>
          <w:rFonts w:hint="eastAsia"/>
          <w:color w:val="auto"/>
          <w:highlight w:val="none"/>
          <w:lang w:val="en-US" w:eastAsia="zh-CN"/>
        </w:rPr>
        <w:t>宜积极与国际标准组织、国外专业性标准组织、国外技术组织和机构开展国际</w:t>
      </w:r>
      <w:r>
        <w:rPr>
          <w:rFonts w:hint="eastAsia"/>
          <w:color w:val="auto"/>
          <w:highlight w:val="none"/>
          <w:lang w:eastAsia="zh-CN"/>
        </w:rPr>
        <w:t>合作。</w:t>
      </w:r>
    </w:p>
    <w:p w14:paraId="70DEEF19">
      <w:pPr>
        <w:pStyle w:val="168"/>
        <w:rPr>
          <w:color w:val="auto"/>
          <w:highlight w:val="none"/>
        </w:rPr>
      </w:pPr>
      <w:r>
        <w:rPr>
          <w:rFonts w:hint="eastAsia"/>
          <w:color w:val="auto"/>
          <w:highlight w:val="none"/>
          <w:lang w:val="en-US" w:eastAsia="zh-CN"/>
        </w:rPr>
        <w:t>标准化机构宜推进产业链、创新链、供应链与标准链融通，引导标准与科技、产业有效衔接和互动，推进与国外科研机构、高等院校、企业的合作，吸引更多国外标准资源。</w:t>
      </w:r>
    </w:p>
    <w:p w14:paraId="09A5049A">
      <w:pPr>
        <w:pStyle w:val="168"/>
        <w:numPr>
          <w:ilvl w:val="3"/>
          <w:numId w:val="0"/>
        </w:numPr>
        <w:ind w:leftChars="0"/>
        <w:rPr>
          <w:color w:val="auto"/>
          <w:highlight w:val="none"/>
        </w:rPr>
      </w:pPr>
    </w:p>
    <w:p w14:paraId="29C10F33">
      <w:pPr>
        <w:pStyle w:val="68"/>
        <w:numPr>
          <w:ilvl w:val="3"/>
          <w:numId w:val="0"/>
        </w:numPr>
        <w:bidi w:val="0"/>
        <w:rPr>
          <w:rFonts w:hint="eastAsia"/>
          <w:color w:val="auto"/>
          <w:highlight w:val="none"/>
          <w:lang w:eastAsia="zh-CN"/>
        </w:rPr>
      </w:pPr>
    </w:p>
    <w:p w14:paraId="70A360C6">
      <w:pPr>
        <w:pStyle w:val="168"/>
        <w:numPr>
          <w:ilvl w:val="3"/>
          <w:numId w:val="0"/>
        </w:numPr>
        <w:ind w:leftChars="0"/>
        <w:rPr>
          <w:rFonts w:hint="eastAsia"/>
          <w:color w:val="auto"/>
          <w:highlight w:val="none"/>
          <w:lang w:eastAsia="zh-CN"/>
        </w:rPr>
      </w:pPr>
    </w:p>
    <w:p w14:paraId="668ABF67">
      <w:pPr>
        <w:pStyle w:val="168"/>
        <w:numPr>
          <w:ilvl w:val="3"/>
          <w:numId w:val="0"/>
        </w:numPr>
        <w:ind w:leftChars="0"/>
        <w:rPr>
          <w:rFonts w:hint="eastAsia"/>
          <w:color w:val="auto"/>
          <w:highlight w:val="none"/>
          <w:lang w:eastAsia="zh-CN"/>
        </w:rPr>
      </w:pPr>
      <w:r>
        <w:rPr>
          <w:rFonts w:hint="eastAsia"/>
          <w:color w:val="auto"/>
          <w:highlight w:val="none"/>
          <w:lang w:eastAsia="zh-CN"/>
        </w:rPr>
        <w:t xml:space="preserve">                                                                                                                                                                                                                                                                                                                                           </w:t>
      </w:r>
    </w:p>
    <w:p w14:paraId="5076B953">
      <w:pPr>
        <w:pStyle w:val="168"/>
        <w:rPr>
          <w:rFonts w:hint="eastAsia"/>
          <w:color w:val="auto"/>
          <w:highlight w:val="none"/>
          <w:lang w:eastAsia="zh-CN"/>
        </w:rPr>
        <w:sectPr>
          <w:headerReference r:id="rId17" w:type="default"/>
          <w:footerReference r:id="rId19" w:type="default"/>
          <w:headerReference r:id="rId18" w:type="even"/>
          <w:footerReference r:id="rId20" w:type="even"/>
          <w:pgSz w:w="11906" w:h="16838"/>
          <w:pgMar w:top="2410" w:right="1134" w:bottom="1134" w:left="1134" w:header="1418" w:footer="1134" w:gutter="284"/>
          <w:pgNumType w:start="1"/>
          <w:cols w:space="425" w:num="1"/>
          <w:formProt w:val="0"/>
          <w:docGrid w:type="lines" w:linePitch="312" w:charSpace="0"/>
        </w:sectPr>
      </w:pPr>
    </w:p>
    <w:bookmarkEnd w:id="18"/>
    <w:p w14:paraId="605D9715">
      <w:pPr>
        <w:pStyle w:val="201"/>
        <w:rPr>
          <w:color w:val="auto"/>
          <w:highlight w:val="none"/>
        </w:rPr>
      </w:pPr>
    </w:p>
    <w:p w14:paraId="129415EB">
      <w:pPr>
        <w:pStyle w:val="202"/>
        <w:rPr>
          <w:color w:val="auto"/>
          <w:highlight w:val="none"/>
        </w:rPr>
      </w:pPr>
    </w:p>
    <w:p w14:paraId="7626F240">
      <w:pPr>
        <w:pStyle w:val="66"/>
        <w:spacing w:before="124" w:after="156"/>
        <w:rPr>
          <w:color w:val="auto"/>
          <w:highlight w:val="none"/>
        </w:rPr>
      </w:pPr>
      <w:bookmarkStart w:id="74" w:name="_Toc17486"/>
      <w:bookmarkStart w:id="75" w:name="BookMark6"/>
      <w:r>
        <w:rPr>
          <w:rFonts w:hint="eastAsia"/>
          <w:color w:val="auto"/>
          <w:spacing w:val="105"/>
          <w:highlight w:val="none"/>
        </w:rPr>
        <w:t>参考文</w:t>
      </w:r>
      <w:r>
        <w:rPr>
          <w:rFonts w:hint="eastAsia"/>
          <w:color w:val="auto"/>
          <w:highlight w:val="none"/>
        </w:rPr>
        <w:t>献</w:t>
      </w:r>
      <w:bookmarkEnd w:id="74"/>
    </w:p>
    <w:p w14:paraId="72D6B008">
      <w:pPr>
        <w:pStyle w:val="59"/>
        <w:ind w:firstLine="420"/>
        <w:rPr>
          <w:rFonts w:hint="default" w:hAnsi="宋体"/>
          <w:color w:val="auto"/>
          <w:highlight w:val="none"/>
          <w:lang w:val="en-US" w:eastAsia="zh-CN"/>
        </w:rPr>
      </w:pPr>
      <w:r>
        <w:rPr>
          <w:rFonts w:hAnsi="宋体"/>
          <w:color w:val="auto"/>
          <w:highlight w:val="none"/>
        </w:rPr>
        <w:t>[1]</w:t>
      </w:r>
      <w:bookmarkStart w:id="76" w:name="OLE_LINK14"/>
      <w:r>
        <w:rPr>
          <w:rFonts w:hint="eastAsia" w:hAnsi="宋体"/>
          <w:color w:val="auto"/>
          <w:highlight w:val="none"/>
        </w:rPr>
        <w:t>　</w:t>
      </w:r>
      <w:bookmarkEnd w:id="76"/>
      <w:r>
        <w:rPr>
          <w:rFonts w:hint="eastAsia" w:hAnsi="宋体"/>
          <w:color w:val="auto"/>
          <w:highlight w:val="none"/>
          <w:lang w:val="en-US" w:eastAsia="zh-CN"/>
        </w:rPr>
        <w:t>《</w:t>
      </w:r>
      <w:r>
        <w:rPr>
          <w:rFonts w:hint="default" w:hAnsi="宋体"/>
          <w:color w:val="auto"/>
          <w:highlight w:val="none"/>
          <w:lang w:val="en-US" w:eastAsia="zh-CN"/>
        </w:rPr>
        <w:t>国家标准化发展纲要</w:t>
      </w:r>
      <w:r>
        <w:rPr>
          <w:rFonts w:hint="eastAsia" w:hAnsi="宋体"/>
          <w:color w:val="auto"/>
          <w:highlight w:val="none"/>
          <w:lang w:val="en-US" w:eastAsia="zh-CN"/>
        </w:rPr>
        <w:t>》</w:t>
      </w:r>
    </w:p>
    <w:p w14:paraId="1B51C267">
      <w:pPr>
        <w:pStyle w:val="59"/>
        <w:ind w:firstLine="420"/>
        <w:rPr>
          <w:rFonts w:hint="eastAsia" w:hAnsi="宋体"/>
          <w:color w:val="auto"/>
          <w:highlight w:val="none"/>
          <w:lang w:val="en-US" w:eastAsia="zh-CN"/>
        </w:rPr>
      </w:pPr>
      <w:r>
        <w:rPr>
          <w:rFonts w:hAnsi="宋体"/>
          <w:color w:val="auto"/>
          <w:highlight w:val="none"/>
        </w:rPr>
        <w:t>[</w:t>
      </w:r>
      <w:r>
        <w:rPr>
          <w:rFonts w:hint="eastAsia" w:hAnsi="宋体"/>
          <w:color w:val="auto"/>
          <w:highlight w:val="none"/>
          <w:lang w:val="en-US" w:eastAsia="zh-CN"/>
        </w:rPr>
        <w:t>2</w:t>
      </w:r>
      <w:r>
        <w:rPr>
          <w:rFonts w:hAnsi="宋体"/>
          <w:color w:val="auto"/>
          <w:highlight w:val="none"/>
        </w:rPr>
        <w:t>]</w:t>
      </w:r>
      <w:r>
        <w:rPr>
          <w:rFonts w:hint="eastAsia" w:hAnsi="宋体"/>
          <w:color w:val="auto"/>
          <w:highlight w:val="none"/>
        </w:rPr>
        <w:t>　</w:t>
      </w:r>
      <w:r>
        <w:rPr>
          <w:rFonts w:hint="eastAsia" w:hAnsi="宋体"/>
          <w:color w:val="auto"/>
          <w:highlight w:val="none"/>
          <w:lang w:val="en-US" w:eastAsia="zh-CN"/>
        </w:rPr>
        <w:t>《上海市促进行业协会发展规定》</w:t>
      </w:r>
    </w:p>
    <w:p w14:paraId="1E91C8A2">
      <w:pPr>
        <w:pStyle w:val="59"/>
        <w:ind w:firstLine="420"/>
        <w:rPr>
          <w:rFonts w:hint="eastAsia" w:hAnsi="宋体"/>
          <w:color w:val="auto"/>
          <w:highlight w:val="none"/>
          <w:lang w:val="en-US" w:eastAsia="zh-CN"/>
        </w:rPr>
      </w:pPr>
      <w:r>
        <w:rPr>
          <w:rFonts w:hint="eastAsia" w:hAnsi="宋体"/>
          <w:color w:val="auto"/>
          <w:highlight w:val="none"/>
          <w:lang w:val="en-US" w:eastAsia="zh-CN"/>
        </w:rPr>
        <w:t xml:space="preserve">[3] GB/T 20001.11—2022 标准编写规则 第11部分：管理体系标准 </w:t>
      </w:r>
    </w:p>
    <w:p w14:paraId="3A4A6B8D">
      <w:pPr>
        <w:pStyle w:val="59"/>
        <w:ind w:firstLine="420"/>
        <w:rPr>
          <w:rFonts w:hint="eastAsia" w:hAnsi="宋体"/>
          <w:color w:val="auto"/>
          <w:highlight w:val="none"/>
          <w:lang w:val="en-US" w:eastAsia="zh-CN"/>
        </w:rPr>
      </w:pPr>
      <w:r>
        <w:rPr>
          <w:rFonts w:hint="eastAsia" w:hAnsi="宋体"/>
          <w:color w:val="auto"/>
          <w:highlight w:val="none"/>
          <w:lang w:val="en-US" w:eastAsia="zh-CN"/>
        </w:rPr>
        <w:t xml:space="preserve">[4] GB/T 20004.1—2016 标准化工作指南 第6部分：标准化良好行为规范 </w:t>
      </w:r>
    </w:p>
    <w:p w14:paraId="1223E18B">
      <w:pPr>
        <w:pStyle w:val="59"/>
        <w:ind w:firstLine="420"/>
        <w:rPr>
          <w:rFonts w:hint="eastAsia" w:hAnsi="宋体"/>
          <w:color w:val="auto"/>
          <w:highlight w:val="none"/>
          <w:lang w:val="en-US" w:eastAsia="zh-CN"/>
        </w:rPr>
      </w:pPr>
      <w:r>
        <w:rPr>
          <w:rFonts w:hint="eastAsia" w:hAnsi="宋体"/>
          <w:color w:val="auto"/>
          <w:highlight w:val="none"/>
          <w:lang w:val="en-US" w:eastAsia="zh-CN"/>
        </w:rPr>
        <w:t xml:space="preserve">[5] ISO/IEC Directives，Part 1，2022，Consolidated ISO Supplement—Procedures specific </w:t>
      </w:r>
    </w:p>
    <w:p w14:paraId="4AB41D32">
      <w:pPr>
        <w:pStyle w:val="59"/>
        <w:ind w:firstLine="420"/>
        <w:rPr>
          <w:rFonts w:hint="eastAsia" w:hAnsi="宋体"/>
          <w:color w:val="auto"/>
          <w:highlight w:val="none"/>
          <w:lang w:val="en-US" w:eastAsia="zh-CN"/>
        </w:rPr>
      </w:pPr>
      <w:r>
        <w:rPr>
          <w:rFonts w:hint="eastAsia" w:hAnsi="宋体"/>
          <w:color w:val="auto"/>
          <w:highlight w:val="none"/>
          <w:lang w:val="en-US" w:eastAsia="zh-CN"/>
        </w:rPr>
        <w:t xml:space="preserve">to ISO. </w:t>
      </w:r>
    </w:p>
    <w:p w14:paraId="0B88755E">
      <w:pPr>
        <w:pStyle w:val="59"/>
        <w:ind w:firstLine="420"/>
        <w:rPr>
          <w:rFonts w:hint="eastAsia" w:hAnsi="宋体"/>
          <w:color w:val="auto"/>
          <w:highlight w:val="none"/>
          <w:lang w:val="en-US" w:eastAsia="zh-CN"/>
        </w:rPr>
      </w:pPr>
      <w:r>
        <w:rPr>
          <w:rFonts w:hint="eastAsia" w:hAnsi="宋体"/>
          <w:color w:val="auto"/>
          <w:highlight w:val="none"/>
          <w:lang w:val="en-US" w:eastAsia="zh-CN"/>
        </w:rPr>
        <w:t xml:space="preserve">[4] 《WTO/TBT协定》的附件3“编制、采用和应用标准的良好行为规范”.1995. </w:t>
      </w:r>
    </w:p>
    <w:p w14:paraId="1B54D4EC">
      <w:pPr>
        <w:pStyle w:val="59"/>
        <w:ind w:firstLine="420"/>
        <w:rPr>
          <w:rFonts w:hint="eastAsia" w:hAnsi="宋体"/>
          <w:color w:val="auto"/>
          <w:highlight w:val="none"/>
          <w:lang w:val="en-US" w:eastAsia="zh-CN"/>
        </w:rPr>
      </w:pPr>
      <w:r>
        <w:rPr>
          <w:rFonts w:hint="eastAsia" w:hAnsi="宋体"/>
          <w:color w:val="auto"/>
          <w:highlight w:val="none"/>
          <w:lang w:val="en-US" w:eastAsia="zh-CN"/>
        </w:rPr>
        <w:t xml:space="preserve">[5] 《WTO/TBT委员会关于制定国际标准、指南和建议的原则的决定》（G/TBT/9）.2000. </w:t>
      </w:r>
    </w:p>
    <w:p w14:paraId="36CB9261">
      <w:pPr>
        <w:pStyle w:val="59"/>
        <w:ind w:firstLine="420"/>
        <w:rPr>
          <w:rFonts w:hint="eastAsia" w:hAnsi="宋体"/>
          <w:color w:val="auto"/>
          <w:highlight w:val="none"/>
          <w:lang w:val="en-US" w:eastAsia="zh-CN"/>
        </w:rPr>
      </w:pPr>
    </w:p>
    <w:p w14:paraId="105BDDCF">
      <w:pPr>
        <w:pStyle w:val="59"/>
        <w:ind w:firstLine="420"/>
        <w:rPr>
          <w:rFonts w:hint="default" w:hAnsi="宋体"/>
          <w:color w:val="auto"/>
          <w:highlight w:val="none"/>
          <w:lang w:val="en-US" w:eastAsia="zh-CN"/>
        </w:rPr>
      </w:pPr>
    </w:p>
    <w:p w14:paraId="125F6E84">
      <w:pPr>
        <w:pStyle w:val="59"/>
        <w:ind w:firstLine="420"/>
        <w:rPr>
          <w:color w:val="auto"/>
          <w:highlight w:val="none"/>
        </w:rPr>
      </w:pPr>
    </w:p>
    <w:bookmarkEnd w:id="75"/>
    <w:p w14:paraId="4B9E7574">
      <w:pPr>
        <w:pStyle w:val="59"/>
        <w:ind w:firstLine="0" w:firstLineChars="0"/>
        <w:jc w:val="center"/>
        <w:rPr>
          <w:color w:val="auto"/>
          <w:highlight w:val="none"/>
        </w:rPr>
      </w:pPr>
      <w:bookmarkStart w:id="77" w:name="BookMark8"/>
      <w:r>
        <w:rPr>
          <w:color w:val="auto"/>
          <w:highlight w:val="none"/>
        </w:rP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18D83">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9F049">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4BD00">
    <w:pPr>
      <w:pStyle w:val="55"/>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40712">
    <w:pPr>
      <w:pStyle w:val="19"/>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FA7AB">
    <w:pPr>
      <w:pStyle w:val="55"/>
      <w:jc w:val="right"/>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D0A8B">
    <w:pPr>
      <w:pStyle w:val="19"/>
      <w:jc w:val="left"/>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7716C">
    <w:pPr>
      <w:pStyle w:val="55"/>
      <w:jc w:val="right"/>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5DD34">
    <w:pPr>
      <w:pStyle w:val="19"/>
      <w:jc w:val="left"/>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A16BF">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9CFE1">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AED5D">
    <w:pPr>
      <w:pStyle w:val="64"/>
      <w:jc w:val="right"/>
    </w:pPr>
    <w:r>
      <w:fldChar w:fldCharType="begin"/>
    </w:r>
    <w:r>
      <w:instrText xml:space="preserve"> STYLEREF  标准文件_文件编号  \* MERGEFORMAT </w:instrText>
    </w:r>
    <w:r>
      <w:fldChar w:fldCharType="separate"/>
    </w:r>
    <w:r>
      <w:t>DB 31/T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B3A89">
    <w:pPr>
      <w:pStyle w:val="20"/>
      <w:pBdr>
        <w:bottom w:val="none" w:color="auto" w:sz="0" w:space="0"/>
      </w:pBdr>
      <w:jc w:val="right"/>
      <w:rPr>
        <w:lang w:val="fr-FR"/>
      </w:rPr>
    </w:pPr>
    <w:r>
      <w:rPr>
        <w:rFonts w:ascii="黑体" w:hAnsi="宋体" w:eastAsia="黑体" w:cs="Times New Roman"/>
        <w:sz w:val="21"/>
        <w:szCs w:val="20"/>
        <w:lang w:val="en-US" w:eastAsia="zh-CN" w:bidi="ar-SA"/>
      </w:rPr>
      <w:fldChar w:fldCharType="begin"/>
    </w:r>
    <w:r>
      <w:rPr>
        <w:rFonts w:ascii="黑体" w:hAnsi="宋体" w:eastAsia="黑体" w:cs="Times New Roman"/>
        <w:sz w:val="21"/>
        <w:szCs w:val="20"/>
        <w:lang w:val="en-US" w:eastAsia="zh-CN" w:bidi="ar-SA"/>
      </w:rPr>
      <w:instrText xml:space="preserve"> STYLEREF  标准文件_文件编号  \* MERGEFORMAT </w:instrText>
    </w:r>
    <w:r>
      <w:rPr>
        <w:rFonts w:ascii="黑体" w:hAnsi="宋体" w:eastAsia="黑体" w:cs="Times New Roman"/>
        <w:sz w:val="21"/>
        <w:szCs w:val="20"/>
        <w:lang w:val="en-US" w:eastAsia="zh-CN" w:bidi="ar-SA"/>
      </w:rPr>
      <w:fldChar w:fldCharType="separate"/>
    </w:r>
    <w:r>
      <w:rPr>
        <w:rFonts w:ascii="黑体" w:hAnsi="宋体" w:eastAsia="黑体" w:cs="Times New Roman"/>
        <w:sz w:val="21"/>
        <w:szCs w:val="20"/>
        <w:lang w:val="en-US" w:eastAsia="zh-CN" w:bidi="ar-SA"/>
      </w:rPr>
      <w:t>DB 31/T XXXX—XXXX</w:t>
    </w:r>
    <w:r>
      <w:rPr>
        <w:rFonts w:ascii="黑体" w:hAnsi="宋体" w:eastAsia="黑体" w:cs="Times New Roman"/>
        <w:sz w:val="21"/>
        <w:szCs w:val="20"/>
        <w:lang w:val="fr-FR" w:eastAsia="zh-CN" w:bidi="ar-S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D60C2">
    <w:pPr>
      <w:pStyle w:val="64"/>
      <w:jc w:val="left"/>
    </w:pPr>
    <w:r>
      <w:fldChar w:fldCharType="begin"/>
    </w:r>
    <w:r>
      <w:instrText xml:space="preserve"> STYLEREF  标准文件_文件编号  \* MERGEFORMAT </w:instrText>
    </w:r>
    <w:r>
      <w:fldChar w:fldCharType="separate"/>
    </w:r>
    <w:r>
      <w:t>DB 31/T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40E74">
    <w:pPr>
      <w:pStyle w:val="20"/>
      <w:pBdr>
        <w:bottom w:val="none" w:color="auto" w:sz="0" w:space="0"/>
      </w:pBdr>
      <w:jc w:val="left"/>
      <w:rPr>
        <w:lang w:val="fr-FR"/>
      </w:rPr>
    </w:pPr>
    <w:r>
      <w:rPr>
        <w:rFonts w:ascii="黑体" w:hAnsi="宋体" w:eastAsia="黑体" w:cs="Times New Roman"/>
        <w:sz w:val="21"/>
        <w:szCs w:val="20"/>
        <w:lang w:val="en-US" w:eastAsia="zh-CN" w:bidi="ar-SA"/>
      </w:rPr>
      <w:fldChar w:fldCharType="begin"/>
    </w:r>
    <w:r>
      <w:rPr>
        <w:rFonts w:ascii="黑体" w:hAnsi="宋体" w:eastAsia="黑体" w:cs="Times New Roman"/>
        <w:sz w:val="21"/>
        <w:szCs w:val="20"/>
        <w:lang w:val="en-US" w:eastAsia="zh-CN" w:bidi="ar-SA"/>
      </w:rPr>
      <w:instrText xml:space="preserve"> STYLEREF  标准文件_文件编号  \* MERGEFORMAT </w:instrText>
    </w:r>
    <w:r>
      <w:rPr>
        <w:rFonts w:ascii="黑体" w:hAnsi="宋体" w:eastAsia="黑体" w:cs="Times New Roman"/>
        <w:sz w:val="21"/>
        <w:szCs w:val="20"/>
        <w:lang w:val="en-US" w:eastAsia="zh-CN" w:bidi="ar-SA"/>
      </w:rPr>
      <w:fldChar w:fldCharType="separate"/>
    </w:r>
    <w:r>
      <w:rPr>
        <w:rFonts w:ascii="黑体" w:hAnsi="宋体" w:eastAsia="黑体" w:cs="Times New Roman"/>
        <w:sz w:val="21"/>
        <w:szCs w:val="20"/>
        <w:lang w:val="en-US" w:eastAsia="zh-CN" w:bidi="ar-SA"/>
      </w:rPr>
      <w:t>DB 31/T XXXX—XXXX</w:t>
    </w:r>
    <w:r>
      <w:rPr>
        <w:rFonts w:ascii="黑体" w:hAnsi="宋体" w:eastAsia="黑体" w:cs="Times New Roman"/>
        <w:sz w:val="21"/>
        <w:szCs w:val="20"/>
        <w:lang w:val="fr-FR" w:eastAsia="zh-CN" w:bidi="ar-S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B8B15">
    <w:pPr>
      <w:pStyle w:val="64"/>
      <w:pBdr>
        <w:bottom w:val="none" w:color="auto" w:sz="0" w:space="0"/>
      </w:pBdr>
      <w:jc w:val="right"/>
    </w:pPr>
    <w:r>
      <w:fldChar w:fldCharType="begin"/>
    </w:r>
    <w:r>
      <w:instrText xml:space="preserve"> STYLEREF  标准文件_文件编号  \* MERGEFORMAT </w:instrText>
    </w:r>
    <w:r>
      <w:fldChar w:fldCharType="separate"/>
    </w:r>
    <w:r>
      <w:t>DB 31/T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0AA6D6">
    <w:pPr>
      <w:pStyle w:val="64"/>
      <w:pBdr>
        <w:bottom w:val="none" w:color="auto" w:sz="0" w:space="0"/>
      </w:pBdr>
      <w:jc w:val="left"/>
      <w:rPr>
        <w:lang w:val="fr-FR"/>
      </w:rPr>
    </w:pPr>
    <w:r>
      <w:fldChar w:fldCharType="begin"/>
    </w:r>
    <w:r>
      <w:instrText xml:space="preserve"> STYLEREF  标准文件_文件编号  \* MERGEFORMAT </w:instrText>
    </w:r>
    <w:r>
      <w:fldChar w:fldCharType="separate"/>
    </w:r>
    <w:r>
      <w:t>DB 31/T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4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6"/>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7"/>
      <w:suff w:val="nothing"/>
      <w:lvlText w:val="%1.%2.%3　"/>
      <w:lvlJc w:val="left"/>
      <w:pPr>
        <w:ind w:left="851"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38"/>
      <w:suff w:val="nothing"/>
      <w:lvlText w:val="%1.%2.%3.%4.%5　"/>
      <w:lvlJc w:val="left"/>
      <w:pPr>
        <w:ind w:left="0" w:firstLine="0"/>
      </w:pPr>
      <w:rPr>
        <w:rFonts w:hint="eastAsia" w:ascii="黑体" w:hAnsi="Times New Roman" w:eastAsia="黑体"/>
        <w:b w:val="0"/>
        <w:i w:val="0"/>
        <w:sz w:val="21"/>
      </w:rPr>
    </w:lvl>
    <w:lvl w:ilvl="5" w:tentative="0">
      <w:start w:val="1"/>
      <w:numFmt w:val="decimal"/>
      <w:pStyle w:val="23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0" w:firstLine="0"/>
      </w:pPr>
      <w:rPr>
        <w:rFonts w:hint="eastAsia"/>
      </w:rPr>
    </w:lvl>
    <w:lvl w:ilvl="8" w:tentative="0">
      <w:start w:val="1"/>
      <w:numFmt w:val="decimal"/>
      <w:lvlText w:val="%1.%2.%3.%4.%5.%6.%7.%8.%9"/>
      <w:lvlJc w:val="left"/>
      <w:pPr>
        <w:tabs>
          <w:tab w:val="left" w:pos="4777"/>
        </w:tabs>
        <w:ind w:left="0" w:firstLine="0"/>
      </w:pPr>
      <w:rPr>
        <w:rFonts w:hint="eastAsia"/>
      </w:r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568"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dit="forms"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YTYzN2FmYTBmMTEwOTM3MTYyYTRmMzAyMmNkYmIifQ=="/>
  </w:docVars>
  <w:rsids>
    <w:rsidRoot w:val="003810CD"/>
    <w:rsid w:val="0000040A"/>
    <w:rsid w:val="00000A94"/>
    <w:rsid w:val="00001972"/>
    <w:rsid w:val="00001D9A"/>
    <w:rsid w:val="00007B3A"/>
    <w:rsid w:val="000107E0"/>
    <w:rsid w:val="00011FDE"/>
    <w:rsid w:val="00012FFD"/>
    <w:rsid w:val="00013355"/>
    <w:rsid w:val="00014162"/>
    <w:rsid w:val="00014340"/>
    <w:rsid w:val="00016A9C"/>
    <w:rsid w:val="00022184"/>
    <w:rsid w:val="00022762"/>
    <w:rsid w:val="00023874"/>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978"/>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687"/>
    <w:rsid w:val="000A7311"/>
    <w:rsid w:val="000B060F"/>
    <w:rsid w:val="000B1592"/>
    <w:rsid w:val="000B1FF2"/>
    <w:rsid w:val="000B3CDA"/>
    <w:rsid w:val="000B6A0B"/>
    <w:rsid w:val="000C0F6C"/>
    <w:rsid w:val="000C11DB"/>
    <w:rsid w:val="000C1492"/>
    <w:rsid w:val="000C181F"/>
    <w:rsid w:val="000C2FBD"/>
    <w:rsid w:val="000C4B41"/>
    <w:rsid w:val="000C57D6"/>
    <w:rsid w:val="000C6362"/>
    <w:rsid w:val="000C7666"/>
    <w:rsid w:val="000D0A9C"/>
    <w:rsid w:val="000D1795"/>
    <w:rsid w:val="000D329A"/>
    <w:rsid w:val="000D4B9C"/>
    <w:rsid w:val="000D4EB6"/>
    <w:rsid w:val="000D753B"/>
    <w:rsid w:val="000E39E0"/>
    <w:rsid w:val="000E4C9E"/>
    <w:rsid w:val="000E6FD7"/>
    <w:rsid w:val="000E7F88"/>
    <w:rsid w:val="000F06E1"/>
    <w:rsid w:val="000F0E3C"/>
    <w:rsid w:val="000F19D5"/>
    <w:rsid w:val="000F4AEA"/>
    <w:rsid w:val="000F633F"/>
    <w:rsid w:val="000F67E9"/>
    <w:rsid w:val="00104926"/>
    <w:rsid w:val="00113B1E"/>
    <w:rsid w:val="0011711C"/>
    <w:rsid w:val="00117C4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1DC"/>
    <w:rsid w:val="001852C9"/>
    <w:rsid w:val="00190087"/>
    <w:rsid w:val="001913C4"/>
    <w:rsid w:val="0019348F"/>
    <w:rsid w:val="00193A07"/>
    <w:rsid w:val="00194C95"/>
    <w:rsid w:val="00195C34"/>
    <w:rsid w:val="00196EF5"/>
    <w:rsid w:val="001A1A53"/>
    <w:rsid w:val="001A234A"/>
    <w:rsid w:val="001A4CF3"/>
    <w:rsid w:val="001B06E8"/>
    <w:rsid w:val="001B2E3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A4F"/>
    <w:rsid w:val="001F4EE9"/>
    <w:rsid w:val="001F5381"/>
    <w:rsid w:val="001F5760"/>
    <w:rsid w:val="001F69B4"/>
    <w:rsid w:val="001F77C7"/>
    <w:rsid w:val="00200183"/>
    <w:rsid w:val="00200333"/>
    <w:rsid w:val="0020107D"/>
    <w:rsid w:val="00202AA4"/>
    <w:rsid w:val="002031F7"/>
    <w:rsid w:val="002040E6"/>
    <w:rsid w:val="0020527B"/>
    <w:rsid w:val="00205F2C"/>
    <w:rsid w:val="00210B15"/>
    <w:rsid w:val="00211679"/>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230F"/>
    <w:rsid w:val="00256218"/>
    <w:rsid w:val="0026148A"/>
    <w:rsid w:val="00262696"/>
    <w:rsid w:val="00263D25"/>
    <w:rsid w:val="002643C3"/>
    <w:rsid w:val="00264A0C"/>
    <w:rsid w:val="00266EEB"/>
    <w:rsid w:val="00267EF4"/>
    <w:rsid w:val="00270CB8"/>
    <w:rsid w:val="00272B08"/>
    <w:rsid w:val="00275632"/>
    <w:rsid w:val="00281BB8"/>
    <w:rsid w:val="00281E9E"/>
    <w:rsid w:val="00282405"/>
    <w:rsid w:val="00283A01"/>
    <w:rsid w:val="00285170"/>
    <w:rsid w:val="00285361"/>
    <w:rsid w:val="0029048D"/>
    <w:rsid w:val="00291E95"/>
    <w:rsid w:val="00292D60"/>
    <w:rsid w:val="00293B30"/>
    <w:rsid w:val="00294D34"/>
    <w:rsid w:val="00294E3B"/>
    <w:rsid w:val="00296193"/>
    <w:rsid w:val="0029680E"/>
    <w:rsid w:val="00296C66"/>
    <w:rsid w:val="00296EBE"/>
    <w:rsid w:val="002974E3"/>
    <w:rsid w:val="002A084B"/>
    <w:rsid w:val="002A1260"/>
    <w:rsid w:val="002A1589"/>
    <w:rsid w:val="002A1608"/>
    <w:rsid w:val="002A25DC"/>
    <w:rsid w:val="002A3AAB"/>
    <w:rsid w:val="002A41C4"/>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F88"/>
    <w:rsid w:val="002D1AC6"/>
    <w:rsid w:val="002D42B5"/>
    <w:rsid w:val="002D4F1A"/>
    <w:rsid w:val="002D6EC6"/>
    <w:rsid w:val="002D79AC"/>
    <w:rsid w:val="002E039D"/>
    <w:rsid w:val="002E4D5A"/>
    <w:rsid w:val="002E6326"/>
    <w:rsid w:val="002F19CE"/>
    <w:rsid w:val="002F30E0"/>
    <w:rsid w:val="002F35E4"/>
    <w:rsid w:val="002F3730"/>
    <w:rsid w:val="002F38E1"/>
    <w:rsid w:val="002F7AF6"/>
    <w:rsid w:val="00300E63"/>
    <w:rsid w:val="00302F5F"/>
    <w:rsid w:val="0030441D"/>
    <w:rsid w:val="00306063"/>
    <w:rsid w:val="003067D6"/>
    <w:rsid w:val="00311FD2"/>
    <w:rsid w:val="00313B85"/>
    <w:rsid w:val="00313D52"/>
    <w:rsid w:val="00317988"/>
    <w:rsid w:val="003221B4"/>
    <w:rsid w:val="0032258D"/>
    <w:rsid w:val="00322E62"/>
    <w:rsid w:val="00324D13"/>
    <w:rsid w:val="00324D2A"/>
    <w:rsid w:val="00324EDD"/>
    <w:rsid w:val="003331E4"/>
    <w:rsid w:val="00333FB6"/>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0CD"/>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778D"/>
    <w:rsid w:val="003C010C"/>
    <w:rsid w:val="003C0A6C"/>
    <w:rsid w:val="003C14F8"/>
    <w:rsid w:val="003C538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63F"/>
    <w:rsid w:val="0041477A"/>
    <w:rsid w:val="004167A3"/>
    <w:rsid w:val="00432DAA"/>
    <w:rsid w:val="00434305"/>
    <w:rsid w:val="00435DF7"/>
    <w:rsid w:val="004372F1"/>
    <w:rsid w:val="0044083F"/>
    <w:rsid w:val="00441AE7"/>
    <w:rsid w:val="00445574"/>
    <w:rsid w:val="004467FB"/>
    <w:rsid w:val="00446A86"/>
    <w:rsid w:val="00446B5D"/>
    <w:rsid w:val="00452D6B"/>
    <w:rsid w:val="00453CAE"/>
    <w:rsid w:val="00454484"/>
    <w:rsid w:val="0045517B"/>
    <w:rsid w:val="00463B77"/>
    <w:rsid w:val="00463C7B"/>
    <w:rsid w:val="004644A6"/>
    <w:rsid w:val="004659BD"/>
    <w:rsid w:val="0046618F"/>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4D4"/>
    <w:rsid w:val="004A63FA"/>
    <w:rsid w:val="004A711E"/>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8A7"/>
    <w:rsid w:val="004D4406"/>
    <w:rsid w:val="004D7C42"/>
    <w:rsid w:val="004E0465"/>
    <w:rsid w:val="004E0D7F"/>
    <w:rsid w:val="004E127B"/>
    <w:rsid w:val="004E1C0A"/>
    <w:rsid w:val="004E2B06"/>
    <w:rsid w:val="004E30C5"/>
    <w:rsid w:val="004E4AA5"/>
    <w:rsid w:val="004E4AEE"/>
    <w:rsid w:val="004E564A"/>
    <w:rsid w:val="004E59E3"/>
    <w:rsid w:val="004E67C0"/>
    <w:rsid w:val="004F391A"/>
    <w:rsid w:val="004F39CB"/>
    <w:rsid w:val="004F3CFB"/>
    <w:rsid w:val="004F6456"/>
    <w:rsid w:val="004F696E"/>
    <w:rsid w:val="004F6C71"/>
    <w:rsid w:val="00501139"/>
    <w:rsid w:val="0050363E"/>
    <w:rsid w:val="005039BC"/>
    <w:rsid w:val="00503A84"/>
    <w:rsid w:val="005043BB"/>
    <w:rsid w:val="00504A3D"/>
    <w:rsid w:val="00505767"/>
    <w:rsid w:val="005073F0"/>
    <w:rsid w:val="00510A7B"/>
    <w:rsid w:val="00512F6E"/>
    <w:rsid w:val="00513038"/>
    <w:rsid w:val="00514174"/>
    <w:rsid w:val="005156EE"/>
    <w:rsid w:val="00516088"/>
    <w:rsid w:val="00516B0B"/>
    <w:rsid w:val="00517394"/>
    <w:rsid w:val="005220EC"/>
    <w:rsid w:val="00523F95"/>
    <w:rsid w:val="00524D65"/>
    <w:rsid w:val="00525B16"/>
    <w:rsid w:val="00533D04"/>
    <w:rsid w:val="00534804"/>
    <w:rsid w:val="00534BDF"/>
    <w:rsid w:val="00534C97"/>
    <w:rsid w:val="005354EA"/>
    <w:rsid w:val="0053585F"/>
    <w:rsid w:val="00535EC4"/>
    <w:rsid w:val="00535ED9"/>
    <w:rsid w:val="0053692B"/>
    <w:rsid w:val="00541853"/>
    <w:rsid w:val="00543BDA"/>
    <w:rsid w:val="005441CC"/>
    <w:rsid w:val="005442A6"/>
    <w:rsid w:val="005479DA"/>
    <w:rsid w:val="00547BCC"/>
    <w:rsid w:val="0055013B"/>
    <w:rsid w:val="00551F6F"/>
    <w:rsid w:val="00555044"/>
    <w:rsid w:val="00555378"/>
    <w:rsid w:val="00561475"/>
    <w:rsid w:val="0056487B"/>
    <w:rsid w:val="00564FB9"/>
    <w:rsid w:val="00573D9E"/>
    <w:rsid w:val="005801E3"/>
    <w:rsid w:val="00581802"/>
    <w:rsid w:val="005836A8"/>
    <w:rsid w:val="0058409C"/>
    <w:rsid w:val="00584262"/>
    <w:rsid w:val="00586156"/>
    <w:rsid w:val="00586630"/>
    <w:rsid w:val="00587ADD"/>
    <w:rsid w:val="00591E27"/>
    <w:rsid w:val="00594FFE"/>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6F10"/>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DCF"/>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B77"/>
    <w:rsid w:val="006640E5"/>
    <w:rsid w:val="006646F1"/>
    <w:rsid w:val="00664929"/>
    <w:rsid w:val="00664F62"/>
    <w:rsid w:val="006655E1"/>
    <w:rsid w:val="00666D2A"/>
    <w:rsid w:val="00672060"/>
    <w:rsid w:val="00672BFD"/>
    <w:rsid w:val="006770F4"/>
    <w:rsid w:val="00677A84"/>
    <w:rsid w:val="0068026D"/>
    <w:rsid w:val="00680A27"/>
    <w:rsid w:val="006816A4"/>
    <w:rsid w:val="006819B8"/>
    <w:rsid w:val="006840A6"/>
    <w:rsid w:val="006850CD"/>
    <w:rsid w:val="00685AAB"/>
    <w:rsid w:val="006923E5"/>
    <w:rsid w:val="00695D22"/>
    <w:rsid w:val="006A07AA"/>
    <w:rsid w:val="006A1918"/>
    <w:rsid w:val="006A25E5"/>
    <w:rsid w:val="006A2B46"/>
    <w:rsid w:val="006A2EF7"/>
    <w:rsid w:val="006A336D"/>
    <w:rsid w:val="006A37B9"/>
    <w:rsid w:val="006B079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2CB9"/>
    <w:rsid w:val="006F03A8"/>
    <w:rsid w:val="006F2ACA"/>
    <w:rsid w:val="006F2ADC"/>
    <w:rsid w:val="006F2BFE"/>
    <w:rsid w:val="006F31E9"/>
    <w:rsid w:val="006F6284"/>
    <w:rsid w:val="006F6D88"/>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4738"/>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0B0A"/>
    <w:rsid w:val="0078114B"/>
    <w:rsid w:val="00781362"/>
    <w:rsid w:val="00781DD2"/>
    <w:rsid w:val="00783ECF"/>
    <w:rsid w:val="0078413A"/>
    <w:rsid w:val="0079303D"/>
    <w:rsid w:val="007959E8"/>
    <w:rsid w:val="00795E9C"/>
    <w:rsid w:val="007A0521"/>
    <w:rsid w:val="007A2E12"/>
    <w:rsid w:val="007A3475"/>
    <w:rsid w:val="007A41C8"/>
    <w:rsid w:val="007A537C"/>
    <w:rsid w:val="007A54CE"/>
    <w:rsid w:val="007A6FD9"/>
    <w:rsid w:val="007A7FFA"/>
    <w:rsid w:val="007B04EB"/>
    <w:rsid w:val="007B0D4F"/>
    <w:rsid w:val="007B5A3D"/>
    <w:rsid w:val="007B5B95"/>
    <w:rsid w:val="007B68EA"/>
    <w:rsid w:val="007B7453"/>
    <w:rsid w:val="007B7EC6"/>
    <w:rsid w:val="007C1E8B"/>
    <w:rsid w:val="007C24F1"/>
    <w:rsid w:val="007C2D89"/>
    <w:rsid w:val="007C4593"/>
    <w:rsid w:val="007C4DD9"/>
    <w:rsid w:val="007C5309"/>
    <w:rsid w:val="007C6069"/>
    <w:rsid w:val="007D06C4"/>
    <w:rsid w:val="007D1352"/>
    <w:rsid w:val="007D22FA"/>
    <w:rsid w:val="007D2508"/>
    <w:rsid w:val="007D3164"/>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42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1ABA"/>
    <w:rsid w:val="008A3215"/>
    <w:rsid w:val="008A57E6"/>
    <w:rsid w:val="008A6F81"/>
    <w:rsid w:val="008A769A"/>
    <w:rsid w:val="008B0C9C"/>
    <w:rsid w:val="008B1444"/>
    <w:rsid w:val="008B166D"/>
    <w:rsid w:val="008B17F4"/>
    <w:rsid w:val="008B3615"/>
    <w:rsid w:val="008B3D3B"/>
    <w:rsid w:val="008B4AC4"/>
    <w:rsid w:val="008B50C8"/>
    <w:rsid w:val="008B5281"/>
    <w:rsid w:val="008B64D3"/>
    <w:rsid w:val="008B7E05"/>
    <w:rsid w:val="008C063C"/>
    <w:rsid w:val="008C1797"/>
    <w:rsid w:val="008C219C"/>
    <w:rsid w:val="008C2BCA"/>
    <w:rsid w:val="008C475E"/>
    <w:rsid w:val="008C619A"/>
    <w:rsid w:val="008D0CE8"/>
    <w:rsid w:val="008D2D1D"/>
    <w:rsid w:val="008D453D"/>
    <w:rsid w:val="008D53AD"/>
    <w:rsid w:val="008D562B"/>
    <w:rsid w:val="008D5733"/>
    <w:rsid w:val="008D5990"/>
    <w:rsid w:val="008D622B"/>
    <w:rsid w:val="008D666C"/>
    <w:rsid w:val="008D6F96"/>
    <w:rsid w:val="008D7B54"/>
    <w:rsid w:val="008E0C9D"/>
    <w:rsid w:val="008E1648"/>
    <w:rsid w:val="008E1B3E"/>
    <w:rsid w:val="008E2319"/>
    <w:rsid w:val="008E4BB6"/>
    <w:rsid w:val="008E5518"/>
    <w:rsid w:val="008E6A84"/>
    <w:rsid w:val="008E7FB5"/>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E49"/>
    <w:rsid w:val="00937429"/>
    <w:rsid w:val="009429D5"/>
    <w:rsid w:val="00942BF1"/>
    <w:rsid w:val="00945180"/>
    <w:rsid w:val="00945428"/>
    <w:rsid w:val="0094607B"/>
    <w:rsid w:val="00953604"/>
    <w:rsid w:val="0095496B"/>
    <w:rsid w:val="009610DC"/>
    <w:rsid w:val="00961490"/>
    <w:rsid w:val="0096381A"/>
    <w:rsid w:val="00965E04"/>
    <w:rsid w:val="0096616E"/>
    <w:rsid w:val="009674AD"/>
    <w:rsid w:val="009707F9"/>
    <w:rsid w:val="00970CDC"/>
    <w:rsid w:val="00970DCC"/>
    <w:rsid w:val="00972812"/>
    <w:rsid w:val="00977010"/>
    <w:rsid w:val="00977D02"/>
    <w:rsid w:val="009809BB"/>
    <w:rsid w:val="0098364B"/>
    <w:rsid w:val="009910ED"/>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3526"/>
    <w:rsid w:val="009B6029"/>
    <w:rsid w:val="009B6971"/>
    <w:rsid w:val="009C27F1"/>
    <w:rsid w:val="009C3152"/>
    <w:rsid w:val="009C4CFA"/>
    <w:rsid w:val="009C5070"/>
    <w:rsid w:val="009D112C"/>
    <w:rsid w:val="009D47FA"/>
    <w:rsid w:val="009D4C5B"/>
    <w:rsid w:val="009D50D2"/>
    <w:rsid w:val="009D6BCA"/>
    <w:rsid w:val="009E07B2"/>
    <w:rsid w:val="009E0F62"/>
    <w:rsid w:val="009E4A58"/>
    <w:rsid w:val="009E5A2D"/>
    <w:rsid w:val="009E5AB2"/>
    <w:rsid w:val="009E6219"/>
    <w:rsid w:val="009F03B3"/>
    <w:rsid w:val="009F4448"/>
    <w:rsid w:val="009F7226"/>
    <w:rsid w:val="00A0096C"/>
    <w:rsid w:val="00A01757"/>
    <w:rsid w:val="00A028C0"/>
    <w:rsid w:val="00A02B9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64D6"/>
    <w:rsid w:val="00A8715E"/>
    <w:rsid w:val="00A90135"/>
    <w:rsid w:val="00A9295B"/>
    <w:rsid w:val="00A93B09"/>
    <w:rsid w:val="00A94247"/>
    <w:rsid w:val="00A952D7"/>
    <w:rsid w:val="00A963F7"/>
    <w:rsid w:val="00A96AD8"/>
    <w:rsid w:val="00AA052C"/>
    <w:rsid w:val="00AA1E45"/>
    <w:rsid w:val="00AA3187"/>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0AF8"/>
    <w:rsid w:val="00B113DB"/>
    <w:rsid w:val="00B11D8A"/>
    <w:rsid w:val="00B12981"/>
    <w:rsid w:val="00B147DD"/>
    <w:rsid w:val="00B156FD"/>
    <w:rsid w:val="00B21F61"/>
    <w:rsid w:val="00B224DB"/>
    <w:rsid w:val="00B261F1"/>
    <w:rsid w:val="00B265BC"/>
    <w:rsid w:val="00B31FB1"/>
    <w:rsid w:val="00B322D9"/>
    <w:rsid w:val="00B33952"/>
    <w:rsid w:val="00B33C5E"/>
    <w:rsid w:val="00B342F4"/>
    <w:rsid w:val="00B34369"/>
    <w:rsid w:val="00B34DC2"/>
    <w:rsid w:val="00B36870"/>
    <w:rsid w:val="00B378E5"/>
    <w:rsid w:val="00B4346D"/>
    <w:rsid w:val="00B440F4"/>
    <w:rsid w:val="00B447A5"/>
    <w:rsid w:val="00B4654C"/>
    <w:rsid w:val="00B47293"/>
    <w:rsid w:val="00B47878"/>
    <w:rsid w:val="00B50E50"/>
    <w:rsid w:val="00B52120"/>
    <w:rsid w:val="00B52506"/>
    <w:rsid w:val="00B543E2"/>
    <w:rsid w:val="00B54ABC"/>
    <w:rsid w:val="00B54DDE"/>
    <w:rsid w:val="00B56FBE"/>
    <w:rsid w:val="00B60ACF"/>
    <w:rsid w:val="00B62B58"/>
    <w:rsid w:val="00B65149"/>
    <w:rsid w:val="00B66567"/>
    <w:rsid w:val="00B66F52"/>
    <w:rsid w:val="00B66FA1"/>
    <w:rsid w:val="00B66FE5"/>
    <w:rsid w:val="00B72880"/>
    <w:rsid w:val="00B758BF"/>
    <w:rsid w:val="00B77EC8"/>
    <w:rsid w:val="00B827A6"/>
    <w:rsid w:val="00B831CE"/>
    <w:rsid w:val="00B86677"/>
    <w:rsid w:val="00B87131"/>
    <w:rsid w:val="00B9070F"/>
    <w:rsid w:val="00B939B1"/>
    <w:rsid w:val="00B96D40"/>
    <w:rsid w:val="00B97386"/>
    <w:rsid w:val="00BA263B"/>
    <w:rsid w:val="00BA42B2"/>
    <w:rsid w:val="00BA58D4"/>
    <w:rsid w:val="00BA5B9E"/>
    <w:rsid w:val="00BA7C9A"/>
    <w:rsid w:val="00BB07AD"/>
    <w:rsid w:val="00BB5F8F"/>
    <w:rsid w:val="00BB657A"/>
    <w:rsid w:val="00BC0CA8"/>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647"/>
    <w:rsid w:val="00C21540"/>
    <w:rsid w:val="00C21906"/>
    <w:rsid w:val="00C21BFA"/>
    <w:rsid w:val="00C22148"/>
    <w:rsid w:val="00C24C8D"/>
    <w:rsid w:val="00C25FE2"/>
    <w:rsid w:val="00C26B53"/>
    <w:rsid w:val="00C279B2"/>
    <w:rsid w:val="00C33E50"/>
    <w:rsid w:val="00C34C20"/>
    <w:rsid w:val="00C35A3E"/>
    <w:rsid w:val="00C35BB3"/>
    <w:rsid w:val="00C42130"/>
    <w:rsid w:val="00C423A4"/>
    <w:rsid w:val="00C44BF5"/>
    <w:rsid w:val="00C521D6"/>
    <w:rsid w:val="00C542FB"/>
    <w:rsid w:val="00C55232"/>
    <w:rsid w:val="00C553A4"/>
    <w:rsid w:val="00C55A06"/>
    <w:rsid w:val="00C55D03"/>
    <w:rsid w:val="00C56234"/>
    <w:rsid w:val="00C601BC"/>
    <w:rsid w:val="00C6099B"/>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97128"/>
    <w:rsid w:val="00CA2D1B"/>
    <w:rsid w:val="00CA375D"/>
    <w:rsid w:val="00CA392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B09"/>
    <w:rsid w:val="00CE0C4F"/>
    <w:rsid w:val="00CE30EA"/>
    <w:rsid w:val="00CF048A"/>
    <w:rsid w:val="00CF155A"/>
    <w:rsid w:val="00CF2947"/>
    <w:rsid w:val="00CF3542"/>
    <w:rsid w:val="00CF686F"/>
    <w:rsid w:val="00CF6E60"/>
    <w:rsid w:val="00CF7B3E"/>
    <w:rsid w:val="00CF7BCA"/>
    <w:rsid w:val="00D008FD"/>
    <w:rsid w:val="00D0321C"/>
    <w:rsid w:val="00D035EC"/>
    <w:rsid w:val="00D06AB1"/>
    <w:rsid w:val="00D072ED"/>
    <w:rsid w:val="00D07A16"/>
    <w:rsid w:val="00D1067E"/>
    <w:rsid w:val="00D10F50"/>
    <w:rsid w:val="00D11272"/>
    <w:rsid w:val="00D126F5"/>
    <w:rsid w:val="00D1489E"/>
    <w:rsid w:val="00D16CE7"/>
    <w:rsid w:val="00D20737"/>
    <w:rsid w:val="00D21E81"/>
    <w:rsid w:val="00D223DE"/>
    <w:rsid w:val="00D25E37"/>
    <w:rsid w:val="00D2661A"/>
    <w:rsid w:val="00D27582"/>
    <w:rsid w:val="00D27EC4"/>
    <w:rsid w:val="00D32719"/>
    <w:rsid w:val="00D33333"/>
    <w:rsid w:val="00D33457"/>
    <w:rsid w:val="00D352A2"/>
    <w:rsid w:val="00D40931"/>
    <w:rsid w:val="00D4162B"/>
    <w:rsid w:val="00D4514F"/>
    <w:rsid w:val="00D451E2"/>
    <w:rsid w:val="00D45E89"/>
    <w:rsid w:val="00D45E8D"/>
    <w:rsid w:val="00D466AE"/>
    <w:rsid w:val="00D4734F"/>
    <w:rsid w:val="00D51BF3"/>
    <w:rsid w:val="00D571EE"/>
    <w:rsid w:val="00D62207"/>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B7A90"/>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03F6"/>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9A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5D78"/>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5AA7"/>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507"/>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607635"/>
    <w:rsid w:val="043A06FC"/>
    <w:rsid w:val="05396ACB"/>
    <w:rsid w:val="086329D2"/>
    <w:rsid w:val="09011381"/>
    <w:rsid w:val="09700C8B"/>
    <w:rsid w:val="09C85BAE"/>
    <w:rsid w:val="0C5B40EC"/>
    <w:rsid w:val="0D182A7F"/>
    <w:rsid w:val="0D312E14"/>
    <w:rsid w:val="0E933A6F"/>
    <w:rsid w:val="10790FE5"/>
    <w:rsid w:val="11441927"/>
    <w:rsid w:val="118F7E61"/>
    <w:rsid w:val="13F310AE"/>
    <w:rsid w:val="14BE3E42"/>
    <w:rsid w:val="15C90318"/>
    <w:rsid w:val="16E40083"/>
    <w:rsid w:val="176D29A6"/>
    <w:rsid w:val="1AA16BB6"/>
    <w:rsid w:val="1B4D72F6"/>
    <w:rsid w:val="1B99253B"/>
    <w:rsid w:val="1B9E5DA3"/>
    <w:rsid w:val="1E707201"/>
    <w:rsid w:val="20155A50"/>
    <w:rsid w:val="207A2CBA"/>
    <w:rsid w:val="209232BC"/>
    <w:rsid w:val="22B1457A"/>
    <w:rsid w:val="22FC1DC4"/>
    <w:rsid w:val="235E4041"/>
    <w:rsid w:val="23A43F51"/>
    <w:rsid w:val="26B81D43"/>
    <w:rsid w:val="26BB6836"/>
    <w:rsid w:val="2717462E"/>
    <w:rsid w:val="275E288B"/>
    <w:rsid w:val="29DA72B4"/>
    <w:rsid w:val="2AD94916"/>
    <w:rsid w:val="2BEC5809"/>
    <w:rsid w:val="2D387216"/>
    <w:rsid w:val="2D3C16D6"/>
    <w:rsid w:val="2DE27408"/>
    <w:rsid w:val="2E0D22E8"/>
    <w:rsid w:val="2FAD57E8"/>
    <w:rsid w:val="2FEE04DB"/>
    <w:rsid w:val="300B4EF7"/>
    <w:rsid w:val="31191C5C"/>
    <w:rsid w:val="31E22A36"/>
    <w:rsid w:val="32747406"/>
    <w:rsid w:val="334E7C57"/>
    <w:rsid w:val="33633703"/>
    <w:rsid w:val="33F702EF"/>
    <w:rsid w:val="3469433F"/>
    <w:rsid w:val="34945B3E"/>
    <w:rsid w:val="34BB131C"/>
    <w:rsid w:val="358160C2"/>
    <w:rsid w:val="35CD030A"/>
    <w:rsid w:val="389F0F6E"/>
    <w:rsid w:val="3A5D4951"/>
    <w:rsid w:val="3ABB2387"/>
    <w:rsid w:val="3ACB3889"/>
    <w:rsid w:val="3C885F88"/>
    <w:rsid w:val="3C947538"/>
    <w:rsid w:val="3D9B32CE"/>
    <w:rsid w:val="3DEE7764"/>
    <w:rsid w:val="3E3671A0"/>
    <w:rsid w:val="40454E45"/>
    <w:rsid w:val="40B57568"/>
    <w:rsid w:val="416A5509"/>
    <w:rsid w:val="41BD66D4"/>
    <w:rsid w:val="428E60D6"/>
    <w:rsid w:val="43655275"/>
    <w:rsid w:val="444E3F5B"/>
    <w:rsid w:val="470D5A07"/>
    <w:rsid w:val="475278BE"/>
    <w:rsid w:val="47577372"/>
    <w:rsid w:val="48755B92"/>
    <w:rsid w:val="4CC364FF"/>
    <w:rsid w:val="4DC31516"/>
    <w:rsid w:val="4F7950B1"/>
    <w:rsid w:val="4F980780"/>
    <w:rsid w:val="506A3ECB"/>
    <w:rsid w:val="50CD6207"/>
    <w:rsid w:val="5169687B"/>
    <w:rsid w:val="51E82577"/>
    <w:rsid w:val="52502B30"/>
    <w:rsid w:val="56585972"/>
    <w:rsid w:val="57193F55"/>
    <w:rsid w:val="57692861"/>
    <w:rsid w:val="5A6F3B43"/>
    <w:rsid w:val="5B3F406F"/>
    <w:rsid w:val="5BE40E67"/>
    <w:rsid w:val="5C636271"/>
    <w:rsid w:val="5C657C3C"/>
    <w:rsid w:val="5D9870D7"/>
    <w:rsid w:val="5DEB0A8D"/>
    <w:rsid w:val="5F5F23CE"/>
    <w:rsid w:val="5FD90725"/>
    <w:rsid w:val="62F5746A"/>
    <w:rsid w:val="63B23767"/>
    <w:rsid w:val="63C96D02"/>
    <w:rsid w:val="654E3963"/>
    <w:rsid w:val="67A37676"/>
    <w:rsid w:val="689E69AF"/>
    <w:rsid w:val="6AB647C4"/>
    <w:rsid w:val="6B60619E"/>
    <w:rsid w:val="6C19585D"/>
    <w:rsid w:val="6D2A1A28"/>
    <w:rsid w:val="6E3336F6"/>
    <w:rsid w:val="6F175D76"/>
    <w:rsid w:val="70E17847"/>
    <w:rsid w:val="73133AF6"/>
    <w:rsid w:val="743B59F6"/>
    <w:rsid w:val="747E1443"/>
    <w:rsid w:val="75FA197F"/>
    <w:rsid w:val="781E74D2"/>
    <w:rsid w:val="79C51FFB"/>
    <w:rsid w:val="7B5F4AF6"/>
    <w:rsid w:val="7CD808E6"/>
    <w:rsid w:val="7D31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Document Map"/>
    <w:basedOn w:val="1"/>
    <w:link w:val="233"/>
    <w:autoRedefine/>
    <w:semiHidden/>
    <w:unhideWhenUsed/>
    <w:qFormat/>
    <w:uiPriority w:val="99"/>
    <w:rPr>
      <w:rFonts w:ascii="宋体"/>
      <w:sz w:val="18"/>
      <w:szCs w:val="18"/>
    </w:rPr>
  </w:style>
  <w:style w:type="paragraph" w:styleId="14">
    <w:name w:val="annotation text"/>
    <w:basedOn w:val="1"/>
    <w:autoRedefine/>
    <w:unhideWhenUsed/>
    <w:qFormat/>
    <w:uiPriority w:val="99"/>
    <w:pPr>
      <w:jc w:val="left"/>
    </w:pPr>
  </w:style>
  <w:style w:type="paragraph" w:styleId="15">
    <w:name w:val="Body Text"/>
    <w:basedOn w:val="1"/>
    <w:link w:val="89"/>
    <w:autoRedefine/>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autoRedefine/>
    <w:semiHidden/>
    <w:unhideWhenUsed/>
    <w:qFormat/>
    <w:uiPriority w:val="99"/>
    <w:rPr>
      <w:sz w:val="18"/>
      <w:szCs w:val="18"/>
    </w:rPr>
  </w:style>
  <w:style w:type="paragraph" w:styleId="19">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paragraph" w:styleId="28">
    <w:name w:val="Title"/>
    <w:basedOn w:val="1"/>
    <w:link w:val="51"/>
    <w:autoRedefine/>
    <w:qFormat/>
    <w:uiPriority w:val="0"/>
    <w:pPr>
      <w:spacing w:before="240" w:after="60"/>
      <w:jc w:val="center"/>
      <w:outlineLvl w:val="0"/>
    </w:pPr>
    <w:rPr>
      <w:rFonts w:ascii="Arial" w:hAnsi="Arial" w:cs="Arial"/>
      <w:b/>
      <w:bCs/>
      <w:sz w:val="32"/>
      <w:szCs w:val="32"/>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Char"/>
    <w:link w:val="2"/>
    <w:autoRedefine/>
    <w:qFormat/>
    <w:uiPriority w:val="0"/>
    <w:rPr>
      <w:rFonts w:ascii="Times New Roman" w:hAnsi="Times New Roman" w:eastAsia="宋体" w:cs="Times New Roman"/>
      <w:b/>
      <w:bCs/>
      <w:kern w:val="44"/>
      <w:sz w:val="44"/>
      <w:szCs w:val="44"/>
    </w:rPr>
  </w:style>
  <w:style w:type="character" w:customStyle="1" w:styleId="38">
    <w:name w:val="标题 2 Char"/>
    <w:link w:val="3"/>
    <w:autoRedefine/>
    <w:qFormat/>
    <w:uiPriority w:val="0"/>
    <w:rPr>
      <w:rFonts w:ascii="Arial" w:hAnsi="Arial" w:eastAsia="黑体" w:cs="Times New Roman"/>
      <w:b/>
      <w:bCs/>
      <w:sz w:val="32"/>
      <w:szCs w:val="32"/>
    </w:rPr>
  </w:style>
  <w:style w:type="character" w:customStyle="1" w:styleId="39">
    <w:name w:val="标题 3 Char"/>
    <w:link w:val="4"/>
    <w:autoRedefine/>
    <w:qFormat/>
    <w:uiPriority w:val="0"/>
    <w:rPr>
      <w:rFonts w:ascii="Times New Roman" w:hAnsi="Times New Roman" w:eastAsia="宋体" w:cs="Times New Roman"/>
      <w:b/>
      <w:bCs/>
      <w:sz w:val="32"/>
      <w:szCs w:val="32"/>
    </w:rPr>
  </w:style>
  <w:style w:type="character" w:customStyle="1" w:styleId="40">
    <w:name w:val="标题 4 Char"/>
    <w:link w:val="5"/>
    <w:autoRedefine/>
    <w:qFormat/>
    <w:uiPriority w:val="0"/>
    <w:rPr>
      <w:rFonts w:ascii="Arial" w:hAnsi="Arial" w:eastAsia="黑体" w:cs="Times New Roman"/>
      <w:b/>
      <w:bCs/>
      <w:sz w:val="28"/>
      <w:szCs w:val="28"/>
    </w:rPr>
  </w:style>
  <w:style w:type="character" w:customStyle="1" w:styleId="41">
    <w:name w:val="标题 5 Char"/>
    <w:link w:val="6"/>
    <w:autoRedefine/>
    <w:qFormat/>
    <w:uiPriority w:val="0"/>
    <w:rPr>
      <w:rFonts w:ascii="Times New Roman" w:hAnsi="Times New Roman" w:eastAsia="宋体" w:cs="Times New Roman"/>
      <w:b/>
      <w:bCs/>
      <w:sz w:val="28"/>
      <w:szCs w:val="28"/>
    </w:rPr>
  </w:style>
  <w:style w:type="character" w:customStyle="1" w:styleId="42">
    <w:name w:val="标题 6 Char"/>
    <w:link w:val="7"/>
    <w:autoRedefine/>
    <w:qFormat/>
    <w:uiPriority w:val="0"/>
    <w:rPr>
      <w:rFonts w:ascii="Arial" w:hAnsi="Arial" w:eastAsia="黑体" w:cs="Times New Roman"/>
      <w:b/>
      <w:bCs/>
      <w:sz w:val="24"/>
      <w:szCs w:val="24"/>
    </w:rPr>
  </w:style>
  <w:style w:type="character" w:customStyle="1" w:styleId="43">
    <w:name w:val="标题 7 Char"/>
    <w:link w:val="8"/>
    <w:autoRedefine/>
    <w:qFormat/>
    <w:uiPriority w:val="0"/>
    <w:rPr>
      <w:rFonts w:ascii="Times New Roman" w:hAnsi="Times New Roman" w:eastAsia="宋体" w:cs="Times New Roman"/>
      <w:b/>
      <w:bCs/>
      <w:sz w:val="24"/>
      <w:szCs w:val="24"/>
    </w:rPr>
  </w:style>
  <w:style w:type="character" w:customStyle="1" w:styleId="44">
    <w:name w:val="标题 8 Char"/>
    <w:link w:val="9"/>
    <w:autoRedefine/>
    <w:qFormat/>
    <w:uiPriority w:val="0"/>
    <w:rPr>
      <w:rFonts w:ascii="Arial" w:hAnsi="Arial" w:eastAsia="黑体" w:cs="Times New Roman"/>
      <w:sz w:val="24"/>
      <w:szCs w:val="24"/>
    </w:rPr>
  </w:style>
  <w:style w:type="character" w:customStyle="1" w:styleId="45">
    <w:name w:val="标题 9 Char"/>
    <w:link w:val="10"/>
    <w:autoRedefine/>
    <w:qFormat/>
    <w:uiPriority w:val="0"/>
    <w:rPr>
      <w:rFonts w:ascii="Arial" w:hAnsi="Arial" w:eastAsia="黑体" w:cs="Times New Roman"/>
      <w:szCs w:val="21"/>
    </w:rPr>
  </w:style>
  <w:style w:type="character" w:customStyle="1" w:styleId="46">
    <w:name w:val="页眉 Char"/>
    <w:link w:val="20"/>
    <w:autoRedefine/>
    <w:qFormat/>
    <w:uiPriority w:val="99"/>
    <w:rPr>
      <w:rFonts w:ascii="Times New Roman" w:hAnsi="Times New Roman" w:eastAsia="宋体" w:cs="Times New Roman"/>
      <w:sz w:val="18"/>
      <w:szCs w:val="18"/>
    </w:rPr>
  </w:style>
  <w:style w:type="character" w:customStyle="1" w:styleId="47">
    <w:name w:val="页脚 Char"/>
    <w:link w:val="19"/>
    <w:autoRedefine/>
    <w:qFormat/>
    <w:uiPriority w:val="99"/>
    <w:rPr>
      <w:rFonts w:ascii="宋体" w:hAnsi="Times New Roman" w:eastAsia="宋体" w:cs="Times New Roman"/>
      <w:sz w:val="18"/>
      <w:szCs w:val="18"/>
    </w:rPr>
  </w:style>
  <w:style w:type="character" w:customStyle="1" w:styleId="48">
    <w:name w:val="批注框文本 Char"/>
    <w:link w:val="18"/>
    <w:autoRedefine/>
    <w:semiHidden/>
    <w:qFormat/>
    <w:uiPriority w:val="99"/>
    <w:rPr>
      <w:sz w:val="18"/>
      <w:szCs w:val="18"/>
    </w:rPr>
  </w:style>
  <w:style w:type="paragraph" w:styleId="49">
    <w:name w:val="Quote"/>
    <w:basedOn w:val="1"/>
    <w:next w:val="1"/>
    <w:link w:val="50"/>
    <w:autoRedefine/>
    <w:qFormat/>
    <w:uiPriority w:val="29"/>
    <w:rPr>
      <w:i/>
      <w:iCs/>
      <w:color w:val="000000"/>
    </w:rPr>
  </w:style>
  <w:style w:type="character" w:customStyle="1" w:styleId="50">
    <w:name w:val="引用 Char"/>
    <w:link w:val="49"/>
    <w:autoRedefine/>
    <w:qFormat/>
    <w:uiPriority w:val="29"/>
    <w:rPr>
      <w:i/>
      <w:iCs/>
      <w:color w:val="000000"/>
    </w:rPr>
  </w:style>
  <w:style w:type="character" w:customStyle="1" w:styleId="51">
    <w:name w:val="标题 Char"/>
    <w:link w:val="28"/>
    <w:autoRedefine/>
    <w:qFormat/>
    <w:uiPriority w:val="0"/>
    <w:rPr>
      <w:rFonts w:ascii="Arial" w:hAnsi="Arial" w:eastAsia="宋体" w:cs="Arial"/>
      <w:b/>
      <w:bCs/>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Lines="5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5"/>
    <w:autoRedefine/>
    <w:qFormat/>
    <w:uiPriority w:val="0"/>
    <w:rPr>
      <w:rFonts w:ascii="Times New Roman" w:hAnsi="Times New Roman" w:eastAsia="宋体" w:cs="Times New Roman"/>
      <w:szCs w:val="20"/>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pPr>
  </w:style>
  <w:style w:type="paragraph" w:customStyle="1" w:styleId="94">
    <w:name w:val="标准文件_目录标题"/>
    <w:basedOn w:val="1"/>
    <w:autoRedefine/>
    <w:qFormat/>
    <w:uiPriority w:val="0"/>
    <w:pPr>
      <w:spacing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ind w:left="0" w:firstLine="200"/>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Subtle Reference"/>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autoRedefine/>
    <w:semiHidden/>
    <w:qFormat/>
    <w:uiPriority w:val="0"/>
    <w:rPr>
      <w:rFonts w:ascii="宋体" w:hAnsi="Times New Roman" w:eastAsia="宋体" w:cs="Times New Roman"/>
      <w:sz w:val="18"/>
      <w:szCs w:val="18"/>
    </w:rPr>
  </w:style>
  <w:style w:type="paragraph" w:customStyle="1" w:styleId="103">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Lines="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Lines="0" w:afterLines="0"/>
      <w:outlineLvl w:val="9"/>
    </w:pPr>
    <w:rPr>
      <w:rFonts w:ascii="宋体" w:eastAsia="宋体"/>
    </w:rPr>
  </w:style>
  <w:style w:type="paragraph" w:customStyle="1" w:styleId="166">
    <w:name w:val="标准文件_五级无标题"/>
    <w:basedOn w:val="106"/>
    <w:autoRedefine/>
    <w:qFormat/>
    <w:uiPriority w:val="0"/>
    <w:pPr>
      <w:spacing w:beforeLines="0" w:afterLines="0"/>
      <w:outlineLvl w:val="9"/>
    </w:pPr>
    <w:rPr>
      <w:rFonts w:ascii="宋体" w:eastAsia="宋体"/>
    </w:rPr>
  </w:style>
  <w:style w:type="paragraph" w:customStyle="1" w:styleId="167">
    <w:name w:val="标准文件_三级无标题"/>
    <w:basedOn w:val="97"/>
    <w:autoRedefine/>
    <w:qFormat/>
    <w:uiPriority w:val="0"/>
    <w:pPr>
      <w:spacing w:beforeLines="0" w:afterLines="0"/>
      <w:outlineLvl w:val="9"/>
    </w:pPr>
    <w:rPr>
      <w:rFonts w:ascii="宋体" w:eastAsia="宋体"/>
    </w:rPr>
  </w:style>
  <w:style w:type="paragraph" w:customStyle="1" w:styleId="168">
    <w:name w:val="标准文件_二级无标题"/>
    <w:basedOn w:val="68"/>
    <w:autoRedefine/>
    <w:qFormat/>
    <w:uiPriority w:val="0"/>
    <w:pPr>
      <w:spacing w:beforeLines="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1"/>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left="1271" w:hanging="420" w:firstLineChars="0"/>
    </w:pPr>
  </w:style>
  <w:style w:type="paragraph" w:customStyle="1" w:styleId="191">
    <w:name w:val="标准文件_三级项2"/>
    <w:basedOn w:val="59"/>
    <w:autoRedefine/>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1"/>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Lines="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Lines="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Lines="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Lines="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Lines="0" w:afterLines="0" w:line="276" w:lineRule="auto"/>
    </w:pPr>
    <w:rPr>
      <w:rFonts w:ascii="宋体" w:eastAsia="宋体"/>
    </w:rPr>
  </w:style>
  <w:style w:type="paragraph" w:customStyle="1" w:styleId="221">
    <w:name w:val="标准文件_引言三级无标题"/>
    <w:basedOn w:val="205"/>
    <w:next w:val="59"/>
    <w:autoRedefine/>
    <w:qFormat/>
    <w:uiPriority w:val="0"/>
    <w:pPr>
      <w:spacing w:beforeLines="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Lines="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Lines="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autoRedefine/>
    <w:qFormat/>
    <w:uiPriority w:val="0"/>
    <w:rPr>
      <w:rFonts w:ascii="黑体" w:eastAsia="黑体"/>
      <w:spacing w:val="85"/>
      <w:w w:val="100"/>
      <w:position w:val="3"/>
      <w:sz w:val="28"/>
      <w:szCs w:val="28"/>
    </w:rPr>
  </w:style>
  <w:style w:type="character" w:customStyle="1" w:styleId="233">
    <w:name w:val="文档结构图 Char"/>
    <w:basedOn w:val="31"/>
    <w:link w:val="13"/>
    <w:autoRedefine/>
    <w:semiHidden/>
    <w:qFormat/>
    <w:uiPriority w:val="99"/>
    <w:rPr>
      <w:rFonts w:ascii="宋体"/>
      <w:kern w:val="2"/>
      <w:sz w:val="18"/>
      <w:szCs w:val="18"/>
    </w:rPr>
  </w:style>
  <w:style w:type="paragraph" w:customStyle="1" w:styleId="234">
    <w:name w:val="段"/>
    <w:link w:val="235"/>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link w:val="234"/>
    <w:autoRedefine/>
    <w:qFormat/>
    <w:uiPriority w:val="0"/>
    <w:rPr>
      <w:rFonts w:ascii="宋体" w:hAnsi="Times New Roman"/>
      <w:sz w:val="21"/>
    </w:rPr>
  </w:style>
  <w:style w:type="paragraph" w:customStyle="1" w:styleId="236">
    <w:name w:val="一级条标题"/>
    <w:next w:val="234"/>
    <w:autoRedefine/>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7">
    <w:name w:val="二级条标题"/>
    <w:basedOn w:val="236"/>
    <w:next w:val="234"/>
    <w:autoRedefine/>
    <w:qFormat/>
    <w:uiPriority w:val="0"/>
    <w:pPr>
      <w:numPr>
        <w:ilvl w:val="2"/>
      </w:numPr>
      <w:spacing w:before="50" w:after="50"/>
      <w:outlineLvl w:val="3"/>
    </w:pPr>
  </w:style>
  <w:style w:type="paragraph" w:customStyle="1" w:styleId="238">
    <w:name w:val="四级条标题"/>
    <w:basedOn w:val="1"/>
    <w:next w:val="234"/>
    <w:autoRedefine/>
    <w:qFormat/>
    <w:uiPriority w:val="0"/>
    <w:pPr>
      <w:widowControl/>
      <w:numPr>
        <w:ilvl w:val="4"/>
        <w:numId w:val="32"/>
      </w:numPr>
      <w:adjustRightInd/>
      <w:spacing w:beforeLines="50" w:afterLines="50" w:line="240" w:lineRule="auto"/>
      <w:jc w:val="left"/>
      <w:outlineLvl w:val="5"/>
    </w:pPr>
    <w:rPr>
      <w:rFonts w:ascii="黑体" w:hAnsi="Times New Roman" w:eastAsia="黑体"/>
      <w:kern w:val="0"/>
    </w:rPr>
  </w:style>
  <w:style w:type="paragraph" w:customStyle="1" w:styleId="239">
    <w:name w:val="五级条标题"/>
    <w:basedOn w:val="238"/>
    <w:next w:val="234"/>
    <w:autoRedefine/>
    <w:qFormat/>
    <w:uiPriority w:val="0"/>
    <w:pPr>
      <w:numPr>
        <w:ilvl w:val="5"/>
      </w:numPr>
      <w:outlineLvl w:val="6"/>
    </w:pPr>
  </w:style>
  <w:style w:type="paragraph" w:customStyle="1" w:styleId="240">
    <w:name w:val="章标题"/>
    <w:next w:val="234"/>
    <w:autoRedefine/>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41">
    <w:name w:val="正文1"/>
    <w:autoRedefine/>
    <w:qFormat/>
    <w:uiPriority w:val="0"/>
    <w:pPr>
      <w:jc w:val="both"/>
    </w:pPr>
    <w:rPr>
      <w:rFonts w:ascii="Calibri" w:hAnsi="Calibri" w:eastAsia="宋体" w:cs="宋体"/>
      <w:kern w:val="2"/>
      <w:sz w:val="21"/>
      <w:szCs w:val="21"/>
      <w:lang w:val="en-US" w:eastAsia="zh-CN" w:bidi="ar-SA"/>
    </w:rPr>
  </w:style>
  <w:style w:type="paragraph" w:customStyle="1" w:styleId="242">
    <w:name w:val="列项——（一级）"/>
    <w:basedOn w:val="1"/>
    <w:autoRedefine/>
    <w:qFormat/>
    <w:uiPriority w:val="0"/>
    <w:pPr>
      <w:adjustRightInd/>
      <w:spacing w:before="100" w:beforeAutospacing="1" w:after="100" w:afterAutospacing="1" w:line="240" w:lineRule="auto"/>
      <w:ind w:left="833" w:hanging="408"/>
    </w:pPr>
    <w:rPr>
      <w:rFonts w:ascii="宋体" w:hAnsi="Times New Roman"/>
      <w:kern w:val="0"/>
    </w:rPr>
  </w:style>
  <w:style w:type="paragraph" w:customStyle="1" w:styleId="243">
    <w:name w:val="三级条标题"/>
    <w:basedOn w:val="237"/>
    <w:next w:val="234"/>
    <w:autoRedefine/>
    <w:qFormat/>
    <w:uiPriority w:val="0"/>
    <w:pPr>
      <w:numPr>
        <w:ilvl w:val="0"/>
        <w:numId w:val="0"/>
      </w:numPr>
      <w:outlineLvl w:val="4"/>
    </w:pPr>
  </w:style>
  <w:style w:type="paragraph" w:customStyle="1" w:styleId="244">
    <w:name w:val="列出段落1"/>
    <w:basedOn w:val="1"/>
    <w:autoRedefine/>
    <w:semiHidden/>
    <w:qFormat/>
    <w:uiPriority w:val="0"/>
    <w:pPr>
      <w:autoSpaceDE w:val="0"/>
      <w:autoSpaceDN w:val="0"/>
      <w:spacing w:line="240" w:lineRule="auto"/>
      <w:ind w:left="180"/>
      <w:jc w:val="left"/>
    </w:pPr>
    <w:rPr>
      <w:rFonts w:ascii="宋体" w:hAnsi="宋体" w:cs="宋体"/>
      <w:kern w:val="0"/>
      <w:sz w:val="24"/>
      <w:szCs w:val="24"/>
    </w:rPr>
  </w:style>
  <w:style w:type="paragraph" w:customStyle="1" w:styleId="245">
    <w:name w:val="字母编号列项（一级）"/>
    <w:basedOn w:val="1"/>
    <w:autoRedefine/>
    <w:qFormat/>
    <w:uiPriority w:val="0"/>
    <w:pPr>
      <w:widowControl/>
      <w:adjustRightInd/>
      <w:spacing w:line="240" w:lineRule="auto"/>
    </w:pPr>
    <w:rPr>
      <w:rFonts w:ascii="宋体" w:hAnsi="Times New Roman"/>
      <w:kern w:val="0"/>
    </w:rPr>
  </w:style>
  <w:style w:type="paragraph" w:customStyle="1" w:styleId="246">
    <w:name w:val="正文2"/>
    <w:autoRedefine/>
    <w:qFormat/>
    <w:uiPriority w:val="0"/>
    <w:pPr>
      <w:jc w:val="both"/>
    </w:pPr>
    <w:rPr>
      <w:rFonts w:ascii="Times New Roman" w:hAnsi="Times New Roman" w:eastAsia="宋体" w:cs="Times New Roman"/>
      <w:kern w:val="2"/>
      <w:sz w:val="21"/>
      <w:szCs w:val="21"/>
      <w:lang w:val="en-US" w:eastAsia="zh-CN" w:bidi="ar-SA"/>
    </w:rPr>
  </w:style>
  <w:style w:type="paragraph" w:customStyle="1" w:styleId="247">
    <w:name w:val="标准书眉_奇数页"/>
    <w:next w:val="1"/>
    <w:autoRedefine/>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8">
    <w:name w:val="标准书脚_奇数页"/>
    <w:autoRedefine/>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jpeg"/><Relationship Id="rId22" Type="http://schemas.openxmlformats.org/officeDocument/2006/relationships/image" Target="media/image1.tiff"/><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0908CC2CD7142FBA05EA3F6A471B297"/>
        <w:style w:val=""/>
        <w:category>
          <w:name w:val="常规"/>
          <w:gallery w:val="placeholder"/>
        </w:category>
        <w:types>
          <w:type w:val="bbPlcHdr"/>
        </w:types>
        <w:behaviors>
          <w:behavior w:val="content"/>
        </w:behaviors>
        <w:description w:val=""/>
        <w:guid w:val="{BFEB26A9-5B3F-484E-A6A5-94CC1EEC0FF5}"/>
      </w:docPartPr>
      <w:docPartBody>
        <w:p w14:paraId="55625C6C">
          <w:pPr>
            <w:pStyle w:val="5"/>
          </w:pPr>
          <w:r>
            <w:rPr>
              <w:rStyle w:val="4"/>
              <w:rFonts w:hint="eastAsia"/>
            </w:rPr>
            <w:t>单击或点击此处输入文字。</w:t>
          </w:r>
        </w:p>
      </w:docPartBody>
    </w:docPart>
    <w:docPart>
      <w:docPartPr>
        <w:name w:val="F4F0F2EB905E4E14AFDF7B1C53A130AB"/>
        <w:style w:val=""/>
        <w:category>
          <w:name w:val="常规"/>
          <w:gallery w:val="placeholder"/>
        </w:category>
        <w:types>
          <w:type w:val="bbPlcHdr"/>
        </w:types>
        <w:behaviors>
          <w:behavior w:val="content"/>
        </w:behaviors>
        <w:description w:val=""/>
        <w:guid w:val="{41A7812C-A402-4F7B-8044-CBECDAE97414}"/>
      </w:docPartPr>
      <w:docPartBody>
        <w:p w14:paraId="551448A6">
          <w:pPr>
            <w:pStyle w:val="6"/>
          </w:pPr>
          <w:r>
            <w:rPr>
              <w:rStyle w:val="4"/>
              <w:rFonts w:hint="eastAsia"/>
            </w:rPr>
            <w:t>选择一项。</w:t>
          </w:r>
        </w:p>
      </w:docPartBody>
    </w:docPart>
    <w:docPart>
      <w:docPartPr>
        <w:name w:val="33FE8666AB4242E29DEDCBE893DD6C9A"/>
        <w:style w:val=""/>
        <w:category>
          <w:name w:val="常规"/>
          <w:gallery w:val="placeholder"/>
        </w:category>
        <w:types>
          <w:type w:val="bbPlcHdr"/>
        </w:types>
        <w:behaviors>
          <w:behavior w:val="content"/>
        </w:behaviors>
        <w:description w:val=""/>
        <w:guid w:val="{AE82FEA8-0B16-4E75-A22D-ECEFA2D2AE1C}"/>
      </w:docPartPr>
      <w:docPartBody>
        <w:p w14:paraId="40CA8D2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710D41"/>
    <w:rsid w:val="000D736B"/>
    <w:rsid w:val="00176BA7"/>
    <w:rsid w:val="002F0B9A"/>
    <w:rsid w:val="00710D41"/>
    <w:rsid w:val="007F002A"/>
    <w:rsid w:val="00834ACC"/>
    <w:rsid w:val="00870752"/>
    <w:rsid w:val="00A51CB0"/>
    <w:rsid w:val="00A85B24"/>
    <w:rsid w:val="00CC6608"/>
    <w:rsid w:val="00DC54C2"/>
    <w:rsid w:val="00EB2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70908CC2CD7142FBA05EA3F6A471B29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4F0F2EB905E4E14AFDF7B1C53A130A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3FE8666AB4242E29DEDCBE893DD6C9A"/>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12</Pages>
  <Words>6024</Words>
  <Characters>6566</Characters>
  <Lines>55</Lines>
  <Paragraphs>15</Paragraphs>
  <TotalTime>2</TotalTime>
  <ScaleCrop>false</ScaleCrop>
  <LinksUpToDate>false</LinksUpToDate>
  <CharactersWithSpaces>7083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2022-06-28T04:22:00Z</dcterms:created>
  <dc:creator>Administrator</dc:creator>
  <dc:description>&lt;config cover="true" show_menu="true" version="1.0.0" doctype="SDKXY"&gt;_x000d_
&lt;/config&gt;</dc:description>
  <cp:lastModifiedBy>琴</cp:lastModifiedBy>
  <cp:lastPrinted>2020-08-30T10:00:00Z</cp:lastPrinted>
  <dcterms:modified xsi:type="dcterms:W3CDTF">2025-03-26T08:31:59Z</dcterms:modified>
  <dc:title>地方标准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C7C9C6C6306A4B8A9AD95B18035A78A3_13</vt:lpwstr>
  </property>
  <property fmtid="{D5CDD505-2E9C-101B-9397-08002B2CF9AE}" pid="16" name="KSOTemplateDocerSaveRecord">
    <vt:lpwstr>eyJoZGlkIjoiYjNkM2QyNTQ4OThhNGVkYjAyYjUyODNlMTRjNTM0NzIiLCJ1c2VySWQiOiIyNTk1OTg0MjgifQ==</vt:lpwstr>
  </property>
</Properties>
</file>