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ink/ink1.xml" ContentType="application/inkml+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1858C3">
      <w:pPr>
        <w:jc w:val="right"/>
        <w:rPr>
          <w:rFonts w:ascii="Times New Roman" w:hAnsi="Times New Roman"/>
          <w:color w:val="auto"/>
          <w:szCs w:val="21"/>
        </w:rPr>
      </w:pPr>
      <w:r>
        <w:rPr>
          <w:rFonts w:ascii="Times New Roman" w:hAnsi="Times New Roman"/>
          <w:color w:val="auto"/>
          <w:szCs w:val="21"/>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Times New Roman" w:hAnsi="Times New Roman"/>
          <w:color w:val="auto"/>
          <w:szCs w:val="21"/>
        </w:rPr>
        <w:instrText xml:space="preserve">ADDIN CNKISM.UserStyle</w:instrText>
      </w:r>
      <w:r>
        <w:rPr>
          <w:rFonts w:ascii="Times New Roman" w:hAnsi="Times New Roman"/>
          <w:color w:val="auto"/>
          <w:szCs w:val="21"/>
        </w:rPr>
        <w:fldChar w:fldCharType="end"/>
      </w:r>
    </w:p>
    <w:p w14:paraId="6529402C">
      <w:pPr>
        <w:rPr>
          <w:rFonts w:ascii="宋体"/>
          <w:i/>
          <w:color w:val="auto"/>
          <w:sz w:val="24"/>
          <w:lang w:val="de-DE"/>
        </w:rPr>
      </w:pPr>
    </w:p>
    <w:p w14:paraId="08FDC1DE">
      <w:pPr>
        <w:rPr>
          <w:color w:val="auto"/>
          <w:lang w:val="de-DE"/>
        </w:rPr>
      </w:pPr>
    </w:p>
    <w:p w14:paraId="45A618C4">
      <w:pPr>
        <w:rPr>
          <w:color w:val="auto"/>
          <w:lang w:val="de-DE"/>
        </w:rPr>
      </w:pPr>
    </w:p>
    <w:p w14:paraId="6D2422F3">
      <w:pPr>
        <w:spacing w:line="360" w:lineRule="auto"/>
        <w:jc w:val="center"/>
        <w:rPr>
          <w:rFonts w:hint="eastAsia" w:ascii="宋体" w:hAnsi="宋体"/>
          <w:b/>
          <w:snapToGrid w:val="0"/>
          <w:color w:val="auto"/>
          <w:spacing w:val="-8"/>
          <w:kern w:val="0"/>
          <w:sz w:val="52"/>
          <w:szCs w:val="52"/>
        </w:rPr>
      </w:pPr>
      <w:r>
        <w:rPr>
          <w:rFonts w:hint="eastAsia" w:ascii="宋体" w:hAnsi="宋体"/>
          <w:b/>
          <w:snapToGrid w:val="0"/>
          <w:color w:val="auto"/>
          <w:spacing w:val="-8"/>
          <w:kern w:val="0"/>
          <w:sz w:val="52"/>
          <w:szCs w:val="52"/>
        </w:rPr>
        <w:t xml:space="preserve"> </w:t>
      </w:r>
    </w:p>
    <w:p w14:paraId="30F122CA">
      <w:pPr>
        <w:spacing w:line="360" w:lineRule="auto"/>
        <w:jc w:val="center"/>
        <w:rPr>
          <w:rFonts w:hint="eastAsia" w:ascii="宋体" w:hAnsi="宋体"/>
          <w:b/>
          <w:snapToGrid w:val="0"/>
          <w:color w:val="auto"/>
          <w:spacing w:val="-8"/>
          <w:kern w:val="0"/>
          <w:sz w:val="52"/>
          <w:szCs w:val="52"/>
        </w:rPr>
      </w:pPr>
    </w:p>
    <w:p w14:paraId="2AA30510">
      <w:pPr>
        <w:spacing w:line="360" w:lineRule="auto"/>
        <w:jc w:val="center"/>
        <w:rPr>
          <w:rFonts w:hint="eastAsia" w:ascii="宋体" w:hAnsi="宋体"/>
          <w:b/>
          <w:snapToGrid w:val="0"/>
          <w:color w:val="auto"/>
          <w:spacing w:val="-8"/>
          <w:kern w:val="0"/>
          <w:sz w:val="52"/>
          <w:szCs w:val="52"/>
        </w:rPr>
      </w:pPr>
    </w:p>
    <w:p w14:paraId="2587B4F6">
      <w:pPr>
        <w:spacing w:line="360" w:lineRule="auto"/>
        <w:jc w:val="center"/>
        <w:rPr>
          <w:rFonts w:hint="eastAsia" w:ascii="宋体" w:hAnsi="宋体"/>
          <w:b/>
          <w:snapToGrid w:val="0"/>
          <w:color w:val="auto"/>
          <w:spacing w:val="-8"/>
          <w:kern w:val="0"/>
          <w:sz w:val="52"/>
          <w:szCs w:val="52"/>
        </w:rPr>
      </w:pPr>
      <w:r>
        <w:rPr>
          <w:rFonts w:hint="eastAsia" w:ascii="宋体" w:hAnsi="宋体" w:eastAsia="宋体" w:cs="Times New Roman"/>
          <w:b/>
          <w:snapToGrid w:val="0"/>
          <w:color w:val="auto"/>
          <w:spacing w:val="-8"/>
          <w:kern w:val="0"/>
          <w:sz w:val="52"/>
          <w:szCs w:val="52"/>
        </w:rPr>
        <w:t>建筑用保温免拆模板应用技术规程</w:t>
      </w:r>
      <w:r>
        <w:rPr>
          <w:rFonts w:hint="eastAsia" w:ascii="宋体" w:hAnsi="宋体"/>
          <w:b/>
          <w:snapToGrid w:val="0"/>
          <w:color w:val="auto"/>
          <w:spacing w:val="-8"/>
          <w:kern w:val="0"/>
          <w:sz w:val="52"/>
          <w:szCs w:val="52"/>
        </w:rPr>
        <w:t xml:space="preserve">  </w:t>
      </w:r>
    </w:p>
    <w:p w14:paraId="1D9B379D">
      <w:pPr>
        <w:snapToGrid w:val="0"/>
        <w:spacing w:before="312" w:beforeLines="100" w:after="312" w:afterLines="100"/>
        <w:jc w:val="center"/>
        <w:rPr>
          <w:rFonts w:ascii="宋体"/>
          <w:b/>
          <w:snapToGrid w:val="0"/>
          <w:color w:val="auto"/>
          <w:kern w:val="0"/>
          <w:sz w:val="36"/>
          <w:szCs w:val="36"/>
        </w:rPr>
      </w:pPr>
      <w:r>
        <w:rPr>
          <w:rFonts w:ascii="宋体" w:hAnsi="宋体"/>
          <w:b/>
          <w:snapToGrid w:val="0"/>
          <w:color w:val="auto"/>
          <w:kern w:val="0"/>
          <w:sz w:val="36"/>
          <w:szCs w:val="36"/>
        </w:rPr>
        <w:t>(</w:t>
      </w:r>
      <w:r>
        <w:rPr>
          <w:rFonts w:hint="eastAsia" w:ascii="宋体" w:hAnsi="宋体"/>
          <w:b/>
          <w:snapToGrid w:val="0"/>
          <w:color w:val="auto"/>
          <w:kern w:val="0"/>
          <w:sz w:val="36"/>
          <w:szCs w:val="36"/>
        </w:rPr>
        <w:t xml:space="preserve"> 征求意见稿</w:t>
      </w:r>
      <w:r>
        <w:rPr>
          <w:rFonts w:ascii="宋体" w:hAnsi="宋体"/>
          <w:b/>
          <w:snapToGrid w:val="0"/>
          <w:color w:val="auto"/>
          <w:kern w:val="0"/>
          <w:sz w:val="36"/>
          <w:szCs w:val="36"/>
        </w:rPr>
        <w:t>)</w:t>
      </w:r>
    </w:p>
    <w:p w14:paraId="53008B86">
      <w:pPr>
        <w:pStyle w:val="64"/>
        <w:rPr>
          <w:rFonts w:ascii="Times New Roman" w:hAnsi="Times New Roman"/>
          <w:color w:val="auto"/>
        </w:rPr>
      </w:pPr>
    </w:p>
    <w:p w14:paraId="00D0A0E9">
      <w:pPr>
        <w:rPr>
          <w:color w:val="auto"/>
        </w:rPr>
      </w:pPr>
    </w:p>
    <w:p w14:paraId="15212668">
      <w:pPr>
        <w:pStyle w:val="34"/>
        <w:rPr>
          <w:color w:val="auto"/>
        </w:rPr>
      </w:pPr>
    </w:p>
    <w:p w14:paraId="5CB751B4">
      <w:pPr>
        <w:pStyle w:val="34"/>
        <w:rPr>
          <w:color w:val="auto"/>
        </w:rPr>
      </w:pPr>
    </w:p>
    <w:p w14:paraId="1640A686">
      <w:pPr>
        <w:rPr>
          <w:b/>
          <w:color w:val="auto"/>
          <w:sz w:val="32"/>
          <w:szCs w:val="32"/>
        </w:rPr>
      </w:pPr>
      <w:r>
        <w:rPr>
          <w:b/>
          <w:color w:val="auto"/>
          <w:sz w:val="32"/>
          <w:szCs w:val="32"/>
        </w:rPr>
        <w:br w:type="page"/>
      </w:r>
    </w:p>
    <w:p w14:paraId="316DE3F0">
      <w:pPr>
        <w:jc w:val="center"/>
        <w:rPr>
          <w:rFonts w:ascii="Times New Roman" w:cs="Times New Roman"/>
          <w:b/>
          <w:color w:val="auto"/>
          <w:sz w:val="36"/>
        </w:rPr>
      </w:pPr>
      <w:r>
        <w:rPr>
          <w:rFonts w:hint="eastAsia" w:ascii="Times New Roman" w:cs="Times New Roman"/>
          <w:b/>
          <w:color w:val="auto"/>
          <w:sz w:val="36"/>
        </w:rPr>
        <w:t>前言</w:t>
      </w:r>
    </w:p>
    <w:p w14:paraId="43F5C747">
      <w:pPr>
        <w:adjustRightInd w:val="0"/>
        <w:snapToGrid w:val="0"/>
        <w:spacing w:line="360" w:lineRule="auto"/>
        <w:ind w:firstLine="560" w:firstLineChars="200"/>
        <w:rPr>
          <w:rFonts w:hint="eastAsia" w:ascii="仿宋" w:hAnsi="仿宋" w:eastAsia="仿宋" w:cs="仿宋"/>
          <w:color w:val="auto"/>
          <w:sz w:val="28"/>
          <w:szCs w:val="28"/>
          <w:lang w:bidi="ar"/>
        </w:rPr>
      </w:pPr>
    </w:p>
    <w:p w14:paraId="664A721C">
      <w:pPr>
        <w:keepNext w:val="0"/>
        <w:keepLines w:val="0"/>
        <w:pageBreakBefore w:val="0"/>
        <w:widowControl/>
        <w:shd w:val="clear"/>
        <w:kinsoku/>
        <w:wordWrap/>
        <w:overflowPunct/>
        <w:topLinePunct w:val="0"/>
        <w:bidi w:val="0"/>
        <w:spacing w:after="0" w:line="360" w:lineRule="auto"/>
        <w:ind w:firstLine="560" w:firstLineChars="200"/>
        <w:textAlignment w:val="auto"/>
        <w:rPr>
          <w:rFonts w:hint="eastAsia" w:ascii="仿宋" w:hAnsi="仿宋" w:eastAsia="仿宋" w:cs="仿宋"/>
          <w:color w:val="auto"/>
          <w:sz w:val="28"/>
          <w:szCs w:val="28"/>
          <w:lang w:bidi="ar"/>
        </w:rPr>
      </w:pPr>
      <w:r>
        <w:rPr>
          <w:rFonts w:hint="eastAsia" w:ascii="仿宋" w:hAnsi="仿宋" w:eastAsia="仿宋" w:cs="仿宋"/>
          <w:color w:val="auto"/>
          <w:sz w:val="28"/>
          <w:szCs w:val="28"/>
          <w:lang w:bidi="ar"/>
        </w:rPr>
        <w:t>根据安徽省市场监督管理局《关于下达2</w:t>
      </w:r>
      <w:r>
        <w:rPr>
          <w:rFonts w:ascii="仿宋" w:hAnsi="仿宋" w:eastAsia="仿宋" w:cs="仿宋"/>
          <w:color w:val="auto"/>
          <w:sz w:val="28"/>
          <w:szCs w:val="28"/>
          <w:lang w:bidi="ar"/>
        </w:rPr>
        <w:t>023</w:t>
      </w:r>
      <w:r>
        <w:rPr>
          <w:rFonts w:hint="eastAsia" w:ascii="仿宋" w:hAnsi="仿宋" w:eastAsia="仿宋" w:cs="仿宋"/>
          <w:color w:val="auto"/>
          <w:sz w:val="28"/>
          <w:szCs w:val="28"/>
          <w:lang w:bidi="ar"/>
        </w:rPr>
        <w:t>年第三批安徽省地方标准制修订计划的通知》（皖市监函〔2</w:t>
      </w:r>
      <w:r>
        <w:rPr>
          <w:rFonts w:ascii="仿宋" w:hAnsi="仿宋" w:eastAsia="仿宋" w:cs="仿宋"/>
          <w:color w:val="auto"/>
          <w:sz w:val="28"/>
          <w:szCs w:val="28"/>
          <w:lang w:bidi="ar"/>
        </w:rPr>
        <w:t>023</w:t>
      </w:r>
      <w:r>
        <w:rPr>
          <w:rFonts w:hint="eastAsia" w:ascii="仿宋" w:hAnsi="仿宋" w:eastAsia="仿宋" w:cs="仿宋"/>
          <w:color w:val="auto"/>
          <w:sz w:val="28"/>
          <w:szCs w:val="28"/>
          <w:lang w:bidi="ar"/>
        </w:rPr>
        <w:t>〕6</w:t>
      </w:r>
      <w:r>
        <w:rPr>
          <w:rFonts w:ascii="仿宋" w:hAnsi="仿宋" w:eastAsia="仿宋" w:cs="仿宋"/>
          <w:color w:val="auto"/>
          <w:sz w:val="28"/>
          <w:szCs w:val="28"/>
          <w:lang w:bidi="ar"/>
        </w:rPr>
        <w:t>22</w:t>
      </w:r>
      <w:r>
        <w:rPr>
          <w:rFonts w:hint="eastAsia" w:ascii="仿宋" w:hAnsi="仿宋" w:eastAsia="仿宋" w:cs="仿宋"/>
          <w:color w:val="auto"/>
          <w:sz w:val="28"/>
          <w:szCs w:val="28"/>
          <w:lang w:bidi="ar"/>
        </w:rPr>
        <w:t>号）的要求，编制组经广泛调研，充分总结</w:t>
      </w:r>
      <w:r>
        <w:rPr>
          <w:rFonts w:hint="eastAsia" w:ascii="仿宋" w:hAnsi="仿宋" w:eastAsia="仿宋" w:cs="仿宋"/>
          <w:color w:val="auto"/>
          <w:sz w:val="28"/>
          <w:szCs w:val="28"/>
          <w:lang w:val="en-US" w:eastAsia="zh-CN" w:bidi="ar"/>
        </w:rPr>
        <w:t>了</w:t>
      </w:r>
      <w:r>
        <w:rPr>
          <w:rFonts w:hint="eastAsia" w:ascii="仿宋" w:hAnsi="仿宋" w:eastAsia="仿宋" w:cs="仿宋"/>
          <w:bCs w:val="0"/>
          <w:color w:val="auto"/>
          <w:sz w:val="28"/>
          <w:szCs w:val="28"/>
          <w:lang w:bidi="ar"/>
        </w:rPr>
        <w:t>安徽省</w:t>
      </w:r>
      <w:r>
        <w:rPr>
          <w:rFonts w:hint="eastAsia" w:ascii="仿宋" w:hAnsi="仿宋" w:eastAsia="仿宋" w:cs="仿宋"/>
          <w:color w:val="auto"/>
          <w:sz w:val="28"/>
          <w:szCs w:val="28"/>
          <w:lang w:bidi="ar"/>
        </w:rPr>
        <w:t>建筑用保温、模板</w:t>
      </w:r>
      <w:r>
        <w:rPr>
          <w:rFonts w:hint="eastAsia" w:ascii="仿宋" w:hAnsi="仿宋" w:eastAsia="仿宋" w:cs="仿宋"/>
          <w:bCs w:val="0"/>
          <w:color w:val="auto"/>
          <w:sz w:val="28"/>
          <w:szCs w:val="28"/>
          <w:lang w:bidi="ar"/>
        </w:rPr>
        <w:t>常见问题及解决的实践经验，同时参考了国内外先进技术法规、技术标准，通过试验取得了重要技术参数</w:t>
      </w:r>
      <w:r>
        <w:rPr>
          <w:rFonts w:hint="eastAsia" w:ascii="仿宋" w:hAnsi="仿宋" w:eastAsia="仿宋" w:cs="仿宋"/>
          <w:color w:val="auto"/>
          <w:sz w:val="28"/>
          <w:szCs w:val="28"/>
          <w:lang w:bidi="ar"/>
        </w:rPr>
        <w:t>，在广泛征求意见的基础上，经过反复讨论、修改与完善，制定本标准。</w:t>
      </w:r>
    </w:p>
    <w:p w14:paraId="3512AA1E">
      <w:pPr>
        <w:widowControl/>
        <w:adjustRightInd/>
        <w:snapToGrid/>
        <w:spacing w:line="360" w:lineRule="auto"/>
        <w:ind w:firstLine="560" w:firstLineChars="200"/>
        <w:rPr>
          <w:rFonts w:hint="eastAsia" w:ascii="仿宋" w:hAnsi="仿宋" w:eastAsia="仿宋" w:cs="仿宋"/>
          <w:color w:val="auto"/>
          <w:sz w:val="28"/>
          <w:szCs w:val="28"/>
          <w:lang w:bidi="ar"/>
        </w:rPr>
      </w:pPr>
      <w:r>
        <w:rPr>
          <w:rFonts w:hint="eastAsia" w:ascii="仿宋" w:hAnsi="仿宋" w:eastAsia="仿宋" w:cs="仿宋"/>
          <w:color w:val="auto"/>
          <w:sz w:val="28"/>
          <w:szCs w:val="28"/>
          <w:lang w:bidi="ar"/>
        </w:rPr>
        <w:t>本标准的主要内容有：总则；术语；基本规定；系统及其组成材料；设计；模板设计与计算；施工；验收。</w:t>
      </w:r>
    </w:p>
    <w:p w14:paraId="6048F055">
      <w:pPr>
        <w:widowControl/>
        <w:adjustRightInd/>
        <w:snapToGrid/>
        <w:spacing w:line="360" w:lineRule="auto"/>
        <w:ind w:left="0" w:leftChars="0" w:firstLine="560" w:firstLineChars="200"/>
        <w:rPr>
          <w:rFonts w:hint="eastAsia" w:ascii="仿宋" w:hAnsi="仿宋" w:eastAsia="仿宋" w:cs="仿宋"/>
          <w:color w:val="auto"/>
          <w:sz w:val="28"/>
          <w:szCs w:val="28"/>
          <w:lang w:bidi="ar"/>
        </w:rPr>
      </w:pPr>
      <w:r>
        <w:rPr>
          <w:rFonts w:hint="eastAsia" w:ascii="仿宋" w:hAnsi="仿宋" w:eastAsia="仿宋" w:cs="仿宋"/>
          <w:color w:val="auto"/>
          <w:sz w:val="28"/>
          <w:szCs w:val="28"/>
          <w:lang w:bidi="ar"/>
        </w:rPr>
        <w:t>本标准由安徽省住房和城乡建设厅负责归口管理，由安徽省住宅产业化促进中心负责具体技术内容的解释。执行过程中如有意见或建议，请寄送安徽省住宅产业化促进中心《建筑用保温免拆模板应用技术规程》（地址：</w:t>
      </w:r>
      <w:r>
        <w:rPr>
          <w:rFonts w:hint="eastAsia" w:ascii="仿宋" w:hAnsi="仿宋" w:eastAsia="仿宋" w:cs="仿宋"/>
          <w:i w:val="0"/>
          <w:iCs w:val="0"/>
          <w:caps w:val="0"/>
          <w:color w:val="auto"/>
          <w:spacing w:val="0"/>
          <w:sz w:val="28"/>
          <w:szCs w:val="28"/>
          <w:shd w:val="clear"/>
          <w:lang w:bidi="ar"/>
        </w:rPr>
        <w:t>合肥市包河区紫云路 996 号安徽省城乡规划建设大厦</w:t>
      </w:r>
      <w:r>
        <w:rPr>
          <w:rFonts w:hint="eastAsia" w:ascii="仿宋" w:hAnsi="仿宋" w:eastAsia="仿宋" w:cs="仿宋"/>
          <w:color w:val="auto"/>
          <w:sz w:val="28"/>
          <w:szCs w:val="28"/>
          <w:lang w:bidi="ar"/>
        </w:rPr>
        <w:t>，邮编：</w:t>
      </w:r>
      <w:r>
        <w:rPr>
          <w:rFonts w:hint="eastAsia" w:ascii="仿宋" w:hAnsi="仿宋" w:eastAsia="仿宋" w:cs="仿宋"/>
          <w:i w:val="0"/>
          <w:iCs w:val="0"/>
          <w:caps w:val="0"/>
          <w:color w:val="auto"/>
          <w:spacing w:val="0"/>
          <w:sz w:val="28"/>
          <w:szCs w:val="28"/>
          <w:shd w:val="clear"/>
          <w:lang w:bidi="ar"/>
        </w:rPr>
        <w:t> 230091</w:t>
      </w:r>
      <w:r>
        <w:rPr>
          <w:rFonts w:hint="eastAsia" w:ascii="仿宋" w:hAnsi="仿宋" w:eastAsia="仿宋" w:cs="仿宋"/>
          <w:color w:val="auto"/>
          <w:sz w:val="28"/>
          <w:szCs w:val="28"/>
          <w:lang w:bidi="ar"/>
        </w:rPr>
        <w:t>）。</w:t>
      </w:r>
    </w:p>
    <w:p w14:paraId="3FDE3AD5">
      <w:pPr>
        <w:widowControl/>
        <w:adjustRightInd/>
        <w:snapToGrid/>
        <w:spacing w:line="360" w:lineRule="auto"/>
        <w:ind w:left="0" w:leftChars="0" w:firstLine="560" w:firstLineChars="200"/>
        <w:rPr>
          <w:rFonts w:hint="eastAsia" w:ascii="仿宋" w:hAnsi="仿宋" w:eastAsia="仿宋" w:cs="仿宋"/>
          <w:color w:val="auto"/>
          <w:sz w:val="28"/>
          <w:szCs w:val="28"/>
          <w:lang w:bidi="ar"/>
        </w:rPr>
      </w:pPr>
    </w:p>
    <w:p w14:paraId="68A55880">
      <w:pPr>
        <w:adjustRightInd w:val="0"/>
        <w:snapToGrid w:val="0"/>
        <w:spacing w:line="360" w:lineRule="auto"/>
        <w:ind w:firstLine="562" w:firstLineChars="200"/>
        <w:rPr>
          <w:rFonts w:ascii="仿宋" w:hAnsi="仿宋" w:eastAsia="仿宋" w:cs="仿宋"/>
          <w:color w:val="auto"/>
          <w:sz w:val="28"/>
          <w:szCs w:val="28"/>
          <w:lang w:bidi="ar"/>
        </w:rPr>
      </w:pPr>
      <w:r>
        <w:rPr>
          <w:rFonts w:hint="eastAsia" w:ascii="仿宋" w:hAnsi="仿宋" w:eastAsia="仿宋" w:cs="仿宋"/>
          <w:b/>
          <w:color w:val="auto"/>
          <w:sz w:val="28"/>
          <w:szCs w:val="28"/>
          <w:lang w:bidi="ar"/>
        </w:rPr>
        <w:t>主编单位：</w:t>
      </w:r>
      <w:r>
        <w:rPr>
          <w:rFonts w:hint="eastAsia" w:ascii="仿宋" w:hAnsi="仿宋" w:eastAsia="仿宋" w:cs="仿宋"/>
          <w:color w:val="auto"/>
          <w:sz w:val="28"/>
          <w:szCs w:val="28"/>
          <w:lang w:bidi="ar"/>
        </w:rPr>
        <w:t>安徽省住宅产业化促进中心</w:t>
      </w:r>
    </w:p>
    <w:p w14:paraId="3BD60AA9">
      <w:pPr>
        <w:adjustRightInd w:val="0"/>
        <w:snapToGrid w:val="0"/>
        <w:spacing w:line="360" w:lineRule="auto"/>
        <w:ind w:firstLine="1960" w:firstLineChars="700"/>
        <w:rPr>
          <w:rFonts w:ascii="仿宋" w:hAnsi="仿宋" w:eastAsia="仿宋" w:cs="仿宋"/>
          <w:color w:val="auto"/>
          <w:sz w:val="28"/>
          <w:szCs w:val="28"/>
          <w:lang w:bidi="ar"/>
        </w:rPr>
      </w:pPr>
      <w:r>
        <w:rPr>
          <w:rFonts w:hint="eastAsia" w:ascii="仿宋" w:hAnsi="仿宋" w:eastAsia="仿宋" w:cs="仿宋"/>
          <w:color w:val="auto"/>
          <w:sz w:val="28"/>
          <w:szCs w:val="28"/>
          <w:lang w:bidi="ar"/>
        </w:rPr>
        <w:t>安徽建工集团股份有限公司</w:t>
      </w:r>
    </w:p>
    <w:p w14:paraId="64EBF0A6">
      <w:pPr>
        <w:adjustRightInd w:val="0"/>
        <w:snapToGrid w:val="0"/>
        <w:spacing w:line="360" w:lineRule="auto"/>
        <w:ind w:firstLine="562" w:firstLineChars="200"/>
        <w:rPr>
          <w:color w:val="auto"/>
        </w:rPr>
      </w:pPr>
      <w:r>
        <w:rPr>
          <w:rFonts w:hint="eastAsia" w:ascii="仿宋" w:hAnsi="仿宋" w:eastAsia="仿宋" w:cs="仿宋"/>
          <w:b/>
          <w:color w:val="auto"/>
          <w:sz w:val="28"/>
          <w:szCs w:val="28"/>
          <w:lang w:bidi="ar"/>
        </w:rPr>
        <w:t>参编单位：</w:t>
      </w:r>
      <w:r>
        <w:rPr>
          <w:rFonts w:hint="eastAsia" w:ascii="仿宋" w:hAnsi="仿宋" w:eastAsia="仿宋" w:cs="仿宋"/>
          <w:color w:val="auto"/>
          <w:sz w:val="28"/>
          <w:szCs w:val="28"/>
          <w:lang w:bidi="ar"/>
        </w:rPr>
        <w:t>安徽建工建筑工业化智能建造集团有限公司</w:t>
      </w:r>
    </w:p>
    <w:p w14:paraId="6406C0F0">
      <w:pPr>
        <w:adjustRightInd w:val="0"/>
        <w:snapToGrid w:val="0"/>
        <w:spacing w:line="360" w:lineRule="auto"/>
        <w:ind w:firstLine="1960" w:firstLineChars="700"/>
        <w:rPr>
          <w:rFonts w:ascii="仿宋" w:hAnsi="仿宋" w:eastAsia="仿宋" w:cs="仿宋"/>
          <w:color w:val="auto"/>
          <w:sz w:val="28"/>
          <w:szCs w:val="28"/>
          <w:lang w:bidi="ar"/>
        </w:rPr>
      </w:pPr>
      <w:r>
        <w:rPr>
          <w:rFonts w:hint="eastAsia" w:ascii="仿宋" w:hAnsi="仿宋" w:eastAsia="仿宋" w:cs="仿宋"/>
          <w:color w:val="auto"/>
          <w:sz w:val="28"/>
          <w:szCs w:val="28"/>
          <w:lang w:bidi="ar"/>
        </w:rPr>
        <w:t>安徽省建筑设计研究总院股份有限公司</w:t>
      </w:r>
    </w:p>
    <w:p w14:paraId="6C3EEAB4">
      <w:pPr>
        <w:adjustRightInd w:val="0"/>
        <w:snapToGrid w:val="0"/>
        <w:spacing w:line="360" w:lineRule="auto"/>
        <w:ind w:firstLine="1960" w:firstLineChars="700"/>
        <w:rPr>
          <w:rFonts w:ascii="仿宋" w:hAnsi="仿宋" w:eastAsia="仿宋" w:cs="仿宋"/>
          <w:color w:val="auto"/>
          <w:sz w:val="28"/>
          <w:szCs w:val="28"/>
          <w:lang w:bidi="ar"/>
        </w:rPr>
      </w:pPr>
      <w:r>
        <w:rPr>
          <w:rFonts w:hint="eastAsia" w:ascii="仿宋" w:hAnsi="仿宋" w:eastAsia="仿宋" w:cs="仿宋"/>
          <w:color w:val="auto"/>
          <w:sz w:val="28"/>
          <w:szCs w:val="28"/>
          <w:lang w:bidi="ar"/>
        </w:rPr>
        <w:t>合肥工大建设监理有限责任公司</w:t>
      </w:r>
    </w:p>
    <w:p w14:paraId="788B4EA9">
      <w:pPr>
        <w:adjustRightInd w:val="0"/>
        <w:snapToGrid w:val="0"/>
        <w:spacing w:line="360" w:lineRule="auto"/>
        <w:ind w:firstLine="1960" w:firstLineChars="700"/>
        <w:rPr>
          <w:rFonts w:ascii="仿宋" w:hAnsi="仿宋" w:eastAsia="仿宋" w:cs="仿宋"/>
          <w:color w:val="auto"/>
          <w:sz w:val="28"/>
          <w:szCs w:val="28"/>
          <w:lang w:bidi="ar"/>
        </w:rPr>
      </w:pPr>
      <w:r>
        <w:rPr>
          <w:rFonts w:hint="eastAsia" w:ascii="仿宋" w:hAnsi="仿宋" w:eastAsia="仿宋" w:cs="仿宋"/>
          <w:color w:val="auto"/>
          <w:sz w:val="28"/>
          <w:szCs w:val="28"/>
          <w:lang w:bidi="ar"/>
        </w:rPr>
        <w:t>安徽建工检测科技集团有限公司</w:t>
      </w:r>
    </w:p>
    <w:p w14:paraId="6034843B">
      <w:pPr>
        <w:adjustRightInd w:val="0"/>
        <w:snapToGrid w:val="0"/>
        <w:spacing w:line="360" w:lineRule="auto"/>
        <w:ind w:firstLine="1960" w:firstLineChars="700"/>
        <w:rPr>
          <w:rFonts w:ascii="仿宋" w:hAnsi="仿宋" w:eastAsia="仿宋" w:cs="仿宋"/>
          <w:bCs/>
          <w:color w:val="auto"/>
          <w:sz w:val="28"/>
          <w:szCs w:val="28"/>
          <w:lang w:bidi="ar"/>
        </w:rPr>
      </w:pPr>
      <w:r>
        <w:rPr>
          <w:rFonts w:hint="eastAsia" w:ascii="仿宋" w:hAnsi="仿宋" w:eastAsia="仿宋" w:cs="仿宋"/>
          <w:bCs/>
          <w:color w:val="auto"/>
          <w:sz w:val="28"/>
          <w:szCs w:val="28"/>
          <w:lang w:bidi="ar"/>
        </w:rPr>
        <w:t>安徽华举建材科技有限公司</w:t>
      </w:r>
    </w:p>
    <w:p w14:paraId="4049B462">
      <w:pPr>
        <w:adjustRightInd w:val="0"/>
        <w:snapToGrid w:val="0"/>
        <w:spacing w:line="360" w:lineRule="auto"/>
        <w:ind w:firstLine="1960" w:firstLineChars="700"/>
        <w:rPr>
          <w:rFonts w:ascii="仿宋" w:hAnsi="仿宋" w:eastAsia="仿宋" w:cs="仿宋"/>
          <w:bCs/>
          <w:color w:val="auto"/>
          <w:sz w:val="28"/>
          <w:szCs w:val="28"/>
          <w:lang w:bidi="ar"/>
        </w:rPr>
      </w:pPr>
      <w:r>
        <w:rPr>
          <w:rFonts w:hint="eastAsia" w:ascii="仿宋" w:hAnsi="仿宋" w:eastAsia="仿宋"/>
          <w:bCs/>
          <w:color w:val="auto"/>
          <w:sz w:val="28"/>
          <w:szCs w:val="28"/>
        </w:rPr>
        <w:t>蚌埠百特装饰工程有限公司</w:t>
      </w:r>
    </w:p>
    <w:p w14:paraId="671AEBD9">
      <w:pPr>
        <w:adjustRightInd w:val="0"/>
        <w:snapToGrid w:val="0"/>
        <w:spacing w:line="360" w:lineRule="auto"/>
        <w:ind w:firstLine="1960" w:firstLineChars="700"/>
        <w:rPr>
          <w:rFonts w:ascii="仿宋" w:hAnsi="仿宋" w:eastAsia="仿宋" w:cs="仿宋"/>
          <w:bCs/>
          <w:color w:val="auto"/>
          <w:sz w:val="28"/>
          <w:szCs w:val="28"/>
          <w:lang w:bidi="ar"/>
        </w:rPr>
      </w:pPr>
      <w:r>
        <w:rPr>
          <w:rFonts w:hint="eastAsia" w:ascii="仿宋" w:hAnsi="仿宋" w:eastAsia="仿宋"/>
          <w:bCs/>
          <w:color w:val="auto"/>
          <w:sz w:val="28"/>
          <w:szCs w:val="28"/>
        </w:rPr>
        <w:t>上海圣奎新型建材有限公司</w:t>
      </w:r>
    </w:p>
    <w:p w14:paraId="4EBC311F">
      <w:pPr>
        <w:adjustRightInd w:val="0"/>
        <w:snapToGrid w:val="0"/>
        <w:spacing w:line="360" w:lineRule="auto"/>
        <w:ind w:firstLine="1960" w:firstLineChars="700"/>
        <w:rPr>
          <w:rFonts w:hint="eastAsia" w:ascii="仿宋" w:hAnsi="仿宋" w:eastAsia="仿宋"/>
          <w:color w:val="auto"/>
          <w:sz w:val="28"/>
          <w:szCs w:val="28"/>
        </w:rPr>
      </w:pPr>
      <w:r>
        <w:rPr>
          <w:rFonts w:hint="eastAsia" w:ascii="仿宋" w:hAnsi="仿宋" w:eastAsia="仿宋"/>
          <w:color w:val="auto"/>
          <w:sz w:val="28"/>
          <w:szCs w:val="28"/>
        </w:rPr>
        <w:t>安徽置润节能科技有限公司</w:t>
      </w:r>
    </w:p>
    <w:p w14:paraId="7BC9650F">
      <w:pPr>
        <w:adjustRightInd w:val="0"/>
        <w:snapToGrid w:val="0"/>
        <w:spacing w:line="360" w:lineRule="auto"/>
        <w:ind w:firstLine="2080" w:firstLineChars="800"/>
        <w:rPr>
          <w:rFonts w:ascii="仿宋" w:hAnsi="仿宋" w:eastAsia="仿宋"/>
          <w:bCs/>
          <w:color w:val="auto"/>
          <w:spacing w:val="-10"/>
          <w:sz w:val="28"/>
          <w:szCs w:val="28"/>
        </w:rPr>
      </w:pPr>
      <w:r>
        <w:rPr>
          <w:rFonts w:ascii="仿宋" w:hAnsi="仿宋" w:eastAsia="仿宋"/>
          <w:bCs/>
          <w:color w:val="auto"/>
          <w:spacing w:val="-10"/>
          <w:sz w:val="28"/>
          <w:szCs w:val="28"/>
        </w:rPr>
        <w:t>安徽铭源新型建材科技有限公司</w:t>
      </w:r>
    </w:p>
    <w:p w14:paraId="7366B76B">
      <w:pPr>
        <w:adjustRightInd w:val="0"/>
        <w:snapToGrid w:val="0"/>
        <w:spacing w:line="360" w:lineRule="auto"/>
        <w:ind w:firstLine="1960" w:firstLineChars="700"/>
        <w:rPr>
          <w:rFonts w:ascii="仿宋" w:hAnsi="仿宋" w:eastAsia="仿宋" w:cs="仿宋"/>
          <w:bCs/>
          <w:color w:val="auto"/>
          <w:sz w:val="28"/>
          <w:szCs w:val="28"/>
          <w:lang w:bidi="ar"/>
        </w:rPr>
      </w:pPr>
      <w:r>
        <w:rPr>
          <w:rFonts w:hint="eastAsia" w:ascii="仿宋" w:hAnsi="仿宋" w:eastAsia="仿宋" w:cs="仿宋"/>
          <w:bCs/>
          <w:color w:val="auto"/>
          <w:sz w:val="28"/>
          <w:szCs w:val="28"/>
          <w:lang w:bidi="ar"/>
        </w:rPr>
        <w:t>安徽亚欧保温节能材料有限公司</w:t>
      </w:r>
    </w:p>
    <w:p w14:paraId="1DE86B6A">
      <w:pPr>
        <w:adjustRightInd w:val="0"/>
        <w:snapToGrid w:val="0"/>
        <w:spacing w:line="360" w:lineRule="auto"/>
        <w:ind w:firstLine="1960" w:firstLineChars="700"/>
        <w:rPr>
          <w:rFonts w:ascii="仿宋" w:hAnsi="仿宋" w:eastAsia="仿宋"/>
          <w:color w:val="auto"/>
          <w:sz w:val="28"/>
          <w:szCs w:val="28"/>
        </w:rPr>
      </w:pPr>
      <w:r>
        <w:rPr>
          <w:rFonts w:hint="eastAsia" w:ascii="仿宋" w:hAnsi="仿宋" w:eastAsia="仿宋"/>
          <w:color w:val="auto"/>
          <w:sz w:val="28"/>
          <w:szCs w:val="28"/>
        </w:rPr>
        <w:t>安徽铭能保温科技有限公司</w:t>
      </w:r>
    </w:p>
    <w:p w14:paraId="6AA667C5">
      <w:pPr>
        <w:adjustRightInd w:val="0"/>
        <w:snapToGrid w:val="0"/>
        <w:spacing w:line="360" w:lineRule="auto"/>
        <w:ind w:firstLine="1960" w:firstLineChars="700"/>
        <w:rPr>
          <w:rFonts w:ascii="仿宋" w:hAnsi="仿宋" w:eastAsia="仿宋"/>
          <w:bCs/>
          <w:color w:val="auto"/>
          <w:sz w:val="28"/>
          <w:szCs w:val="28"/>
        </w:rPr>
      </w:pPr>
      <w:r>
        <w:rPr>
          <w:rFonts w:hint="eastAsia" w:ascii="仿宋" w:hAnsi="仿宋" w:eastAsia="仿宋"/>
          <w:bCs/>
          <w:color w:val="auto"/>
          <w:sz w:val="28"/>
          <w:szCs w:val="28"/>
          <w:lang w:val="en-US" w:eastAsia="zh-CN"/>
        </w:rPr>
        <w:t>亳州市</w:t>
      </w:r>
      <w:r>
        <w:rPr>
          <w:rFonts w:hint="eastAsia" w:ascii="仿宋" w:hAnsi="仿宋" w:eastAsia="仿宋"/>
          <w:bCs/>
          <w:color w:val="auto"/>
          <w:sz w:val="28"/>
          <w:szCs w:val="28"/>
        </w:rPr>
        <w:t>绿源科技有限公司</w:t>
      </w:r>
    </w:p>
    <w:p w14:paraId="5091616C">
      <w:pPr>
        <w:adjustRightInd w:val="0"/>
        <w:snapToGrid w:val="0"/>
        <w:spacing w:line="360" w:lineRule="auto"/>
        <w:ind w:firstLine="1960" w:firstLineChars="700"/>
        <w:rPr>
          <w:rFonts w:ascii="仿宋" w:hAnsi="仿宋" w:eastAsia="仿宋" w:cs="仿宋"/>
          <w:bCs/>
          <w:color w:val="auto"/>
          <w:sz w:val="28"/>
          <w:szCs w:val="28"/>
          <w:lang w:bidi="ar"/>
        </w:rPr>
      </w:pPr>
      <w:r>
        <w:rPr>
          <w:rFonts w:hint="eastAsia" w:ascii="仿宋" w:hAnsi="仿宋" w:eastAsia="仿宋"/>
          <w:bCs/>
          <w:color w:val="auto"/>
          <w:sz w:val="28"/>
          <w:szCs w:val="28"/>
        </w:rPr>
        <w:t>中铁四局集团建筑工程有限公司</w:t>
      </w:r>
    </w:p>
    <w:p w14:paraId="0CFCD5A9">
      <w:pPr>
        <w:adjustRightInd w:val="0"/>
        <w:snapToGrid w:val="0"/>
        <w:spacing w:line="360" w:lineRule="auto"/>
        <w:ind w:firstLine="1960" w:firstLineChars="700"/>
        <w:rPr>
          <w:rFonts w:ascii="仿宋" w:hAnsi="仿宋" w:eastAsia="仿宋"/>
          <w:bCs/>
          <w:color w:val="auto"/>
          <w:sz w:val="28"/>
          <w:szCs w:val="28"/>
        </w:rPr>
      </w:pPr>
      <w:r>
        <w:rPr>
          <w:rFonts w:hint="eastAsia" w:ascii="仿宋" w:hAnsi="仿宋" w:eastAsia="仿宋"/>
          <w:bCs/>
          <w:color w:val="auto"/>
          <w:sz w:val="28"/>
          <w:szCs w:val="28"/>
        </w:rPr>
        <w:t>安徽神舟建材集团有限公司</w:t>
      </w:r>
    </w:p>
    <w:p w14:paraId="4B669A17">
      <w:pPr>
        <w:adjustRightInd w:val="0"/>
        <w:snapToGrid w:val="0"/>
        <w:spacing w:line="360" w:lineRule="auto"/>
        <w:ind w:firstLine="2080" w:firstLineChars="800"/>
        <w:rPr>
          <w:rFonts w:ascii="仿宋" w:hAnsi="仿宋" w:eastAsia="仿宋"/>
          <w:bCs/>
          <w:color w:val="auto"/>
          <w:spacing w:val="-10"/>
          <w:sz w:val="28"/>
          <w:szCs w:val="28"/>
        </w:rPr>
      </w:pPr>
      <w:r>
        <w:rPr>
          <w:rFonts w:hint="eastAsia" w:ascii="仿宋" w:hAnsi="仿宋" w:eastAsia="仿宋"/>
          <w:color w:val="auto"/>
          <w:spacing w:val="-10"/>
          <w:sz w:val="28"/>
          <w:szCs w:val="28"/>
        </w:rPr>
        <w:t>安徽春江保温建材科技有限公司</w:t>
      </w:r>
    </w:p>
    <w:p w14:paraId="3951C2C6">
      <w:pPr>
        <w:adjustRightInd w:val="0"/>
        <w:snapToGrid w:val="0"/>
        <w:spacing w:line="360" w:lineRule="auto"/>
        <w:ind w:firstLine="1960" w:firstLineChars="700"/>
        <w:rPr>
          <w:rFonts w:ascii="仿宋" w:hAnsi="仿宋" w:eastAsia="仿宋"/>
          <w:bCs/>
          <w:color w:val="auto"/>
          <w:spacing w:val="-10"/>
          <w:sz w:val="28"/>
          <w:szCs w:val="28"/>
        </w:rPr>
      </w:pPr>
      <w:r>
        <w:rPr>
          <w:rFonts w:hint="eastAsia" w:ascii="仿宋" w:hAnsi="仿宋" w:eastAsia="仿宋" w:cs="仿宋"/>
          <w:bCs/>
          <w:color w:val="auto"/>
          <w:sz w:val="28"/>
          <w:szCs w:val="28"/>
          <w:lang w:bidi="ar"/>
        </w:rPr>
        <w:t>安徽贝安居建筑科技有限公司</w:t>
      </w:r>
    </w:p>
    <w:p w14:paraId="3F41B951">
      <w:pPr>
        <w:adjustRightInd w:val="0"/>
        <w:snapToGrid w:val="0"/>
        <w:spacing w:line="360" w:lineRule="auto"/>
        <w:ind w:firstLine="1960" w:firstLineChars="700"/>
        <w:rPr>
          <w:rFonts w:ascii="仿宋" w:hAnsi="仿宋" w:eastAsia="仿宋" w:cs="仿宋"/>
          <w:bCs/>
          <w:color w:val="auto"/>
          <w:sz w:val="28"/>
          <w:szCs w:val="28"/>
          <w:lang w:bidi="ar"/>
        </w:rPr>
      </w:pPr>
      <w:r>
        <w:rPr>
          <w:rFonts w:hint="eastAsia" w:ascii="仿宋" w:hAnsi="仿宋" w:eastAsia="仿宋" w:cs="仿宋"/>
          <w:bCs/>
          <w:color w:val="auto"/>
          <w:sz w:val="28"/>
          <w:szCs w:val="28"/>
          <w:lang w:bidi="ar"/>
        </w:rPr>
        <w:t>中铁二十四局集团安徽工程有限公司</w:t>
      </w:r>
    </w:p>
    <w:p w14:paraId="2615BBF1">
      <w:pPr>
        <w:adjustRightInd w:val="0"/>
        <w:snapToGrid w:val="0"/>
        <w:spacing w:line="360" w:lineRule="auto"/>
        <w:ind w:firstLine="1960" w:firstLineChars="700"/>
        <w:rPr>
          <w:rFonts w:hint="default" w:ascii="仿宋" w:hAnsi="仿宋" w:eastAsia="仿宋"/>
          <w:color w:val="auto"/>
          <w:sz w:val="28"/>
          <w:szCs w:val="28"/>
          <w:lang w:val="en-US" w:eastAsia="zh-CN"/>
        </w:rPr>
      </w:pPr>
      <w:r>
        <w:rPr>
          <w:rFonts w:hint="eastAsia" w:ascii="仿宋" w:hAnsi="仿宋" w:eastAsia="仿宋"/>
          <w:bCs/>
          <w:color w:val="auto"/>
          <w:sz w:val="28"/>
          <w:szCs w:val="28"/>
        </w:rPr>
        <w:t>安徽绿归节能科技有限公司</w:t>
      </w:r>
    </w:p>
    <w:p w14:paraId="4166130A">
      <w:pPr>
        <w:adjustRightInd w:val="0"/>
        <w:snapToGrid w:val="0"/>
        <w:spacing w:line="360" w:lineRule="auto"/>
        <w:ind w:firstLine="1960" w:firstLineChars="700"/>
        <w:rPr>
          <w:rFonts w:hint="eastAsia" w:ascii="仿宋" w:hAnsi="仿宋" w:eastAsia="仿宋"/>
          <w:bCs/>
          <w:color w:val="auto"/>
          <w:sz w:val="28"/>
          <w:szCs w:val="28"/>
        </w:rPr>
      </w:pPr>
      <w:r>
        <w:rPr>
          <w:rFonts w:hint="eastAsia" w:ascii="仿宋" w:hAnsi="仿宋" w:eastAsia="仿宋"/>
          <w:bCs/>
          <w:color w:val="auto"/>
          <w:sz w:val="28"/>
          <w:szCs w:val="28"/>
        </w:rPr>
        <w:t>安徽宜筑建筑节能科技有限公司</w:t>
      </w:r>
    </w:p>
    <w:p w14:paraId="6F53C6E1">
      <w:pPr>
        <w:adjustRightInd w:val="0"/>
        <w:snapToGrid w:val="0"/>
        <w:spacing w:line="360" w:lineRule="auto"/>
        <w:ind w:firstLine="1960" w:firstLineChars="700"/>
        <w:rPr>
          <w:rFonts w:hint="eastAsia" w:ascii="仿宋" w:hAnsi="仿宋" w:eastAsia="仿宋"/>
          <w:bCs/>
          <w:color w:val="auto"/>
          <w:sz w:val="28"/>
          <w:szCs w:val="28"/>
        </w:rPr>
      </w:pPr>
      <w:r>
        <w:rPr>
          <w:rFonts w:hint="eastAsia" w:ascii="仿宋" w:hAnsi="仿宋" w:eastAsia="仿宋"/>
          <w:bCs/>
          <w:color w:val="auto"/>
          <w:sz w:val="28"/>
          <w:szCs w:val="28"/>
          <w:lang w:val="en-US" w:eastAsia="zh-CN"/>
        </w:rPr>
        <w:t>安徽建工水利开发投资集团有限公司</w:t>
      </w:r>
    </w:p>
    <w:p w14:paraId="5334CBAF">
      <w:pPr>
        <w:adjustRightInd w:val="0"/>
        <w:snapToGrid w:val="0"/>
        <w:spacing w:line="360" w:lineRule="auto"/>
        <w:ind w:firstLine="1960" w:firstLineChars="700"/>
        <w:rPr>
          <w:rFonts w:hint="default" w:ascii="仿宋" w:hAnsi="仿宋" w:eastAsia="仿宋"/>
          <w:bCs/>
          <w:color w:val="auto"/>
          <w:sz w:val="28"/>
          <w:szCs w:val="28"/>
          <w:lang w:val="en-US" w:eastAsia="zh-CN"/>
        </w:rPr>
      </w:pPr>
      <w:r>
        <w:rPr>
          <w:rFonts w:hint="eastAsia" w:ascii="仿宋" w:hAnsi="仿宋" w:eastAsia="仿宋"/>
          <w:bCs/>
          <w:color w:val="auto"/>
          <w:sz w:val="28"/>
          <w:szCs w:val="28"/>
        </w:rPr>
        <w:t>山东国创节能科技股份有限公司</w:t>
      </w:r>
    </w:p>
    <w:p w14:paraId="55278549">
      <w:pPr>
        <w:adjustRightInd w:val="0"/>
        <w:snapToGrid w:val="0"/>
        <w:spacing w:line="360" w:lineRule="auto"/>
        <w:ind w:firstLine="1960" w:firstLineChars="700"/>
        <w:rPr>
          <w:rFonts w:ascii="仿宋" w:hAnsi="仿宋" w:eastAsia="仿宋"/>
          <w:bCs/>
          <w:color w:val="auto"/>
          <w:sz w:val="28"/>
          <w:szCs w:val="28"/>
        </w:rPr>
      </w:pPr>
      <w:r>
        <w:rPr>
          <w:rFonts w:hint="eastAsia" w:ascii="仿宋" w:hAnsi="仿宋" w:eastAsia="仿宋"/>
          <w:bCs/>
          <w:color w:val="auto"/>
          <w:sz w:val="28"/>
          <w:szCs w:val="28"/>
        </w:rPr>
        <w:t>宣城仁恒节能科技有限公司</w:t>
      </w:r>
    </w:p>
    <w:p w14:paraId="193434B4">
      <w:pPr>
        <w:adjustRightInd w:val="0"/>
        <w:snapToGrid w:val="0"/>
        <w:spacing w:line="360" w:lineRule="auto"/>
        <w:ind w:firstLine="1960" w:firstLineChars="700"/>
        <w:rPr>
          <w:rFonts w:ascii="仿宋" w:hAnsi="仿宋" w:eastAsia="仿宋"/>
          <w:b/>
          <w:bCs/>
          <w:color w:val="auto"/>
          <w:sz w:val="28"/>
          <w:szCs w:val="28"/>
        </w:rPr>
      </w:pPr>
      <w:r>
        <w:rPr>
          <w:rFonts w:hint="eastAsia" w:ascii="仿宋" w:hAnsi="仿宋" w:eastAsia="仿宋"/>
          <w:bCs/>
          <w:color w:val="auto"/>
          <w:sz w:val="28"/>
          <w:szCs w:val="28"/>
        </w:rPr>
        <w:t>中建六局第八建设有限公司</w:t>
      </w:r>
    </w:p>
    <w:p w14:paraId="440B1ACA">
      <w:pPr>
        <w:adjustRightInd w:val="0"/>
        <w:snapToGrid w:val="0"/>
        <w:spacing w:line="360" w:lineRule="auto"/>
        <w:ind w:firstLine="562" w:firstLineChars="200"/>
        <w:rPr>
          <w:rFonts w:ascii="仿宋" w:hAnsi="仿宋" w:eastAsia="仿宋" w:cs="仿宋"/>
          <w:color w:val="auto"/>
          <w:sz w:val="28"/>
          <w:szCs w:val="28"/>
        </w:rPr>
      </w:pPr>
      <w:r>
        <w:rPr>
          <w:rFonts w:hint="eastAsia" w:ascii="仿宋" w:hAnsi="仿宋" w:eastAsia="仿宋"/>
          <w:b/>
          <w:color w:val="auto"/>
          <w:sz w:val="28"/>
          <w:szCs w:val="28"/>
        </w:rPr>
        <w:t>主要起草人：</w:t>
      </w:r>
      <w:r>
        <w:rPr>
          <w:rFonts w:hint="eastAsia" w:ascii="仿宋" w:hAnsi="仿宋" w:eastAsia="仿宋" w:cs="仿宋"/>
          <w:color w:val="auto"/>
          <w:sz w:val="28"/>
          <w:szCs w:val="28"/>
        </w:rPr>
        <w:t>刘继朝、陈 刚、王兴明、毕功华、</w:t>
      </w:r>
      <w:r>
        <w:rPr>
          <w:rFonts w:hint="eastAsia" w:ascii="仿宋_GB2312" w:hAnsi="Times New Roman" w:eastAsia="仿宋_GB2312" w:cs="仿宋_GB2312"/>
          <w:color w:val="auto"/>
          <w:sz w:val="28"/>
          <w:szCs w:val="28"/>
          <w:lang w:bidi="ar"/>
        </w:rPr>
        <w:t>闫 威、</w:t>
      </w:r>
      <w:r>
        <w:rPr>
          <w:rFonts w:hint="eastAsia" w:ascii="仿宋" w:hAnsi="仿宋" w:eastAsia="仿宋" w:cs="仿宋"/>
          <w:color w:val="auto"/>
          <w:sz w:val="28"/>
          <w:szCs w:val="28"/>
        </w:rPr>
        <w:t>王 磊、何 利、薛黎明、</w:t>
      </w:r>
      <w:r>
        <w:rPr>
          <w:rFonts w:hint="eastAsia" w:ascii="仿宋_GB2312" w:hAnsi="Times New Roman" w:eastAsia="仿宋_GB2312" w:cs="仿宋_GB2312"/>
          <w:color w:val="auto"/>
          <w:sz w:val="28"/>
          <w:szCs w:val="28"/>
          <w:lang w:bidi="ar"/>
        </w:rPr>
        <w:t>杨启安、</w:t>
      </w:r>
      <w:r>
        <w:rPr>
          <w:rFonts w:hint="eastAsia" w:ascii="仿宋" w:hAnsi="仿宋" w:eastAsia="仿宋" w:cs="仿宋"/>
          <w:color w:val="auto"/>
          <w:sz w:val="28"/>
          <w:szCs w:val="28"/>
        </w:rPr>
        <w:t>杨善斌、傅宏林、秦 琳、</w:t>
      </w:r>
      <w:r>
        <w:rPr>
          <w:rFonts w:hint="eastAsia" w:ascii="仿宋" w:hAnsi="仿宋" w:eastAsia="仿宋" w:cs="仿宋"/>
          <w:bCs/>
          <w:color w:val="auto"/>
          <w:sz w:val="28"/>
          <w:szCs w:val="28"/>
        </w:rPr>
        <w:t>万普华、苏同飞、季 良</w:t>
      </w:r>
      <w:r>
        <w:rPr>
          <w:rFonts w:hint="eastAsia" w:ascii="仿宋" w:hAnsi="仿宋" w:eastAsia="仿宋" w:cs="仿宋"/>
          <w:color w:val="auto"/>
          <w:sz w:val="28"/>
          <w:szCs w:val="28"/>
        </w:rPr>
        <w:t>、张 峰、</w:t>
      </w:r>
      <w:r>
        <w:rPr>
          <w:rFonts w:hint="eastAsia" w:ascii="仿宋" w:hAnsi="仿宋" w:eastAsia="仿宋" w:cs="仿宋"/>
          <w:bCs/>
          <w:color w:val="auto"/>
          <w:sz w:val="28"/>
          <w:szCs w:val="28"/>
        </w:rPr>
        <w:t>王传富、刘</w:t>
      </w:r>
      <w:r>
        <w:rPr>
          <w:rFonts w:hint="eastAsia" w:ascii="仿宋" w:hAnsi="仿宋" w:eastAsia="仿宋" w:cs="仿宋"/>
          <w:color w:val="auto"/>
          <w:sz w:val="28"/>
          <w:szCs w:val="28"/>
        </w:rPr>
        <w:t xml:space="preserve"> 亚、严巍巍、张拥军、曹瑞雪、吕俊杰、张金海、许良前、马乐乐、</w:t>
      </w:r>
      <w:r>
        <w:rPr>
          <w:rFonts w:hint="eastAsia" w:ascii="仿宋" w:hAnsi="仿宋" w:eastAsia="仿宋" w:cs="仿宋"/>
          <w:color w:val="auto"/>
          <w:sz w:val="28"/>
          <w:szCs w:val="28"/>
          <w:lang w:val="en-US" w:eastAsia="zh-CN"/>
        </w:rPr>
        <w:t>黄海丽</w:t>
      </w:r>
      <w:r>
        <w:rPr>
          <w:rFonts w:hint="eastAsia" w:ascii="仿宋" w:hAnsi="仿宋" w:eastAsia="仿宋" w:cs="仿宋"/>
          <w:color w:val="auto"/>
          <w:sz w:val="28"/>
          <w:szCs w:val="28"/>
        </w:rPr>
        <w:t>、巩 建、</w:t>
      </w:r>
      <w:r>
        <w:rPr>
          <w:rFonts w:hint="eastAsia" w:ascii="仿宋" w:hAnsi="仿宋" w:eastAsia="仿宋" w:cs="仿宋"/>
          <w:color w:val="auto"/>
          <w:sz w:val="28"/>
          <w:szCs w:val="28"/>
          <w:lang w:val="en-US" w:eastAsia="zh-CN"/>
        </w:rPr>
        <w:t>秦建设</w:t>
      </w:r>
      <w:r>
        <w:rPr>
          <w:rFonts w:hint="eastAsia" w:ascii="仿宋" w:hAnsi="仿宋" w:eastAsia="仿宋" w:cs="仿宋"/>
          <w:color w:val="auto"/>
          <w:sz w:val="28"/>
          <w:szCs w:val="28"/>
        </w:rPr>
        <w:t>、刘 明、温先知</w:t>
      </w:r>
    </w:p>
    <w:p w14:paraId="345E20B1">
      <w:pPr>
        <w:adjustRightInd w:val="0"/>
        <w:snapToGrid w:val="0"/>
        <w:spacing w:line="360" w:lineRule="auto"/>
        <w:ind w:firstLine="562" w:firstLineChars="200"/>
        <w:rPr>
          <w:rFonts w:ascii="Times New Roman" w:hAnsi="Times New Roman" w:cs="Times New Roman"/>
          <w:b/>
          <w:bCs/>
          <w:color w:val="auto"/>
        </w:rPr>
      </w:pPr>
      <w:r>
        <w:rPr>
          <w:rFonts w:hint="eastAsia" w:ascii="仿宋" w:hAnsi="仿宋" w:eastAsia="仿宋" w:cs="仿宋"/>
          <w:b/>
          <w:color w:val="auto"/>
          <w:sz w:val="28"/>
          <w:szCs w:val="28"/>
        </w:rPr>
        <w:t>主要审查人：</w:t>
      </w:r>
      <w:r>
        <w:rPr>
          <w:rFonts w:ascii="Times New Roman" w:hAnsi="Times New Roman" w:cs="Times New Roman"/>
          <w:b/>
          <w:bCs/>
          <w:color w:val="auto"/>
        </w:rPr>
        <w:t xml:space="preserve"> </w:t>
      </w:r>
    </w:p>
    <w:p w14:paraId="62C27A9B">
      <w:pPr>
        <w:spacing w:line="720" w:lineRule="auto"/>
        <w:jc w:val="center"/>
        <w:rPr>
          <w:rFonts w:ascii="宋体" w:cs="宋体"/>
          <w:b/>
          <w:color w:val="auto"/>
          <w:kern w:val="0"/>
          <w:sz w:val="32"/>
          <w:szCs w:val="32"/>
        </w:rPr>
        <w:sectPr>
          <w:footerReference r:id="rId3" w:type="default"/>
          <w:pgSz w:w="11906" w:h="16838"/>
          <w:pgMar w:top="1361" w:right="1588" w:bottom="1361" w:left="1588" w:header="851" w:footer="992" w:gutter="0"/>
          <w:pgNumType w:start="0"/>
          <w:cols w:space="720" w:num="1"/>
          <w:titlePg/>
          <w:docGrid w:type="lines" w:linePitch="312" w:charSpace="0"/>
        </w:sectPr>
      </w:pPr>
    </w:p>
    <w:sdt>
      <w:sdtPr>
        <w:rPr>
          <w:rFonts w:asciiTheme="minorHAnsi" w:hAnsiTheme="minorHAnsi" w:eastAsiaTheme="minorEastAsia" w:cstheme="minorBidi"/>
          <w:b w:val="0"/>
          <w:bCs w:val="0"/>
          <w:color w:val="auto"/>
          <w:kern w:val="2"/>
          <w:sz w:val="21"/>
          <w:szCs w:val="22"/>
          <w:lang w:val="zh-CN"/>
        </w:rPr>
        <w:id w:val="147463066"/>
      </w:sdtPr>
      <w:sdtEndPr>
        <w:rPr>
          <w:rFonts w:hint="eastAsia" w:asciiTheme="majorEastAsia" w:hAnsiTheme="majorEastAsia" w:eastAsiaTheme="majorEastAsia" w:cstheme="majorEastAsia"/>
          <w:b w:val="0"/>
          <w:bCs w:val="0"/>
          <w:color w:val="auto"/>
          <w:kern w:val="2"/>
          <w:sz w:val="24"/>
          <w:szCs w:val="24"/>
          <w:lang w:val="en-US"/>
        </w:rPr>
      </w:sdtEndPr>
      <w:sdtContent>
        <w:p w14:paraId="3DE5531A">
          <w:pPr>
            <w:pStyle w:val="104"/>
            <w:spacing w:before="0"/>
            <w:jc w:val="center"/>
            <w:rPr>
              <w:rFonts w:hint="eastAsia" w:asciiTheme="majorEastAsia" w:hAnsiTheme="majorEastAsia" w:cstheme="majorEastAsia"/>
              <w:color w:val="auto"/>
              <w:kern w:val="44"/>
              <w:sz w:val="32"/>
              <w:szCs w:val="32"/>
            </w:rPr>
          </w:pPr>
          <w:r>
            <w:rPr>
              <w:rFonts w:hint="eastAsia" w:asciiTheme="majorEastAsia" w:hAnsiTheme="majorEastAsia" w:cstheme="majorEastAsia"/>
              <w:color w:val="auto"/>
              <w:kern w:val="44"/>
              <w:sz w:val="32"/>
              <w:szCs w:val="32"/>
              <w:lang w:val="zh-CN"/>
            </w:rPr>
            <w:t>目</w:t>
          </w:r>
          <w:r>
            <w:rPr>
              <w:rFonts w:hint="eastAsia" w:asciiTheme="majorEastAsia" w:hAnsiTheme="majorEastAsia" w:cstheme="majorEastAsia"/>
              <w:color w:val="auto"/>
              <w:kern w:val="44"/>
              <w:sz w:val="32"/>
              <w:szCs w:val="32"/>
            </w:rPr>
            <w:t xml:space="preserve">  次</w:t>
          </w:r>
        </w:p>
        <w:p w14:paraId="21A96A71">
          <w:pPr>
            <w:pStyle w:val="59"/>
            <w:tabs>
              <w:tab w:val="right" w:leader="dot" w:pos="8306"/>
            </w:tabs>
            <w:rPr>
              <w:color w:val="auto"/>
            </w:rPr>
          </w:pPr>
          <w:r>
            <w:rPr>
              <w:rFonts w:hint="eastAsia" w:asciiTheme="majorEastAsia" w:hAnsiTheme="majorEastAsia" w:eastAsiaTheme="majorEastAsia" w:cstheme="majorEastAsia"/>
              <w:color w:val="auto"/>
              <w:sz w:val="24"/>
              <w:szCs w:val="24"/>
            </w:rPr>
            <w:fldChar w:fldCharType="begin"/>
          </w:r>
          <w:r>
            <w:rPr>
              <w:rFonts w:hint="eastAsia" w:asciiTheme="majorEastAsia" w:hAnsiTheme="majorEastAsia" w:eastAsiaTheme="majorEastAsia" w:cstheme="majorEastAsia"/>
              <w:color w:val="auto"/>
              <w:sz w:val="24"/>
              <w:szCs w:val="24"/>
            </w:rPr>
            <w:instrText xml:space="preserve">TOC \o "1-2" \h \u </w:instrText>
          </w:r>
          <w:r>
            <w:rPr>
              <w:rFonts w:hint="eastAsia" w:asciiTheme="majorEastAsia" w:hAnsiTheme="majorEastAsia" w:eastAsiaTheme="majorEastAsia" w:cstheme="majorEastAsia"/>
              <w:color w:val="auto"/>
              <w:sz w:val="24"/>
              <w:szCs w:val="24"/>
            </w:rPr>
            <w:fldChar w:fldCharType="separate"/>
          </w: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_Toc6676 </w:instrText>
          </w:r>
          <w:r>
            <w:rPr>
              <w:rFonts w:hint="eastAsia" w:asciiTheme="majorEastAsia" w:hAnsiTheme="majorEastAsia" w:eastAsiaTheme="majorEastAsia" w:cstheme="majorEastAsia"/>
              <w:color w:val="auto"/>
              <w:szCs w:val="24"/>
            </w:rPr>
            <w:fldChar w:fldCharType="separate"/>
          </w:r>
          <w:r>
            <w:rPr>
              <w:rFonts w:ascii="Times New Roman" w:hAnsi="Times New Roman" w:cs="Times New Roman"/>
              <w:color w:val="auto"/>
            </w:rPr>
            <w:t>1</w:t>
          </w:r>
          <w:r>
            <w:rPr>
              <w:rFonts w:ascii="Times New Roman" w:cs="Times New Roman" w:hAnsiTheme="minorEastAsia"/>
              <w:color w:val="auto"/>
            </w:rPr>
            <w:t>总则</w:t>
          </w:r>
          <w:r>
            <w:rPr>
              <w:color w:val="auto"/>
            </w:rPr>
            <w:tab/>
          </w:r>
          <w:r>
            <w:rPr>
              <w:color w:val="auto"/>
            </w:rPr>
            <w:fldChar w:fldCharType="begin"/>
          </w:r>
          <w:r>
            <w:rPr>
              <w:color w:val="auto"/>
            </w:rPr>
            <w:instrText xml:space="preserve"> PAGEREF _Toc6676 \h </w:instrText>
          </w:r>
          <w:r>
            <w:rPr>
              <w:color w:val="auto"/>
            </w:rPr>
            <w:fldChar w:fldCharType="separate"/>
          </w:r>
          <w:r>
            <w:rPr>
              <w:color w:val="auto"/>
            </w:rPr>
            <w:t>3</w:t>
          </w:r>
          <w:r>
            <w:rPr>
              <w:color w:val="auto"/>
            </w:rPr>
            <w:fldChar w:fldCharType="end"/>
          </w:r>
          <w:r>
            <w:rPr>
              <w:rFonts w:hint="eastAsia" w:asciiTheme="majorEastAsia" w:hAnsiTheme="majorEastAsia" w:eastAsiaTheme="majorEastAsia" w:cstheme="majorEastAsia"/>
              <w:color w:val="auto"/>
              <w:szCs w:val="24"/>
            </w:rPr>
            <w:fldChar w:fldCharType="end"/>
          </w:r>
        </w:p>
        <w:p w14:paraId="09A5D033">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_Toc31099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color w:val="auto"/>
            </w:rPr>
            <w:t>2</w:t>
          </w:r>
          <w:r>
            <w:rPr>
              <w:rFonts w:ascii="Times New Roman" w:hAnsi="Times New Roman" w:cs="Times New Roman"/>
              <w:color w:val="auto"/>
            </w:rPr>
            <w:t>术语</w:t>
          </w:r>
          <w:r>
            <w:rPr>
              <w:color w:val="auto"/>
            </w:rPr>
            <w:tab/>
          </w:r>
          <w:r>
            <w:rPr>
              <w:color w:val="auto"/>
            </w:rPr>
            <w:fldChar w:fldCharType="begin"/>
          </w:r>
          <w:r>
            <w:rPr>
              <w:color w:val="auto"/>
            </w:rPr>
            <w:instrText xml:space="preserve"> PAGEREF _Toc31099 \h </w:instrText>
          </w:r>
          <w:r>
            <w:rPr>
              <w:color w:val="auto"/>
            </w:rPr>
            <w:fldChar w:fldCharType="separate"/>
          </w:r>
          <w:r>
            <w:rPr>
              <w:color w:val="auto"/>
            </w:rPr>
            <w:t>3</w:t>
          </w:r>
          <w:r>
            <w:rPr>
              <w:color w:val="auto"/>
            </w:rPr>
            <w:fldChar w:fldCharType="end"/>
          </w:r>
          <w:r>
            <w:rPr>
              <w:rFonts w:hint="eastAsia" w:asciiTheme="majorEastAsia" w:hAnsiTheme="majorEastAsia" w:eastAsiaTheme="majorEastAsia" w:cstheme="majorEastAsia"/>
              <w:color w:val="auto"/>
              <w:szCs w:val="24"/>
            </w:rPr>
            <w:fldChar w:fldCharType="end"/>
          </w:r>
        </w:p>
        <w:p w14:paraId="182B91B8">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_Toc32509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color w:val="auto"/>
            </w:rPr>
            <w:t>3.基本规定</w:t>
          </w:r>
          <w:r>
            <w:rPr>
              <w:color w:val="auto"/>
            </w:rPr>
            <w:tab/>
          </w:r>
          <w:r>
            <w:rPr>
              <w:color w:val="auto"/>
            </w:rPr>
            <w:fldChar w:fldCharType="begin"/>
          </w:r>
          <w:r>
            <w:rPr>
              <w:color w:val="auto"/>
            </w:rPr>
            <w:instrText xml:space="preserve"> PAGEREF _Toc32509 \h </w:instrText>
          </w:r>
          <w:r>
            <w:rPr>
              <w:color w:val="auto"/>
            </w:rPr>
            <w:fldChar w:fldCharType="separate"/>
          </w:r>
          <w:r>
            <w:rPr>
              <w:color w:val="auto"/>
            </w:rPr>
            <w:t>5</w:t>
          </w:r>
          <w:r>
            <w:rPr>
              <w:color w:val="auto"/>
            </w:rPr>
            <w:fldChar w:fldCharType="end"/>
          </w:r>
          <w:r>
            <w:rPr>
              <w:rFonts w:hint="eastAsia" w:asciiTheme="majorEastAsia" w:hAnsiTheme="majorEastAsia" w:eastAsiaTheme="majorEastAsia" w:cstheme="majorEastAsia"/>
              <w:color w:val="auto"/>
              <w:szCs w:val="24"/>
            </w:rPr>
            <w:fldChar w:fldCharType="end"/>
          </w:r>
        </w:p>
        <w:p w14:paraId="34A6ECF6">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_Toc8004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color w:val="auto"/>
            </w:rPr>
            <w:t>4系统及其组成材料</w:t>
          </w:r>
          <w:r>
            <w:rPr>
              <w:color w:val="auto"/>
            </w:rPr>
            <w:tab/>
          </w:r>
          <w:r>
            <w:rPr>
              <w:color w:val="auto"/>
            </w:rPr>
            <w:fldChar w:fldCharType="begin"/>
          </w:r>
          <w:r>
            <w:rPr>
              <w:color w:val="auto"/>
            </w:rPr>
            <w:instrText xml:space="preserve"> PAGEREF _Toc8004 \h </w:instrText>
          </w:r>
          <w:r>
            <w:rPr>
              <w:color w:val="auto"/>
            </w:rPr>
            <w:fldChar w:fldCharType="separate"/>
          </w:r>
          <w:r>
            <w:rPr>
              <w:color w:val="auto"/>
            </w:rPr>
            <w:t>6</w:t>
          </w:r>
          <w:r>
            <w:rPr>
              <w:color w:val="auto"/>
            </w:rPr>
            <w:fldChar w:fldCharType="end"/>
          </w:r>
          <w:r>
            <w:rPr>
              <w:rFonts w:hint="eastAsia" w:asciiTheme="majorEastAsia" w:hAnsiTheme="majorEastAsia" w:eastAsiaTheme="majorEastAsia" w:cstheme="majorEastAsia"/>
              <w:color w:val="auto"/>
              <w:szCs w:val="24"/>
            </w:rPr>
            <w:fldChar w:fldCharType="end"/>
          </w:r>
        </w:p>
        <w:p w14:paraId="2CBD187A">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_Toc6201 </w:instrText>
          </w:r>
          <w:r>
            <w:rPr>
              <w:rFonts w:hint="eastAsia" w:asciiTheme="majorEastAsia" w:hAnsiTheme="majorEastAsia" w:eastAsiaTheme="majorEastAsia" w:cstheme="majorEastAsia"/>
              <w:color w:val="auto"/>
              <w:szCs w:val="24"/>
            </w:rPr>
            <w:fldChar w:fldCharType="separate"/>
          </w:r>
          <w:r>
            <w:rPr>
              <w:rFonts w:hint="eastAsia"/>
              <w:color w:val="auto"/>
            </w:rPr>
            <w:t>4.1  一般规定</w:t>
          </w:r>
          <w:r>
            <w:rPr>
              <w:color w:val="auto"/>
            </w:rPr>
            <w:tab/>
          </w:r>
          <w:r>
            <w:rPr>
              <w:color w:val="auto"/>
            </w:rPr>
            <w:fldChar w:fldCharType="begin"/>
          </w:r>
          <w:r>
            <w:rPr>
              <w:color w:val="auto"/>
            </w:rPr>
            <w:instrText xml:space="preserve"> PAGEREF _Toc6201 \h </w:instrText>
          </w:r>
          <w:r>
            <w:rPr>
              <w:color w:val="auto"/>
            </w:rPr>
            <w:fldChar w:fldCharType="separate"/>
          </w:r>
          <w:r>
            <w:rPr>
              <w:color w:val="auto"/>
            </w:rPr>
            <w:t>6</w:t>
          </w:r>
          <w:r>
            <w:rPr>
              <w:color w:val="auto"/>
            </w:rPr>
            <w:fldChar w:fldCharType="end"/>
          </w:r>
          <w:r>
            <w:rPr>
              <w:rFonts w:hint="eastAsia" w:asciiTheme="majorEastAsia" w:hAnsiTheme="majorEastAsia" w:eastAsiaTheme="majorEastAsia" w:cstheme="majorEastAsia"/>
              <w:color w:val="auto"/>
              <w:szCs w:val="24"/>
            </w:rPr>
            <w:fldChar w:fldCharType="end"/>
          </w:r>
        </w:p>
        <w:p w14:paraId="52665FAA">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_Toc7024 </w:instrText>
          </w:r>
          <w:r>
            <w:rPr>
              <w:rFonts w:hint="eastAsia" w:asciiTheme="majorEastAsia" w:hAnsiTheme="majorEastAsia" w:eastAsiaTheme="majorEastAsia" w:cstheme="majorEastAsia"/>
              <w:color w:val="auto"/>
              <w:szCs w:val="24"/>
            </w:rPr>
            <w:fldChar w:fldCharType="separate"/>
          </w:r>
          <w:r>
            <w:rPr>
              <w:rFonts w:hint="eastAsia"/>
              <w:color w:val="auto"/>
            </w:rPr>
            <w:t>4.2系统性能要求</w:t>
          </w:r>
          <w:r>
            <w:rPr>
              <w:color w:val="auto"/>
            </w:rPr>
            <w:tab/>
          </w:r>
          <w:r>
            <w:rPr>
              <w:color w:val="auto"/>
            </w:rPr>
            <w:fldChar w:fldCharType="begin"/>
          </w:r>
          <w:r>
            <w:rPr>
              <w:color w:val="auto"/>
            </w:rPr>
            <w:instrText xml:space="preserve"> PAGEREF _Toc7024 \h </w:instrText>
          </w:r>
          <w:r>
            <w:rPr>
              <w:color w:val="auto"/>
            </w:rPr>
            <w:fldChar w:fldCharType="separate"/>
          </w:r>
          <w:r>
            <w:rPr>
              <w:color w:val="auto"/>
            </w:rPr>
            <w:t>6</w:t>
          </w:r>
          <w:r>
            <w:rPr>
              <w:color w:val="auto"/>
            </w:rPr>
            <w:fldChar w:fldCharType="end"/>
          </w:r>
          <w:r>
            <w:rPr>
              <w:rFonts w:hint="eastAsia" w:asciiTheme="majorEastAsia" w:hAnsiTheme="majorEastAsia" w:eastAsiaTheme="majorEastAsia" w:cstheme="majorEastAsia"/>
              <w:color w:val="auto"/>
              <w:szCs w:val="24"/>
            </w:rPr>
            <w:fldChar w:fldCharType="end"/>
          </w:r>
        </w:p>
        <w:p w14:paraId="69A366C5">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_Toc5427 </w:instrText>
          </w:r>
          <w:r>
            <w:rPr>
              <w:rFonts w:hint="eastAsia" w:asciiTheme="majorEastAsia" w:hAnsiTheme="majorEastAsia" w:eastAsiaTheme="majorEastAsia" w:cstheme="majorEastAsia"/>
              <w:color w:val="auto"/>
              <w:szCs w:val="24"/>
            </w:rPr>
            <w:fldChar w:fldCharType="separate"/>
          </w:r>
          <w:r>
            <w:rPr>
              <w:rFonts w:hint="eastAsia"/>
              <w:color w:val="auto"/>
            </w:rPr>
            <w:t>4.3  保温免拆模板性能要求</w:t>
          </w:r>
          <w:r>
            <w:rPr>
              <w:color w:val="auto"/>
            </w:rPr>
            <w:tab/>
          </w:r>
          <w:r>
            <w:rPr>
              <w:color w:val="auto"/>
            </w:rPr>
            <w:fldChar w:fldCharType="begin"/>
          </w:r>
          <w:r>
            <w:rPr>
              <w:color w:val="auto"/>
            </w:rPr>
            <w:instrText xml:space="preserve"> PAGEREF _Toc5427 \h </w:instrText>
          </w:r>
          <w:r>
            <w:rPr>
              <w:color w:val="auto"/>
            </w:rPr>
            <w:fldChar w:fldCharType="separate"/>
          </w:r>
          <w:r>
            <w:rPr>
              <w:color w:val="auto"/>
            </w:rPr>
            <w:t>6</w:t>
          </w:r>
          <w:r>
            <w:rPr>
              <w:color w:val="auto"/>
            </w:rPr>
            <w:fldChar w:fldCharType="end"/>
          </w:r>
          <w:r>
            <w:rPr>
              <w:rFonts w:hint="eastAsia" w:asciiTheme="majorEastAsia" w:hAnsiTheme="majorEastAsia" w:eastAsiaTheme="majorEastAsia" w:cstheme="majorEastAsia"/>
              <w:color w:val="auto"/>
              <w:szCs w:val="24"/>
            </w:rPr>
            <w:fldChar w:fldCharType="end"/>
          </w:r>
        </w:p>
        <w:p w14:paraId="30C8D47F">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_Toc29856 </w:instrText>
          </w:r>
          <w:r>
            <w:rPr>
              <w:rFonts w:hint="eastAsia" w:asciiTheme="majorEastAsia" w:hAnsiTheme="majorEastAsia" w:eastAsiaTheme="majorEastAsia" w:cstheme="majorEastAsia"/>
              <w:color w:val="auto"/>
              <w:szCs w:val="24"/>
            </w:rPr>
            <w:fldChar w:fldCharType="separate"/>
          </w:r>
          <w:r>
            <w:rPr>
              <w:rFonts w:hint="eastAsia"/>
              <w:color w:val="auto"/>
            </w:rPr>
            <w:t>4.4保温免拆模板保温芯材性能要求</w:t>
          </w:r>
          <w:r>
            <w:rPr>
              <w:color w:val="auto"/>
            </w:rPr>
            <w:tab/>
          </w:r>
          <w:r>
            <w:rPr>
              <w:color w:val="auto"/>
            </w:rPr>
            <w:fldChar w:fldCharType="begin"/>
          </w:r>
          <w:r>
            <w:rPr>
              <w:color w:val="auto"/>
            </w:rPr>
            <w:instrText xml:space="preserve"> PAGEREF _Toc29856 \h </w:instrText>
          </w:r>
          <w:r>
            <w:rPr>
              <w:color w:val="auto"/>
            </w:rPr>
            <w:fldChar w:fldCharType="separate"/>
          </w:r>
          <w:r>
            <w:rPr>
              <w:color w:val="auto"/>
            </w:rPr>
            <w:t>8</w:t>
          </w:r>
          <w:r>
            <w:rPr>
              <w:color w:val="auto"/>
            </w:rPr>
            <w:fldChar w:fldCharType="end"/>
          </w:r>
          <w:r>
            <w:rPr>
              <w:rFonts w:hint="eastAsia" w:asciiTheme="majorEastAsia" w:hAnsiTheme="majorEastAsia" w:eastAsiaTheme="majorEastAsia" w:cstheme="majorEastAsia"/>
              <w:color w:val="auto"/>
              <w:szCs w:val="24"/>
            </w:rPr>
            <w:fldChar w:fldCharType="end"/>
          </w:r>
        </w:p>
        <w:p w14:paraId="3E136FEC">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_Toc11114 </w:instrText>
          </w:r>
          <w:r>
            <w:rPr>
              <w:rFonts w:hint="eastAsia" w:asciiTheme="majorEastAsia" w:hAnsiTheme="majorEastAsia" w:eastAsiaTheme="majorEastAsia" w:cstheme="majorEastAsia"/>
              <w:color w:val="auto"/>
              <w:szCs w:val="24"/>
            </w:rPr>
            <w:fldChar w:fldCharType="separate"/>
          </w:r>
          <w:r>
            <w:rPr>
              <w:rFonts w:hint="eastAsia"/>
              <w:color w:val="auto"/>
            </w:rPr>
            <w:t>4.5 配套材料技术要求</w:t>
          </w:r>
          <w:r>
            <w:rPr>
              <w:color w:val="auto"/>
            </w:rPr>
            <w:tab/>
          </w:r>
          <w:r>
            <w:rPr>
              <w:color w:val="auto"/>
            </w:rPr>
            <w:fldChar w:fldCharType="begin"/>
          </w:r>
          <w:r>
            <w:rPr>
              <w:color w:val="auto"/>
            </w:rPr>
            <w:instrText xml:space="preserve"> PAGEREF _Toc11114 \h </w:instrText>
          </w:r>
          <w:r>
            <w:rPr>
              <w:color w:val="auto"/>
            </w:rPr>
            <w:fldChar w:fldCharType="separate"/>
          </w:r>
          <w:r>
            <w:rPr>
              <w:color w:val="auto"/>
            </w:rPr>
            <w:t>9</w:t>
          </w:r>
          <w:r>
            <w:rPr>
              <w:color w:val="auto"/>
            </w:rPr>
            <w:fldChar w:fldCharType="end"/>
          </w:r>
          <w:r>
            <w:rPr>
              <w:rFonts w:hint="eastAsia" w:asciiTheme="majorEastAsia" w:hAnsiTheme="majorEastAsia" w:eastAsiaTheme="majorEastAsia" w:cstheme="majorEastAsia"/>
              <w:color w:val="auto"/>
              <w:szCs w:val="24"/>
            </w:rPr>
            <w:fldChar w:fldCharType="end"/>
          </w:r>
        </w:p>
        <w:p w14:paraId="609E3A18">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_Toc5706 </w:instrText>
          </w:r>
          <w:r>
            <w:rPr>
              <w:rFonts w:hint="eastAsia" w:asciiTheme="majorEastAsia" w:hAnsiTheme="majorEastAsia" w:eastAsiaTheme="majorEastAsia" w:cstheme="majorEastAsia"/>
              <w:color w:val="auto"/>
              <w:szCs w:val="24"/>
            </w:rPr>
            <w:fldChar w:fldCharType="separate"/>
          </w:r>
          <w:r>
            <w:rPr>
              <w:rFonts w:hint="eastAsia"/>
              <w:color w:val="auto"/>
            </w:rPr>
            <w:t>5.1一般规定</w:t>
          </w:r>
          <w:r>
            <w:rPr>
              <w:color w:val="auto"/>
            </w:rPr>
            <w:tab/>
          </w:r>
          <w:r>
            <w:rPr>
              <w:color w:val="auto"/>
            </w:rPr>
            <w:fldChar w:fldCharType="begin"/>
          </w:r>
          <w:r>
            <w:rPr>
              <w:color w:val="auto"/>
            </w:rPr>
            <w:instrText xml:space="preserve"> PAGEREF _Toc5706 \h </w:instrText>
          </w:r>
          <w:r>
            <w:rPr>
              <w:color w:val="auto"/>
            </w:rPr>
            <w:fldChar w:fldCharType="separate"/>
          </w:r>
          <w:r>
            <w:rPr>
              <w:color w:val="auto"/>
            </w:rPr>
            <w:t>12</w:t>
          </w:r>
          <w:r>
            <w:rPr>
              <w:color w:val="auto"/>
            </w:rPr>
            <w:fldChar w:fldCharType="end"/>
          </w:r>
          <w:r>
            <w:rPr>
              <w:rFonts w:hint="eastAsia" w:asciiTheme="majorEastAsia" w:hAnsiTheme="majorEastAsia" w:eastAsiaTheme="majorEastAsia" w:cstheme="majorEastAsia"/>
              <w:color w:val="auto"/>
              <w:szCs w:val="24"/>
            </w:rPr>
            <w:fldChar w:fldCharType="end"/>
          </w:r>
        </w:p>
        <w:p w14:paraId="4B01FBD6">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_Toc15523 </w:instrText>
          </w:r>
          <w:r>
            <w:rPr>
              <w:rFonts w:hint="eastAsia" w:asciiTheme="majorEastAsia" w:hAnsiTheme="majorEastAsia" w:eastAsiaTheme="majorEastAsia" w:cstheme="majorEastAsia"/>
              <w:color w:val="auto"/>
              <w:szCs w:val="24"/>
            </w:rPr>
            <w:fldChar w:fldCharType="separate"/>
          </w:r>
          <w:r>
            <w:rPr>
              <w:rFonts w:hint="eastAsia"/>
              <w:color w:val="auto"/>
            </w:rPr>
            <w:t>5.2热工设计</w:t>
          </w:r>
          <w:r>
            <w:rPr>
              <w:color w:val="auto"/>
            </w:rPr>
            <w:tab/>
          </w:r>
          <w:r>
            <w:rPr>
              <w:color w:val="auto"/>
            </w:rPr>
            <w:fldChar w:fldCharType="begin"/>
          </w:r>
          <w:r>
            <w:rPr>
              <w:color w:val="auto"/>
            </w:rPr>
            <w:instrText xml:space="preserve"> PAGEREF _Toc15523 \h </w:instrText>
          </w:r>
          <w:r>
            <w:rPr>
              <w:color w:val="auto"/>
            </w:rPr>
            <w:fldChar w:fldCharType="separate"/>
          </w:r>
          <w:r>
            <w:rPr>
              <w:color w:val="auto"/>
            </w:rPr>
            <w:t>13</w:t>
          </w:r>
          <w:r>
            <w:rPr>
              <w:color w:val="auto"/>
            </w:rPr>
            <w:fldChar w:fldCharType="end"/>
          </w:r>
          <w:r>
            <w:rPr>
              <w:rFonts w:hint="eastAsia" w:asciiTheme="majorEastAsia" w:hAnsiTheme="majorEastAsia" w:eastAsiaTheme="majorEastAsia" w:cstheme="majorEastAsia"/>
              <w:color w:val="auto"/>
              <w:szCs w:val="24"/>
            </w:rPr>
            <w:fldChar w:fldCharType="end"/>
          </w:r>
        </w:p>
        <w:p w14:paraId="28385566">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_Toc5792 </w:instrText>
          </w:r>
          <w:r>
            <w:rPr>
              <w:rFonts w:hint="eastAsia" w:asciiTheme="majorEastAsia" w:hAnsiTheme="majorEastAsia" w:eastAsiaTheme="majorEastAsia" w:cstheme="majorEastAsia"/>
              <w:color w:val="auto"/>
              <w:szCs w:val="24"/>
            </w:rPr>
            <w:fldChar w:fldCharType="separate"/>
          </w:r>
          <w:r>
            <w:rPr>
              <w:rFonts w:hint="eastAsia"/>
              <w:color w:val="auto"/>
            </w:rPr>
            <w:t>5.3设计与构造</w:t>
          </w:r>
          <w:r>
            <w:rPr>
              <w:color w:val="auto"/>
            </w:rPr>
            <w:tab/>
          </w:r>
          <w:r>
            <w:rPr>
              <w:color w:val="auto"/>
            </w:rPr>
            <w:fldChar w:fldCharType="begin"/>
          </w:r>
          <w:r>
            <w:rPr>
              <w:color w:val="auto"/>
            </w:rPr>
            <w:instrText xml:space="preserve"> PAGEREF _Toc5792 \h </w:instrText>
          </w:r>
          <w:r>
            <w:rPr>
              <w:color w:val="auto"/>
            </w:rPr>
            <w:fldChar w:fldCharType="separate"/>
          </w:r>
          <w:r>
            <w:rPr>
              <w:color w:val="auto"/>
            </w:rPr>
            <w:t>14</w:t>
          </w:r>
          <w:r>
            <w:rPr>
              <w:color w:val="auto"/>
            </w:rPr>
            <w:fldChar w:fldCharType="end"/>
          </w:r>
          <w:r>
            <w:rPr>
              <w:rFonts w:hint="eastAsia" w:asciiTheme="majorEastAsia" w:hAnsiTheme="majorEastAsia" w:eastAsiaTheme="majorEastAsia" w:cstheme="majorEastAsia"/>
              <w:color w:val="auto"/>
              <w:szCs w:val="24"/>
            </w:rPr>
            <w:fldChar w:fldCharType="end"/>
          </w:r>
        </w:p>
        <w:p w14:paraId="71D17E2C">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_Toc23486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color w:val="auto"/>
            </w:rPr>
            <w:t>6 模板设计与计算</w:t>
          </w:r>
          <w:r>
            <w:rPr>
              <w:color w:val="auto"/>
            </w:rPr>
            <w:tab/>
          </w:r>
          <w:r>
            <w:rPr>
              <w:color w:val="auto"/>
            </w:rPr>
            <w:fldChar w:fldCharType="begin"/>
          </w:r>
          <w:r>
            <w:rPr>
              <w:color w:val="auto"/>
            </w:rPr>
            <w:instrText xml:space="preserve"> PAGEREF _Toc23486 \h </w:instrText>
          </w:r>
          <w:r>
            <w:rPr>
              <w:color w:val="auto"/>
            </w:rPr>
            <w:fldChar w:fldCharType="separate"/>
          </w:r>
          <w:r>
            <w:rPr>
              <w:color w:val="auto"/>
            </w:rPr>
            <w:t>23</w:t>
          </w:r>
          <w:r>
            <w:rPr>
              <w:color w:val="auto"/>
            </w:rPr>
            <w:fldChar w:fldCharType="end"/>
          </w:r>
          <w:r>
            <w:rPr>
              <w:rFonts w:hint="eastAsia" w:asciiTheme="majorEastAsia" w:hAnsiTheme="majorEastAsia" w:eastAsiaTheme="majorEastAsia" w:cstheme="majorEastAsia"/>
              <w:color w:val="auto"/>
              <w:szCs w:val="24"/>
            </w:rPr>
            <w:fldChar w:fldCharType="end"/>
          </w:r>
        </w:p>
        <w:p w14:paraId="4E213F69">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_Toc9363 </w:instrText>
          </w:r>
          <w:r>
            <w:rPr>
              <w:rFonts w:hint="eastAsia" w:asciiTheme="majorEastAsia" w:hAnsiTheme="majorEastAsia" w:eastAsiaTheme="majorEastAsia" w:cstheme="majorEastAsia"/>
              <w:color w:val="auto"/>
              <w:szCs w:val="24"/>
            </w:rPr>
            <w:fldChar w:fldCharType="separate"/>
          </w:r>
          <w:r>
            <w:rPr>
              <w:rFonts w:hint="eastAsia"/>
              <w:color w:val="auto"/>
            </w:rPr>
            <w:t>6.1模板设计</w:t>
          </w:r>
          <w:r>
            <w:rPr>
              <w:color w:val="auto"/>
            </w:rPr>
            <w:tab/>
          </w:r>
          <w:r>
            <w:rPr>
              <w:color w:val="auto"/>
            </w:rPr>
            <w:fldChar w:fldCharType="begin"/>
          </w:r>
          <w:r>
            <w:rPr>
              <w:color w:val="auto"/>
            </w:rPr>
            <w:instrText xml:space="preserve"> PAGEREF _Toc9363 \h </w:instrText>
          </w:r>
          <w:r>
            <w:rPr>
              <w:color w:val="auto"/>
            </w:rPr>
            <w:fldChar w:fldCharType="separate"/>
          </w:r>
          <w:r>
            <w:rPr>
              <w:color w:val="auto"/>
            </w:rPr>
            <w:t>23</w:t>
          </w:r>
          <w:r>
            <w:rPr>
              <w:color w:val="auto"/>
            </w:rPr>
            <w:fldChar w:fldCharType="end"/>
          </w:r>
          <w:r>
            <w:rPr>
              <w:rFonts w:hint="eastAsia" w:asciiTheme="majorEastAsia" w:hAnsiTheme="majorEastAsia" w:eastAsiaTheme="majorEastAsia" w:cstheme="majorEastAsia"/>
              <w:color w:val="auto"/>
              <w:szCs w:val="24"/>
            </w:rPr>
            <w:fldChar w:fldCharType="end"/>
          </w:r>
        </w:p>
        <w:p w14:paraId="4FB8FC94">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_Toc3382 </w:instrText>
          </w:r>
          <w:r>
            <w:rPr>
              <w:rFonts w:hint="eastAsia" w:asciiTheme="majorEastAsia" w:hAnsiTheme="majorEastAsia" w:eastAsiaTheme="majorEastAsia" w:cstheme="majorEastAsia"/>
              <w:color w:val="auto"/>
              <w:szCs w:val="24"/>
            </w:rPr>
            <w:fldChar w:fldCharType="separate"/>
          </w:r>
          <w:r>
            <w:rPr>
              <w:rFonts w:hint="eastAsia"/>
              <w:color w:val="auto"/>
            </w:rPr>
            <w:t>6.2 模板计算</w:t>
          </w:r>
          <w:r>
            <w:rPr>
              <w:color w:val="auto"/>
            </w:rPr>
            <w:tab/>
          </w:r>
          <w:r>
            <w:rPr>
              <w:color w:val="auto"/>
            </w:rPr>
            <w:fldChar w:fldCharType="begin"/>
          </w:r>
          <w:r>
            <w:rPr>
              <w:color w:val="auto"/>
            </w:rPr>
            <w:instrText xml:space="preserve"> PAGEREF _Toc3382 \h </w:instrText>
          </w:r>
          <w:r>
            <w:rPr>
              <w:color w:val="auto"/>
            </w:rPr>
            <w:fldChar w:fldCharType="separate"/>
          </w:r>
          <w:r>
            <w:rPr>
              <w:color w:val="auto"/>
            </w:rPr>
            <w:t>26</w:t>
          </w:r>
          <w:r>
            <w:rPr>
              <w:color w:val="auto"/>
            </w:rPr>
            <w:fldChar w:fldCharType="end"/>
          </w:r>
          <w:r>
            <w:rPr>
              <w:rFonts w:hint="eastAsia" w:asciiTheme="majorEastAsia" w:hAnsiTheme="majorEastAsia" w:eastAsiaTheme="majorEastAsia" w:cstheme="majorEastAsia"/>
              <w:color w:val="auto"/>
              <w:szCs w:val="24"/>
            </w:rPr>
            <w:fldChar w:fldCharType="end"/>
          </w:r>
        </w:p>
        <w:p w14:paraId="1D712992">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_Toc9941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color w:val="auto"/>
            </w:rPr>
            <w:t>7施工</w:t>
          </w:r>
          <w:r>
            <w:rPr>
              <w:color w:val="auto"/>
            </w:rPr>
            <w:tab/>
          </w:r>
          <w:r>
            <w:rPr>
              <w:color w:val="auto"/>
            </w:rPr>
            <w:fldChar w:fldCharType="begin"/>
          </w:r>
          <w:r>
            <w:rPr>
              <w:color w:val="auto"/>
            </w:rPr>
            <w:instrText xml:space="preserve"> PAGEREF _Toc9941 \h </w:instrText>
          </w:r>
          <w:r>
            <w:rPr>
              <w:color w:val="auto"/>
            </w:rPr>
            <w:fldChar w:fldCharType="separate"/>
          </w:r>
          <w:r>
            <w:rPr>
              <w:color w:val="auto"/>
            </w:rPr>
            <w:t>32</w:t>
          </w:r>
          <w:r>
            <w:rPr>
              <w:color w:val="auto"/>
            </w:rPr>
            <w:fldChar w:fldCharType="end"/>
          </w:r>
          <w:r>
            <w:rPr>
              <w:rFonts w:hint="eastAsia" w:asciiTheme="majorEastAsia" w:hAnsiTheme="majorEastAsia" w:eastAsiaTheme="majorEastAsia" w:cstheme="majorEastAsia"/>
              <w:color w:val="auto"/>
              <w:szCs w:val="24"/>
            </w:rPr>
            <w:fldChar w:fldCharType="end"/>
          </w:r>
        </w:p>
        <w:p w14:paraId="299FB00A">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_Toc18576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eastAsiaTheme="minorEastAsia"/>
              <w:color w:val="auto"/>
            </w:rPr>
            <w:t>7.1 一般规定</w:t>
          </w:r>
          <w:r>
            <w:rPr>
              <w:color w:val="auto"/>
            </w:rPr>
            <w:tab/>
          </w:r>
          <w:r>
            <w:rPr>
              <w:color w:val="auto"/>
            </w:rPr>
            <w:fldChar w:fldCharType="begin"/>
          </w:r>
          <w:r>
            <w:rPr>
              <w:color w:val="auto"/>
            </w:rPr>
            <w:instrText xml:space="preserve"> PAGEREF _Toc18576 \h </w:instrText>
          </w:r>
          <w:r>
            <w:rPr>
              <w:color w:val="auto"/>
            </w:rPr>
            <w:fldChar w:fldCharType="separate"/>
          </w:r>
          <w:r>
            <w:rPr>
              <w:color w:val="auto"/>
            </w:rPr>
            <w:t>32</w:t>
          </w:r>
          <w:r>
            <w:rPr>
              <w:color w:val="auto"/>
            </w:rPr>
            <w:fldChar w:fldCharType="end"/>
          </w:r>
          <w:r>
            <w:rPr>
              <w:rFonts w:hint="eastAsia" w:asciiTheme="majorEastAsia" w:hAnsiTheme="majorEastAsia" w:eastAsiaTheme="majorEastAsia" w:cstheme="majorEastAsia"/>
              <w:color w:val="auto"/>
              <w:szCs w:val="24"/>
            </w:rPr>
            <w:fldChar w:fldCharType="end"/>
          </w:r>
        </w:p>
        <w:p w14:paraId="3896B0B6">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_Toc7181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eastAsiaTheme="minorEastAsia"/>
              <w:color w:val="auto"/>
            </w:rPr>
            <w:t>7.2 进场验收</w:t>
          </w:r>
          <w:r>
            <w:rPr>
              <w:color w:val="auto"/>
            </w:rPr>
            <w:tab/>
          </w:r>
          <w:r>
            <w:rPr>
              <w:color w:val="auto"/>
            </w:rPr>
            <w:fldChar w:fldCharType="begin"/>
          </w:r>
          <w:r>
            <w:rPr>
              <w:color w:val="auto"/>
            </w:rPr>
            <w:instrText xml:space="preserve"> PAGEREF _Toc7181 \h </w:instrText>
          </w:r>
          <w:r>
            <w:rPr>
              <w:color w:val="auto"/>
            </w:rPr>
            <w:fldChar w:fldCharType="separate"/>
          </w:r>
          <w:r>
            <w:rPr>
              <w:color w:val="auto"/>
            </w:rPr>
            <w:t>32</w:t>
          </w:r>
          <w:r>
            <w:rPr>
              <w:color w:val="auto"/>
            </w:rPr>
            <w:fldChar w:fldCharType="end"/>
          </w:r>
          <w:r>
            <w:rPr>
              <w:rFonts w:hint="eastAsia" w:asciiTheme="majorEastAsia" w:hAnsiTheme="majorEastAsia" w:eastAsiaTheme="majorEastAsia" w:cstheme="majorEastAsia"/>
              <w:color w:val="auto"/>
              <w:szCs w:val="24"/>
            </w:rPr>
            <w:fldChar w:fldCharType="end"/>
          </w:r>
        </w:p>
        <w:p w14:paraId="3BD41F94">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_Toc10814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eastAsiaTheme="minorEastAsia"/>
              <w:color w:val="auto"/>
            </w:rPr>
            <w:t>7.3 模板施工</w:t>
          </w:r>
          <w:r>
            <w:rPr>
              <w:color w:val="auto"/>
            </w:rPr>
            <w:tab/>
          </w:r>
          <w:r>
            <w:rPr>
              <w:color w:val="auto"/>
            </w:rPr>
            <w:fldChar w:fldCharType="begin"/>
          </w:r>
          <w:r>
            <w:rPr>
              <w:color w:val="auto"/>
            </w:rPr>
            <w:instrText xml:space="preserve"> PAGEREF _Toc10814 \h </w:instrText>
          </w:r>
          <w:r>
            <w:rPr>
              <w:color w:val="auto"/>
            </w:rPr>
            <w:fldChar w:fldCharType="separate"/>
          </w:r>
          <w:r>
            <w:rPr>
              <w:color w:val="auto"/>
            </w:rPr>
            <w:t>33</w:t>
          </w:r>
          <w:r>
            <w:rPr>
              <w:color w:val="auto"/>
            </w:rPr>
            <w:fldChar w:fldCharType="end"/>
          </w:r>
          <w:r>
            <w:rPr>
              <w:rFonts w:hint="eastAsia" w:asciiTheme="majorEastAsia" w:hAnsiTheme="majorEastAsia" w:eastAsiaTheme="majorEastAsia" w:cstheme="majorEastAsia"/>
              <w:color w:val="auto"/>
              <w:szCs w:val="24"/>
            </w:rPr>
            <w:fldChar w:fldCharType="end"/>
          </w:r>
        </w:p>
        <w:p w14:paraId="2EEC73F4">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_Toc3486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color w:val="auto"/>
            </w:rPr>
            <w:t>8验收</w:t>
          </w:r>
          <w:r>
            <w:rPr>
              <w:color w:val="auto"/>
            </w:rPr>
            <w:tab/>
          </w:r>
          <w:r>
            <w:rPr>
              <w:color w:val="auto"/>
            </w:rPr>
            <w:fldChar w:fldCharType="begin"/>
          </w:r>
          <w:r>
            <w:rPr>
              <w:color w:val="auto"/>
            </w:rPr>
            <w:instrText xml:space="preserve"> PAGEREF _Toc3486 \h </w:instrText>
          </w:r>
          <w:r>
            <w:rPr>
              <w:color w:val="auto"/>
            </w:rPr>
            <w:fldChar w:fldCharType="separate"/>
          </w:r>
          <w:r>
            <w:rPr>
              <w:color w:val="auto"/>
            </w:rPr>
            <w:t>36</w:t>
          </w:r>
          <w:r>
            <w:rPr>
              <w:color w:val="auto"/>
            </w:rPr>
            <w:fldChar w:fldCharType="end"/>
          </w:r>
          <w:r>
            <w:rPr>
              <w:rFonts w:hint="eastAsia" w:asciiTheme="majorEastAsia" w:hAnsiTheme="majorEastAsia" w:eastAsiaTheme="majorEastAsia" w:cstheme="majorEastAsia"/>
              <w:color w:val="auto"/>
              <w:szCs w:val="24"/>
            </w:rPr>
            <w:fldChar w:fldCharType="end"/>
          </w:r>
        </w:p>
        <w:p w14:paraId="2E4217A8">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_Toc466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eastAsiaTheme="minorEastAsia"/>
              <w:color w:val="auto"/>
            </w:rPr>
            <w:t>8.1一般规定</w:t>
          </w:r>
          <w:r>
            <w:rPr>
              <w:color w:val="auto"/>
            </w:rPr>
            <w:tab/>
          </w:r>
          <w:r>
            <w:rPr>
              <w:color w:val="auto"/>
            </w:rPr>
            <w:fldChar w:fldCharType="begin"/>
          </w:r>
          <w:r>
            <w:rPr>
              <w:color w:val="auto"/>
            </w:rPr>
            <w:instrText xml:space="preserve"> PAGEREF _Toc466 \h </w:instrText>
          </w:r>
          <w:r>
            <w:rPr>
              <w:color w:val="auto"/>
            </w:rPr>
            <w:fldChar w:fldCharType="separate"/>
          </w:r>
          <w:r>
            <w:rPr>
              <w:color w:val="auto"/>
            </w:rPr>
            <w:t>36</w:t>
          </w:r>
          <w:r>
            <w:rPr>
              <w:color w:val="auto"/>
            </w:rPr>
            <w:fldChar w:fldCharType="end"/>
          </w:r>
          <w:r>
            <w:rPr>
              <w:rFonts w:hint="eastAsia" w:asciiTheme="majorEastAsia" w:hAnsiTheme="majorEastAsia" w:eastAsiaTheme="majorEastAsia" w:cstheme="majorEastAsia"/>
              <w:color w:val="auto"/>
              <w:szCs w:val="24"/>
            </w:rPr>
            <w:fldChar w:fldCharType="end"/>
          </w:r>
        </w:p>
        <w:p w14:paraId="33264EE0">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_Toc12718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eastAsiaTheme="minorEastAsia"/>
              <w:color w:val="auto"/>
            </w:rPr>
            <w:t>8.2  保温免拆模板安装工程</w:t>
          </w:r>
          <w:r>
            <w:rPr>
              <w:color w:val="auto"/>
            </w:rPr>
            <w:tab/>
          </w:r>
          <w:r>
            <w:rPr>
              <w:color w:val="auto"/>
            </w:rPr>
            <w:fldChar w:fldCharType="begin"/>
          </w:r>
          <w:r>
            <w:rPr>
              <w:color w:val="auto"/>
            </w:rPr>
            <w:instrText xml:space="preserve"> PAGEREF _Toc12718 \h </w:instrText>
          </w:r>
          <w:r>
            <w:rPr>
              <w:color w:val="auto"/>
            </w:rPr>
            <w:fldChar w:fldCharType="separate"/>
          </w:r>
          <w:r>
            <w:rPr>
              <w:color w:val="auto"/>
            </w:rPr>
            <w:t>36</w:t>
          </w:r>
          <w:r>
            <w:rPr>
              <w:color w:val="auto"/>
            </w:rPr>
            <w:fldChar w:fldCharType="end"/>
          </w:r>
          <w:r>
            <w:rPr>
              <w:rFonts w:hint="eastAsia" w:asciiTheme="majorEastAsia" w:hAnsiTheme="majorEastAsia" w:eastAsiaTheme="majorEastAsia" w:cstheme="majorEastAsia"/>
              <w:color w:val="auto"/>
              <w:szCs w:val="24"/>
            </w:rPr>
            <w:fldChar w:fldCharType="end"/>
          </w:r>
        </w:p>
        <w:p w14:paraId="2775FDBE">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_Toc1637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eastAsiaTheme="minorEastAsia"/>
              <w:color w:val="auto"/>
            </w:rPr>
            <w:t>8.3  保温免拆模板系统节能工程</w:t>
          </w:r>
          <w:r>
            <w:rPr>
              <w:color w:val="auto"/>
            </w:rPr>
            <w:tab/>
          </w:r>
          <w:r>
            <w:rPr>
              <w:color w:val="auto"/>
            </w:rPr>
            <w:fldChar w:fldCharType="begin"/>
          </w:r>
          <w:r>
            <w:rPr>
              <w:color w:val="auto"/>
            </w:rPr>
            <w:instrText xml:space="preserve"> PAGEREF _Toc1637 \h </w:instrText>
          </w:r>
          <w:r>
            <w:rPr>
              <w:color w:val="auto"/>
            </w:rPr>
            <w:fldChar w:fldCharType="separate"/>
          </w:r>
          <w:r>
            <w:rPr>
              <w:color w:val="auto"/>
            </w:rPr>
            <w:t>38</w:t>
          </w:r>
          <w:r>
            <w:rPr>
              <w:color w:val="auto"/>
            </w:rPr>
            <w:fldChar w:fldCharType="end"/>
          </w:r>
          <w:r>
            <w:rPr>
              <w:rFonts w:hint="eastAsia" w:asciiTheme="majorEastAsia" w:hAnsiTheme="majorEastAsia" w:eastAsiaTheme="majorEastAsia" w:cstheme="majorEastAsia"/>
              <w:color w:val="auto"/>
              <w:szCs w:val="24"/>
            </w:rPr>
            <w:fldChar w:fldCharType="end"/>
          </w:r>
        </w:p>
        <w:p w14:paraId="76C4E2CC">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_Toc32332 </w:instrText>
          </w:r>
          <w:r>
            <w:rPr>
              <w:rFonts w:hint="eastAsia" w:asciiTheme="majorEastAsia" w:hAnsiTheme="majorEastAsia" w:eastAsiaTheme="majorEastAsia" w:cstheme="majorEastAsia"/>
              <w:color w:val="auto"/>
              <w:szCs w:val="24"/>
            </w:rPr>
            <w:fldChar w:fldCharType="separate"/>
          </w:r>
          <w:r>
            <w:rPr>
              <w:rFonts w:hint="eastAsia"/>
              <w:color w:val="auto"/>
            </w:rPr>
            <w:t>附录A模板用材设计指标</w:t>
          </w:r>
          <w:r>
            <w:rPr>
              <w:color w:val="auto"/>
            </w:rPr>
            <w:tab/>
          </w:r>
          <w:r>
            <w:rPr>
              <w:color w:val="auto"/>
            </w:rPr>
            <w:fldChar w:fldCharType="begin"/>
          </w:r>
          <w:r>
            <w:rPr>
              <w:color w:val="auto"/>
            </w:rPr>
            <w:instrText xml:space="preserve"> PAGEREF _Toc32332 \h </w:instrText>
          </w:r>
          <w:r>
            <w:rPr>
              <w:color w:val="auto"/>
            </w:rPr>
            <w:fldChar w:fldCharType="separate"/>
          </w:r>
          <w:r>
            <w:rPr>
              <w:color w:val="auto"/>
            </w:rPr>
            <w:t>40</w:t>
          </w:r>
          <w:r>
            <w:rPr>
              <w:color w:val="auto"/>
            </w:rPr>
            <w:fldChar w:fldCharType="end"/>
          </w:r>
          <w:r>
            <w:rPr>
              <w:rFonts w:hint="eastAsia" w:asciiTheme="majorEastAsia" w:hAnsiTheme="majorEastAsia" w:eastAsiaTheme="majorEastAsia" w:cstheme="majorEastAsia"/>
              <w:color w:val="auto"/>
              <w:szCs w:val="24"/>
            </w:rPr>
            <w:fldChar w:fldCharType="end"/>
          </w:r>
        </w:p>
        <w:p w14:paraId="32C41631">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_Toc2979 </w:instrText>
          </w:r>
          <w:r>
            <w:rPr>
              <w:rFonts w:hint="eastAsia" w:asciiTheme="majorEastAsia" w:hAnsiTheme="majorEastAsia" w:eastAsiaTheme="majorEastAsia" w:cstheme="majorEastAsia"/>
              <w:color w:val="auto"/>
              <w:szCs w:val="24"/>
            </w:rPr>
            <w:fldChar w:fldCharType="separate"/>
          </w:r>
          <w:r>
            <w:rPr>
              <w:rFonts w:hint="eastAsia"/>
              <w:color w:val="auto"/>
            </w:rPr>
            <w:t>A</w:t>
          </w:r>
          <w:r>
            <w:rPr>
              <w:color w:val="auto"/>
            </w:rPr>
            <w:t xml:space="preserve">.1  </w:t>
          </w:r>
          <w:r>
            <w:rPr>
              <w:rFonts w:hint="eastAsia"/>
              <w:color w:val="auto"/>
            </w:rPr>
            <w:t>钢材设计指标</w:t>
          </w:r>
          <w:r>
            <w:rPr>
              <w:color w:val="auto"/>
            </w:rPr>
            <w:tab/>
          </w:r>
          <w:r>
            <w:rPr>
              <w:color w:val="auto"/>
            </w:rPr>
            <w:fldChar w:fldCharType="begin"/>
          </w:r>
          <w:r>
            <w:rPr>
              <w:color w:val="auto"/>
            </w:rPr>
            <w:instrText xml:space="preserve"> PAGEREF _Toc2979 \h </w:instrText>
          </w:r>
          <w:r>
            <w:rPr>
              <w:color w:val="auto"/>
            </w:rPr>
            <w:fldChar w:fldCharType="separate"/>
          </w:r>
          <w:r>
            <w:rPr>
              <w:color w:val="auto"/>
            </w:rPr>
            <w:t>40</w:t>
          </w:r>
          <w:r>
            <w:rPr>
              <w:color w:val="auto"/>
            </w:rPr>
            <w:fldChar w:fldCharType="end"/>
          </w:r>
          <w:r>
            <w:rPr>
              <w:rFonts w:hint="eastAsia" w:asciiTheme="majorEastAsia" w:hAnsiTheme="majorEastAsia" w:eastAsiaTheme="majorEastAsia" w:cstheme="majorEastAsia"/>
              <w:color w:val="auto"/>
              <w:szCs w:val="24"/>
            </w:rPr>
            <w:fldChar w:fldCharType="end"/>
          </w:r>
        </w:p>
        <w:p w14:paraId="5045A264">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_Toc16105 </w:instrText>
          </w:r>
          <w:r>
            <w:rPr>
              <w:rFonts w:hint="eastAsia" w:asciiTheme="majorEastAsia" w:hAnsiTheme="majorEastAsia" w:eastAsiaTheme="majorEastAsia" w:cstheme="majorEastAsia"/>
              <w:color w:val="auto"/>
              <w:szCs w:val="24"/>
            </w:rPr>
            <w:fldChar w:fldCharType="separate"/>
          </w:r>
          <w:r>
            <w:rPr>
              <w:rFonts w:hint="eastAsia"/>
              <w:color w:val="auto"/>
            </w:rPr>
            <w:t>A</w:t>
          </w:r>
          <w:r>
            <w:rPr>
              <w:color w:val="auto"/>
            </w:rPr>
            <w:t xml:space="preserve">.2  </w:t>
          </w:r>
          <w:r>
            <w:rPr>
              <w:rFonts w:hint="eastAsia"/>
              <w:color w:val="auto"/>
            </w:rPr>
            <w:t>木材设计指标</w:t>
          </w:r>
          <w:r>
            <w:rPr>
              <w:color w:val="auto"/>
            </w:rPr>
            <w:tab/>
          </w:r>
          <w:r>
            <w:rPr>
              <w:color w:val="auto"/>
            </w:rPr>
            <w:fldChar w:fldCharType="begin"/>
          </w:r>
          <w:r>
            <w:rPr>
              <w:color w:val="auto"/>
            </w:rPr>
            <w:instrText xml:space="preserve"> PAGEREF _Toc16105 \h </w:instrText>
          </w:r>
          <w:r>
            <w:rPr>
              <w:color w:val="auto"/>
            </w:rPr>
            <w:fldChar w:fldCharType="separate"/>
          </w:r>
          <w:r>
            <w:rPr>
              <w:color w:val="auto"/>
            </w:rPr>
            <w:t>40</w:t>
          </w:r>
          <w:r>
            <w:rPr>
              <w:color w:val="auto"/>
            </w:rPr>
            <w:fldChar w:fldCharType="end"/>
          </w:r>
          <w:r>
            <w:rPr>
              <w:rFonts w:hint="eastAsia" w:asciiTheme="majorEastAsia" w:hAnsiTheme="majorEastAsia" w:eastAsiaTheme="majorEastAsia" w:cstheme="majorEastAsia"/>
              <w:color w:val="auto"/>
              <w:szCs w:val="24"/>
            </w:rPr>
            <w:fldChar w:fldCharType="end"/>
          </w:r>
        </w:p>
        <w:p w14:paraId="65C4C54C">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_Toc9187 </w:instrText>
          </w:r>
          <w:r>
            <w:rPr>
              <w:rFonts w:hint="eastAsia" w:asciiTheme="majorEastAsia" w:hAnsiTheme="majorEastAsia" w:eastAsiaTheme="majorEastAsia" w:cstheme="majorEastAsia"/>
              <w:color w:val="auto"/>
              <w:szCs w:val="24"/>
            </w:rPr>
            <w:fldChar w:fldCharType="separate"/>
          </w:r>
          <w:r>
            <w:rPr>
              <w:rFonts w:hint="eastAsia"/>
              <w:color w:val="auto"/>
            </w:rPr>
            <w:t>附录</w:t>
          </w:r>
          <w:r>
            <w:rPr>
              <w:color w:val="auto"/>
            </w:rPr>
            <w:t xml:space="preserve">B  </w:t>
          </w:r>
          <w:r>
            <w:rPr>
              <w:rFonts w:hint="eastAsia"/>
              <w:color w:val="auto"/>
            </w:rPr>
            <w:t>变形值指标</w:t>
          </w:r>
          <w:r>
            <w:rPr>
              <w:color w:val="auto"/>
            </w:rPr>
            <w:tab/>
          </w:r>
          <w:r>
            <w:rPr>
              <w:color w:val="auto"/>
            </w:rPr>
            <w:fldChar w:fldCharType="begin"/>
          </w:r>
          <w:r>
            <w:rPr>
              <w:color w:val="auto"/>
            </w:rPr>
            <w:instrText xml:space="preserve"> PAGEREF _Toc9187 \h </w:instrText>
          </w:r>
          <w:r>
            <w:rPr>
              <w:color w:val="auto"/>
            </w:rPr>
            <w:fldChar w:fldCharType="separate"/>
          </w:r>
          <w:r>
            <w:rPr>
              <w:color w:val="auto"/>
            </w:rPr>
            <w:t>43</w:t>
          </w:r>
          <w:r>
            <w:rPr>
              <w:color w:val="auto"/>
            </w:rPr>
            <w:fldChar w:fldCharType="end"/>
          </w:r>
          <w:r>
            <w:rPr>
              <w:rFonts w:hint="eastAsia" w:asciiTheme="majorEastAsia" w:hAnsiTheme="majorEastAsia" w:eastAsiaTheme="majorEastAsia" w:cstheme="majorEastAsia"/>
              <w:color w:val="auto"/>
              <w:szCs w:val="24"/>
            </w:rPr>
            <w:fldChar w:fldCharType="end"/>
          </w:r>
        </w:p>
        <w:p w14:paraId="3DF417E5">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_Toc1667 </w:instrText>
          </w:r>
          <w:r>
            <w:rPr>
              <w:rFonts w:hint="eastAsia" w:asciiTheme="majorEastAsia" w:hAnsiTheme="majorEastAsia" w:eastAsiaTheme="majorEastAsia" w:cstheme="majorEastAsia"/>
              <w:color w:val="auto"/>
              <w:szCs w:val="24"/>
            </w:rPr>
            <w:fldChar w:fldCharType="separate"/>
          </w:r>
          <w:r>
            <w:rPr>
              <w:rFonts w:hint="eastAsia"/>
              <w:color w:val="auto"/>
            </w:rPr>
            <w:t>附录</w:t>
          </w:r>
          <w:r>
            <w:rPr>
              <w:color w:val="auto"/>
            </w:rPr>
            <w:t xml:space="preserve">C  </w:t>
          </w:r>
          <w:r>
            <w:rPr>
              <w:rFonts w:hint="eastAsia"/>
              <w:color w:val="auto"/>
            </w:rPr>
            <w:t>等截面连续梁的内力及变形系数</w:t>
          </w:r>
          <w:r>
            <w:rPr>
              <w:color w:val="auto"/>
            </w:rPr>
            <w:tab/>
          </w:r>
          <w:r>
            <w:rPr>
              <w:color w:val="auto"/>
            </w:rPr>
            <w:fldChar w:fldCharType="begin"/>
          </w:r>
          <w:r>
            <w:rPr>
              <w:color w:val="auto"/>
            </w:rPr>
            <w:instrText xml:space="preserve"> PAGEREF _Toc1667 \h </w:instrText>
          </w:r>
          <w:r>
            <w:rPr>
              <w:color w:val="auto"/>
            </w:rPr>
            <w:fldChar w:fldCharType="separate"/>
          </w:r>
          <w:r>
            <w:rPr>
              <w:color w:val="auto"/>
            </w:rPr>
            <w:t>44</w:t>
          </w:r>
          <w:r>
            <w:rPr>
              <w:color w:val="auto"/>
            </w:rPr>
            <w:fldChar w:fldCharType="end"/>
          </w:r>
          <w:r>
            <w:rPr>
              <w:rFonts w:hint="eastAsia" w:asciiTheme="majorEastAsia" w:hAnsiTheme="majorEastAsia" w:eastAsiaTheme="majorEastAsia" w:cstheme="majorEastAsia"/>
              <w:color w:val="auto"/>
              <w:szCs w:val="24"/>
            </w:rPr>
            <w:fldChar w:fldCharType="end"/>
          </w:r>
        </w:p>
        <w:p w14:paraId="4A5EA787">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_Toc16420 </w:instrText>
          </w:r>
          <w:r>
            <w:rPr>
              <w:rFonts w:hint="eastAsia" w:asciiTheme="majorEastAsia" w:hAnsiTheme="majorEastAsia" w:eastAsiaTheme="majorEastAsia" w:cstheme="majorEastAsia"/>
              <w:color w:val="auto"/>
              <w:szCs w:val="24"/>
            </w:rPr>
            <w:fldChar w:fldCharType="separate"/>
          </w:r>
          <w:r>
            <w:rPr>
              <w:rFonts w:hint="eastAsia"/>
              <w:color w:val="auto"/>
            </w:rPr>
            <w:t>附录D</w:t>
          </w:r>
          <w:r>
            <w:rPr>
              <w:color w:val="auto"/>
            </w:rPr>
            <w:t xml:space="preserve">  </w:t>
          </w:r>
          <w:r>
            <w:rPr>
              <w:rFonts w:hint="eastAsia"/>
              <w:color w:val="auto"/>
            </w:rPr>
            <w:t>模板计算实例（资料性附录）</w:t>
          </w:r>
          <w:r>
            <w:rPr>
              <w:rFonts w:hint="eastAsia" w:ascii="Times New Roman" w:hAnsi="Times New Roman" w:cs="Times New Roman"/>
              <w:bCs/>
              <w:color w:val="auto"/>
            </w:rPr>
            <w:t>模板计算举例</w:t>
          </w:r>
          <w:r>
            <w:rPr>
              <w:color w:val="auto"/>
            </w:rPr>
            <w:tab/>
          </w:r>
          <w:r>
            <w:rPr>
              <w:color w:val="auto"/>
            </w:rPr>
            <w:fldChar w:fldCharType="begin"/>
          </w:r>
          <w:r>
            <w:rPr>
              <w:color w:val="auto"/>
            </w:rPr>
            <w:instrText xml:space="preserve"> PAGEREF _Toc16420 \h </w:instrText>
          </w:r>
          <w:r>
            <w:rPr>
              <w:color w:val="auto"/>
            </w:rPr>
            <w:fldChar w:fldCharType="separate"/>
          </w:r>
          <w:r>
            <w:rPr>
              <w:color w:val="auto"/>
            </w:rPr>
            <w:t>50</w:t>
          </w:r>
          <w:r>
            <w:rPr>
              <w:color w:val="auto"/>
            </w:rPr>
            <w:fldChar w:fldCharType="end"/>
          </w:r>
          <w:r>
            <w:rPr>
              <w:rFonts w:hint="eastAsia" w:asciiTheme="majorEastAsia" w:hAnsiTheme="majorEastAsia" w:eastAsiaTheme="majorEastAsia" w:cstheme="majorEastAsia"/>
              <w:color w:val="auto"/>
              <w:szCs w:val="24"/>
            </w:rPr>
            <w:fldChar w:fldCharType="end"/>
          </w:r>
        </w:p>
        <w:p w14:paraId="5AB5C6BC">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_Toc27695 </w:instrText>
          </w:r>
          <w:r>
            <w:rPr>
              <w:rFonts w:hint="eastAsia" w:asciiTheme="majorEastAsia" w:hAnsiTheme="majorEastAsia" w:eastAsiaTheme="majorEastAsia" w:cstheme="majorEastAsia"/>
              <w:color w:val="auto"/>
              <w:szCs w:val="24"/>
            </w:rPr>
            <w:fldChar w:fldCharType="separate"/>
          </w:r>
          <w:r>
            <w:rPr>
              <w:rFonts w:hint="eastAsia"/>
              <w:color w:val="auto"/>
            </w:rPr>
            <w:t>附录E</w:t>
          </w:r>
          <w:r>
            <w:rPr>
              <w:color w:val="auto"/>
            </w:rPr>
            <w:t xml:space="preserve"> </w:t>
          </w:r>
          <w:r>
            <w:rPr>
              <w:rFonts w:hint="eastAsia"/>
              <w:color w:val="auto"/>
            </w:rPr>
            <w:t>保温免拆模板安装检验批质量验收记录</w:t>
          </w:r>
          <w:r>
            <w:rPr>
              <w:color w:val="auto"/>
            </w:rPr>
            <w:tab/>
          </w:r>
          <w:r>
            <w:rPr>
              <w:color w:val="auto"/>
            </w:rPr>
            <w:fldChar w:fldCharType="begin"/>
          </w:r>
          <w:r>
            <w:rPr>
              <w:color w:val="auto"/>
            </w:rPr>
            <w:instrText xml:space="preserve"> PAGEREF _Toc27695 \h </w:instrText>
          </w:r>
          <w:r>
            <w:rPr>
              <w:color w:val="auto"/>
            </w:rPr>
            <w:fldChar w:fldCharType="separate"/>
          </w:r>
          <w:r>
            <w:rPr>
              <w:color w:val="auto"/>
            </w:rPr>
            <w:t>56</w:t>
          </w:r>
          <w:r>
            <w:rPr>
              <w:color w:val="auto"/>
            </w:rPr>
            <w:fldChar w:fldCharType="end"/>
          </w:r>
          <w:r>
            <w:rPr>
              <w:rFonts w:hint="eastAsia" w:asciiTheme="majorEastAsia" w:hAnsiTheme="majorEastAsia" w:eastAsiaTheme="majorEastAsia" w:cstheme="majorEastAsia"/>
              <w:color w:val="auto"/>
              <w:szCs w:val="24"/>
            </w:rPr>
            <w:fldChar w:fldCharType="end"/>
          </w:r>
        </w:p>
        <w:p w14:paraId="357E72C0">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_Toc9461 </w:instrText>
          </w:r>
          <w:r>
            <w:rPr>
              <w:rFonts w:hint="eastAsia" w:asciiTheme="majorEastAsia" w:hAnsiTheme="majorEastAsia" w:eastAsiaTheme="majorEastAsia" w:cstheme="majorEastAsia"/>
              <w:color w:val="auto"/>
              <w:szCs w:val="24"/>
            </w:rPr>
            <w:fldChar w:fldCharType="separate"/>
          </w:r>
          <w:r>
            <w:rPr>
              <w:rFonts w:hAnsi="宋体"/>
              <w:color w:val="auto"/>
            </w:rPr>
            <w:t>本规程用词说明</w:t>
          </w:r>
          <w:r>
            <w:rPr>
              <w:color w:val="auto"/>
            </w:rPr>
            <w:tab/>
          </w:r>
          <w:r>
            <w:rPr>
              <w:color w:val="auto"/>
            </w:rPr>
            <w:fldChar w:fldCharType="begin"/>
          </w:r>
          <w:r>
            <w:rPr>
              <w:color w:val="auto"/>
            </w:rPr>
            <w:instrText xml:space="preserve"> PAGEREF _Toc9461 \h </w:instrText>
          </w:r>
          <w:r>
            <w:rPr>
              <w:color w:val="auto"/>
            </w:rPr>
            <w:fldChar w:fldCharType="separate"/>
          </w:r>
          <w:r>
            <w:rPr>
              <w:color w:val="auto"/>
            </w:rPr>
            <w:t>57</w:t>
          </w:r>
          <w:r>
            <w:rPr>
              <w:color w:val="auto"/>
            </w:rPr>
            <w:fldChar w:fldCharType="end"/>
          </w:r>
          <w:r>
            <w:rPr>
              <w:rFonts w:hint="eastAsia" w:asciiTheme="majorEastAsia" w:hAnsiTheme="majorEastAsia" w:eastAsiaTheme="majorEastAsia" w:cstheme="majorEastAsia"/>
              <w:color w:val="auto"/>
              <w:szCs w:val="24"/>
            </w:rPr>
            <w:fldChar w:fldCharType="end"/>
          </w:r>
        </w:p>
        <w:p w14:paraId="28BEE79F">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_Toc11491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olor w:val="auto"/>
              <w:szCs w:val="36"/>
            </w:rPr>
            <w:t>引用标准名录</w:t>
          </w:r>
          <w:r>
            <w:rPr>
              <w:color w:val="auto"/>
            </w:rPr>
            <w:tab/>
          </w:r>
          <w:r>
            <w:rPr>
              <w:color w:val="auto"/>
            </w:rPr>
            <w:fldChar w:fldCharType="begin"/>
          </w:r>
          <w:r>
            <w:rPr>
              <w:color w:val="auto"/>
            </w:rPr>
            <w:instrText xml:space="preserve"> PAGEREF _Toc11491 \h </w:instrText>
          </w:r>
          <w:r>
            <w:rPr>
              <w:color w:val="auto"/>
            </w:rPr>
            <w:fldChar w:fldCharType="separate"/>
          </w:r>
          <w:r>
            <w:rPr>
              <w:color w:val="auto"/>
            </w:rPr>
            <w:t>58</w:t>
          </w:r>
          <w:r>
            <w:rPr>
              <w:color w:val="auto"/>
            </w:rPr>
            <w:fldChar w:fldCharType="end"/>
          </w:r>
          <w:r>
            <w:rPr>
              <w:rFonts w:hint="eastAsia" w:asciiTheme="majorEastAsia" w:hAnsiTheme="majorEastAsia" w:eastAsiaTheme="majorEastAsia" w:cstheme="majorEastAsia"/>
              <w:color w:val="auto"/>
              <w:szCs w:val="24"/>
            </w:rPr>
            <w:fldChar w:fldCharType="end"/>
          </w:r>
        </w:p>
        <w:p w14:paraId="13446B67">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_Toc904 </w:instrText>
          </w:r>
          <w:r>
            <w:rPr>
              <w:rFonts w:hint="eastAsia" w:asciiTheme="majorEastAsia" w:hAnsiTheme="majorEastAsia" w:eastAsiaTheme="majorEastAsia" w:cstheme="majorEastAsia"/>
              <w:color w:val="auto"/>
              <w:szCs w:val="24"/>
            </w:rPr>
            <w:fldChar w:fldCharType="separate"/>
          </w:r>
          <w:r>
            <w:rPr>
              <w:rFonts w:ascii="Times New Roman" w:hAnsi="Times New Roman" w:cs="Times New Roman"/>
              <w:color w:val="auto"/>
            </w:rPr>
            <w:t>1</w:t>
          </w:r>
          <w:r>
            <w:rPr>
              <w:rFonts w:ascii="Times New Roman" w:cs="Times New Roman" w:hAnsiTheme="minorEastAsia"/>
              <w:color w:val="auto"/>
            </w:rPr>
            <w:t>总则</w:t>
          </w:r>
          <w:r>
            <w:rPr>
              <w:color w:val="auto"/>
            </w:rPr>
            <w:tab/>
          </w:r>
          <w:r>
            <w:rPr>
              <w:color w:val="auto"/>
            </w:rPr>
            <w:fldChar w:fldCharType="begin"/>
          </w:r>
          <w:r>
            <w:rPr>
              <w:color w:val="auto"/>
            </w:rPr>
            <w:instrText xml:space="preserve"> PAGEREF _Toc904 \h </w:instrText>
          </w:r>
          <w:r>
            <w:rPr>
              <w:color w:val="auto"/>
            </w:rPr>
            <w:fldChar w:fldCharType="separate"/>
          </w:r>
          <w:r>
            <w:rPr>
              <w:color w:val="auto"/>
            </w:rPr>
            <w:t>61</w:t>
          </w:r>
          <w:r>
            <w:rPr>
              <w:color w:val="auto"/>
            </w:rPr>
            <w:fldChar w:fldCharType="end"/>
          </w:r>
          <w:r>
            <w:rPr>
              <w:rFonts w:hint="eastAsia" w:asciiTheme="majorEastAsia" w:hAnsiTheme="majorEastAsia" w:eastAsiaTheme="majorEastAsia" w:cstheme="majorEastAsia"/>
              <w:color w:val="auto"/>
              <w:szCs w:val="24"/>
            </w:rPr>
            <w:fldChar w:fldCharType="end"/>
          </w:r>
        </w:p>
        <w:p w14:paraId="0E3E410D">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_Toc25782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color w:val="auto"/>
            </w:rPr>
            <w:t>3.基本规定</w:t>
          </w:r>
          <w:r>
            <w:rPr>
              <w:color w:val="auto"/>
            </w:rPr>
            <w:tab/>
          </w:r>
          <w:r>
            <w:rPr>
              <w:color w:val="auto"/>
            </w:rPr>
            <w:fldChar w:fldCharType="begin"/>
          </w:r>
          <w:r>
            <w:rPr>
              <w:color w:val="auto"/>
            </w:rPr>
            <w:instrText xml:space="preserve"> PAGEREF _Toc25782 \h </w:instrText>
          </w:r>
          <w:r>
            <w:rPr>
              <w:color w:val="auto"/>
            </w:rPr>
            <w:fldChar w:fldCharType="separate"/>
          </w:r>
          <w:r>
            <w:rPr>
              <w:color w:val="auto"/>
            </w:rPr>
            <w:t>62</w:t>
          </w:r>
          <w:r>
            <w:rPr>
              <w:color w:val="auto"/>
            </w:rPr>
            <w:fldChar w:fldCharType="end"/>
          </w:r>
          <w:r>
            <w:rPr>
              <w:rFonts w:hint="eastAsia" w:asciiTheme="majorEastAsia" w:hAnsiTheme="majorEastAsia" w:eastAsiaTheme="majorEastAsia" w:cstheme="majorEastAsia"/>
              <w:color w:val="auto"/>
              <w:szCs w:val="24"/>
            </w:rPr>
            <w:fldChar w:fldCharType="end"/>
          </w:r>
        </w:p>
        <w:p w14:paraId="1F4DEAEB">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_Toc16522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color w:val="auto"/>
            </w:rPr>
            <w:t>4系统及其组成材料</w:t>
          </w:r>
          <w:r>
            <w:rPr>
              <w:color w:val="auto"/>
            </w:rPr>
            <w:tab/>
          </w:r>
          <w:r>
            <w:rPr>
              <w:color w:val="auto"/>
            </w:rPr>
            <w:fldChar w:fldCharType="begin"/>
          </w:r>
          <w:r>
            <w:rPr>
              <w:color w:val="auto"/>
            </w:rPr>
            <w:instrText xml:space="preserve"> PAGEREF _Toc16522 \h </w:instrText>
          </w:r>
          <w:r>
            <w:rPr>
              <w:color w:val="auto"/>
            </w:rPr>
            <w:fldChar w:fldCharType="separate"/>
          </w:r>
          <w:r>
            <w:rPr>
              <w:color w:val="auto"/>
            </w:rPr>
            <w:t>63</w:t>
          </w:r>
          <w:r>
            <w:rPr>
              <w:color w:val="auto"/>
            </w:rPr>
            <w:fldChar w:fldCharType="end"/>
          </w:r>
          <w:r>
            <w:rPr>
              <w:rFonts w:hint="eastAsia" w:asciiTheme="majorEastAsia" w:hAnsiTheme="majorEastAsia" w:eastAsiaTheme="majorEastAsia" w:cstheme="majorEastAsia"/>
              <w:color w:val="auto"/>
              <w:szCs w:val="24"/>
            </w:rPr>
            <w:fldChar w:fldCharType="end"/>
          </w:r>
        </w:p>
        <w:p w14:paraId="5D890AE4">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_Toc25320 </w:instrText>
          </w:r>
          <w:r>
            <w:rPr>
              <w:rFonts w:hint="eastAsia" w:asciiTheme="majorEastAsia" w:hAnsiTheme="majorEastAsia" w:eastAsiaTheme="majorEastAsia" w:cstheme="majorEastAsia"/>
              <w:color w:val="auto"/>
              <w:szCs w:val="24"/>
            </w:rPr>
            <w:fldChar w:fldCharType="separate"/>
          </w:r>
          <w:r>
            <w:rPr>
              <w:rFonts w:hint="eastAsia"/>
              <w:color w:val="auto"/>
            </w:rPr>
            <w:t>4.1  一般规定</w:t>
          </w:r>
          <w:r>
            <w:rPr>
              <w:color w:val="auto"/>
            </w:rPr>
            <w:tab/>
          </w:r>
          <w:r>
            <w:rPr>
              <w:color w:val="auto"/>
            </w:rPr>
            <w:fldChar w:fldCharType="begin"/>
          </w:r>
          <w:r>
            <w:rPr>
              <w:color w:val="auto"/>
            </w:rPr>
            <w:instrText xml:space="preserve"> PAGEREF _Toc25320 \h </w:instrText>
          </w:r>
          <w:r>
            <w:rPr>
              <w:color w:val="auto"/>
            </w:rPr>
            <w:fldChar w:fldCharType="separate"/>
          </w:r>
          <w:r>
            <w:rPr>
              <w:color w:val="auto"/>
            </w:rPr>
            <w:t>63</w:t>
          </w:r>
          <w:r>
            <w:rPr>
              <w:color w:val="auto"/>
            </w:rPr>
            <w:fldChar w:fldCharType="end"/>
          </w:r>
          <w:r>
            <w:rPr>
              <w:rFonts w:hint="eastAsia" w:asciiTheme="majorEastAsia" w:hAnsiTheme="majorEastAsia" w:eastAsiaTheme="majorEastAsia" w:cstheme="majorEastAsia"/>
              <w:color w:val="auto"/>
              <w:szCs w:val="24"/>
            </w:rPr>
            <w:fldChar w:fldCharType="end"/>
          </w:r>
        </w:p>
        <w:p w14:paraId="2D80E0A9">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_Toc32363 </w:instrText>
          </w:r>
          <w:r>
            <w:rPr>
              <w:rFonts w:hint="eastAsia" w:asciiTheme="majorEastAsia" w:hAnsiTheme="majorEastAsia" w:eastAsiaTheme="majorEastAsia" w:cstheme="majorEastAsia"/>
              <w:color w:val="auto"/>
              <w:szCs w:val="24"/>
            </w:rPr>
            <w:fldChar w:fldCharType="separate"/>
          </w:r>
          <w:r>
            <w:rPr>
              <w:rFonts w:hint="eastAsia"/>
              <w:color w:val="auto"/>
            </w:rPr>
            <w:t>4.2系统性能要求</w:t>
          </w:r>
          <w:r>
            <w:rPr>
              <w:color w:val="auto"/>
            </w:rPr>
            <w:tab/>
          </w:r>
          <w:r>
            <w:rPr>
              <w:color w:val="auto"/>
            </w:rPr>
            <w:fldChar w:fldCharType="begin"/>
          </w:r>
          <w:r>
            <w:rPr>
              <w:color w:val="auto"/>
            </w:rPr>
            <w:instrText xml:space="preserve"> PAGEREF _Toc32363 \h </w:instrText>
          </w:r>
          <w:r>
            <w:rPr>
              <w:color w:val="auto"/>
            </w:rPr>
            <w:fldChar w:fldCharType="separate"/>
          </w:r>
          <w:r>
            <w:rPr>
              <w:color w:val="auto"/>
            </w:rPr>
            <w:t>63</w:t>
          </w:r>
          <w:r>
            <w:rPr>
              <w:color w:val="auto"/>
            </w:rPr>
            <w:fldChar w:fldCharType="end"/>
          </w:r>
          <w:r>
            <w:rPr>
              <w:rFonts w:hint="eastAsia" w:asciiTheme="majorEastAsia" w:hAnsiTheme="majorEastAsia" w:eastAsiaTheme="majorEastAsia" w:cstheme="majorEastAsia"/>
              <w:color w:val="auto"/>
              <w:szCs w:val="24"/>
            </w:rPr>
            <w:fldChar w:fldCharType="end"/>
          </w:r>
        </w:p>
        <w:p w14:paraId="4A49D71B">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_Toc30585 </w:instrText>
          </w:r>
          <w:r>
            <w:rPr>
              <w:rFonts w:hint="eastAsia" w:asciiTheme="majorEastAsia" w:hAnsiTheme="majorEastAsia" w:eastAsiaTheme="majorEastAsia" w:cstheme="majorEastAsia"/>
              <w:color w:val="auto"/>
              <w:szCs w:val="24"/>
            </w:rPr>
            <w:fldChar w:fldCharType="separate"/>
          </w:r>
          <w:r>
            <w:rPr>
              <w:rFonts w:hint="eastAsia"/>
              <w:color w:val="auto"/>
            </w:rPr>
            <w:t>4.3  保温免拆模板性能要求</w:t>
          </w:r>
          <w:r>
            <w:rPr>
              <w:color w:val="auto"/>
            </w:rPr>
            <w:tab/>
          </w:r>
          <w:r>
            <w:rPr>
              <w:color w:val="auto"/>
            </w:rPr>
            <w:fldChar w:fldCharType="begin"/>
          </w:r>
          <w:r>
            <w:rPr>
              <w:color w:val="auto"/>
            </w:rPr>
            <w:instrText xml:space="preserve"> PAGEREF _Toc30585 \h </w:instrText>
          </w:r>
          <w:r>
            <w:rPr>
              <w:color w:val="auto"/>
            </w:rPr>
            <w:fldChar w:fldCharType="separate"/>
          </w:r>
          <w:r>
            <w:rPr>
              <w:color w:val="auto"/>
            </w:rPr>
            <w:t>65</w:t>
          </w:r>
          <w:r>
            <w:rPr>
              <w:color w:val="auto"/>
            </w:rPr>
            <w:fldChar w:fldCharType="end"/>
          </w:r>
          <w:r>
            <w:rPr>
              <w:rFonts w:hint="eastAsia" w:asciiTheme="majorEastAsia" w:hAnsiTheme="majorEastAsia" w:eastAsiaTheme="majorEastAsia" w:cstheme="majorEastAsia"/>
              <w:color w:val="auto"/>
              <w:szCs w:val="24"/>
            </w:rPr>
            <w:fldChar w:fldCharType="end"/>
          </w:r>
        </w:p>
        <w:p w14:paraId="57D862C3">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_Toc28479 </w:instrText>
          </w:r>
          <w:r>
            <w:rPr>
              <w:rFonts w:hint="eastAsia" w:asciiTheme="majorEastAsia" w:hAnsiTheme="majorEastAsia" w:eastAsiaTheme="majorEastAsia" w:cstheme="majorEastAsia"/>
              <w:color w:val="auto"/>
              <w:szCs w:val="24"/>
            </w:rPr>
            <w:fldChar w:fldCharType="separate"/>
          </w:r>
          <w:r>
            <w:rPr>
              <w:rFonts w:hint="eastAsia"/>
              <w:color w:val="auto"/>
            </w:rPr>
            <w:t>4.4保温免拆模板保温芯材性能要求</w:t>
          </w:r>
          <w:r>
            <w:rPr>
              <w:color w:val="auto"/>
            </w:rPr>
            <w:tab/>
          </w:r>
          <w:r>
            <w:rPr>
              <w:color w:val="auto"/>
            </w:rPr>
            <w:fldChar w:fldCharType="begin"/>
          </w:r>
          <w:r>
            <w:rPr>
              <w:color w:val="auto"/>
            </w:rPr>
            <w:instrText xml:space="preserve"> PAGEREF _Toc28479 \h </w:instrText>
          </w:r>
          <w:r>
            <w:rPr>
              <w:color w:val="auto"/>
            </w:rPr>
            <w:fldChar w:fldCharType="separate"/>
          </w:r>
          <w:r>
            <w:rPr>
              <w:color w:val="auto"/>
            </w:rPr>
            <w:t>70</w:t>
          </w:r>
          <w:r>
            <w:rPr>
              <w:color w:val="auto"/>
            </w:rPr>
            <w:fldChar w:fldCharType="end"/>
          </w:r>
          <w:r>
            <w:rPr>
              <w:rFonts w:hint="eastAsia" w:asciiTheme="majorEastAsia" w:hAnsiTheme="majorEastAsia" w:eastAsiaTheme="majorEastAsia" w:cstheme="majorEastAsia"/>
              <w:color w:val="auto"/>
              <w:szCs w:val="24"/>
            </w:rPr>
            <w:fldChar w:fldCharType="end"/>
          </w:r>
        </w:p>
        <w:p w14:paraId="538E0212">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_Toc21093 </w:instrText>
          </w:r>
          <w:r>
            <w:rPr>
              <w:rFonts w:hint="eastAsia" w:asciiTheme="majorEastAsia" w:hAnsiTheme="majorEastAsia" w:eastAsiaTheme="majorEastAsia" w:cstheme="majorEastAsia"/>
              <w:color w:val="auto"/>
              <w:szCs w:val="24"/>
            </w:rPr>
            <w:fldChar w:fldCharType="separate"/>
          </w:r>
          <w:r>
            <w:rPr>
              <w:rFonts w:hint="eastAsia"/>
              <w:color w:val="auto"/>
            </w:rPr>
            <w:t>4.5 配套材料技术要求</w:t>
          </w:r>
          <w:r>
            <w:rPr>
              <w:color w:val="auto"/>
            </w:rPr>
            <w:tab/>
          </w:r>
          <w:r>
            <w:rPr>
              <w:color w:val="auto"/>
            </w:rPr>
            <w:fldChar w:fldCharType="begin"/>
          </w:r>
          <w:r>
            <w:rPr>
              <w:color w:val="auto"/>
            </w:rPr>
            <w:instrText xml:space="preserve"> PAGEREF _Toc21093 \h </w:instrText>
          </w:r>
          <w:r>
            <w:rPr>
              <w:color w:val="auto"/>
            </w:rPr>
            <w:fldChar w:fldCharType="separate"/>
          </w:r>
          <w:r>
            <w:rPr>
              <w:color w:val="auto"/>
            </w:rPr>
            <w:t>71</w:t>
          </w:r>
          <w:r>
            <w:rPr>
              <w:color w:val="auto"/>
            </w:rPr>
            <w:fldChar w:fldCharType="end"/>
          </w:r>
          <w:r>
            <w:rPr>
              <w:rFonts w:hint="eastAsia" w:asciiTheme="majorEastAsia" w:hAnsiTheme="majorEastAsia" w:eastAsiaTheme="majorEastAsia" w:cstheme="majorEastAsia"/>
              <w:color w:val="auto"/>
              <w:szCs w:val="24"/>
            </w:rPr>
            <w:fldChar w:fldCharType="end"/>
          </w:r>
        </w:p>
        <w:p w14:paraId="02AD7121">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_Toc18816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color w:val="auto"/>
            </w:rPr>
            <w:t>5 设计</w:t>
          </w:r>
          <w:r>
            <w:rPr>
              <w:color w:val="auto"/>
            </w:rPr>
            <w:tab/>
          </w:r>
          <w:r>
            <w:rPr>
              <w:color w:val="auto"/>
            </w:rPr>
            <w:fldChar w:fldCharType="begin"/>
          </w:r>
          <w:r>
            <w:rPr>
              <w:color w:val="auto"/>
            </w:rPr>
            <w:instrText xml:space="preserve"> PAGEREF _Toc18816 \h </w:instrText>
          </w:r>
          <w:r>
            <w:rPr>
              <w:color w:val="auto"/>
            </w:rPr>
            <w:fldChar w:fldCharType="separate"/>
          </w:r>
          <w:r>
            <w:rPr>
              <w:color w:val="auto"/>
            </w:rPr>
            <w:t>73</w:t>
          </w:r>
          <w:r>
            <w:rPr>
              <w:color w:val="auto"/>
            </w:rPr>
            <w:fldChar w:fldCharType="end"/>
          </w:r>
          <w:r>
            <w:rPr>
              <w:rFonts w:hint="eastAsia" w:asciiTheme="majorEastAsia" w:hAnsiTheme="majorEastAsia" w:eastAsiaTheme="majorEastAsia" w:cstheme="majorEastAsia"/>
              <w:color w:val="auto"/>
              <w:szCs w:val="24"/>
            </w:rPr>
            <w:fldChar w:fldCharType="end"/>
          </w:r>
        </w:p>
        <w:p w14:paraId="34166057">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_Toc25741 </w:instrText>
          </w:r>
          <w:r>
            <w:rPr>
              <w:rFonts w:hint="eastAsia" w:asciiTheme="majorEastAsia" w:hAnsiTheme="majorEastAsia" w:eastAsiaTheme="majorEastAsia" w:cstheme="majorEastAsia"/>
              <w:color w:val="auto"/>
              <w:szCs w:val="24"/>
            </w:rPr>
            <w:fldChar w:fldCharType="separate"/>
          </w:r>
          <w:r>
            <w:rPr>
              <w:rFonts w:hint="eastAsia"/>
              <w:color w:val="auto"/>
            </w:rPr>
            <w:t>5.1一般规定</w:t>
          </w:r>
          <w:r>
            <w:rPr>
              <w:color w:val="auto"/>
            </w:rPr>
            <w:tab/>
          </w:r>
          <w:r>
            <w:rPr>
              <w:color w:val="auto"/>
            </w:rPr>
            <w:fldChar w:fldCharType="begin"/>
          </w:r>
          <w:r>
            <w:rPr>
              <w:color w:val="auto"/>
            </w:rPr>
            <w:instrText xml:space="preserve"> PAGEREF _Toc25741 \h </w:instrText>
          </w:r>
          <w:r>
            <w:rPr>
              <w:color w:val="auto"/>
            </w:rPr>
            <w:fldChar w:fldCharType="separate"/>
          </w:r>
          <w:r>
            <w:rPr>
              <w:color w:val="auto"/>
            </w:rPr>
            <w:t>73</w:t>
          </w:r>
          <w:r>
            <w:rPr>
              <w:color w:val="auto"/>
            </w:rPr>
            <w:fldChar w:fldCharType="end"/>
          </w:r>
          <w:r>
            <w:rPr>
              <w:rFonts w:hint="eastAsia" w:asciiTheme="majorEastAsia" w:hAnsiTheme="majorEastAsia" w:eastAsiaTheme="majorEastAsia" w:cstheme="majorEastAsia"/>
              <w:color w:val="auto"/>
              <w:szCs w:val="24"/>
            </w:rPr>
            <w:fldChar w:fldCharType="end"/>
          </w:r>
        </w:p>
        <w:p w14:paraId="3175EAD9">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_Toc11323 </w:instrText>
          </w:r>
          <w:r>
            <w:rPr>
              <w:rFonts w:hint="eastAsia" w:asciiTheme="majorEastAsia" w:hAnsiTheme="majorEastAsia" w:eastAsiaTheme="majorEastAsia" w:cstheme="majorEastAsia"/>
              <w:color w:val="auto"/>
              <w:szCs w:val="24"/>
            </w:rPr>
            <w:fldChar w:fldCharType="separate"/>
          </w:r>
          <w:r>
            <w:rPr>
              <w:rFonts w:hint="eastAsia"/>
              <w:color w:val="auto"/>
            </w:rPr>
            <w:t>5.2热工设计</w:t>
          </w:r>
          <w:r>
            <w:rPr>
              <w:color w:val="auto"/>
            </w:rPr>
            <w:tab/>
          </w:r>
          <w:r>
            <w:rPr>
              <w:color w:val="auto"/>
            </w:rPr>
            <w:fldChar w:fldCharType="begin"/>
          </w:r>
          <w:r>
            <w:rPr>
              <w:color w:val="auto"/>
            </w:rPr>
            <w:instrText xml:space="preserve"> PAGEREF _Toc11323 \h </w:instrText>
          </w:r>
          <w:r>
            <w:rPr>
              <w:color w:val="auto"/>
            </w:rPr>
            <w:fldChar w:fldCharType="separate"/>
          </w:r>
          <w:r>
            <w:rPr>
              <w:color w:val="auto"/>
            </w:rPr>
            <w:t>73</w:t>
          </w:r>
          <w:r>
            <w:rPr>
              <w:color w:val="auto"/>
            </w:rPr>
            <w:fldChar w:fldCharType="end"/>
          </w:r>
          <w:r>
            <w:rPr>
              <w:rFonts w:hint="eastAsia" w:asciiTheme="majorEastAsia" w:hAnsiTheme="majorEastAsia" w:eastAsiaTheme="majorEastAsia" w:cstheme="majorEastAsia"/>
              <w:color w:val="auto"/>
              <w:szCs w:val="24"/>
            </w:rPr>
            <w:fldChar w:fldCharType="end"/>
          </w:r>
        </w:p>
        <w:p w14:paraId="5475C99B">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_Toc31966 </w:instrText>
          </w:r>
          <w:r>
            <w:rPr>
              <w:rFonts w:hint="eastAsia" w:asciiTheme="majorEastAsia" w:hAnsiTheme="majorEastAsia" w:eastAsiaTheme="majorEastAsia" w:cstheme="majorEastAsia"/>
              <w:color w:val="auto"/>
              <w:szCs w:val="24"/>
            </w:rPr>
            <w:fldChar w:fldCharType="separate"/>
          </w:r>
          <w:r>
            <w:rPr>
              <w:rFonts w:hint="eastAsia"/>
              <w:color w:val="auto"/>
            </w:rPr>
            <w:t>5.3设计与构造</w:t>
          </w:r>
          <w:r>
            <w:rPr>
              <w:color w:val="auto"/>
            </w:rPr>
            <w:tab/>
          </w:r>
          <w:r>
            <w:rPr>
              <w:color w:val="auto"/>
            </w:rPr>
            <w:fldChar w:fldCharType="begin"/>
          </w:r>
          <w:r>
            <w:rPr>
              <w:color w:val="auto"/>
            </w:rPr>
            <w:instrText xml:space="preserve"> PAGEREF _Toc31966 \h </w:instrText>
          </w:r>
          <w:r>
            <w:rPr>
              <w:color w:val="auto"/>
            </w:rPr>
            <w:fldChar w:fldCharType="separate"/>
          </w:r>
          <w:r>
            <w:rPr>
              <w:color w:val="auto"/>
            </w:rPr>
            <w:t>74</w:t>
          </w:r>
          <w:r>
            <w:rPr>
              <w:color w:val="auto"/>
            </w:rPr>
            <w:fldChar w:fldCharType="end"/>
          </w:r>
          <w:r>
            <w:rPr>
              <w:rFonts w:hint="eastAsia" w:asciiTheme="majorEastAsia" w:hAnsiTheme="majorEastAsia" w:eastAsiaTheme="majorEastAsia" w:cstheme="majorEastAsia"/>
              <w:color w:val="auto"/>
              <w:szCs w:val="24"/>
            </w:rPr>
            <w:fldChar w:fldCharType="end"/>
          </w:r>
        </w:p>
        <w:p w14:paraId="6600424C">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_Toc32097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color w:val="auto"/>
            </w:rPr>
            <w:t>6 模板设计与计算</w:t>
          </w:r>
          <w:r>
            <w:rPr>
              <w:color w:val="auto"/>
            </w:rPr>
            <w:tab/>
          </w:r>
          <w:r>
            <w:rPr>
              <w:color w:val="auto"/>
            </w:rPr>
            <w:fldChar w:fldCharType="begin"/>
          </w:r>
          <w:r>
            <w:rPr>
              <w:color w:val="auto"/>
            </w:rPr>
            <w:instrText xml:space="preserve"> PAGEREF _Toc32097 \h </w:instrText>
          </w:r>
          <w:r>
            <w:rPr>
              <w:color w:val="auto"/>
            </w:rPr>
            <w:fldChar w:fldCharType="separate"/>
          </w:r>
          <w:r>
            <w:rPr>
              <w:color w:val="auto"/>
            </w:rPr>
            <w:t>75</w:t>
          </w:r>
          <w:r>
            <w:rPr>
              <w:color w:val="auto"/>
            </w:rPr>
            <w:fldChar w:fldCharType="end"/>
          </w:r>
          <w:r>
            <w:rPr>
              <w:rFonts w:hint="eastAsia" w:asciiTheme="majorEastAsia" w:hAnsiTheme="majorEastAsia" w:eastAsiaTheme="majorEastAsia" w:cstheme="majorEastAsia"/>
              <w:color w:val="auto"/>
              <w:szCs w:val="24"/>
            </w:rPr>
            <w:fldChar w:fldCharType="end"/>
          </w:r>
        </w:p>
        <w:p w14:paraId="496E061E">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_Toc10305 </w:instrText>
          </w:r>
          <w:r>
            <w:rPr>
              <w:rFonts w:hint="eastAsia" w:asciiTheme="majorEastAsia" w:hAnsiTheme="majorEastAsia" w:eastAsiaTheme="majorEastAsia" w:cstheme="majorEastAsia"/>
              <w:color w:val="auto"/>
              <w:szCs w:val="24"/>
            </w:rPr>
            <w:fldChar w:fldCharType="separate"/>
          </w:r>
          <w:r>
            <w:rPr>
              <w:rFonts w:hint="eastAsia"/>
              <w:color w:val="auto"/>
            </w:rPr>
            <w:t>6.1模板设计</w:t>
          </w:r>
          <w:r>
            <w:rPr>
              <w:color w:val="auto"/>
            </w:rPr>
            <w:tab/>
          </w:r>
          <w:r>
            <w:rPr>
              <w:color w:val="auto"/>
            </w:rPr>
            <w:fldChar w:fldCharType="begin"/>
          </w:r>
          <w:r>
            <w:rPr>
              <w:color w:val="auto"/>
            </w:rPr>
            <w:instrText xml:space="preserve"> PAGEREF _Toc10305 \h </w:instrText>
          </w:r>
          <w:r>
            <w:rPr>
              <w:color w:val="auto"/>
            </w:rPr>
            <w:fldChar w:fldCharType="separate"/>
          </w:r>
          <w:r>
            <w:rPr>
              <w:color w:val="auto"/>
            </w:rPr>
            <w:t>75</w:t>
          </w:r>
          <w:r>
            <w:rPr>
              <w:color w:val="auto"/>
            </w:rPr>
            <w:fldChar w:fldCharType="end"/>
          </w:r>
          <w:r>
            <w:rPr>
              <w:rFonts w:hint="eastAsia" w:asciiTheme="majorEastAsia" w:hAnsiTheme="majorEastAsia" w:eastAsiaTheme="majorEastAsia" w:cstheme="majorEastAsia"/>
              <w:color w:val="auto"/>
              <w:szCs w:val="24"/>
            </w:rPr>
            <w:fldChar w:fldCharType="end"/>
          </w:r>
        </w:p>
        <w:p w14:paraId="287B9D5E">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_Toc22358 </w:instrText>
          </w:r>
          <w:r>
            <w:rPr>
              <w:rFonts w:hint="eastAsia" w:asciiTheme="majorEastAsia" w:hAnsiTheme="majorEastAsia" w:eastAsiaTheme="majorEastAsia" w:cstheme="majorEastAsia"/>
              <w:color w:val="auto"/>
              <w:szCs w:val="24"/>
            </w:rPr>
            <w:fldChar w:fldCharType="separate"/>
          </w:r>
          <w:r>
            <w:rPr>
              <w:rFonts w:hint="eastAsia"/>
              <w:color w:val="auto"/>
            </w:rPr>
            <w:t>6.2 模板计算</w:t>
          </w:r>
          <w:r>
            <w:rPr>
              <w:color w:val="auto"/>
            </w:rPr>
            <w:tab/>
          </w:r>
          <w:r>
            <w:rPr>
              <w:color w:val="auto"/>
            </w:rPr>
            <w:fldChar w:fldCharType="begin"/>
          </w:r>
          <w:r>
            <w:rPr>
              <w:color w:val="auto"/>
            </w:rPr>
            <w:instrText xml:space="preserve"> PAGEREF _Toc22358 \h </w:instrText>
          </w:r>
          <w:r>
            <w:rPr>
              <w:color w:val="auto"/>
            </w:rPr>
            <w:fldChar w:fldCharType="separate"/>
          </w:r>
          <w:r>
            <w:rPr>
              <w:color w:val="auto"/>
            </w:rPr>
            <w:t>76</w:t>
          </w:r>
          <w:r>
            <w:rPr>
              <w:color w:val="auto"/>
            </w:rPr>
            <w:fldChar w:fldCharType="end"/>
          </w:r>
          <w:r>
            <w:rPr>
              <w:rFonts w:hint="eastAsia" w:asciiTheme="majorEastAsia" w:hAnsiTheme="majorEastAsia" w:eastAsiaTheme="majorEastAsia" w:cstheme="majorEastAsia"/>
              <w:color w:val="auto"/>
              <w:szCs w:val="24"/>
            </w:rPr>
            <w:fldChar w:fldCharType="end"/>
          </w:r>
        </w:p>
        <w:p w14:paraId="481CA3E9">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_Toc23588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color w:val="auto"/>
            </w:rPr>
            <w:t>7施工</w:t>
          </w:r>
          <w:r>
            <w:rPr>
              <w:color w:val="auto"/>
            </w:rPr>
            <w:tab/>
          </w:r>
          <w:r>
            <w:rPr>
              <w:color w:val="auto"/>
            </w:rPr>
            <w:fldChar w:fldCharType="begin"/>
          </w:r>
          <w:r>
            <w:rPr>
              <w:color w:val="auto"/>
            </w:rPr>
            <w:instrText xml:space="preserve"> PAGEREF _Toc23588 \h </w:instrText>
          </w:r>
          <w:r>
            <w:rPr>
              <w:color w:val="auto"/>
            </w:rPr>
            <w:fldChar w:fldCharType="separate"/>
          </w:r>
          <w:r>
            <w:rPr>
              <w:color w:val="auto"/>
            </w:rPr>
            <w:t>78</w:t>
          </w:r>
          <w:r>
            <w:rPr>
              <w:color w:val="auto"/>
            </w:rPr>
            <w:fldChar w:fldCharType="end"/>
          </w:r>
          <w:r>
            <w:rPr>
              <w:rFonts w:hint="eastAsia" w:asciiTheme="majorEastAsia" w:hAnsiTheme="majorEastAsia" w:eastAsiaTheme="majorEastAsia" w:cstheme="majorEastAsia"/>
              <w:color w:val="auto"/>
              <w:szCs w:val="24"/>
            </w:rPr>
            <w:fldChar w:fldCharType="end"/>
          </w:r>
        </w:p>
        <w:p w14:paraId="3F791F79">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_Toc29703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eastAsiaTheme="minorEastAsia"/>
              <w:color w:val="auto"/>
            </w:rPr>
            <w:t>7.1 一般规定</w:t>
          </w:r>
          <w:r>
            <w:rPr>
              <w:color w:val="auto"/>
            </w:rPr>
            <w:tab/>
          </w:r>
          <w:r>
            <w:rPr>
              <w:color w:val="auto"/>
            </w:rPr>
            <w:fldChar w:fldCharType="begin"/>
          </w:r>
          <w:r>
            <w:rPr>
              <w:color w:val="auto"/>
            </w:rPr>
            <w:instrText xml:space="preserve"> PAGEREF _Toc29703 \h </w:instrText>
          </w:r>
          <w:r>
            <w:rPr>
              <w:color w:val="auto"/>
            </w:rPr>
            <w:fldChar w:fldCharType="separate"/>
          </w:r>
          <w:r>
            <w:rPr>
              <w:color w:val="auto"/>
            </w:rPr>
            <w:t>78</w:t>
          </w:r>
          <w:r>
            <w:rPr>
              <w:color w:val="auto"/>
            </w:rPr>
            <w:fldChar w:fldCharType="end"/>
          </w:r>
          <w:r>
            <w:rPr>
              <w:rFonts w:hint="eastAsia" w:asciiTheme="majorEastAsia" w:hAnsiTheme="majorEastAsia" w:eastAsiaTheme="majorEastAsia" w:cstheme="majorEastAsia"/>
              <w:color w:val="auto"/>
              <w:szCs w:val="24"/>
            </w:rPr>
            <w:fldChar w:fldCharType="end"/>
          </w:r>
        </w:p>
        <w:p w14:paraId="4E47B707">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_Toc25645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eastAsiaTheme="minorEastAsia"/>
              <w:color w:val="auto"/>
            </w:rPr>
            <w:t>7.2 进场验收</w:t>
          </w:r>
          <w:r>
            <w:rPr>
              <w:color w:val="auto"/>
            </w:rPr>
            <w:tab/>
          </w:r>
          <w:r>
            <w:rPr>
              <w:color w:val="auto"/>
            </w:rPr>
            <w:fldChar w:fldCharType="begin"/>
          </w:r>
          <w:r>
            <w:rPr>
              <w:color w:val="auto"/>
            </w:rPr>
            <w:instrText xml:space="preserve"> PAGEREF _Toc25645 \h </w:instrText>
          </w:r>
          <w:r>
            <w:rPr>
              <w:color w:val="auto"/>
            </w:rPr>
            <w:fldChar w:fldCharType="separate"/>
          </w:r>
          <w:r>
            <w:rPr>
              <w:color w:val="auto"/>
            </w:rPr>
            <w:t>78</w:t>
          </w:r>
          <w:r>
            <w:rPr>
              <w:color w:val="auto"/>
            </w:rPr>
            <w:fldChar w:fldCharType="end"/>
          </w:r>
          <w:r>
            <w:rPr>
              <w:rFonts w:hint="eastAsia" w:asciiTheme="majorEastAsia" w:hAnsiTheme="majorEastAsia" w:eastAsiaTheme="majorEastAsia" w:cstheme="majorEastAsia"/>
              <w:color w:val="auto"/>
              <w:szCs w:val="24"/>
            </w:rPr>
            <w:fldChar w:fldCharType="end"/>
          </w:r>
        </w:p>
        <w:p w14:paraId="25E63045">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_Toc2746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eastAsiaTheme="minorEastAsia"/>
              <w:color w:val="auto"/>
            </w:rPr>
            <w:t>7.3 模板施工</w:t>
          </w:r>
          <w:r>
            <w:rPr>
              <w:color w:val="auto"/>
            </w:rPr>
            <w:tab/>
          </w:r>
          <w:r>
            <w:rPr>
              <w:color w:val="auto"/>
            </w:rPr>
            <w:fldChar w:fldCharType="begin"/>
          </w:r>
          <w:r>
            <w:rPr>
              <w:color w:val="auto"/>
            </w:rPr>
            <w:instrText xml:space="preserve"> PAGEREF _Toc2746 \h </w:instrText>
          </w:r>
          <w:r>
            <w:rPr>
              <w:color w:val="auto"/>
            </w:rPr>
            <w:fldChar w:fldCharType="separate"/>
          </w:r>
          <w:r>
            <w:rPr>
              <w:color w:val="auto"/>
            </w:rPr>
            <w:t>78</w:t>
          </w:r>
          <w:r>
            <w:rPr>
              <w:color w:val="auto"/>
            </w:rPr>
            <w:fldChar w:fldCharType="end"/>
          </w:r>
          <w:r>
            <w:rPr>
              <w:rFonts w:hint="eastAsia" w:asciiTheme="majorEastAsia" w:hAnsiTheme="majorEastAsia" w:eastAsiaTheme="majorEastAsia" w:cstheme="majorEastAsia"/>
              <w:color w:val="auto"/>
              <w:szCs w:val="24"/>
            </w:rPr>
            <w:fldChar w:fldCharType="end"/>
          </w:r>
        </w:p>
        <w:p w14:paraId="32931202">
          <w:pPr>
            <w:pStyle w:val="59"/>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_Toc2738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color w:val="auto"/>
            </w:rPr>
            <w:t>8验收</w:t>
          </w:r>
          <w:r>
            <w:rPr>
              <w:color w:val="auto"/>
            </w:rPr>
            <w:tab/>
          </w:r>
          <w:r>
            <w:rPr>
              <w:color w:val="auto"/>
            </w:rPr>
            <w:fldChar w:fldCharType="begin"/>
          </w:r>
          <w:r>
            <w:rPr>
              <w:color w:val="auto"/>
            </w:rPr>
            <w:instrText xml:space="preserve"> PAGEREF _Toc2738 \h </w:instrText>
          </w:r>
          <w:r>
            <w:rPr>
              <w:color w:val="auto"/>
            </w:rPr>
            <w:fldChar w:fldCharType="separate"/>
          </w:r>
          <w:r>
            <w:rPr>
              <w:color w:val="auto"/>
            </w:rPr>
            <w:t>79</w:t>
          </w:r>
          <w:r>
            <w:rPr>
              <w:color w:val="auto"/>
            </w:rPr>
            <w:fldChar w:fldCharType="end"/>
          </w:r>
          <w:r>
            <w:rPr>
              <w:rFonts w:hint="eastAsia" w:asciiTheme="majorEastAsia" w:hAnsiTheme="majorEastAsia" w:eastAsiaTheme="majorEastAsia" w:cstheme="majorEastAsia"/>
              <w:color w:val="auto"/>
              <w:szCs w:val="24"/>
            </w:rPr>
            <w:fldChar w:fldCharType="end"/>
          </w:r>
        </w:p>
        <w:p w14:paraId="2B92D9F0">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_Toc14878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eastAsiaTheme="minorEastAsia"/>
              <w:color w:val="auto"/>
            </w:rPr>
            <w:t>8.1一般规定</w:t>
          </w:r>
          <w:r>
            <w:rPr>
              <w:color w:val="auto"/>
            </w:rPr>
            <w:tab/>
          </w:r>
          <w:r>
            <w:rPr>
              <w:color w:val="auto"/>
            </w:rPr>
            <w:fldChar w:fldCharType="begin"/>
          </w:r>
          <w:r>
            <w:rPr>
              <w:color w:val="auto"/>
            </w:rPr>
            <w:instrText xml:space="preserve"> PAGEREF _Toc14878 \h </w:instrText>
          </w:r>
          <w:r>
            <w:rPr>
              <w:color w:val="auto"/>
            </w:rPr>
            <w:fldChar w:fldCharType="separate"/>
          </w:r>
          <w:r>
            <w:rPr>
              <w:color w:val="auto"/>
            </w:rPr>
            <w:t>79</w:t>
          </w:r>
          <w:r>
            <w:rPr>
              <w:color w:val="auto"/>
            </w:rPr>
            <w:fldChar w:fldCharType="end"/>
          </w:r>
          <w:r>
            <w:rPr>
              <w:rFonts w:hint="eastAsia" w:asciiTheme="majorEastAsia" w:hAnsiTheme="majorEastAsia" w:eastAsiaTheme="majorEastAsia" w:cstheme="majorEastAsia"/>
              <w:color w:val="auto"/>
              <w:szCs w:val="24"/>
            </w:rPr>
            <w:fldChar w:fldCharType="end"/>
          </w:r>
        </w:p>
        <w:p w14:paraId="428324BF">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_Toc22740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eastAsiaTheme="minorEastAsia"/>
              <w:color w:val="auto"/>
            </w:rPr>
            <w:t>8.2  保温免拆模板安装工程</w:t>
          </w:r>
          <w:r>
            <w:rPr>
              <w:color w:val="auto"/>
            </w:rPr>
            <w:tab/>
          </w:r>
          <w:r>
            <w:rPr>
              <w:color w:val="auto"/>
            </w:rPr>
            <w:fldChar w:fldCharType="begin"/>
          </w:r>
          <w:r>
            <w:rPr>
              <w:color w:val="auto"/>
            </w:rPr>
            <w:instrText xml:space="preserve"> PAGEREF _Toc22740 \h </w:instrText>
          </w:r>
          <w:r>
            <w:rPr>
              <w:color w:val="auto"/>
            </w:rPr>
            <w:fldChar w:fldCharType="separate"/>
          </w:r>
          <w:r>
            <w:rPr>
              <w:color w:val="auto"/>
            </w:rPr>
            <w:t>80</w:t>
          </w:r>
          <w:r>
            <w:rPr>
              <w:color w:val="auto"/>
            </w:rPr>
            <w:fldChar w:fldCharType="end"/>
          </w:r>
          <w:r>
            <w:rPr>
              <w:rFonts w:hint="eastAsia" w:asciiTheme="majorEastAsia" w:hAnsiTheme="majorEastAsia" w:eastAsiaTheme="majorEastAsia" w:cstheme="majorEastAsia"/>
              <w:color w:val="auto"/>
              <w:szCs w:val="24"/>
            </w:rPr>
            <w:fldChar w:fldCharType="end"/>
          </w:r>
        </w:p>
        <w:p w14:paraId="13722FB0">
          <w:pPr>
            <w:pStyle w:val="74"/>
            <w:tabs>
              <w:tab w:val="right" w:leader="dot" w:pos="8306"/>
            </w:tabs>
            <w:rPr>
              <w:color w:val="auto"/>
            </w:rPr>
          </w:pPr>
          <w:r>
            <w:rPr>
              <w:rFonts w:hint="eastAsia" w:asciiTheme="majorEastAsia" w:hAnsiTheme="majorEastAsia" w:eastAsiaTheme="majorEastAsia" w:cstheme="majorEastAsia"/>
              <w:color w:val="auto"/>
              <w:szCs w:val="24"/>
            </w:rPr>
            <w:fldChar w:fldCharType="begin"/>
          </w:r>
          <w:r>
            <w:rPr>
              <w:rFonts w:hint="eastAsia" w:asciiTheme="majorEastAsia" w:hAnsiTheme="majorEastAsia" w:eastAsiaTheme="majorEastAsia" w:cstheme="majorEastAsia"/>
              <w:color w:val="auto"/>
              <w:szCs w:val="24"/>
            </w:rPr>
            <w:instrText xml:space="preserve"> HYPERLINK \l _Toc1268 </w:instrText>
          </w:r>
          <w:r>
            <w:rPr>
              <w:rFonts w:hint="eastAsia" w:asciiTheme="majorEastAsia" w:hAnsiTheme="majorEastAsia" w:eastAsiaTheme="majorEastAsia" w:cstheme="majorEastAsia"/>
              <w:color w:val="auto"/>
              <w:szCs w:val="24"/>
            </w:rPr>
            <w:fldChar w:fldCharType="separate"/>
          </w:r>
          <w:r>
            <w:rPr>
              <w:rFonts w:hint="eastAsia" w:ascii="Times New Roman" w:hAnsi="Times New Roman" w:cs="Times New Roman" w:eastAsiaTheme="minorEastAsia"/>
              <w:color w:val="auto"/>
            </w:rPr>
            <w:t>8.3  保温免拆模板系统节能工程</w:t>
          </w:r>
          <w:r>
            <w:rPr>
              <w:color w:val="auto"/>
            </w:rPr>
            <w:tab/>
          </w:r>
          <w:r>
            <w:rPr>
              <w:color w:val="auto"/>
            </w:rPr>
            <w:fldChar w:fldCharType="begin"/>
          </w:r>
          <w:r>
            <w:rPr>
              <w:color w:val="auto"/>
            </w:rPr>
            <w:instrText xml:space="preserve"> PAGEREF _Toc1268 \h </w:instrText>
          </w:r>
          <w:r>
            <w:rPr>
              <w:color w:val="auto"/>
            </w:rPr>
            <w:fldChar w:fldCharType="separate"/>
          </w:r>
          <w:r>
            <w:rPr>
              <w:color w:val="auto"/>
            </w:rPr>
            <w:t>80</w:t>
          </w:r>
          <w:r>
            <w:rPr>
              <w:color w:val="auto"/>
            </w:rPr>
            <w:fldChar w:fldCharType="end"/>
          </w:r>
          <w:r>
            <w:rPr>
              <w:rFonts w:hint="eastAsia" w:asciiTheme="majorEastAsia" w:hAnsiTheme="majorEastAsia" w:eastAsiaTheme="majorEastAsia" w:cstheme="majorEastAsia"/>
              <w:color w:val="auto"/>
              <w:szCs w:val="24"/>
            </w:rPr>
            <w:fldChar w:fldCharType="end"/>
          </w:r>
        </w:p>
        <w:p w14:paraId="7C0E15AD">
          <w:pPr>
            <w:adjustRightInd w:val="0"/>
            <w:snapToGrid w:val="0"/>
            <w:spacing w:line="480" w:lineRule="auto"/>
            <w:rPr>
              <w:rFonts w:hint="eastAsia" w:asciiTheme="majorEastAsia" w:hAnsiTheme="majorEastAsia" w:eastAsiaTheme="majorEastAsia" w:cstheme="majorEastAsia"/>
              <w:color w:val="auto"/>
              <w:sz w:val="24"/>
              <w:szCs w:val="24"/>
            </w:rPr>
          </w:pPr>
          <w:r>
            <w:rPr>
              <w:rFonts w:hint="eastAsia" w:asciiTheme="majorEastAsia" w:hAnsiTheme="majorEastAsia" w:eastAsiaTheme="majorEastAsia" w:cstheme="majorEastAsia"/>
              <w:color w:val="auto"/>
              <w:szCs w:val="24"/>
            </w:rPr>
            <w:fldChar w:fldCharType="end"/>
          </w:r>
        </w:p>
      </w:sdtContent>
    </w:sdt>
    <w:p w14:paraId="78201CD1">
      <w:pPr>
        <w:rPr>
          <w:rFonts w:ascii="Times New Roman" w:cs="Times New Roman"/>
          <w:b/>
          <w:color w:val="auto"/>
          <w:sz w:val="28"/>
        </w:rPr>
        <w:sectPr>
          <w:footerReference r:id="rId4" w:type="default"/>
          <w:pgSz w:w="11906" w:h="16838"/>
          <w:pgMar w:top="1440" w:right="1800" w:bottom="1440" w:left="1800" w:header="851" w:footer="992" w:gutter="0"/>
          <w:pgNumType w:fmt="upperRoman" w:start="1"/>
          <w:cols w:space="425" w:num="1"/>
          <w:docGrid w:type="lines" w:linePitch="312" w:charSpace="0"/>
        </w:sectPr>
      </w:pPr>
    </w:p>
    <w:p w14:paraId="674595C4">
      <w:pPr>
        <w:pStyle w:val="4"/>
        <w:jc w:val="center"/>
        <w:rPr>
          <w:rFonts w:ascii="Times New Roman" w:hAnsi="Times New Roman" w:cs="Times New Roman"/>
          <w:color w:val="auto"/>
          <w:sz w:val="28"/>
        </w:rPr>
      </w:pPr>
      <w:bookmarkStart w:id="0" w:name="_Toc6676"/>
      <w:bookmarkStart w:id="1" w:name="_Toc3499"/>
      <w:bookmarkStart w:id="2" w:name="_Toc187858707"/>
      <w:r>
        <w:rPr>
          <w:rFonts w:ascii="Times New Roman" w:hAnsi="Times New Roman" w:cs="Times New Roman"/>
          <w:color w:val="auto"/>
          <w:sz w:val="28"/>
        </w:rPr>
        <w:t>1</w:t>
      </w:r>
      <w:r>
        <w:rPr>
          <w:rFonts w:ascii="Times New Roman" w:cs="Times New Roman" w:hAnsiTheme="minorEastAsia"/>
          <w:color w:val="auto"/>
          <w:sz w:val="28"/>
        </w:rPr>
        <w:t>总则</w:t>
      </w:r>
      <w:bookmarkEnd w:id="0"/>
      <w:bookmarkEnd w:id="1"/>
      <w:bookmarkEnd w:id="2"/>
    </w:p>
    <w:p w14:paraId="6BEF4A4D">
      <w:pPr>
        <w:spacing w:line="360" w:lineRule="auto"/>
        <w:rPr>
          <w:rFonts w:hint="eastAsia" w:ascii="宋体" w:hAnsi="宋体" w:eastAsia="宋体" w:cs="Times New Roman"/>
          <w:color w:val="auto"/>
          <w:sz w:val="24"/>
          <w:szCs w:val="24"/>
        </w:rPr>
      </w:pPr>
      <w:r>
        <w:rPr>
          <w:rFonts w:hint="eastAsia" w:ascii="宋体" w:hAnsi="宋体" w:eastAsia="宋体" w:cs="Times New Roman"/>
          <w:b/>
          <w:color w:val="auto"/>
          <w:sz w:val="24"/>
          <w:szCs w:val="24"/>
        </w:rPr>
        <w:t>1.0.1</w:t>
      </w:r>
      <w:r>
        <w:rPr>
          <w:rFonts w:hint="eastAsia" w:ascii="宋体" w:hAnsi="宋体" w:eastAsia="宋体" w:cs="Times New Roman"/>
          <w:color w:val="auto"/>
          <w:sz w:val="24"/>
          <w:szCs w:val="24"/>
        </w:rPr>
        <w:t>为规范建筑工程保温免拆</w:t>
      </w:r>
      <w:r>
        <w:rPr>
          <w:rFonts w:hint="eastAsia" w:ascii="Times New Roman" w:cs="Times New Roman"/>
          <w:color w:val="auto"/>
          <w:sz w:val="24"/>
        </w:rPr>
        <w:t>模板</w:t>
      </w:r>
      <w:r>
        <w:rPr>
          <w:rFonts w:hint="eastAsia" w:ascii="宋体" w:hAnsi="宋体" w:eastAsia="宋体" w:cs="Times New Roman"/>
          <w:color w:val="auto"/>
          <w:sz w:val="24"/>
          <w:szCs w:val="24"/>
        </w:rPr>
        <w:t>系统应用，保证工程质量，做到技术先进、经济合理、安全适用，制定本标准。</w:t>
      </w:r>
    </w:p>
    <w:p w14:paraId="4F133E4A">
      <w:pPr>
        <w:spacing w:line="360" w:lineRule="auto"/>
        <w:rPr>
          <w:rFonts w:hint="eastAsia" w:ascii="宋体" w:hAnsi="宋体" w:eastAsia="宋体" w:cs="宋体"/>
          <w:color w:val="auto"/>
          <w:sz w:val="24"/>
          <w:szCs w:val="24"/>
        </w:rPr>
      </w:pPr>
      <w:r>
        <w:rPr>
          <w:rFonts w:hint="eastAsia" w:ascii="宋体" w:hAnsi="宋体" w:eastAsia="宋体" w:cs="宋体"/>
          <w:b/>
          <w:color w:val="auto"/>
          <w:sz w:val="24"/>
          <w:szCs w:val="24"/>
        </w:rPr>
        <w:t>1.0.2</w:t>
      </w:r>
      <w:r>
        <w:rPr>
          <w:rFonts w:hint="eastAsia" w:ascii="宋体" w:hAnsi="宋体" w:eastAsia="宋体" w:cs="宋体"/>
          <w:color w:val="auto"/>
          <w:sz w:val="24"/>
          <w:szCs w:val="24"/>
        </w:rPr>
        <w:t>本规程适用于抗震设防烈度为8度及8度以下地区且建筑高度不大于100m的混凝土建筑外墙采用保温免拆模板系统的设计、施工和质量验收。</w:t>
      </w:r>
    </w:p>
    <w:p w14:paraId="2E58EE53">
      <w:pPr>
        <w:spacing w:line="360" w:lineRule="auto"/>
        <w:rPr>
          <w:rFonts w:hint="eastAsia" w:ascii="宋体" w:hAnsi="宋体" w:eastAsia="宋体" w:cs="宋体"/>
          <w:color w:val="auto"/>
          <w:sz w:val="24"/>
          <w:szCs w:val="24"/>
        </w:rPr>
      </w:pPr>
      <w:r>
        <w:rPr>
          <w:rFonts w:hint="eastAsia" w:ascii="宋体" w:hAnsi="宋体" w:eastAsia="宋体" w:cs="宋体"/>
          <w:b/>
          <w:color w:val="auto"/>
          <w:sz w:val="24"/>
          <w:szCs w:val="24"/>
        </w:rPr>
        <w:t>1.0.3</w:t>
      </w:r>
      <w:r>
        <w:rPr>
          <w:rFonts w:hint="eastAsia" w:ascii="宋体" w:hAnsi="宋体" w:eastAsia="宋体" w:cs="宋体"/>
          <w:color w:val="auto"/>
          <w:sz w:val="24"/>
          <w:szCs w:val="24"/>
        </w:rPr>
        <w:t>保温免拆模板系统的设计、施工与验收除执行本规程外，尚应符合国家、行业和安徽省现行有关标准的规定。</w:t>
      </w:r>
    </w:p>
    <w:p w14:paraId="3C673809">
      <w:pPr>
        <w:pStyle w:val="4"/>
        <w:jc w:val="center"/>
        <w:rPr>
          <w:rFonts w:ascii="Times New Roman" w:hAnsi="Times New Roman" w:cs="Times New Roman"/>
          <w:color w:val="auto"/>
          <w:sz w:val="28"/>
        </w:rPr>
      </w:pPr>
      <w:bookmarkStart w:id="3" w:name="_Toc187858708"/>
      <w:bookmarkStart w:id="4" w:name="_Toc31099"/>
      <w:bookmarkStart w:id="5" w:name="_Toc17927"/>
      <w:r>
        <w:rPr>
          <w:rFonts w:hint="eastAsia" w:ascii="Times New Roman" w:hAnsi="Times New Roman" w:cs="Times New Roman"/>
          <w:color w:val="auto"/>
          <w:sz w:val="28"/>
        </w:rPr>
        <w:t>2</w:t>
      </w:r>
      <w:r>
        <w:rPr>
          <w:rFonts w:ascii="Times New Roman" w:hAnsi="Times New Roman" w:cs="Times New Roman"/>
          <w:color w:val="auto"/>
          <w:sz w:val="28"/>
        </w:rPr>
        <w:t>术语</w:t>
      </w:r>
      <w:bookmarkEnd w:id="3"/>
      <w:bookmarkEnd w:id="4"/>
      <w:bookmarkEnd w:id="5"/>
    </w:p>
    <w:p w14:paraId="4D133584">
      <w:pPr>
        <w:spacing w:line="360" w:lineRule="auto"/>
        <w:rPr>
          <w:rFonts w:hint="eastAsia" w:cs="Times New Roman" w:asciiTheme="minorEastAsia" w:hAnsiTheme="minorEastAsia"/>
          <w:color w:val="auto"/>
          <w:sz w:val="24"/>
        </w:rPr>
      </w:pPr>
      <w:r>
        <w:rPr>
          <w:rFonts w:hint="eastAsia" w:cs="Times New Roman" w:asciiTheme="minorEastAsia" w:hAnsiTheme="minorEastAsia"/>
          <w:b/>
          <w:color w:val="auto"/>
          <w:sz w:val="24"/>
        </w:rPr>
        <w:t>2.0.1</w:t>
      </w:r>
      <w:r>
        <w:rPr>
          <w:rFonts w:cs="Times New Roman" w:asciiTheme="minorEastAsia" w:hAnsiTheme="minorEastAsia"/>
          <w:color w:val="auto"/>
          <w:sz w:val="24"/>
        </w:rPr>
        <w:t>保温免拆模板系统</w:t>
      </w:r>
      <w:r>
        <w:rPr>
          <w:rFonts w:hint="eastAsia" w:cs="Times New Roman" w:asciiTheme="minorEastAsia" w:hAnsiTheme="minorEastAsia"/>
          <w:color w:val="auto"/>
          <w:sz w:val="24"/>
        </w:rPr>
        <w:t xml:space="preserve"> cast-in-situ concrete wall system on thermal insulation template free from demolition </w:t>
      </w:r>
    </w:p>
    <w:p w14:paraId="19296409">
      <w:pPr>
        <w:spacing w:line="360" w:lineRule="auto"/>
        <w:ind w:firstLine="480" w:firstLineChars="200"/>
        <w:rPr>
          <w:rFonts w:hint="eastAsia" w:cs="Times New Roman" w:asciiTheme="minorEastAsia" w:hAnsiTheme="minorEastAsia"/>
          <w:color w:val="auto"/>
          <w:sz w:val="24"/>
        </w:rPr>
      </w:pPr>
      <w:r>
        <w:rPr>
          <w:rFonts w:hint="eastAsia" w:cs="Times New Roman" w:asciiTheme="minorEastAsia" w:hAnsiTheme="minorEastAsia"/>
          <w:bCs/>
          <w:iCs/>
          <w:color w:val="auto"/>
          <w:sz w:val="24"/>
          <w:szCs w:val="24"/>
        </w:rPr>
        <w:t>通过连接锚固件将保温免拆模板与现浇混凝土牢固浇筑在一起形成的无空腔建筑保温与结构一体化构造</w:t>
      </w:r>
      <w:r>
        <w:rPr>
          <w:rFonts w:hint="eastAsia" w:cs="Times New Roman" w:asciiTheme="minorEastAsia" w:hAnsiTheme="minorEastAsia"/>
          <w:color w:val="auto"/>
          <w:sz w:val="24"/>
        </w:rPr>
        <w:t>。</w:t>
      </w:r>
    </w:p>
    <w:p w14:paraId="681092C7">
      <w:pPr>
        <w:adjustRightInd w:val="0"/>
        <w:snapToGrid w:val="0"/>
        <w:spacing w:line="360" w:lineRule="auto"/>
        <w:rPr>
          <w:rFonts w:hint="eastAsia" w:cs="Times New Roman" w:asciiTheme="minorEastAsia" w:hAnsiTheme="minorEastAsia"/>
          <w:color w:val="auto"/>
          <w:sz w:val="24"/>
          <w:szCs w:val="30"/>
        </w:rPr>
      </w:pPr>
      <w:r>
        <w:rPr>
          <w:rFonts w:hint="eastAsia" w:cs="Times New Roman" w:asciiTheme="minorEastAsia" w:hAnsiTheme="minorEastAsia"/>
          <w:b/>
          <w:color w:val="auto"/>
          <w:sz w:val="24"/>
          <w:szCs w:val="30"/>
        </w:rPr>
        <w:t>2.0.2</w:t>
      </w:r>
      <w:r>
        <w:rPr>
          <w:rFonts w:hint="eastAsia" w:cs="Times New Roman" w:asciiTheme="minorEastAsia" w:hAnsiTheme="minorEastAsia"/>
          <w:color w:val="auto"/>
          <w:sz w:val="24"/>
          <w:szCs w:val="30"/>
        </w:rPr>
        <w:t>保温免拆模板 thermal insulation template free from demolition</w:t>
      </w:r>
    </w:p>
    <w:p w14:paraId="6344131C">
      <w:pPr>
        <w:adjustRightInd w:val="0"/>
        <w:snapToGrid w:val="0"/>
        <w:spacing w:line="360" w:lineRule="auto"/>
        <w:ind w:firstLine="480" w:firstLineChars="200"/>
        <w:rPr>
          <w:rFonts w:hint="eastAsia" w:cs="Times New Roman" w:asciiTheme="minorEastAsia" w:hAnsiTheme="minorEastAsia"/>
          <w:color w:val="auto"/>
          <w:sz w:val="24"/>
          <w:szCs w:val="30"/>
        </w:rPr>
      </w:pPr>
      <w:r>
        <w:rPr>
          <w:rFonts w:hint="eastAsia" w:cs="Times New Roman" w:asciiTheme="minorEastAsia" w:hAnsiTheme="minorEastAsia"/>
          <w:color w:val="auto"/>
          <w:sz w:val="24"/>
          <w:szCs w:val="30"/>
        </w:rPr>
        <w:t>经工厂化预制，</w:t>
      </w:r>
      <w:r>
        <w:rPr>
          <w:rFonts w:hint="eastAsia" w:cs="Times New Roman" w:asciiTheme="minorEastAsia" w:hAnsiTheme="minorEastAsia"/>
          <w:bCs/>
          <w:iCs/>
          <w:color w:val="auto"/>
          <w:sz w:val="24"/>
          <w:szCs w:val="24"/>
        </w:rPr>
        <w:t>以不燃复合型保温板或叠合型难燃保温板为芯板，芯板表面或内部复合增强网制成的兼具保温与模板功能的板材，</w:t>
      </w:r>
      <w:r>
        <w:rPr>
          <w:rFonts w:hint="eastAsia" w:cs="Times New Roman" w:asciiTheme="minorEastAsia" w:hAnsiTheme="minorEastAsia"/>
          <w:color w:val="auto"/>
          <w:sz w:val="24"/>
          <w:szCs w:val="30"/>
        </w:rPr>
        <w:t>在现浇混凝土构件施工中主要起模板支撑作用，在建筑使用过程中起保温隔热作用。</w:t>
      </w:r>
    </w:p>
    <w:p w14:paraId="0242E707">
      <w:pPr>
        <w:adjustRightInd w:val="0"/>
        <w:snapToGrid w:val="0"/>
        <w:spacing w:line="360" w:lineRule="auto"/>
        <w:rPr>
          <w:rFonts w:hint="eastAsia" w:cs="Times New Roman" w:asciiTheme="minorEastAsia" w:hAnsiTheme="minorEastAsia"/>
          <w:color w:val="auto"/>
          <w:sz w:val="24"/>
        </w:rPr>
      </w:pPr>
      <w:r>
        <w:rPr>
          <w:rFonts w:hint="eastAsia" w:cs="Times New Roman" w:asciiTheme="minorEastAsia" w:hAnsiTheme="minorEastAsia"/>
          <w:b/>
          <w:color w:val="auto"/>
          <w:sz w:val="24"/>
          <w:szCs w:val="30"/>
        </w:rPr>
        <w:t>2</w:t>
      </w:r>
      <w:r>
        <w:rPr>
          <w:rFonts w:cs="Times New Roman" w:asciiTheme="minorEastAsia" w:hAnsiTheme="minorEastAsia"/>
          <w:b/>
          <w:color w:val="auto"/>
          <w:sz w:val="24"/>
          <w:szCs w:val="30"/>
        </w:rPr>
        <w:t>.0.3</w:t>
      </w:r>
      <w:r>
        <w:rPr>
          <w:rFonts w:hint="eastAsia" w:cs="Times New Roman" w:asciiTheme="minorEastAsia" w:hAnsiTheme="minorEastAsia"/>
          <w:color w:val="auto"/>
          <w:sz w:val="24"/>
        </w:rPr>
        <w:t>复合Ⅰ型保温免拆模板</w:t>
      </w:r>
    </w:p>
    <w:p w14:paraId="391087DA">
      <w:pPr>
        <w:adjustRightInd w:val="0"/>
        <w:snapToGrid w:val="0"/>
        <w:spacing w:line="360" w:lineRule="auto"/>
        <w:ind w:firstLine="480" w:firstLineChars="200"/>
        <w:rPr>
          <w:rFonts w:hint="eastAsia" w:cs="Times New Roman" w:asciiTheme="minorEastAsia" w:hAnsiTheme="minorEastAsia"/>
          <w:color w:val="auto"/>
          <w:sz w:val="24"/>
        </w:rPr>
      </w:pPr>
      <w:r>
        <w:rPr>
          <w:rFonts w:cs="Times New Roman" w:asciiTheme="minorEastAsia" w:hAnsiTheme="minorEastAsia"/>
          <w:color w:val="auto"/>
          <w:sz w:val="24"/>
        </w:rPr>
        <w:t>经工厂化预制，以石墨聚苯乙烯泡沫颗粒为骨料</w:t>
      </w:r>
      <w:r>
        <w:rPr>
          <w:rFonts w:hint="eastAsia" w:cs="Times New Roman" w:asciiTheme="minorEastAsia" w:hAnsiTheme="minorEastAsia"/>
          <w:color w:val="auto"/>
          <w:sz w:val="24"/>
        </w:rPr>
        <w:t>制作的</w:t>
      </w:r>
      <w:r>
        <w:rPr>
          <w:rFonts w:cs="Times New Roman" w:asciiTheme="minorEastAsia" w:hAnsiTheme="minorEastAsia"/>
          <w:color w:val="auto"/>
          <w:sz w:val="24"/>
        </w:rPr>
        <w:t>芯</w:t>
      </w:r>
      <w:r>
        <w:rPr>
          <w:rFonts w:hint="eastAsia" w:cs="Times New Roman" w:asciiTheme="minorEastAsia" w:hAnsiTheme="minorEastAsia"/>
          <w:color w:val="auto"/>
          <w:sz w:val="24"/>
        </w:rPr>
        <w:t>材</w:t>
      </w:r>
      <w:r>
        <w:rPr>
          <w:rFonts w:cs="Times New Roman" w:asciiTheme="minorEastAsia" w:hAnsiTheme="minorEastAsia"/>
          <w:color w:val="auto"/>
          <w:sz w:val="24"/>
        </w:rPr>
        <w:t>，在芯</w:t>
      </w:r>
      <w:r>
        <w:rPr>
          <w:rFonts w:hint="eastAsia" w:cs="Times New Roman" w:asciiTheme="minorEastAsia" w:hAnsiTheme="minorEastAsia"/>
          <w:color w:val="auto"/>
          <w:sz w:val="24"/>
        </w:rPr>
        <w:t>材</w:t>
      </w:r>
      <w:r>
        <w:rPr>
          <w:rFonts w:cs="Times New Roman" w:asciiTheme="minorEastAsia" w:hAnsiTheme="minorEastAsia"/>
          <w:color w:val="auto"/>
          <w:sz w:val="24"/>
        </w:rPr>
        <w:t>两侧表面复合增强网制成的兼具保温与模板功能的板材。</w:t>
      </w:r>
    </w:p>
    <w:p w14:paraId="516ACE87">
      <w:pPr>
        <w:adjustRightInd w:val="0"/>
        <w:snapToGrid w:val="0"/>
        <w:spacing w:line="360" w:lineRule="auto"/>
        <w:rPr>
          <w:rFonts w:hint="eastAsia" w:cs="Times New Roman" w:asciiTheme="minorEastAsia" w:hAnsiTheme="minorEastAsia"/>
          <w:color w:val="auto"/>
          <w:sz w:val="24"/>
        </w:rPr>
      </w:pPr>
      <w:r>
        <w:rPr>
          <w:rFonts w:hint="eastAsia" w:cs="Times New Roman" w:asciiTheme="minorEastAsia" w:hAnsiTheme="minorEastAsia"/>
          <w:b/>
          <w:color w:val="auto"/>
          <w:sz w:val="24"/>
        </w:rPr>
        <w:t>2</w:t>
      </w:r>
      <w:r>
        <w:rPr>
          <w:rFonts w:cs="Times New Roman" w:asciiTheme="minorEastAsia" w:hAnsiTheme="minorEastAsia"/>
          <w:b/>
          <w:color w:val="auto"/>
          <w:sz w:val="24"/>
        </w:rPr>
        <w:t>.0.4</w:t>
      </w:r>
      <w:r>
        <w:rPr>
          <w:rFonts w:hint="eastAsia" w:cs="Times New Roman" w:asciiTheme="minorEastAsia" w:hAnsiTheme="minorEastAsia"/>
          <w:color w:val="auto"/>
          <w:sz w:val="24"/>
        </w:rPr>
        <w:t>复合Ⅱ型保温免拆模板</w:t>
      </w:r>
    </w:p>
    <w:p w14:paraId="6D1AD9B9">
      <w:pPr>
        <w:spacing w:line="360" w:lineRule="auto"/>
        <w:ind w:firstLine="480" w:firstLineChars="200"/>
        <w:jc w:val="left"/>
        <w:rPr>
          <w:rFonts w:hint="eastAsia" w:cs="Times New Roman" w:asciiTheme="minorEastAsia" w:hAnsiTheme="minorEastAsia"/>
          <w:color w:val="auto"/>
          <w:sz w:val="24"/>
        </w:rPr>
      </w:pPr>
      <w:r>
        <w:rPr>
          <w:rFonts w:cs="Times New Roman" w:asciiTheme="minorEastAsia" w:hAnsiTheme="minorEastAsia"/>
          <w:color w:val="auto"/>
          <w:sz w:val="24"/>
        </w:rPr>
        <w:t>经工厂化预制，以石墨</w:t>
      </w:r>
      <w:bookmarkStart w:id="6" w:name="_Hlk177569476"/>
      <w:r>
        <w:rPr>
          <w:rFonts w:cs="Times New Roman" w:asciiTheme="minorEastAsia" w:hAnsiTheme="minorEastAsia"/>
          <w:color w:val="auto"/>
          <w:sz w:val="24"/>
        </w:rPr>
        <w:t>聚苯乙烯泡沫颗粒为骨料</w:t>
      </w:r>
      <w:bookmarkEnd w:id="6"/>
      <w:r>
        <w:rPr>
          <w:rFonts w:cs="Times New Roman" w:asciiTheme="minorEastAsia" w:hAnsiTheme="minorEastAsia"/>
          <w:color w:val="auto"/>
          <w:sz w:val="24"/>
        </w:rPr>
        <w:t>，内置双层热镀锌钢丝网，采用硅质无机胶凝材料经模压加热成型，制成的兼具保温与模板功能的板材。</w:t>
      </w:r>
      <w:r>
        <w:rPr>
          <w:rFonts w:cs="Times New Roman" w:asciiTheme="minorEastAsia" w:hAnsiTheme="minorEastAsia"/>
          <w:color w:val="auto"/>
          <w:sz w:val="24"/>
        </w:rPr>
        <w:br w:type="textWrapping"/>
      </w:r>
      <w:r>
        <w:rPr>
          <w:rFonts w:hint="eastAsia" w:cs="Times New Roman" w:asciiTheme="minorEastAsia" w:hAnsiTheme="minorEastAsia"/>
          <w:b/>
          <w:color w:val="auto"/>
          <w:sz w:val="24"/>
        </w:rPr>
        <w:t>2</w:t>
      </w:r>
      <w:r>
        <w:rPr>
          <w:rFonts w:cs="Times New Roman" w:asciiTheme="minorEastAsia" w:hAnsiTheme="minorEastAsia"/>
          <w:b/>
          <w:color w:val="auto"/>
          <w:sz w:val="24"/>
        </w:rPr>
        <w:t>.0.5</w:t>
      </w:r>
      <w:r>
        <w:rPr>
          <w:rFonts w:hint="eastAsia" w:cs="Times New Roman" w:asciiTheme="minorEastAsia" w:hAnsiTheme="minorEastAsia"/>
          <w:color w:val="auto"/>
          <w:sz w:val="24"/>
        </w:rPr>
        <w:t>叠合型保温免拆模板</w:t>
      </w:r>
    </w:p>
    <w:p w14:paraId="21EE5421">
      <w:pPr>
        <w:spacing w:line="360" w:lineRule="auto"/>
        <w:ind w:firstLine="480" w:firstLineChars="200"/>
        <w:rPr>
          <w:rFonts w:hint="eastAsia" w:cs="Times New Roman" w:asciiTheme="minorEastAsia" w:hAnsiTheme="minorEastAsia"/>
          <w:color w:val="auto"/>
          <w:sz w:val="24"/>
        </w:rPr>
      </w:pPr>
      <w:r>
        <w:rPr>
          <w:rFonts w:cs="Times New Roman" w:asciiTheme="minorEastAsia" w:hAnsiTheme="minorEastAsia"/>
          <w:color w:val="auto"/>
          <w:sz w:val="24"/>
        </w:rPr>
        <w:t>经工厂化预制，以难燃保温板为芯</w:t>
      </w:r>
      <w:r>
        <w:rPr>
          <w:rFonts w:hint="eastAsia" w:cs="Times New Roman" w:asciiTheme="minorEastAsia" w:hAnsiTheme="minorEastAsia"/>
          <w:color w:val="auto"/>
          <w:sz w:val="24"/>
        </w:rPr>
        <w:t>材</w:t>
      </w:r>
      <w:r>
        <w:rPr>
          <w:rFonts w:cs="Times New Roman" w:asciiTheme="minorEastAsia" w:hAnsiTheme="minorEastAsia"/>
          <w:color w:val="auto"/>
          <w:sz w:val="24"/>
        </w:rPr>
        <w:t>，在芯</w:t>
      </w:r>
      <w:r>
        <w:rPr>
          <w:rFonts w:hint="eastAsia" w:cs="Times New Roman" w:asciiTheme="minorEastAsia" w:hAnsiTheme="minorEastAsia"/>
          <w:color w:val="auto"/>
          <w:sz w:val="24"/>
        </w:rPr>
        <w:t>材</w:t>
      </w:r>
      <w:r>
        <w:rPr>
          <w:rFonts w:cs="Times New Roman" w:asciiTheme="minorEastAsia" w:hAnsiTheme="minorEastAsia"/>
          <w:color w:val="auto"/>
          <w:sz w:val="24"/>
        </w:rPr>
        <w:t>的外侧面叠合防火保护层，再在两侧表面复合增强网制成的兼具保温与模板功能的板材</w:t>
      </w:r>
      <w:r>
        <w:rPr>
          <w:rFonts w:hint="eastAsia" w:cs="Times New Roman" w:asciiTheme="minorEastAsia" w:hAnsiTheme="minorEastAsia"/>
          <w:color w:val="auto"/>
          <w:sz w:val="24"/>
        </w:rPr>
        <w:t>。</w:t>
      </w:r>
    </w:p>
    <w:p w14:paraId="2C19AD9D">
      <w:pPr>
        <w:spacing w:line="360" w:lineRule="auto"/>
        <w:rPr>
          <w:rFonts w:hint="eastAsia" w:cs="Times New Roman" w:asciiTheme="minorEastAsia" w:hAnsiTheme="minorEastAsia"/>
          <w:color w:val="auto"/>
          <w:sz w:val="24"/>
        </w:rPr>
      </w:pPr>
      <w:r>
        <w:rPr>
          <w:rFonts w:hint="eastAsia" w:cs="Times New Roman" w:asciiTheme="minorEastAsia" w:hAnsiTheme="minorEastAsia"/>
          <w:b/>
          <w:color w:val="auto"/>
          <w:sz w:val="24"/>
        </w:rPr>
        <w:t>2.0.6</w:t>
      </w:r>
      <w:r>
        <w:rPr>
          <w:rFonts w:hint="eastAsia" w:cs="Times New Roman" w:asciiTheme="minorEastAsia" w:hAnsiTheme="minorEastAsia"/>
          <w:color w:val="auto"/>
          <w:sz w:val="24"/>
        </w:rPr>
        <w:t>专用连接锚固件 s</w:t>
      </w:r>
      <w:r>
        <w:rPr>
          <w:rFonts w:cs="Times New Roman" w:asciiTheme="minorEastAsia" w:hAnsiTheme="minorEastAsia"/>
          <w:color w:val="auto"/>
          <w:sz w:val="24"/>
        </w:rPr>
        <w:t xml:space="preserve">pecialized </w:t>
      </w:r>
      <w:r>
        <w:rPr>
          <w:rFonts w:hint="eastAsia" w:cs="Times New Roman" w:asciiTheme="minorEastAsia" w:hAnsiTheme="minorEastAsia"/>
          <w:color w:val="auto"/>
          <w:sz w:val="24"/>
        </w:rPr>
        <w:t>connector</w:t>
      </w:r>
    </w:p>
    <w:p w14:paraId="309DBC8F">
      <w:pPr>
        <w:spacing w:line="360" w:lineRule="auto"/>
        <w:ind w:firstLine="480" w:firstLineChars="200"/>
        <w:jc w:val="left"/>
        <w:rPr>
          <w:rFonts w:hint="eastAsia" w:cs="宋体" w:asciiTheme="minorEastAsia" w:hAnsiTheme="minorEastAsia"/>
          <w:color w:val="auto"/>
          <w:sz w:val="24"/>
          <w:szCs w:val="24"/>
        </w:rPr>
      </w:pPr>
      <w:r>
        <w:rPr>
          <w:rFonts w:hint="eastAsia" w:cs="宋体" w:asciiTheme="minorEastAsia" w:hAnsiTheme="minorEastAsia"/>
          <w:color w:val="auto"/>
          <w:sz w:val="24"/>
          <w:szCs w:val="24"/>
        </w:rPr>
        <w:t>将保温免拆模板与现浇混凝土构件牢固连接的专用配件，包括塑料连接件和塑料金属组合连接件等。</w:t>
      </w:r>
    </w:p>
    <w:p w14:paraId="3FA7D020">
      <w:pPr>
        <w:spacing w:line="360" w:lineRule="auto"/>
        <w:rPr>
          <w:rFonts w:hint="eastAsia" w:cs="Tahoma" w:asciiTheme="minorEastAsia" w:hAnsiTheme="minorEastAsia"/>
          <w:color w:val="auto"/>
          <w:sz w:val="14"/>
          <w:szCs w:val="14"/>
          <w:shd w:val="clear" w:color="auto" w:fill="F2F2F2"/>
        </w:rPr>
      </w:pPr>
      <w:r>
        <w:rPr>
          <w:rFonts w:hint="eastAsia" w:cs="Times New Roman" w:asciiTheme="minorEastAsia" w:hAnsiTheme="minorEastAsia"/>
          <w:b/>
          <w:color w:val="auto"/>
          <w:sz w:val="24"/>
        </w:rPr>
        <w:t>2.0.7</w:t>
      </w:r>
      <w:r>
        <w:rPr>
          <w:rFonts w:hint="eastAsia" w:cs="Times New Roman" w:asciiTheme="minorEastAsia" w:hAnsiTheme="minorEastAsia"/>
          <w:color w:val="auto"/>
          <w:sz w:val="24"/>
        </w:rPr>
        <w:t>保温砌块 insulation block</w:t>
      </w:r>
    </w:p>
    <w:p w14:paraId="3BEB39E9">
      <w:pPr>
        <w:adjustRightInd w:val="0"/>
        <w:snapToGrid w:val="0"/>
        <w:spacing w:line="360" w:lineRule="auto"/>
        <w:ind w:firstLine="480" w:firstLineChars="200"/>
        <w:rPr>
          <w:rFonts w:hint="eastAsia" w:cs="Times New Roman" w:asciiTheme="minorEastAsia" w:hAnsiTheme="minorEastAsia"/>
          <w:color w:val="auto"/>
          <w:sz w:val="24"/>
          <w:szCs w:val="30"/>
        </w:rPr>
      </w:pPr>
      <w:r>
        <w:rPr>
          <w:rFonts w:hint="eastAsia" w:cs="Times New Roman" w:asciiTheme="minorEastAsia" w:hAnsiTheme="minorEastAsia"/>
          <w:color w:val="auto"/>
          <w:sz w:val="24"/>
          <w:szCs w:val="30"/>
        </w:rPr>
        <w:t>用于建筑物围护结构保温隔热的砌块。</w:t>
      </w:r>
    </w:p>
    <w:p w14:paraId="1455F160">
      <w:pPr>
        <w:spacing w:line="360" w:lineRule="auto"/>
        <w:jc w:val="left"/>
        <w:rPr>
          <w:rFonts w:hint="eastAsia" w:cs="Times New Roman" w:asciiTheme="minorEastAsia" w:hAnsiTheme="minorEastAsia"/>
          <w:color w:val="auto"/>
          <w:sz w:val="24"/>
          <w:szCs w:val="30"/>
        </w:rPr>
      </w:pPr>
      <w:r>
        <w:rPr>
          <w:rFonts w:hint="eastAsia" w:cs="Times New Roman" w:asciiTheme="minorEastAsia" w:hAnsiTheme="minorEastAsia"/>
          <w:b/>
          <w:color w:val="auto"/>
          <w:sz w:val="24"/>
          <w:szCs w:val="30"/>
        </w:rPr>
        <w:t>2.0.8</w:t>
      </w:r>
      <w:r>
        <w:rPr>
          <w:rFonts w:hint="eastAsia" w:cs="Times New Roman" w:asciiTheme="minorEastAsia" w:hAnsiTheme="minorEastAsia"/>
          <w:color w:val="auto"/>
          <w:sz w:val="24"/>
          <w:szCs w:val="30"/>
        </w:rPr>
        <w:t>专用支撑件specialized support components</w:t>
      </w:r>
    </w:p>
    <w:p w14:paraId="6827A008">
      <w:pPr>
        <w:adjustRightInd w:val="0"/>
        <w:snapToGrid w:val="0"/>
        <w:spacing w:line="360" w:lineRule="auto"/>
        <w:ind w:firstLine="480" w:firstLineChars="200"/>
        <w:jc w:val="left"/>
        <w:rPr>
          <w:rFonts w:hint="eastAsia" w:cs="Times New Roman" w:asciiTheme="minorEastAsia" w:hAnsiTheme="minorEastAsia"/>
          <w:color w:val="auto"/>
          <w:sz w:val="24"/>
          <w:szCs w:val="30"/>
        </w:rPr>
      </w:pPr>
      <w:r>
        <w:rPr>
          <w:rFonts w:hint="eastAsia" w:cs="Times New Roman" w:asciiTheme="minorEastAsia" w:hAnsiTheme="minorEastAsia"/>
          <w:color w:val="auto"/>
          <w:sz w:val="24"/>
          <w:szCs w:val="30"/>
        </w:rPr>
        <w:t>用于控制保温免拆模板后浇混凝土厚度的专用装置，包括塑料支撑件和塑料金属组合支撑件等。</w:t>
      </w:r>
    </w:p>
    <w:p w14:paraId="705F92F3">
      <w:pPr>
        <w:adjustRightInd w:val="0"/>
        <w:snapToGrid w:val="0"/>
        <w:spacing w:line="360" w:lineRule="auto"/>
        <w:ind w:firstLine="480" w:firstLineChars="200"/>
        <w:rPr>
          <w:rFonts w:hint="eastAsia" w:cs="Times New Roman" w:asciiTheme="minorEastAsia" w:hAnsiTheme="minorEastAsia"/>
          <w:color w:val="auto"/>
          <w:sz w:val="24"/>
          <w:szCs w:val="30"/>
        </w:rPr>
      </w:pPr>
    </w:p>
    <w:p w14:paraId="7D6C53C7">
      <w:pPr>
        <w:spacing w:line="360" w:lineRule="auto"/>
        <w:ind w:firstLine="480" w:firstLineChars="200"/>
        <w:rPr>
          <w:rFonts w:ascii="Times New Roman" w:cs="Times New Roman"/>
          <w:color w:val="auto"/>
          <w:sz w:val="24"/>
        </w:rPr>
      </w:pPr>
    </w:p>
    <w:p w14:paraId="11BD3D04">
      <w:pPr>
        <w:spacing w:line="360" w:lineRule="auto"/>
        <w:rPr>
          <w:rFonts w:ascii="Times New Roman" w:hAnsi="Times New Roman" w:cs="Times New Roman"/>
          <w:b/>
          <w:color w:val="auto"/>
          <w:sz w:val="28"/>
        </w:rPr>
        <w:sectPr>
          <w:footerReference r:id="rId5" w:type="default"/>
          <w:pgSz w:w="11906" w:h="16838"/>
          <w:pgMar w:top="1440" w:right="1800" w:bottom="1440" w:left="1800" w:header="851" w:footer="992" w:gutter="0"/>
          <w:cols w:space="425" w:num="1"/>
          <w:docGrid w:type="lines" w:linePitch="312" w:charSpace="0"/>
        </w:sectPr>
      </w:pPr>
    </w:p>
    <w:p w14:paraId="65A833F0">
      <w:pPr>
        <w:pStyle w:val="4"/>
        <w:jc w:val="center"/>
        <w:rPr>
          <w:rFonts w:ascii="Times New Roman" w:hAnsi="Times New Roman" w:cs="Times New Roman"/>
          <w:color w:val="auto"/>
          <w:sz w:val="28"/>
        </w:rPr>
      </w:pPr>
      <w:bookmarkStart w:id="7" w:name="_Toc187858709"/>
      <w:bookmarkStart w:id="8" w:name="_Toc32509"/>
      <w:bookmarkStart w:id="9" w:name="_Toc16747"/>
      <w:bookmarkStart w:id="10" w:name="_Toc11942"/>
      <w:bookmarkStart w:id="11" w:name="_Toc19092"/>
      <w:bookmarkStart w:id="12" w:name="_Toc1477"/>
      <w:r>
        <w:rPr>
          <w:rFonts w:hint="eastAsia" w:ascii="Times New Roman" w:hAnsi="Times New Roman" w:cs="Times New Roman"/>
          <w:color w:val="auto"/>
          <w:sz w:val="28"/>
        </w:rPr>
        <w:t>3.基本规定</w:t>
      </w:r>
      <w:bookmarkEnd w:id="7"/>
      <w:bookmarkEnd w:id="8"/>
      <w:bookmarkEnd w:id="9"/>
    </w:p>
    <w:p w14:paraId="69034AFB">
      <w:pPr>
        <w:spacing w:line="360" w:lineRule="auto"/>
        <w:rPr>
          <w:rFonts w:hint="eastAsia" w:cs="Times New Roman" w:asciiTheme="minorEastAsia" w:hAnsiTheme="minorEastAsia"/>
          <w:color w:val="auto"/>
          <w:sz w:val="24"/>
        </w:rPr>
      </w:pPr>
      <w:r>
        <w:rPr>
          <w:rFonts w:hint="eastAsia" w:cs="Times New Roman" w:asciiTheme="minorEastAsia" w:hAnsiTheme="minorEastAsia"/>
          <w:b/>
          <w:color w:val="auto"/>
          <w:sz w:val="24"/>
        </w:rPr>
        <w:t>3.0.1</w:t>
      </w:r>
      <w:r>
        <w:rPr>
          <w:rFonts w:hint="eastAsia" w:cs="Times New Roman" w:asciiTheme="minorEastAsia" w:hAnsiTheme="minorEastAsia"/>
          <w:color w:val="auto"/>
          <w:sz w:val="24"/>
        </w:rPr>
        <w:t>保温免拆模板系统应与现浇混凝土构件同步设计、同步施工和同步验收。</w:t>
      </w:r>
    </w:p>
    <w:p w14:paraId="40311315">
      <w:pPr>
        <w:spacing w:line="360" w:lineRule="auto"/>
        <w:rPr>
          <w:rFonts w:hint="eastAsia" w:cs="Times New Roman" w:asciiTheme="minorEastAsia" w:hAnsiTheme="minorEastAsia"/>
          <w:color w:val="auto"/>
          <w:sz w:val="24"/>
        </w:rPr>
      </w:pPr>
      <w:r>
        <w:rPr>
          <w:rFonts w:hint="eastAsia" w:cs="Times New Roman" w:asciiTheme="minorEastAsia" w:hAnsiTheme="minorEastAsia"/>
          <w:b/>
          <w:color w:val="auto"/>
          <w:sz w:val="24"/>
        </w:rPr>
        <w:t>3.0.2</w:t>
      </w:r>
      <w:r>
        <w:rPr>
          <w:rFonts w:hint="eastAsia" w:cs="Times New Roman" w:asciiTheme="minorEastAsia" w:hAnsiTheme="minorEastAsia"/>
          <w:color w:val="auto"/>
          <w:sz w:val="24"/>
        </w:rPr>
        <w:t>保温免拆模板及其附属配件所用材料应</w:t>
      </w:r>
      <w:r>
        <w:rPr>
          <w:rFonts w:cs="Times New Roman" w:asciiTheme="minorEastAsia" w:hAnsiTheme="minorEastAsia"/>
          <w:color w:val="auto"/>
          <w:sz w:val="24"/>
        </w:rPr>
        <w:t>符合相关标准要求，其热工性能和防火</w:t>
      </w:r>
      <w:r>
        <w:rPr>
          <w:rFonts w:hint="eastAsia" w:cs="Times New Roman" w:asciiTheme="minorEastAsia" w:hAnsiTheme="minorEastAsia"/>
          <w:color w:val="auto"/>
          <w:sz w:val="24"/>
        </w:rPr>
        <w:t>、防水等</w:t>
      </w:r>
      <w:r>
        <w:rPr>
          <w:rFonts w:cs="Times New Roman" w:asciiTheme="minorEastAsia" w:hAnsiTheme="minorEastAsia"/>
          <w:color w:val="auto"/>
          <w:sz w:val="24"/>
        </w:rPr>
        <w:t>技术要求</w:t>
      </w:r>
      <w:r>
        <w:rPr>
          <w:rFonts w:hint="eastAsia" w:cs="Times New Roman" w:asciiTheme="minorEastAsia" w:hAnsiTheme="minorEastAsia"/>
          <w:color w:val="auto"/>
          <w:sz w:val="24"/>
        </w:rPr>
        <w:t>应符合国家和地方现行相关标准规定。</w:t>
      </w:r>
    </w:p>
    <w:p w14:paraId="335777E9">
      <w:pPr>
        <w:spacing w:line="360" w:lineRule="auto"/>
        <w:rPr>
          <w:rFonts w:hint="eastAsia" w:cs="Times New Roman" w:asciiTheme="minorEastAsia" w:hAnsiTheme="minorEastAsia"/>
          <w:color w:val="auto"/>
          <w:sz w:val="24"/>
        </w:rPr>
      </w:pPr>
      <w:r>
        <w:rPr>
          <w:rFonts w:hint="eastAsia" w:cs="Times New Roman" w:asciiTheme="minorEastAsia" w:hAnsiTheme="minorEastAsia"/>
          <w:b/>
          <w:color w:val="auto"/>
          <w:sz w:val="24"/>
        </w:rPr>
        <w:t>3.0.3</w:t>
      </w:r>
      <w:r>
        <w:rPr>
          <w:rFonts w:hint="eastAsia" w:cs="Times New Roman" w:asciiTheme="minorEastAsia" w:hAnsiTheme="minorEastAsia"/>
          <w:color w:val="auto"/>
          <w:sz w:val="24"/>
        </w:rPr>
        <w:t>保温免拆模板系统</w:t>
      </w:r>
      <w:r>
        <w:rPr>
          <w:rFonts w:cs="Times New Roman" w:asciiTheme="minorEastAsia" w:hAnsiTheme="minorEastAsia"/>
          <w:color w:val="auto"/>
          <w:sz w:val="24"/>
        </w:rPr>
        <w:t>应符合下列要求：</w:t>
      </w:r>
    </w:p>
    <w:p w14:paraId="563A156E">
      <w:pPr>
        <w:spacing w:line="360" w:lineRule="auto"/>
        <w:ind w:firstLine="480" w:firstLineChars="200"/>
        <w:rPr>
          <w:rFonts w:hint="eastAsia" w:cs="Times New Roman" w:asciiTheme="minorEastAsia" w:hAnsiTheme="minorEastAsia"/>
          <w:color w:val="auto"/>
          <w:sz w:val="24"/>
        </w:rPr>
      </w:pPr>
      <w:r>
        <w:rPr>
          <w:rFonts w:hint="eastAsia" w:cs="Times New Roman" w:asciiTheme="minorEastAsia" w:hAnsiTheme="minorEastAsia"/>
          <w:color w:val="auto"/>
          <w:sz w:val="24"/>
        </w:rPr>
        <w:t xml:space="preserve">1 </w:t>
      </w:r>
      <w:r>
        <w:rPr>
          <w:rFonts w:cs="Times New Roman" w:asciiTheme="minorEastAsia" w:hAnsiTheme="minorEastAsia"/>
          <w:color w:val="auto"/>
          <w:sz w:val="24"/>
        </w:rPr>
        <w:t>能适应基层墙体正常变形</w:t>
      </w:r>
      <w:r>
        <w:rPr>
          <w:rFonts w:hint="eastAsia" w:cs="Times New Roman" w:asciiTheme="minorEastAsia" w:hAnsiTheme="minorEastAsia"/>
          <w:color w:val="auto"/>
          <w:sz w:val="24"/>
        </w:rPr>
        <w:t>，外表面不产生裂缝或空鼓；</w:t>
      </w:r>
    </w:p>
    <w:p w14:paraId="19D235D0">
      <w:pPr>
        <w:spacing w:line="360" w:lineRule="auto"/>
        <w:ind w:firstLine="480" w:firstLineChars="200"/>
        <w:rPr>
          <w:rFonts w:hint="eastAsia" w:cs="Times New Roman" w:asciiTheme="minorEastAsia" w:hAnsiTheme="minorEastAsia"/>
          <w:color w:val="auto"/>
          <w:sz w:val="24"/>
        </w:rPr>
      </w:pPr>
      <w:r>
        <w:rPr>
          <w:rFonts w:hint="eastAsia" w:cs="Times New Roman" w:asciiTheme="minorEastAsia" w:hAnsiTheme="minorEastAsia"/>
          <w:color w:val="auto"/>
          <w:sz w:val="24"/>
        </w:rPr>
        <w:t>2 具有足够的强度、刚度和抗压缩变形能力，满足运输、安装和使用过程要求，并符合现行《混凝土结构工程施工规范》GB50666和行业标准《建筑施工模板安全技术规范》JGJ162的有关规定</w:t>
      </w:r>
      <w:r>
        <w:rPr>
          <w:rFonts w:cs="Times New Roman" w:asciiTheme="minorEastAsia" w:hAnsiTheme="minorEastAsia"/>
          <w:color w:val="auto"/>
          <w:sz w:val="24"/>
        </w:rPr>
        <w:t>；</w:t>
      </w:r>
    </w:p>
    <w:p w14:paraId="66B3983A">
      <w:pPr>
        <w:spacing w:line="360" w:lineRule="auto"/>
        <w:ind w:firstLine="480" w:firstLineChars="200"/>
        <w:rPr>
          <w:rFonts w:hint="eastAsia" w:cs="Times New Roman" w:asciiTheme="minorEastAsia" w:hAnsiTheme="minorEastAsia"/>
          <w:color w:val="auto"/>
          <w:sz w:val="24"/>
        </w:rPr>
      </w:pPr>
      <w:r>
        <w:rPr>
          <w:rFonts w:hint="eastAsia" w:cs="Times New Roman" w:asciiTheme="minorEastAsia" w:hAnsiTheme="minorEastAsia"/>
          <w:color w:val="auto"/>
          <w:sz w:val="24"/>
        </w:rPr>
        <w:t>3 能</w:t>
      </w:r>
      <w:r>
        <w:rPr>
          <w:rFonts w:cs="Times New Roman" w:asciiTheme="minorEastAsia" w:hAnsiTheme="minorEastAsia"/>
          <w:color w:val="auto"/>
          <w:sz w:val="24"/>
        </w:rPr>
        <w:t>长期承受系统自重</w:t>
      </w:r>
      <w:r>
        <w:rPr>
          <w:rFonts w:hint="eastAsia" w:cs="Times New Roman" w:asciiTheme="minorEastAsia" w:hAnsiTheme="minorEastAsia"/>
          <w:color w:val="auto"/>
          <w:sz w:val="24"/>
        </w:rPr>
        <w:t>，</w:t>
      </w:r>
      <w:r>
        <w:rPr>
          <w:rFonts w:cs="Times New Roman" w:asciiTheme="minorEastAsia" w:hAnsiTheme="minorEastAsia"/>
          <w:color w:val="auto"/>
          <w:sz w:val="24"/>
        </w:rPr>
        <w:t>不产生开裂或脱落；</w:t>
      </w:r>
    </w:p>
    <w:p w14:paraId="19E29B76">
      <w:pPr>
        <w:spacing w:line="360" w:lineRule="auto"/>
        <w:ind w:firstLine="480" w:firstLineChars="200"/>
        <w:rPr>
          <w:rFonts w:hint="eastAsia" w:cs="Times New Roman" w:asciiTheme="minorEastAsia" w:hAnsiTheme="minorEastAsia"/>
          <w:color w:val="auto"/>
          <w:sz w:val="24"/>
        </w:rPr>
      </w:pPr>
      <w:r>
        <w:rPr>
          <w:rFonts w:hint="eastAsia" w:cs="Times New Roman" w:asciiTheme="minorEastAsia" w:hAnsiTheme="minorEastAsia"/>
          <w:color w:val="auto"/>
          <w:sz w:val="24"/>
        </w:rPr>
        <w:t xml:space="preserve">4 </w:t>
      </w:r>
      <w:r>
        <w:rPr>
          <w:rFonts w:cs="Times New Roman" w:asciiTheme="minorEastAsia" w:hAnsiTheme="minorEastAsia"/>
          <w:color w:val="auto"/>
          <w:sz w:val="24"/>
        </w:rPr>
        <w:t>能耐受全寿命周期内室外气候长期反复作用而不破坏；</w:t>
      </w:r>
    </w:p>
    <w:p w14:paraId="6EF82DAB">
      <w:pPr>
        <w:spacing w:line="360" w:lineRule="auto"/>
        <w:ind w:firstLine="480" w:firstLineChars="200"/>
        <w:rPr>
          <w:rFonts w:hint="eastAsia" w:cs="Times New Roman" w:asciiTheme="minorEastAsia" w:hAnsiTheme="minorEastAsia"/>
          <w:color w:val="auto"/>
          <w:sz w:val="24"/>
        </w:rPr>
      </w:pPr>
      <w:r>
        <w:rPr>
          <w:rFonts w:hint="eastAsia" w:cs="Times New Roman" w:asciiTheme="minorEastAsia" w:hAnsiTheme="minorEastAsia"/>
          <w:color w:val="auto"/>
          <w:sz w:val="24"/>
        </w:rPr>
        <w:t xml:space="preserve">5 </w:t>
      </w:r>
      <w:r>
        <w:rPr>
          <w:rFonts w:cs="Times New Roman" w:asciiTheme="minorEastAsia" w:hAnsiTheme="minorEastAsia"/>
          <w:color w:val="auto"/>
          <w:sz w:val="24"/>
        </w:rPr>
        <w:t>在规定的设防烈度</w:t>
      </w:r>
      <w:r>
        <w:rPr>
          <w:rFonts w:hint="eastAsia" w:cs="Times New Roman" w:asciiTheme="minorEastAsia" w:hAnsiTheme="minorEastAsia"/>
          <w:color w:val="auto"/>
          <w:sz w:val="24"/>
        </w:rPr>
        <w:t>的地震力作用</w:t>
      </w:r>
      <w:r>
        <w:rPr>
          <w:rFonts w:cs="Times New Roman" w:asciiTheme="minorEastAsia" w:hAnsiTheme="minorEastAsia"/>
          <w:color w:val="auto"/>
          <w:sz w:val="24"/>
        </w:rPr>
        <w:t>下系统不应脱落；</w:t>
      </w:r>
    </w:p>
    <w:p w14:paraId="5A827533">
      <w:pPr>
        <w:spacing w:line="360" w:lineRule="auto"/>
        <w:ind w:firstLine="480" w:firstLineChars="200"/>
        <w:rPr>
          <w:rFonts w:hint="eastAsia" w:cs="Times New Roman" w:asciiTheme="minorEastAsia" w:hAnsiTheme="minorEastAsia"/>
          <w:color w:val="auto"/>
          <w:sz w:val="24"/>
        </w:rPr>
      </w:pPr>
      <w:r>
        <w:rPr>
          <w:rFonts w:hint="eastAsia" w:cs="Times New Roman" w:asciiTheme="minorEastAsia" w:hAnsiTheme="minorEastAsia"/>
          <w:color w:val="auto"/>
          <w:sz w:val="24"/>
        </w:rPr>
        <w:t>6 具备</w:t>
      </w:r>
      <w:r>
        <w:rPr>
          <w:rFonts w:cs="Times New Roman" w:asciiTheme="minorEastAsia" w:hAnsiTheme="minorEastAsia"/>
          <w:color w:val="auto"/>
          <w:sz w:val="24"/>
        </w:rPr>
        <w:t>满足使用要求的</w:t>
      </w:r>
      <w:r>
        <w:rPr>
          <w:rFonts w:hint="eastAsia" w:cs="Times New Roman" w:asciiTheme="minorEastAsia" w:hAnsiTheme="minorEastAsia"/>
          <w:color w:val="auto"/>
          <w:sz w:val="24"/>
        </w:rPr>
        <w:t>防火、</w:t>
      </w:r>
      <w:r>
        <w:rPr>
          <w:rFonts w:cs="Times New Roman" w:asciiTheme="minorEastAsia" w:hAnsiTheme="minorEastAsia"/>
          <w:color w:val="auto"/>
          <w:sz w:val="24"/>
        </w:rPr>
        <w:t>防水</w:t>
      </w:r>
      <w:r>
        <w:rPr>
          <w:rFonts w:hint="eastAsia" w:cs="Times New Roman" w:asciiTheme="minorEastAsia" w:hAnsiTheme="minorEastAsia"/>
          <w:color w:val="auto"/>
          <w:sz w:val="24"/>
        </w:rPr>
        <w:t>、</w:t>
      </w:r>
      <w:r>
        <w:rPr>
          <w:rFonts w:cs="Times New Roman" w:asciiTheme="minorEastAsia" w:hAnsiTheme="minorEastAsia"/>
          <w:color w:val="auto"/>
          <w:sz w:val="24"/>
        </w:rPr>
        <w:t>防渗透</w:t>
      </w:r>
      <w:r>
        <w:rPr>
          <w:rFonts w:hint="eastAsia" w:cs="Times New Roman" w:asciiTheme="minorEastAsia" w:hAnsiTheme="minorEastAsia"/>
          <w:color w:val="auto"/>
          <w:sz w:val="24"/>
        </w:rPr>
        <w:t>、热工</w:t>
      </w:r>
      <w:r>
        <w:rPr>
          <w:rFonts w:cs="Times New Roman" w:asciiTheme="minorEastAsia" w:hAnsiTheme="minorEastAsia"/>
          <w:color w:val="auto"/>
          <w:sz w:val="24"/>
        </w:rPr>
        <w:t>性能</w:t>
      </w:r>
      <w:r>
        <w:rPr>
          <w:rFonts w:hint="eastAsia" w:cs="Times New Roman" w:asciiTheme="minorEastAsia" w:hAnsiTheme="minorEastAsia"/>
          <w:color w:val="auto"/>
          <w:sz w:val="24"/>
        </w:rPr>
        <w:t>，并符合国家、行业和安徽省地方现行标准的规定；</w:t>
      </w:r>
    </w:p>
    <w:p w14:paraId="70160A2D">
      <w:pPr>
        <w:spacing w:line="360" w:lineRule="auto"/>
        <w:ind w:firstLine="480" w:firstLineChars="200"/>
        <w:jc w:val="left"/>
        <w:rPr>
          <w:rFonts w:hint="eastAsia" w:cs="Times New Roman" w:asciiTheme="minorEastAsia" w:hAnsiTheme="minorEastAsia"/>
          <w:color w:val="auto"/>
          <w:sz w:val="24"/>
        </w:rPr>
      </w:pPr>
      <w:r>
        <w:rPr>
          <w:rFonts w:cs="Times New Roman" w:asciiTheme="minorEastAsia" w:hAnsiTheme="minorEastAsia"/>
          <w:color w:val="auto"/>
          <w:sz w:val="24"/>
        </w:rPr>
        <w:t>7</w:t>
      </w:r>
      <w:r>
        <w:rPr>
          <w:rFonts w:hint="eastAsia" w:cs="Times New Roman" w:asciiTheme="minorEastAsia" w:hAnsiTheme="minorEastAsia"/>
          <w:color w:val="auto"/>
          <w:sz w:val="24"/>
        </w:rPr>
        <w:t xml:space="preserve"> </w:t>
      </w:r>
      <w:r>
        <w:rPr>
          <w:rFonts w:cs="Times New Roman" w:asciiTheme="minorEastAsia" w:hAnsiTheme="minorEastAsia"/>
          <w:color w:val="auto"/>
          <w:sz w:val="24"/>
        </w:rPr>
        <w:t>组成材料应具有物理化学稳定性，所有相邻组合材料彼此相容并具有防腐蚀性和防生物侵害能力</w:t>
      </w:r>
      <w:r>
        <w:rPr>
          <w:rFonts w:hint="eastAsia" w:cs="Times New Roman" w:asciiTheme="minorEastAsia" w:hAnsiTheme="minorEastAsia"/>
          <w:color w:val="auto"/>
          <w:sz w:val="24"/>
        </w:rPr>
        <w:t>，所含</w:t>
      </w:r>
      <w:r>
        <w:rPr>
          <w:rFonts w:hint="eastAsia" w:cs="宋体" w:asciiTheme="minorEastAsia" w:hAnsiTheme="minorEastAsia"/>
          <w:color w:val="auto"/>
          <w:sz w:val="24"/>
          <w:szCs w:val="24"/>
        </w:rPr>
        <w:t>有害物质的限量应符合现行国家标准《建筑材料放射性核素限量》</w:t>
      </w:r>
      <w:r>
        <w:rPr>
          <w:rFonts w:cs="Times New Roman" w:asciiTheme="minorEastAsia" w:hAnsiTheme="minorEastAsia"/>
          <w:color w:val="auto"/>
          <w:sz w:val="24"/>
          <w:szCs w:val="24"/>
        </w:rPr>
        <w:t>GB 6566</w:t>
      </w:r>
      <w:r>
        <w:rPr>
          <w:rFonts w:hint="eastAsia" w:cs="宋体" w:asciiTheme="minorEastAsia" w:hAnsiTheme="minorEastAsia"/>
          <w:color w:val="auto"/>
          <w:sz w:val="24"/>
          <w:szCs w:val="24"/>
        </w:rPr>
        <w:t>的规定。</w:t>
      </w:r>
    </w:p>
    <w:p w14:paraId="6C01A6B4">
      <w:pPr>
        <w:spacing w:line="360" w:lineRule="auto"/>
        <w:rPr>
          <w:rFonts w:hint="eastAsia" w:cs="Times New Roman" w:asciiTheme="minorEastAsia" w:hAnsiTheme="minorEastAsia"/>
          <w:color w:val="auto"/>
          <w:sz w:val="24"/>
        </w:rPr>
      </w:pPr>
      <w:r>
        <w:rPr>
          <w:rFonts w:hint="eastAsia" w:cs="Times New Roman" w:asciiTheme="minorEastAsia" w:hAnsiTheme="minorEastAsia"/>
          <w:b/>
          <w:color w:val="auto"/>
          <w:sz w:val="24"/>
        </w:rPr>
        <w:t>3.0.</w:t>
      </w:r>
      <w:r>
        <w:rPr>
          <w:rFonts w:cs="Times New Roman" w:asciiTheme="minorEastAsia" w:hAnsiTheme="minorEastAsia"/>
          <w:b/>
          <w:color w:val="auto"/>
          <w:sz w:val="24"/>
        </w:rPr>
        <w:t>4</w:t>
      </w:r>
      <w:r>
        <w:rPr>
          <w:rFonts w:hint="eastAsia" w:cs="Times New Roman" w:asciiTheme="minorEastAsia" w:hAnsiTheme="minorEastAsia"/>
          <w:color w:val="auto"/>
          <w:sz w:val="24"/>
        </w:rPr>
        <w:t>建筑外围护填充墙宜采用保温砌块。</w:t>
      </w:r>
    </w:p>
    <w:p w14:paraId="5A46BEFB">
      <w:pPr>
        <w:spacing w:line="360" w:lineRule="auto"/>
        <w:jc w:val="left"/>
        <w:rPr>
          <w:rFonts w:hint="eastAsia" w:cs="Times New Roman" w:asciiTheme="minorEastAsia" w:hAnsiTheme="minorEastAsia"/>
          <w:color w:val="auto"/>
          <w:sz w:val="24"/>
          <w:szCs w:val="24"/>
        </w:rPr>
      </w:pPr>
      <w:r>
        <w:rPr>
          <w:rFonts w:hint="eastAsia" w:cs="Times New Roman" w:asciiTheme="minorEastAsia" w:hAnsiTheme="minorEastAsia"/>
          <w:b/>
          <w:color w:val="auto"/>
          <w:sz w:val="24"/>
        </w:rPr>
        <w:t>3.0.</w:t>
      </w:r>
      <w:r>
        <w:rPr>
          <w:rFonts w:cs="Times New Roman" w:asciiTheme="minorEastAsia" w:hAnsiTheme="minorEastAsia"/>
          <w:b/>
          <w:color w:val="auto"/>
          <w:sz w:val="24"/>
        </w:rPr>
        <w:t>5</w:t>
      </w:r>
      <w:r>
        <w:rPr>
          <w:rFonts w:hint="eastAsia" w:cs="Times New Roman" w:asciiTheme="minorEastAsia" w:hAnsiTheme="minorEastAsia"/>
          <w:color w:val="auto"/>
          <w:sz w:val="24"/>
        </w:rPr>
        <w:t xml:space="preserve"> 保温免拆模板建筑保温系统的饰面层宜采用弹性涂料、真石漆、柔性面砖等轻质涂装饰面，不宜采用面砖饰面</w:t>
      </w:r>
      <w:r>
        <w:rPr>
          <w:rFonts w:hint="eastAsia" w:cs="宋体" w:asciiTheme="minorEastAsia" w:hAnsiTheme="minorEastAsia"/>
          <w:color w:val="auto"/>
          <w:sz w:val="24"/>
          <w:szCs w:val="24"/>
        </w:rPr>
        <w:t>。</w:t>
      </w:r>
    </w:p>
    <w:bookmarkEnd w:id="10"/>
    <w:bookmarkEnd w:id="11"/>
    <w:bookmarkEnd w:id="12"/>
    <w:p w14:paraId="1D72120F">
      <w:pPr>
        <w:snapToGrid w:val="0"/>
        <w:jc w:val="left"/>
        <w:rPr>
          <w:rFonts w:hint="eastAsia" w:cs="Times New Roman" w:asciiTheme="minorEastAsia" w:hAnsiTheme="minorEastAsia"/>
          <w:color w:val="auto"/>
          <w:sz w:val="24"/>
        </w:rPr>
      </w:pPr>
      <w:r>
        <w:rPr>
          <w:rFonts w:hint="eastAsia" w:cs="Times New Roman" w:asciiTheme="minorEastAsia" w:hAnsiTheme="minorEastAsia"/>
          <w:b/>
          <w:color w:val="auto"/>
          <w:sz w:val="24"/>
        </w:rPr>
        <w:t>3.0.6</w:t>
      </w:r>
      <w:r>
        <w:rPr>
          <w:rFonts w:hint="eastAsia" w:cs="Times New Roman" w:asciiTheme="minorEastAsia" w:hAnsiTheme="minorEastAsia"/>
          <w:color w:val="auto"/>
          <w:sz w:val="24"/>
        </w:rPr>
        <w:t xml:space="preserve"> 采用反打工艺的预制混凝土保温免拆模板，其设计、制作、施工及质量验收可参照本规程。</w:t>
      </w:r>
    </w:p>
    <w:p w14:paraId="76E713E0">
      <w:pPr>
        <w:snapToGrid w:val="0"/>
        <w:jc w:val="left"/>
        <w:rPr>
          <w:color w:val="auto"/>
        </w:rPr>
        <w:sectPr>
          <w:pgSz w:w="11906" w:h="16838"/>
          <w:pgMar w:top="1440" w:right="1800" w:bottom="1440" w:left="1800" w:header="851" w:footer="992" w:gutter="0"/>
          <w:cols w:space="425" w:num="1"/>
          <w:docGrid w:type="lines" w:linePitch="312" w:charSpace="0"/>
        </w:sectPr>
      </w:pPr>
    </w:p>
    <w:p w14:paraId="2BB6910F">
      <w:pPr>
        <w:pStyle w:val="4"/>
        <w:jc w:val="center"/>
        <w:rPr>
          <w:rFonts w:ascii="Times New Roman" w:hAnsi="Times New Roman" w:cs="Times New Roman"/>
          <w:color w:val="auto"/>
          <w:sz w:val="28"/>
        </w:rPr>
      </w:pPr>
      <w:bookmarkStart w:id="13" w:name="_Toc18296"/>
      <w:bookmarkStart w:id="14" w:name="_Toc8004"/>
      <w:bookmarkStart w:id="15" w:name="_Toc187858710"/>
      <w:r>
        <w:rPr>
          <w:rFonts w:hint="eastAsia" w:ascii="Times New Roman" w:hAnsi="Times New Roman" w:cs="Times New Roman"/>
          <w:color w:val="auto"/>
          <w:sz w:val="28"/>
        </w:rPr>
        <w:t>4</w:t>
      </w:r>
      <w:bookmarkEnd w:id="13"/>
      <w:r>
        <w:rPr>
          <w:rFonts w:hint="eastAsia" w:ascii="Times New Roman" w:hAnsi="Times New Roman" w:cs="Times New Roman"/>
          <w:color w:val="auto"/>
          <w:sz w:val="28"/>
        </w:rPr>
        <w:t>系统及其组成材料</w:t>
      </w:r>
      <w:bookmarkEnd w:id="14"/>
      <w:bookmarkEnd w:id="15"/>
    </w:p>
    <w:p w14:paraId="7576F079">
      <w:pPr>
        <w:pStyle w:val="144"/>
        <w:tabs>
          <w:tab w:val="clear" w:pos="1620"/>
        </w:tabs>
        <w:spacing w:before="312" w:after="312"/>
        <w:rPr>
          <w:color w:val="auto"/>
        </w:rPr>
      </w:pPr>
      <w:bookmarkStart w:id="16" w:name="_Toc184662782"/>
      <w:bookmarkStart w:id="17" w:name="_Toc26962"/>
      <w:bookmarkStart w:id="18" w:name="_Toc53995455"/>
      <w:bookmarkStart w:id="19" w:name="_Toc46331985"/>
      <w:bookmarkStart w:id="20" w:name="_Toc25409"/>
      <w:bookmarkStart w:id="21" w:name="_Toc6201"/>
      <w:bookmarkStart w:id="22" w:name="_Toc55459959"/>
      <w:bookmarkStart w:id="23" w:name="_Toc1296"/>
      <w:bookmarkStart w:id="24" w:name="_Toc53996435"/>
      <w:r>
        <w:rPr>
          <w:rFonts w:hint="eastAsia"/>
          <w:color w:val="auto"/>
        </w:rPr>
        <w:t>4.1  一般规定</w:t>
      </w:r>
      <w:bookmarkEnd w:id="16"/>
      <w:bookmarkEnd w:id="17"/>
      <w:bookmarkEnd w:id="18"/>
      <w:bookmarkEnd w:id="19"/>
      <w:bookmarkEnd w:id="20"/>
      <w:bookmarkEnd w:id="21"/>
      <w:bookmarkEnd w:id="22"/>
      <w:bookmarkEnd w:id="23"/>
      <w:bookmarkEnd w:id="24"/>
    </w:p>
    <w:p w14:paraId="0E415F48">
      <w:pPr>
        <w:autoSpaceDE w:val="0"/>
        <w:autoSpaceDN w:val="0"/>
        <w:adjustRightInd w:val="0"/>
        <w:snapToGrid w:val="0"/>
        <w:spacing w:line="360" w:lineRule="auto"/>
        <w:jc w:val="left"/>
        <w:rPr>
          <w:rFonts w:hint="eastAsia" w:ascii="宋体" w:hAnsi="宋体" w:cs="黑体"/>
          <w:bCs/>
          <w:color w:val="auto"/>
          <w:kern w:val="0"/>
          <w:sz w:val="24"/>
        </w:rPr>
      </w:pPr>
      <w:r>
        <w:rPr>
          <w:rFonts w:ascii="宋体" w:hAnsi="宋体" w:cstheme="minorHAnsi"/>
          <w:b/>
          <w:color w:val="auto"/>
          <w:kern w:val="0"/>
          <w:sz w:val="24"/>
        </w:rPr>
        <w:t>4.1.1</w:t>
      </w:r>
      <w:r>
        <w:rPr>
          <w:rFonts w:hint="eastAsia" w:ascii="宋体" w:hAnsi="宋体" w:cstheme="minorHAnsi"/>
          <w:b/>
          <w:color w:val="auto"/>
          <w:kern w:val="0"/>
          <w:sz w:val="24"/>
        </w:rPr>
        <w:t xml:space="preserve"> </w:t>
      </w:r>
      <w:r>
        <w:rPr>
          <w:rFonts w:hint="eastAsia" w:ascii="宋体" w:hAnsi="宋体" w:cs="黑体"/>
          <w:bCs/>
          <w:color w:val="auto"/>
          <w:kern w:val="0"/>
          <w:sz w:val="24"/>
        </w:rPr>
        <w:t>保温免拆模板系统组成材料及配套产品材料的技术性能与环境指标应满足国家、行业及地方标准的规定。</w:t>
      </w:r>
    </w:p>
    <w:p w14:paraId="2526E813">
      <w:pPr>
        <w:autoSpaceDE w:val="0"/>
        <w:autoSpaceDN w:val="0"/>
        <w:adjustRightInd w:val="0"/>
        <w:snapToGrid w:val="0"/>
        <w:spacing w:line="360" w:lineRule="auto"/>
        <w:jc w:val="left"/>
        <w:rPr>
          <w:rFonts w:hint="eastAsia" w:ascii="宋体" w:hAnsi="宋体" w:cs="黑体"/>
          <w:bCs/>
          <w:color w:val="auto"/>
          <w:kern w:val="0"/>
          <w:sz w:val="24"/>
        </w:rPr>
      </w:pPr>
      <w:r>
        <w:rPr>
          <w:rFonts w:ascii="宋体" w:hAnsi="宋体" w:cstheme="minorHAnsi"/>
          <w:b/>
          <w:color w:val="auto"/>
          <w:kern w:val="0"/>
          <w:sz w:val="24"/>
        </w:rPr>
        <w:t>4.1.2</w:t>
      </w:r>
      <w:r>
        <w:rPr>
          <w:rFonts w:hint="eastAsia" w:ascii="宋体" w:hAnsi="宋体" w:cstheme="minorHAnsi"/>
          <w:b/>
          <w:color w:val="auto"/>
          <w:kern w:val="0"/>
          <w:sz w:val="24"/>
        </w:rPr>
        <w:t xml:space="preserve"> </w:t>
      </w:r>
      <w:r>
        <w:rPr>
          <w:rFonts w:hint="eastAsia" w:ascii="宋体" w:hAnsi="宋体" w:cs="黑体"/>
          <w:bCs/>
          <w:color w:val="auto"/>
          <w:kern w:val="0"/>
          <w:sz w:val="24"/>
        </w:rPr>
        <w:t>保温免拆模板系统的热工性能应符合现行国家有关节能标准的规定。</w:t>
      </w:r>
    </w:p>
    <w:p w14:paraId="55992CC0">
      <w:pPr>
        <w:autoSpaceDE w:val="0"/>
        <w:autoSpaceDN w:val="0"/>
        <w:adjustRightInd w:val="0"/>
        <w:snapToGrid w:val="0"/>
        <w:spacing w:line="360" w:lineRule="auto"/>
        <w:jc w:val="left"/>
        <w:rPr>
          <w:rFonts w:hint="eastAsia" w:ascii="宋体" w:hAnsi="宋体" w:cs="黑体"/>
          <w:bCs/>
          <w:color w:val="auto"/>
          <w:kern w:val="0"/>
          <w:sz w:val="24"/>
        </w:rPr>
      </w:pPr>
      <w:r>
        <w:rPr>
          <w:rFonts w:hint="eastAsia" w:ascii="宋体" w:hAnsi="宋体" w:cstheme="minorHAnsi"/>
          <w:b/>
          <w:color w:val="auto"/>
          <w:kern w:val="0"/>
          <w:sz w:val="24"/>
        </w:rPr>
        <w:t>4.1.3</w:t>
      </w:r>
      <w:r>
        <w:rPr>
          <w:rStyle w:val="93"/>
          <w:rFonts w:hint="eastAsia"/>
          <w:color w:val="auto"/>
        </w:rPr>
        <w:t xml:space="preserve"> </w:t>
      </w:r>
      <w:r>
        <w:rPr>
          <w:rFonts w:hint="eastAsia" w:ascii="宋体" w:hAnsi="宋体" w:cs="宋体"/>
          <w:bCs/>
          <w:color w:val="auto"/>
          <w:sz w:val="24"/>
        </w:rPr>
        <w:t>叠合型保温免拆模板，应采用不燃材料在其外侧表面设置防护层，其厚度应符合现行国家标准</w:t>
      </w:r>
      <w:r>
        <w:rPr>
          <w:rFonts w:hint="eastAsia" w:ascii="宋体" w:hAnsi="宋体" w:cs="黑体"/>
          <w:bCs/>
          <w:color w:val="auto"/>
          <w:kern w:val="0"/>
          <w:sz w:val="24"/>
        </w:rPr>
        <w:t>《建筑设计防火规范》GB 50016的有关规定。</w:t>
      </w:r>
    </w:p>
    <w:p w14:paraId="6E3579A6">
      <w:pPr>
        <w:autoSpaceDE w:val="0"/>
        <w:autoSpaceDN w:val="0"/>
        <w:adjustRightInd w:val="0"/>
        <w:snapToGrid w:val="0"/>
        <w:spacing w:line="360" w:lineRule="auto"/>
        <w:jc w:val="left"/>
        <w:rPr>
          <w:rFonts w:hint="eastAsia" w:ascii="宋体" w:hAnsi="宋体" w:cs="宋体"/>
          <w:bCs/>
          <w:color w:val="auto"/>
          <w:sz w:val="24"/>
        </w:rPr>
      </w:pPr>
      <w:r>
        <w:rPr>
          <w:rFonts w:hint="eastAsia" w:ascii="宋体" w:hAnsi="宋体" w:cstheme="minorHAnsi"/>
          <w:b/>
          <w:color w:val="auto"/>
          <w:kern w:val="0"/>
          <w:sz w:val="24"/>
        </w:rPr>
        <w:t>4.1.4</w:t>
      </w:r>
      <w:r>
        <w:rPr>
          <w:rFonts w:hint="eastAsia" w:ascii="宋体" w:hAnsi="宋体" w:cs="宋体"/>
          <w:bCs/>
          <w:color w:val="auto"/>
          <w:sz w:val="24"/>
        </w:rPr>
        <w:t xml:space="preserve"> 用于保温免拆模板的保温板应符合以下规定：</w:t>
      </w:r>
    </w:p>
    <w:p w14:paraId="7C23720C">
      <w:pPr>
        <w:autoSpaceDE w:val="0"/>
        <w:autoSpaceDN w:val="0"/>
        <w:adjustRightInd w:val="0"/>
        <w:snapToGrid w:val="0"/>
        <w:spacing w:line="360" w:lineRule="auto"/>
        <w:ind w:firstLine="482" w:firstLineChars="200"/>
        <w:jc w:val="left"/>
        <w:rPr>
          <w:rFonts w:hint="eastAsia" w:ascii="宋体" w:hAnsi="宋体" w:cs="宋体"/>
          <w:bCs/>
          <w:color w:val="auto"/>
          <w:sz w:val="24"/>
        </w:rPr>
      </w:pPr>
      <w:r>
        <w:rPr>
          <w:rFonts w:hint="eastAsia" w:ascii="宋体" w:hAnsi="宋体" w:cs="宋体"/>
          <w:b/>
          <w:color w:val="auto"/>
          <w:sz w:val="24"/>
        </w:rPr>
        <w:t xml:space="preserve">1 </w:t>
      </w:r>
      <w:r>
        <w:rPr>
          <w:rFonts w:hint="eastAsia" w:ascii="宋体" w:hAnsi="宋体" w:cs="宋体"/>
          <w:color w:val="auto"/>
          <w:sz w:val="24"/>
        </w:rPr>
        <w:t>复合Ⅰ型保温免拆模板</w:t>
      </w:r>
      <w:r>
        <w:rPr>
          <w:rFonts w:hint="eastAsia" w:cs="宋体" w:asciiTheme="minorEastAsia" w:hAnsiTheme="minorEastAsia"/>
          <w:color w:val="auto"/>
          <w:sz w:val="24"/>
        </w:rPr>
        <w:t>中的</w:t>
      </w:r>
      <w:r>
        <w:rPr>
          <w:rFonts w:hint="eastAsia" w:cs="宋体" w:asciiTheme="minorEastAsia" w:hAnsiTheme="minorEastAsia"/>
          <w:bCs/>
          <w:color w:val="auto"/>
          <w:sz w:val="24"/>
        </w:rPr>
        <w:t>保温板成型制作工艺应采用水硬性胶凝材料</w:t>
      </w:r>
      <w:r>
        <w:rPr>
          <w:rFonts w:hint="eastAsia" w:ascii="宋体" w:hAnsi="宋体" w:cs="宋体"/>
          <w:bCs/>
          <w:color w:val="auto"/>
          <w:sz w:val="24"/>
        </w:rPr>
        <w:t>；</w:t>
      </w:r>
    </w:p>
    <w:p w14:paraId="785A2B12">
      <w:pPr>
        <w:autoSpaceDE w:val="0"/>
        <w:autoSpaceDN w:val="0"/>
        <w:adjustRightInd w:val="0"/>
        <w:snapToGrid w:val="0"/>
        <w:spacing w:line="360" w:lineRule="auto"/>
        <w:ind w:firstLine="482" w:firstLineChars="200"/>
        <w:jc w:val="left"/>
        <w:rPr>
          <w:rFonts w:hint="eastAsia" w:ascii="宋体" w:hAnsi="宋体" w:cs="宋体"/>
          <w:bCs/>
          <w:color w:val="auto"/>
          <w:sz w:val="24"/>
        </w:rPr>
      </w:pPr>
      <w:r>
        <w:rPr>
          <w:rFonts w:hint="eastAsia" w:ascii="宋体" w:hAnsi="宋体" w:cs="宋体"/>
          <w:b/>
          <w:color w:val="auto"/>
          <w:sz w:val="24"/>
        </w:rPr>
        <w:t xml:space="preserve">2 </w:t>
      </w:r>
      <w:r>
        <w:rPr>
          <w:rFonts w:hint="eastAsia" w:ascii="宋体" w:hAnsi="宋体" w:cs="宋体"/>
          <w:color w:val="auto"/>
          <w:sz w:val="24"/>
        </w:rPr>
        <w:t>叠合型保温免拆模板中的</w:t>
      </w:r>
      <w:r>
        <w:rPr>
          <w:rFonts w:hint="eastAsia" w:ascii="宋体" w:hAnsi="宋体" w:cs="宋体"/>
          <w:bCs/>
          <w:color w:val="auto"/>
          <w:sz w:val="24"/>
        </w:rPr>
        <w:t>挤塑聚苯板应在自然条件下陈化不少于2</w:t>
      </w:r>
      <w:r>
        <w:rPr>
          <w:rFonts w:ascii="宋体" w:hAnsi="宋体" w:cs="宋体"/>
          <w:bCs/>
          <w:color w:val="auto"/>
          <w:sz w:val="24"/>
        </w:rPr>
        <w:t>8d</w:t>
      </w:r>
      <w:r>
        <w:rPr>
          <w:rFonts w:hint="eastAsia" w:ascii="宋体" w:hAnsi="宋体" w:cs="宋体"/>
          <w:bCs/>
          <w:color w:val="auto"/>
          <w:sz w:val="24"/>
        </w:rPr>
        <w:t>，使用时应在两面</w:t>
      </w:r>
      <w:r>
        <w:rPr>
          <w:rFonts w:hint="eastAsia" w:ascii="宋体" w:hAnsi="宋体" w:eastAsia="宋体" w:cs="楷体"/>
          <w:color w:val="auto"/>
          <w:sz w:val="24"/>
          <w:szCs w:val="24"/>
        </w:rPr>
        <w:t>拉毛并</w:t>
      </w:r>
      <w:r>
        <w:rPr>
          <w:rFonts w:hint="eastAsia" w:ascii="宋体" w:hAnsi="宋体" w:cs="宋体"/>
          <w:bCs/>
          <w:color w:val="auto"/>
          <w:sz w:val="24"/>
        </w:rPr>
        <w:t>满涂界面处理剂。</w:t>
      </w:r>
    </w:p>
    <w:p w14:paraId="23611B1E">
      <w:pPr>
        <w:autoSpaceDE w:val="0"/>
        <w:autoSpaceDN w:val="0"/>
        <w:adjustRightInd w:val="0"/>
        <w:snapToGrid w:val="0"/>
        <w:spacing w:line="360" w:lineRule="auto"/>
        <w:jc w:val="left"/>
        <w:rPr>
          <w:rFonts w:hint="eastAsia" w:ascii="宋体" w:hAnsi="宋体" w:cs="黑体"/>
          <w:bCs/>
          <w:color w:val="auto"/>
          <w:kern w:val="0"/>
          <w:sz w:val="24"/>
        </w:rPr>
      </w:pPr>
      <w:bookmarkStart w:id="25" w:name="_Toc46331986"/>
      <w:bookmarkStart w:id="26" w:name="_Hlk51575369"/>
      <w:r>
        <w:rPr>
          <w:rFonts w:hint="eastAsia" w:ascii="宋体" w:hAnsi="宋体" w:cstheme="minorHAnsi"/>
          <w:b/>
          <w:color w:val="auto"/>
          <w:kern w:val="0"/>
          <w:sz w:val="24"/>
        </w:rPr>
        <w:t xml:space="preserve">4.1.5 </w:t>
      </w:r>
      <w:r>
        <w:rPr>
          <w:rFonts w:hint="eastAsia" w:ascii="宋体" w:hAnsi="宋体" w:cs="宋体"/>
          <w:bCs/>
          <w:color w:val="auto"/>
          <w:sz w:val="24"/>
        </w:rPr>
        <w:t>保温免拆模板</w:t>
      </w:r>
      <w:r>
        <w:rPr>
          <w:rFonts w:hint="eastAsia" w:ascii="宋体" w:hAnsi="宋体" w:cs="黑体"/>
          <w:bCs/>
          <w:color w:val="auto"/>
          <w:kern w:val="0"/>
          <w:sz w:val="24"/>
        </w:rPr>
        <w:t>系统及主要组成材料的型式检验项目应为本标准所列技术指标。</w:t>
      </w:r>
      <w:bookmarkEnd w:id="25"/>
      <w:bookmarkEnd w:id="26"/>
    </w:p>
    <w:p w14:paraId="6D938792">
      <w:pPr>
        <w:pStyle w:val="144"/>
        <w:tabs>
          <w:tab w:val="clear" w:pos="1620"/>
        </w:tabs>
        <w:spacing w:before="312" w:after="312"/>
        <w:rPr>
          <w:color w:val="auto"/>
          <w:u w:val="single"/>
        </w:rPr>
      </w:pPr>
      <w:bookmarkStart w:id="27" w:name="_Hlk42849599"/>
      <w:bookmarkStart w:id="28" w:name="_Toc7024"/>
      <w:bookmarkStart w:id="29" w:name="_Toc184662783"/>
      <w:bookmarkStart w:id="30" w:name="_Toc29710"/>
      <w:bookmarkStart w:id="31" w:name="_Toc20356"/>
      <w:bookmarkStart w:id="32" w:name="_Toc15398"/>
      <w:bookmarkStart w:id="33" w:name="_Toc406579123"/>
      <w:bookmarkStart w:id="34" w:name="_Toc407031898"/>
      <w:bookmarkStart w:id="35" w:name="_Hlk43716061"/>
      <w:bookmarkStart w:id="36" w:name="_Toc368863691"/>
      <w:bookmarkStart w:id="37" w:name="_Toc369186768"/>
      <w:bookmarkStart w:id="38" w:name="_Toc370477356"/>
      <w:bookmarkStart w:id="39" w:name="_Toc406581814"/>
      <w:bookmarkStart w:id="40" w:name="_Toc400622053"/>
      <w:r>
        <w:rPr>
          <w:rFonts w:hint="eastAsia"/>
          <w:color w:val="auto"/>
        </w:rPr>
        <w:t>4.</w:t>
      </w:r>
      <w:bookmarkEnd w:id="27"/>
      <w:r>
        <w:rPr>
          <w:rFonts w:hint="eastAsia"/>
          <w:color w:val="auto"/>
        </w:rPr>
        <w:t>2系统性能要求</w:t>
      </w:r>
      <w:bookmarkEnd w:id="28"/>
      <w:bookmarkEnd w:id="29"/>
      <w:bookmarkEnd w:id="30"/>
      <w:bookmarkEnd w:id="31"/>
      <w:bookmarkEnd w:id="32"/>
    </w:p>
    <w:bookmarkEnd w:id="33"/>
    <w:bookmarkEnd w:id="34"/>
    <w:bookmarkEnd w:id="35"/>
    <w:bookmarkEnd w:id="36"/>
    <w:bookmarkEnd w:id="37"/>
    <w:bookmarkEnd w:id="38"/>
    <w:bookmarkEnd w:id="39"/>
    <w:bookmarkEnd w:id="40"/>
    <w:p w14:paraId="6B06D7B8">
      <w:pPr>
        <w:autoSpaceDE w:val="0"/>
        <w:autoSpaceDN w:val="0"/>
        <w:adjustRightInd w:val="0"/>
        <w:snapToGrid w:val="0"/>
        <w:spacing w:line="360" w:lineRule="auto"/>
        <w:jc w:val="left"/>
        <w:rPr>
          <w:rFonts w:hint="eastAsia" w:ascii="宋体" w:hAnsi="宋体" w:cs="黑体"/>
          <w:bCs/>
          <w:color w:val="auto"/>
          <w:kern w:val="0"/>
          <w:sz w:val="24"/>
        </w:rPr>
      </w:pPr>
      <w:bookmarkStart w:id="41" w:name="_Toc53996436"/>
      <w:bookmarkStart w:id="42" w:name="_Toc20628"/>
      <w:bookmarkStart w:id="43" w:name="_Toc53995456"/>
      <w:bookmarkStart w:id="44" w:name="_Toc55459960"/>
      <w:bookmarkStart w:id="45" w:name="_Toc29071"/>
      <w:bookmarkStart w:id="46" w:name="_Toc28749"/>
      <w:r>
        <w:rPr>
          <w:rFonts w:hint="eastAsia" w:ascii="宋体" w:hAnsi="宋体" w:cstheme="minorHAnsi"/>
          <w:b/>
          <w:color w:val="auto"/>
          <w:kern w:val="0"/>
          <w:sz w:val="24"/>
        </w:rPr>
        <w:t>4.2.</w:t>
      </w:r>
      <w:r>
        <w:rPr>
          <w:rFonts w:ascii="宋体" w:hAnsi="宋体" w:cstheme="minorHAnsi"/>
          <w:b/>
          <w:color w:val="auto"/>
          <w:kern w:val="0"/>
          <w:sz w:val="24"/>
        </w:rPr>
        <w:t>1</w:t>
      </w:r>
      <w:bookmarkStart w:id="47" w:name="_Hlk42849902"/>
      <w:r>
        <w:rPr>
          <w:rFonts w:hint="eastAsia" w:ascii="宋体" w:hAnsi="宋体" w:cstheme="minorHAnsi"/>
          <w:b/>
          <w:color w:val="auto"/>
          <w:kern w:val="0"/>
          <w:sz w:val="24"/>
        </w:rPr>
        <w:t xml:space="preserve"> </w:t>
      </w:r>
      <w:r>
        <w:rPr>
          <w:rFonts w:hint="eastAsia" w:ascii="宋体" w:hAnsi="宋体" w:cs="黑体"/>
          <w:bCs/>
          <w:color w:val="auto"/>
          <w:kern w:val="0"/>
          <w:sz w:val="24"/>
        </w:rPr>
        <w:t>保温免拆模板保温系统性能应符合《外墙外保温工程技术标准》JGJ144-2019中4.0.2及4.0.3条规定的性能要求。</w:t>
      </w:r>
    </w:p>
    <w:bookmarkEnd w:id="47"/>
    <w:p w14:paraId="1693B0B6">
      <w:pPr>
        <w:spacing w:line="300" w:lineRule="auto"/>
        <w:rPr>
          <w:rFonts w:hint="eastAsia" w:ascii="宋体" w:hAnsi="宋体" w:cs="黑体"/>
          <w:bCs/>
          <w:color w:val="auto"/>
          <w:kern w:val="0"/>
          <w:sz w:val="24"/>
        </w:rPr>
      </w:pPr>
      <w:r>
        <w:rPr>
          <w:rFonts w:hint="eastAsia" w:ascii="宋体" w:hAnsi="宋体" w:cs="黑体"/>
          <w:b/>
          <w:color w:val="auto"/>
          <w:kern w:val="0"/>
          <w:sz w:val="24"/>
        </w:rPr>
        <w:t>4.2.2</w:t>
      </w:r>
      <w:r>
        <w:rPr>
          <w:rFonts w:hint="eastAsia" w:ascii="宋体" w:hAnsi="宋体" w:cs="黑体"/>
          <w:bCs/>
          <w:color w:val="auto"/>
          <w:kern w:val="0"/>
          <w:sz w:val="24"/>
        </w:rPr>
        <w:t>模板系统应具有足够的承载能力、刚度和稳定性，能可靠地承受新浇筑混凝土的重量、侧压力以及施工荷载和风荷载，并应符合国家标准《混凝土结构工程施工质量验收规范》</w:t>
      </w:r>
      <w:bookmarkStart w:id="48" w:name="OLE_LINK1"/>
      <w:bookmarkStart w:id="49" w:name="OLE_LINK2"/>
      <w:r>
        <w:rPr>
          <w:rFonts w:hint="eastAsia" w:ascii="宋体" w:hAnsi="宋体" w:cs="黑体"/>
          <w:bCs/>
          <w:color w:val="auto"/>
          <w:kern w:val="0"/>
          <w:sz w:val="24"/>
        </w:rPr>
        <w:t>GB 50204</w:t>
      </w:r>
      <w:bookmarkEnd w:id="48"/>
      <w:bookmarkEnd w:id="49"/>
      <w:r>
        <w:rPr>
          <w:rFonts w:hint="eastAsia" w:ascii="宋体" w:hAnsi="宋体" w:cs="黑体"/>
          <w:bCs/>
          <w:color w:val="auto"/>
          <w:kern w:val="0"/>
          <w:sz w:val="24"/>
        </w:rPr>
        <w:t>的规定。</w:t>
      </w:r>
    </w:p>
    <w:p w14:paraId="05C7CA0F">
      <w:pPr>
        <w:pStyle w:val="144"/>
        <w:tabs>
          <w:tab w:val="clear" w:pos="1620"/>
        </w:tabs>
        <w:spacing w:before="312" w:after="312"/>
        <w:rPr>
          <w:color w:val="auto"/>
          <w:u w:val="single"/>
        </w:rPr>
      </w:pPr>
      <w:bookmarkStart w:id="50" w:name="_Toc5427"/>
      <w:bookmarkStart w:id="51" w:name="_Toc184662784"/>
      <w:r>
        <w:rPr>
          <w:rFonts w:hint="eastAsia"/>
          <w:color w:val="auto"/>
        </w:rPr>
        <w:t>4.3  保温免拆模板性能要求</w:t>
      </w:r>
      <w:bookmarkEnd w:id="41"/>
      <w:bookmarkEnd w:id="42"/>
      <w:bookmarkEnd w:id="43"/>
      <w:bookmarkEnd w:id="44"/>
      <w:bookmarkEnd w:id="45"/>
      <w:bookmarkEnd w:id="46"/>
      <w:bookmarkEnd w:id="50"/>
      <w:bookmarkEnd w:id="51"/>
    </w:p>
    <w:p w14:paraId="1F0F58F1">
      <w:pPr>
        <w:tabs>
          <w:tab w:val="left" w:pos="3969"/>
        </w:tabs>
        <w:snapToGrid w:val="0"/>
        <w:spacing w:line="520" w:lineRule="exact"/>
        <w:rPr>
          <w:rFonts w:hint="eastAsia" w:ascii="宋体" w:hAnsi="宋体" w:cs="黑体"/>
          <w:bCs/>
          <w:color w:val="auto"/>
          <w:kern w:val="0"/>
          <w:sz w:val="24"/>
        </w:rPr>
      </w:pPr>
      <w:r>
        <w:rPr>
          <w:rFonts w:hint="eastAsia" w:ascii="宋体" w:hAnsi="宋体" w:cs="黑体"/>
          <w:b/>
          <w:color w:val="auto"/>
          <w:kern w:val="0"/>
          <w:sz w:val="24"/>
        </w:rPr>
        <w:t>4.3.1</w:t>
      </w:r>
      <w:r>
        <w:rPr>
          <w:rFonts w:hint="eastAsia" w:ascii="宋体" w:hAnsi="宋体" w:cs="黑体"/>
          <w:bCs/>
          <w:color w:val="auto"/>
          <w:kern w:val="0"/>
          <w:sz w:val="24"/>
        </w:rPr>
        <w:t>保温免拆模板的主要性能指标应符合表4.3.1的规定。</w:t>
      </w:r>
    </w:p>
    <w:p w14:paraId="5441C037">
      <w:pPr>
        <w:spacing w:line="360" w:lineRule="auto"/>
        <w:jc w:val="center"/>
        <w:rPr>
          <w:rFonts w:hint="eastAsia" w:ascii="宋体" w:hAnsi="宋体"/>
          <w:b/>
          <w:color w:val="auto"/>
          <w:szCs w:val="21"/>
        </w:rPr>
      </w:pPr>
      <w:r>
        <w:rPr>
          <w:rFonts w:hint="eastAsia" w:ascii="宋体" w:hAnsi="宋体"/>
          <w:b/>
          <w:color w:val="auto"/>
          <w:szCs w:val="21"/>
        </w:rPr>
        <w:t>表4.3.1  保温免拆模板性能指标</w:t>
      </w:r>
    </w:p>
    <w:tbl>
      <w:tblPr>
        <w:tblStyle w:val="88"/>
        <w:tblW w:w="8523"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600"/>
        <w:gridCol w:w="970"/>
        <w:gridCol w:w="649"/>
        <w:gridCol w:w="1013"/>
        <w:gridCol w:w="1663"/>
        <w:gridCol w:w="1628"/>
      </w:tblGrid>
      <w:tr w14:paraId="15D4E1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58" w:hRule="atLeast"/>
        </w:trPr>
        <w:tc>
          <w:tcPr>
            <w:tcW w:w="2600" w:type="dxa"/>
            <w:vMerge w:val="restart"/>
            <w:shd w:val="clear" w:color="auto" w:fill="auto"/>
            <w:vAlign w:val="center"/>
          </w:tcPr>
          <w:p w14:paraId="3A03D692">
            <w:pPr>
              <w:jc w:val="center"/>
              <w:rPr>
                <w:rFonts w:ascii="Times New Roman" w:hAnsi="Times New Roman"/>
                <w:color w:val="auto"/>
                <w:szCs w:val="21"/>
              </w:rPr>
            </w:pPr>
            <w:r>
              <w:rPr>
                <w:rFonts w:ascii="Times New Roman" w:hAnsi="Times New Roman"/>
                <w:color w:val="auto"/>
                <w:szCs w:val="21"/>
              </w:rPr>
              <w:t>项目</w:t>
            </w:r>
          </w:p>
        </w:tc>
        <w:tc>
          <w:tcPr>
            <w:tcW w:w="970" w:type="dxa"/>
            <w:vMerge w:val="restart"/>
            <w:shd w:val="clear" w:color="auto" w:fill="auto"/>
            <w:vAlign w:val="center"/>
          </w:tcPr>
          <w:p w14:paraId="629DB6CC">
            <w:pPr>
              <w:jc w:val="center"/>
              <w:rPr>
                <w:rFonts w:ascii="Times New Roman" w:hAnsi="Times New Roman"/>
                <w:color w:val="auto"/>
                <w:szCs w:val="21"/>
              </w:rPr>
            </w:pPr>
            <w:r>
              <w:rPr>
                <w:rFonts w:ascii="Times New Roman" w:hAnsi="Times New Roman"/>
                <w:color w:val="auto"/>
                <w:szCs w:val="21"/>
              </w:rPr>
              <w:t>单位</w:t>
            </w:r>
          </w:p>
        </w:tc>
        <w:tc>
          <w:tcPr>
            <w:tcW w:w="3325" w:type="dxa"/>
            <w:gridSpan w:val="3"/>
            <w:shd w:val="clear" w:color="auto" w:fill="auto"/>
            <w:vAlign w:val="center"/>
          </w:tcPr>
          <w:p w14:paraId="0DA67C3F">
            <w:pPr>
              <w:jc w:val="center"/>
              <w:rPr>
                <w:rFonts w:ascii="Times New Roman" w:hAnsi="Times New Roman"/>
                <w:color w:val="auto"/>
                <w:szCs w:val="21"/>
              </w:rPr>
            </w:pPr>
            <w:r>
              <w:rPr>
                <w:rFonts w:ascii="Times New Roman" w:hAnsi="Times New Roman"/>
                <w:color w:val="auto"/>
                <w:szCs w:val="21"/>
              </w:rPr>
              <w:t>性能指标</w:t>
            </w:r>
          </w:p>
        </w:tc>
        <w:tc>
          <w:tcPr>
            <w:tcW w:w="1628" w:type="dxa"/>
            <w:vMerge w:val="restart"/>
            <w:shd w:val="clear" w:color="auto" w:fill="auto"/>
            <w:vAlign w:val="center"/>
          </w:tcPr>
          <w:p w14:paraId="1CC38828">
            <w:pPr>
              <w:jc w:val="center"/>
              <w:rPr>
                <w:rFonts w:ascii="Times New Roman" w:hAnsi="Times New Roman"/>
                <w:color w:val="auto"/>
                <w:szCs w:val="21"/>
              </w:rPr>
            </w:pPr>
            <w:r>
              <w:rPr>
                <w:rFonts w:ascii="Times New Roman" w:hAnsi="Times New Roman"/>
                <w:color w:val="auto"/>
                <w:szCs w:val="21"/>
              </w:rPr>
              <w:t>试验方法</w:t>
            </w:r>
          </w:p>
        </w:tc>
      </w:tr>
      <w:tr w14:paraId="46785C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57" w:hRule="atLeast"/>
        </w:trPr>
        <w:tc>
          <w:tcPr>
            <w:tcW w:w="2600" w:type="dxa"/>
            <w:vMerge w:val="continue"/>
            <w:shd w:val="clear" w:color="auto" w:fill="auto"/>
            <w:vAlign w:val="center"/>
          </w:tcPr>
          <w:p w14:paraId="70FD94B9">
            <w:pPr>
              <w:jc w:val="center"/>
              <w:rPr>
                <w:rFonts w:ascii="Times New Roman" w:hAnsi="Times New Roman"/>
                <w:color w:val="auto"/>
                <w:szCs w:val="21"/>
              </w:rPr>
            </w:pPr>
          </w:p>
        </w:tc>
        <w:tc>
          <w:tcPr>
            <w:tcW w:w="970" w:type="dxa"/>
            <w:vMerge w:val="continue"/>
            <w:shd w:val="clear" w:color="auto" w:fill="auto"/>
            <w:vAlign w:val="center"/>
          </w:tcPr>
          <w:p w14:paraId="250BEC2F">
            <w:pPr>
              <w:jc w:val="center"/>
              <w:rPr>
                <w:rFonts w:ascii="Times New Roman" w:hAnsi="Times New Roman"/>
                <w:color w:val="auto"/>
                <w:szCs w:val="21"/>
              </w:rPr>
            </w:pPr>
          </w:p>
        </w:tc>
        <w:tc>
          <w:tcPr>
            <w:tcW w:w="1662" w:type="dxa"/>
            <w:gridSpan w:val="2"/>
            <w:shd w:val="clear" w:color="auto" w:fill="auto"/>
            <w:vAlign w:val="center"/>
          </w:tcPr>
          <w:p w14:paraId="63AFF8C2">
            <w:pPr>
              <w:jc w:val="center"/>
              <w:rPr>
                <w:rFonts w:ascii="Times New Roman" w:hAnsi="Times New Roman"/>
                <w:color w:val="auto"/>
                <w:szCs w:val="21"/>
              </w:rPr>
            </w:pPr>
            <w:r>
              <w:rPr>
                <w:rFonts w:ascii="Times New Roman" w:hAnsi="Times New Roman"/>
                <w:color w:val="auto"/>
                <w:szCs w:val="21"/>
              </w:rPr>
              <w:t>复合型</w:t>
            </w:r>
          </w:p>
        </w:tc>
        <w:tc>
          <w:tcPr>
            <w:tcW w:w="1663" w:type="dxa"/>
            <w:shd w:val="clear" w:color="auto" w:fill="auto"/>
            <w:vAlign w:val="center"/>
          </w:tcPr>
          <w:p w14:paraId="36B394FD">
            <w:pPr>
              <w:jc w:val="center"/>
              <w:rPr>
                <w:rFonts w:ascii="Times New Roman" w:hAnsi="Times New Roman"/>
                <w:color w:val="auto"/>
                <w:szCs w:val="21"/>
              </w:rPr>
            </w:pPr>
            <w:r>
              <w:rPr>
                <w:rFonts w:ascii="Times New Roman" w:hAnsi="Times New Roman"/>
                <w:color w:val="auto"/>
                <w:szCs w:val="21"/>
              </w:rPr>
              <w:t>叠合型</w:t>
            </w:r>
          </w:p>
        </w:tc>
        <w:tc>
          <w:tcPr>
            <w:tcW w:w="1628" w:type="dxa"/>
            <w:vMerge w:val="continue"/>
            <w:shd w:val="clear" w:color="auto" w:fill="auto"/>
            <w:vAlign w:val="center"/>
          </w:tcPr>
          <w:p w14:paraId="313F657E">
            <w:pPr>
              <w:jc w:val="center"/>
              <w:rPr>
                <w:rFonts w:ascii="Times New Roman" w:hAnsi="Times New Roman"/>
                <w:color w:val="auto"/>
                <w:szCs w:val="21"/>
              </w:rPr>
            </w:pPr>
          </w:p>
        </w:tc>
      </w:tr>
      <w:tr w14:paraId="56CF05B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90" w:hRule="atLeast"/>
        </w:trPr>
        <w:tc>
          <w:tcPr>
            <w:tcW w:w="2600" w:type="dxa"/>
            <w:shd w:val="clear" w:color="auto" w:fill="auto"/>
            <w:vAlign w:val="center"/>
          </w:tcPr>
          <w:p w14:paraId="03AEBD13">
            <w:pPr>
              <w:jc w:val="center"/>
              <w:rPr>
                <w:rFonts w:ascii="Times New Roman" w:hAnsi="Times New Roman"/>
                <w:color w:val="auto"/>
                <w:szCs w:val="21"/>
              </w:rPr>
            </w:pPr>
            <w:r>
              <w:rPr>
                <w:rFonts w:ascii="Times New Roman" w:hAnsi="Times New Roman"/>
                <w:color w:val="auto"/>
                <w:szCs w:val="21"/>
              </w:rPr>
              <w:t>抗冲击性</w:t>
            </w:r>
          </w:p>
        </w:tc>
        <w:tc>
          <w:tcPr>
            <w:tcW w:w="970" w:type="dxa"/>
            <w:shd w:val="clear" w:color="auto" w:fill="auto"/>
            <w:vAlign w:val="center"/>
          </w:tcPr>
          <w:p w14:paraId="1C69D308">
            <w:pPr>
              <w:jc w:val="center"/>
              <w:rPr>
                <w:rFonts w:ascii="Times New Roman" w:hAnsi="Times New Roman"/>
                <w:color w:val="auto"/>
                <w:szCs w:val="21"/>
              </w:rPr>
            </w:pPr>
            <w:r>
              <w:rPr>
                <w:rFonts w:ascii="Times New Roman" w:hAnsi="Times New Roman"/>
                <w:color w:val="auto"/>
                <w:szCs w:val="21"/>
              </w:rPr>
              <w:t>－</w:t>
            </w:r>
          </w:p>
        </w:tc>
        <w:tc>
          <w:tcPr>
            <w:tcW w:w="3325" w:type="dxa"/>
            <w:gridSpan w:val="3"/>
            <w:shd w:val="clear" w:color="auto" w:fill="auto"/>
            <w:vAlign w:val="center"/>
          </w:tcPr>
          <w:p w14:paraId="5AD6B332">
            <w:pPr>
              <w:jc w:val="center"/>
              <w:rPr>
                <w:rFonts w:ascii="Times New Roman" w:hAnsi="Times New Roman"/>
                <w:color w:val="auto"/>
                <w:szCs w:val="21"/>
              </w:rPr>
            </w:pPr>
            <w:r>
              <w:rPr>
                <w:rFonts w:ascii="Times New Roman" w:hAnsi="Times New Roman"/>
                <w:color w:val="auto"/>
                <w:szCs w:val="21"/>
              </w:rPr>
              <w:t>经5次抗冲击试验后，板面无贯穿裂缝</w:t>
            </w:r>
          </w:p>
        </w:tc>
        <w:tc>
          <w:tcPr>
            <w:tcW w:w="1628" w:type="dxa"/>
            <w:shd w:val="clear" w:color="auto" w:fill="auto"/>
            <w:vAlign w:val="center"/>
          </w:tcPr>
          <w:p w14:paraId="07A74563">
            <w:pPr>
              <w:jc w:val="center"/>
              <w:rPr>
                <w:rFonts w:ascii="Times New Roman" w:hAnsi="Times New Roman"/>
                <w:color w:val="auto"/>
                <w:szCs w:val="21"/>
              </w:rPr>
            </w:pPr>
            <w:r>
              <w:rPr>
                <w:rFonts w:ascii="Times New Roman" w:hAnsi="Times New Roman"/>
                <w:color w:val="auto"/>
                <w:szCs w:val="21"/>
              </w:rPr>
              <w:t>GB/T 30100</w:t>
            </w:r>
          </w:p>
        </w:tc>
      </w:tr>
      <w:tr w14:paraId="441A89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600" w:type="dxa"/>
            <w:shd w:val="clear" w:color="auto" w:fill="auto"/>
            <w:vAlign w:val="center"/>
          </w:tcPr>
          <w:p w14:paraId="055FE02A">
            <w:pPr>
              <w:jc w:val="center"/>
              <w:rPr>
                <w:rFonts w:ascii="Times New Roman" w:hAnsi="Times New Roman"/>
                <w:color w:val="auto"/>
                <w:szCs w:val="21"/>
              </w:rPr>
            </w:pPr>
            <w:r>
              <w:rPr>
                <w:rFonts w:ascii="Times New Roman" w:hAnsi="Times New Roman"/>
                <w:color w:val="auto"/>
                <w:szCs w:val="21"/>
              </w:rPr>
              <w:t>垂直于板面的抗拉强度</w:t>
            </w:r>
          </w:p>
        </w:tc>
        <w:tc>
          <w:tcPr>
            <w:tcW w:w="970" w:type="dxa"/>
            <w:shd w:val="clear" w:color="auto" w:fill="auto"/>
            <w:vAlign w:val="center"/>
          </w:tcPr>
          <w:p w14:paraId="20C64D10">
            <w:pPr>
              <w:jc w:val="center"/>
              <w:rPr>
                <w:rFonts w:ascii="Times New Roman" w:hAnsi="Times New Roman"/>
                <w:color w:val="auto"/>
                <w:szCs w:val="21"/>
              </w:rPr>
            </w:pPr>
            <w:r>
              <w:rPr>
                <w:rFonts w:ascii="Times New Roman" w:hAnsi="Times New Roman"/>
                <w:color w:val="auto"/>
                <w:szCs w:val="21"/>
              </w:rPr>
              <w:t>MPa</w:t>
            </w:r>
          </w:p>
        </w:tc>
        <w:tc>
          <w:tcPr>
            <w:tcW w:w="3325" w:type="dxa"/>
            <w:gridSpan w:val="3"/>
            <w:shd w:val="clear" w:color="auto" w:fill="auto"/>
            <w:vAlign w:val="center"/>
          </w:tcPr>
          <w:p w14:paraId="464B3393">
            <w:pPr>
              <w:jc w:val="center"/>
              <w:rPr>
                <w:rFonts w:hint="eastAsia" w:ascii="宋体" w:hAnsi="宋体" w:eastAsia="宋体"/>
                <w:color w:val="auto"/>
                <w:szCs w:val="21"/>
              </w:rPr>
            </w:pPr>
            <w:r>
              <w:rPr>
                <w:rFonts w:ascii="宋体" w:hAnsi="宋体" w:eastAsia="宋体"/>
                <w:color w:val="auto"/>
                <w:szCs w:val="21"/>
              </w:rPr>
              <w:t>≥0.10</w:t>
            </w:r>
          </w:p>
        </w:tc>
        <w:tc>
          <w:tcPr>
            <w:tcW w:w="1628" w:type="dxa"/>
            <w:shd w:val="clear" w:color="auto" w:fill="auto"/>
            <w:vAlign w:val="center"/>
          </w:tcPr>
          <w:p w14:paraId="3658307B">
            <w:pPr>
              <w:jc w:val="center"/>
              <w:rPr>
                <w:rFonts w:ascii="Times New Roman" w:hAnsi="Times New Roman"/>
                <w:color w:val="auto"/>
                <w:szCs w:val="21"/>
              </w:rPr>
            </w:pPr>
            <w:r>
              <w:rPr>
                <w:rFonts w:ascii="Times New Roman" w:hAnsi="Times New Roman"/>
                <w:color w:val="auto"/>
                <w:szCs w:val="21"/>
              </w:rPr>
              <w:t>JGJ 144</w:t>
            </w:r>
          </w:p>
        </w:tc>
      </w:tr>
      <w:tr w14:paraId="6BC268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600" w:type="dxa"/>
            <w:shd w:val="clear" w:color="auto" w:fill="auto"/>
            <w:vAlign w:val="center"/>
          </w:tcPr>
          <w:p w14:paraId="0CB87359">
            <w:pPr>
              <w:jc w:val="center"/>
              <w:rPr>
                <w:rFonts w:ascii="Times New Roman" w:hAnsi="Times New Roman"/>
                <w:color w:val="auto"/>
                <w:szCs w:val="21"/>
              </w:rPr>
            </w:pPr>
            <w:r>
              <w:rPr>
                <w:rFonts w:hint="eastAsia" w:ascii="Times New Roman" w:hAnsi="Times New Roman"/>
                <w:color w:val="auto"/>
                <w:szCs w:val="21"/>
              </w:rPr>
              <w:t>抗弯</w:t>
            </w:r>
            <w:r>
              <w:rPr>
                <w:rFonts w:ascii="Times New Roman" w:hAnsi="Times New Roman"/>
                <w:color w:val="auto"/>
                <w:szCs w:val="21"/>
              </w:rPr>
              <w:t>荷载</w:t>
            </w:r>
          </w:p>
        </w:tc>
        <w:tc>
          <w:tcPr>
            <w:tcW w:w="970" w:type="dxa"/>
            <w:shd w:val="clear" w:color="auto" w:fill="auto"/>
            <w:vAlign w:val="center"/>
          </w:tcPr>
          <w:p w14:paraId="78E6A6E9">
            <w:pPr>
              <w:jc w:val="center"/>
              <w:rPr>
                <w:rFonts w:ascii="Times New Roman" w:hAnsi="Times New Roman"/>
                <w:color w:val="auto"/>
                <w:szCs w:val="21"/>
              </w:rPr>
            </w:pPr>
            <w:r>
              <w:rPr>
                <w:rFonts w:ascii="Times New Roman" w:hAnsi="Times New Roman"/>
                <w:color w:val="auto"/>
                <w:szCs w:val="21"/>
              </w:rPr>
              <w:t>N</w:t>
            </w:r>
          </w:p>
        </w:tc>
        <w:tc>
          <w:tcPr>
            <w:tcW w:w="1662" w:type="dxa"/>
            <w:gridSpan w:val="2"/>
            <w:shd w:val="clear" w:color="auto" w:fill="auto"/>
            <w:vAlign w:val="center"/>
          </w:tcPr>
          <w:p w14:paraId="6B9CD8A6">
            <w:pPr>
              <w:jc w:val="center"/>
              <w:rPr>
                <w:rFonts w:hint="eastAsia" w:ascii="宋体" w:hAnsi="宋体" w:eastAsia="宋体"/>
                <w:color w:val="auto"/>
                <w:szCs w:val="21"/>
              </w:rPr>
            </w:pPr>
            <w:r>
              <w:rPr>
                <w:rFonts w:ascii="宋体" w:hAnsi="宋体" w:eastAsia="宋体"/>
                <w:color w:val="auto"/>
                <w:szCs w:val="21"/>
              </w:rPr>
              <w:t>≥</w:t>
            </w:r>
            <w:r>
              <w:rPr>
                <w:rFonts w:hint="eastAsia" w:ascii="宋体" w:hAnsi="宋体" w:eastAsia="宋体"/>
                <w:color w:val="auto"/>
                <w:szCs w:val="21"/>
              </w:rPr>
              <w:t>3</w:t>
            </w:r>
            <w:r>
              <w:rPr>
                <w:rFonts w:ascii="宋体" w:hAnsi="宋体" w:eastAsia="宋体"/>
                <w:color w:val="auto"/>
                <w:szCs w:val="21"/>
              </w:rPr>
              <w:t>000</w:t>
            </w:r>
          </w:p>
        </w:tc>
        <w:tc>
          <w:tcPr>
            <w:tcW w:w="1663" w:type="dxa"/>
            <w:shd w:val="clear" w:color="auto" w:fill="auto"/>
            <w:vAlign w:val="center"/>
          </w:tcPr>
          <w:p w14:paraId="53C502FD">
            <w:pPr>
              <w:jc w:val="center"/>
              <w:rPr>
                <w:rFonts w:hint="eastAsia" w:ascii="宋体" w:hAnsi="宋体" w:eastAsia="宋体"/>
                <w:color w:val="auto"/>
                <w:szCs w:val="21"/>
              </w:rPr>
            </w:pPr>
            <w:r>
              <w:rPr>
                <w:rFonts w:ascii="宋体" w:hAnsi="宋体" w:eastAsia="宋体"/>
                <w:color w:val="auto"/>
                <w:szCs w:val="21"/>
              </w:rPr>
              <w:t>≥</w:t>
            </w:r>
            <w:r>
              <w:rPr>
                <w:rFonts w:hint="eastAsia" w:ascii="宋体" w:hAnsi="宋体" w:eastAsia="宋体"/>
                <w:color w:val="auto"/>
                <w:szCs w:val="21"/>
              </w:rPr>
              <w:t>2</w:t>
            </w:r>
            <w:r>
              <w:rPr>
                <w:rFonts w:ascii="宋体" w:hAnsi="宋体" w:eastAsia="宋体"/>
                <w:color w:val="auto"/>
                <w:szCs w:val="21"/>
              </w:rPr>
              <w:t>000</w:t>
            </w:r>
          </w:p>
        </w:tc>
        <w:tc>
          <w:tcPr>
            <w:tcW w:w="1628" w:type="dxa"/>
            <w:shd w:val="clear" w:color="auto" w:fill="auto"/>
            <w:vAlign w:val="center"/>
          </w:tcPr>
          <w:p w14:paraId="32D36A20">
            <w:pPr>
              <w:jc w:val="center"/>
              <w:rPr>
                <w:rFonts w:ascii="Times New Roman" w:hAnsi="Times New Roman"/>
                <w:color w:val="auto"/>
                <w:szCs w:val="21"/>
              </w:rPr>
            </w:pPr>
            <w:r>
              <w:rPr>
                <w:rFonts w:ascii="Times New Roman" w:hAnsi="Times New Roman"/>
                <w:color w:val="auto"/>
                <w:szCs w:val="21"/>
              </w:rPr>
              <w:t xml:space="preserve">GB/T </w:t>
            </w:r>
            <w:r>
              <w:rPr>
                <w:rFonts w:hint="eastAsia" w:ascii="Times New Roman" w:hAnsi="Times New Roman"/>
                <w:color w:val="auto"/>
                <w:szCs w:val="21"/>
              </w:rPr>
              <w:t>19631</w:t>
            </w:r>
          </w:p>
        </w:tc>
      </w:tr>
      <w:tr w14:paraId="2F41D3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600" w:type="dxa"/>
            <w:shd w:val="clear" w:color="auto" w:fill="auto"/>
            <w:vAlign w:val="center"/>
          </w:tcPr>
          <w:p w14:paraId="3AD1A174">
            <w:pPr>
              <w:jc w:val="center"/>
              <w:rPr>
                <w:rFonts w:ascii="Times New Roman" w:hAnsi="Times New Roman"/>
                <w:color w:val="auto"/>
                <w:szCs w:val="21"/>
              </w:rPr>
            </w:pPr>
            <w:r>
              <w:rPr>
                <w:rFonts w:hint="eastAsia" w:ascii="Times New Roman" w:hAnsi="Times New Roman"/>
                <w:color w:val="auto"/>
                <w:szCs w:val="21"/>
              </w:rPr>
              <w:t>均布加载试验</w:t>
            </w:r>
          </w:p>
        </w:tc>
        <w:tc>
          <w:tcPr>
            <w:tcW w:w="970" w:type="dxa"/>
            <w:shd w:val="clear" w:color="auto" w:fill="auto"/>
            <w:vAlign w:val="center"/>
          </w:tcPr>
          <w:p w14:paraId="44E90130">
            <w:pPr>
              <w:jc w:val="center"/>
              <w:rPr>
                <w:rFonts w:ascii="Times New Roman" w:hAnsi="Times New Roman"/>
                <w:color w:val="auto"/>
                <w:szCs w:val="21"/>
              </w:rPr>
            </w:pPr>
            <w:r>
              <w:rPr>
                <w:rFonts w:ascii="Times New Roman" w:hAnsi="Times New Roman"/>
                <w:color w:val="auto"/>
                <w:szCs w:val="21"/>
              </w:rPr>
              <w:t>－</w:t>
            </w:r>
          </w:p>
        </w:tc>
        <w:tc>
          <w:tcPr>
            <w:tcW w:w="3325" w:type="dxa"/>
            <w:gridSpan w:val="3"/>
            <w:shd w:val="clear" w:color="auto" w:fill="auto"/>
            <w:vAlign w:val="center"/>
          </w:tcPr>
          <w:p w14:paraId="6642B613">
            <w:pPr>
              <w:jc w:val="center"/>
              <w:rPr>
                <w:rFonts w:ascii="Times New Roman" w:hAnsi="Times New Roman"/>
                <w:color w:val="auto"/>
                <w:szCs w:val="21"/>
              </w:rPr>
            </w:pPr>
            <w:r>
              <w:rPr>
                <w:rFonts w:ascii="Times New Roman" w:hAnsi="Times New Roman"/>
                <w:color w:val="auto"/>
                <w:szCs w:val="21"/>
              </w:rPr>
              <w:t>不发生破坏</w:t>
            </w:r>
          </w:p>
        </w:tc>
        <w:tc>
          <w:tcPr>
            <w:tcW w:w="1628" w:type="dxa"/>
            <w:shd w:val="clear" w:color="auto" w:fill="auto"/>
            <w:vAlign w:val="center"/>
          </w:tcPr>
          <w:p w14:paraId="0D11B3CD">
            <w:pPr>
              <w:jc w:val="center"/>
              <w:rPr>
                <w:rFonts w:ascii="Times New Roman" w:hAnsi="Times New Roman"/>
                <w:color w:val="auto"/>
                <w:szCs w:val="21"/>
              </w:rPr>
            </w:pPr>
            <w:r>
              <w:rPr>
                <w:rFonts w:ascii="Times New Roman" w:hAnsi="Times New Roman"/>
                <w:color w:val="auto"/>
                <w:szCs w:val="21"/>
              </w:rPr>
              <w:t>GB/T 23450</w:t>
            </w:r>
          </w:p>
        </w:tc>
      </w:tr>
      <w:tr w14:paraId="2CA281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600" w:type="dxa"/>
            <w:shd w:val="clear" w:color="auto" w:fill="auto"/>
            <w:vAlign w:val="center"/>
          </w:tcPr>
          <w:p w14:paraId="7FBE55F3">
            <w:pPr>
              <w:jc w:val="center"/>
              <w:rPr>
                <w:rFonts w:ascii="Times New Roman" w:hAnsi="Times New Roman"/>
                <w:color w:val="auto"/>
                <w:szCs w:val="21"/>
              </w:rPr>
            </w:pPr>
            <w:r>
              <w:rPr>
                <w:rFonts w:hint="eastAsia" w:ascii="Times New Roman" w:hAnsi="Times New Roman"/>
                <w:color w:val="auto"/>
                <w:szCs w:val="21"/>
              </w:rPr>
              <w:t>剪力墙抗震性能</w:t>
            </w:r>
          </w:p>
        </w:tc>
        <w:tc>
          <w:tcPr>
            <w:tcW w:w="970" w:type="dxa"/>
            <w:shd w:val="clear" w:color="auto" w:fill="auto"/>
            <w:vAlign w:val="center"/>
          </w:tcPr>
          <w:p w14:paraId="098CF840">
            <w:pPr>
              <w:jc w:val="center"/>
              <w:rPr>
                <w:rFonts w:ascii="Times New Roman" w:hAnsi="Times New Roman"/>
                <w:color w:val="auto"/>
                <w:szCs w:val="21"/>
              </w:rPr>
            </w:pPr>
            <w:r>
              <w:rPr>
                <w:rFonts w:ascii="Times New Roman" w:hAnsi="Times New Roman"/>
                <w:color w:val="auto"/>
                <w:szCs w:val="21"/>
              </w:rPr>
              <w:t>－</w:t>
            </w:r>
          </w:p>
        </w:tc>
        <w:tc>
          <w:tcPr>
            <w:tcW w:w="3325" w:type="dxa"/>
            <w:gridSpan w:val="3"/>
            <w:shd w:val="clear" w:color="auto" w:fill="auto"/>
            <w:vAlign w:val="center"/>
          </w:tcPr>
          <w:p w14:paraId="32CB6C93">
            <w:pPr>
              <w:jc w:val="center"/>
              <w:rPr>
                <w:rFonts w:ascii="Times New Roman" w:hAnsi="Times New Roman"/>
                <w:color w:val="auto"/>
                <w:szCs w:val="21"/>
              </w:rPr>
            </w:pPr>
            <w:r>
              <w:rPr>
                <w:rFonts w:hint="eastAsia" w:ascii="Times New Roman" w:hAnsi="Times New Roman"/>
                <w:color w:val="auto"/>
                <w:szCs w:val="21"/>
              </w:rPr>
              <w:t>在7度罕遇地震下，保温免拆模板不发生脱落</w:t>
            </w:r>
          </w:p>
        </w:tc>
        <w:tc>
          <w:tcPr>
            <w:tcW w:w="1628" w:type="dxa"/>
            <w:shd w:val="clear" w:color="auto" w:fill="auto"/>
            <w:vAlign w:val="center"/>
          </w:tcPr>
          <w:p w14:paraId="42C67C93">
            <w:pPr>
              <w:jc w:val="center"/>
              <w:rPr>
                <w:rFonts w:ascii="Times New Roman" w:hAnsi="Times New Roman"/>
                <w:color w:val="auto"/>
                <w:szCs w:val="21"/>
              </w:rPr>
            </w:pPr>
            <w:r>
              <w:rPr>
                <w:rFonts w:hint="eastAsia" w:ascii="Times New Roman" w:hAnsi="Times New Roman"/>
                <w:color w:val="auto"/>
                <w:szCs w:val="21"/>
              </w:rPr>
              <w:t>JGJ/T101</w:t>
            </w:r>
          </w:p>
        </w:tc>
      </w:tr>
      <w:tr w14:paraId="0D31FC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600" w:type="dxa"/>
            <w:shd w:val="clear" w:color="auto" w:fill="auto"/>
            <w:vAlign w:val="center"/>
          </w:tcPr>
          <w:p w14:paraId="5D997D91">
            <w:pPr>
              <w:jc w:val="center"/>
              <w:rPr>
                <w:rFonts w:ascii="Times New Roman" w:hAnsi="Times New Roman"/>
                <w:color w:val="auto"/>
                <w:szCs w:val="21"/>
              </w:rPr>
            </w:pPr>
            <w:r>
              <w:rPr>
                <w:rFonts w:hint="eastAsia" w:ascii="Times New Roman" w:hAnsi="Times New Roman"/>
                <w:color w:val="auto"/>
                <w:szCs w:val="21"/>
              </w:rPr>
              <w:t>压缩变形量与受力情况</w:t>
            </w:r>
          </w:p>
        </w:tc>
        <w:tc>
          <w:tcPr>
            <w:tcW w:w="970" w:type="dxa"/>
            <w:shd w:val="clear" w:color="auto" w:fill="auto"/>
            <w:vAlign w:val="center"/>
          </w:tcPr>
          <w:p w14:paraId="506B8EB0">
            <w:pPr>
              <w:jc w:val="center"/>
              <w:rPr>
                <w:rFonts w:ascii="Times New Roman" w:hAnsi="Times New Roman"/>
                <w:color w:val="auto"/>
                <w:szCs w:val="21"/>
              </w:rPr>
            </w:pPr>
            <w:r>
              <w:rPr>
                <w:rFonts w:ascii="Times New Roman" w:hAnsi="Times New Roman"/>
                <w:color w:val="auto"/>
                <w:szCs w:val="21"/>
              </w:rPr>
              <w:t>－</w:t>
            </w:r>
          </w:p>
        </w:tc>
        <w:tc>
          <w:tcPr>
            <w:tcW w:w="3325" w:type="dxa"/>
            <w:gridSpan w:val="3"/>
            <w:shd w:val="clear" w:color="auto" w:fill="auto"/>
            <w:vAlign w:val="center"/>
          </w:tcPr>
          <w:p w14:paraId="14076B70">
            <w:pPr>
              <w:jc w:val="center"/>
              <w:rPr>
                <w:rFonts w:ascii="Times New Roman" w:hAnsi="Times New Roman"/>
                <w:color w:val="auto"/>
                <w:szCs w:val="21"/>
              </w:rPr>
            </w:pPr>
            <w:r>
              <w:rPr>
                <w:rFonts w:hint="eastAsia" w:ascii="Times New Roman" w:hAnsi="Times New Roman"/>
                <w:color w:val="auto"/>
                <w:szCs w:val="21"/>
              </w:rPr>
              <w:t>模板1%变形量时的受力大于1000N</w:t>
            </w:r>
          </w:p>
        </w:tc>
        <w:tc>
          <w:tcPr>
            <w:tcW w:w="1628" w:type="dxa"/>
            <w:shd w:val="clear" w:color="auto" w:fill="auto"/>
            <w:vAlign w:val="center"/>
          </w:tcPr>
          <w:p w14:paraId="4C97FDA8">
            <w:pPr>
              <w:jc w:val="center"/>
              <w:rPr>
                <w:rFonts w:ascii="Times New Roman" w:hAnsi="Times New Roman"/>
                <w:color w:val="auto"/>
                <w:szCs w:val="21"/>
              </w:rPr>
            </w:pPr>
            <w:r>
              <w:rPr>
                <w:rFonts w:hint="eastAsia" w:ascii="Times New Roman" w:hAnsi="Times New Roman"/>
                <w:color w:val="auto"/>
                <w:szCs w:val="21"/>
              </w:rPr>
              <w:t>GB/T 8813</w:t>
            </w:r>
          </w:p>
        </w:tc>
      </w:tr>
      <w:tr w14:paraId="0E6BBD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600" w:type="dxa"/>
            <w:shd w:val="clear" w:color="auto" w:fill="auto"/>
            <w:vAlign w:val="center"/>
          </w:tcPr>
          <w:p w14:paraId="183DD474">
            <w:pPr>
              <w:jc w:val="center"/>
              <w:rPr>
                <w:rFonts w:ascii="Times New Roman" w:hAnsi="Times New Roman"/>
                <w:color w:val="auto"/>
                <w:szCs w:val="21"/>
              </w:rPr>
            </w:pPr>
            <w:r>
              <w:rPr>
                <w:rFonts w:hint="eastAsia" w:ascii="Times New Roman" w:hAnsi="Times New Roman"/>
                <w:color w:val="auto"/>
                <w:szCs w:val="21"/>
              </w:rPr>
              <w:t>压缩弹性模量</w:t>
            </w:r>
          </w:p>
        </w:tc>
        <w:tc>
          <w:tcPr>
            <w:tcW w:w="970" w:type="dxa"/>
            <w:shd w:val="clear" w:color="auto" w:fill="auto"/>
            <w:vAlign w:val="center"/>
          </w:tcPr>
          <w:p w14:paraId="3E64AE92">
            <w:pPr>
              <w:jc w:val="center"/>
              <w:rPr>
                <w:rFonts w:ascii="Times New Roman" w:hAnsi="Times New Roman"/>
                <w:color w:val="auto"/>
                <w:szCs w:val="21"/>
              </w:rPr>
            </w:pPr>
            <w:r>
              <w:rPr>
                <w:rFonts w:hint="eastAsia" w:ascii="Times New Roman" w:hAnsi="Times New Roman"/>
                <w:color w:val="auto"/>
                <w:szCs w:val="21"/>
              </w:rPr>
              <w:t>MPa</w:t>
            </w:r>
          </w:p>
        </w:tc>
        <w:tc>
          <w:tcPr>
            <w:tcW w:w="1662" w:type="dxa"/>
            <w:gridSpan w:val="2"/>
            <w:shd w:val="clear" w:color="auto" w:fill="auto"/>
            <w:vAlign w:val="center"/>
          </w:tcPr>
          <w:p w14:paraId="47B1CC3F">
            <w:pPr>
              <w:jc w:val="center"/>
              <w:rPr>
                <w:rFonts w:ascii="Times New Roman" w:hAnsi="Times New Roman"/>
                <w:color w:val="auto"/>
                <w:szCs w:val="21"/>
              </w:rPr>
            </w:pPr>
            <w:r>
              <w:rPr>
                <w:rFonts w:ascii="宋体" w:hAnsi="宋体" w:eastAsia="宋体"/>
                <w:color w:val="auto"/>
                <w:szCs w:val="21"/>
              </w:rPr>
              <w:t>≥</w:t>
            </w:r>
            <w:r>
              <w:rPr>
                <w:rFonts w:hint="eastAsia" w:ascii="Times New Roman" w:hAnsi="Times New Roman"/>
                <w:color w:val="auto"/>
                <w:szCs w:val="21"/>
              </w:rPr>
              <w:t>20</w:t>
            </w:r>
          </w:p>
        </w:tc>
        <w:tc>
          <w:tcPr>
            <w:tcW w:w="1663" w:type="dxa"/>
            <w:shd w:val="clear" w:color="auto" w:fill="auto"/>
            <w:vAlign w:val="center"/>
          </w:tcPr>
          <w:p w14:paraId="4EF15102">
            <w:pPr>
              <w:jc w:val="center"/>
              <w:rPr>
                <w:rFonts w:ascii="Times New Roman" w:hAnsi="Times New Roman"/>
                <w:color w:val="auto"/>
                <w:szCs w:val="21"/>
              </w:rPr>
            </w:pPr>
            <w:r>
              <w:rPr>
                <w:rFonts w:ascii="宋体" w:hAnsi="宋体" w:eastAsia="宋体"/>
                <w:color w:val="auto"/>
                <w:szCs w:val="21"/>
              </w:rPr>
              <w:t>≥</w:t>
            </w:r>
            <w:r>
              <w:rPr>
                <w:rFonts w:hint="eastAsia" w:ascii="Times New Roman" w:hAnsi="Times New Roman"/>
                <w:color w:val="auto"/>
                <w:szCs w:val="21"/>
              </w:rPr>
              <w:t>15</w:t>
            </w:r>
          </w:p>
        </w:tc>
        <w:tc>
          <w:tcPr>
            <w:tcW w:w="1628" w:type="dxa"/>
            <w:shd w:val="clear" w:color="auto" w:fill="auto"/>
            <w:vAlign w:val="center"/>
          </w:tcPr>
          <w:p w14:paraId="4327EC91">
            <w:pPr>
              <w:jc w:val="center"/>
              <w:rPr>
                <w:rFonts w:ascii="Times New Roman" w:hAnsi="Times New Roman"/>
                <w:color w:val="auto"/>
                <w:szCs w:val="21"/>
              </w:rPr>
            </w:pPr>
            <w:r>
              <w:rPr>
                <w:rFonts w:hint="eastAsia" w:ascii="Times New Roman" w:hAnsi="Times New Roman"/>
                <w:color w:val="auto"/>
                <w:szCs w:val="21"/>
              </w:rPr>
              <w:t>GB/T 8813</w:t>
            </w:r>
          </w:p>
        </w:tc>
      </w:tr>
      <w:tr w14:paraId="4C2ED0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600" w:type="dxa"/>
            <w:shd w:val="clear" w:color="auto" w:fill="auto"/>
            <w:vAlign w:val="center"/>
          </w:tcPr>
          <w:p w14:paraId="5FCE5E85">
            <w:pPr>
              <w:jc w:val="center"/>
              <w:rPr>
                <w:rFonts w:ascii="Times New Roman" w:hAnsi="Times New Roman"/>
                <w:color w:val="auto"/>
                <w:szCs w:val="21"/>
              </w:rPr>
            </w:pPr>
            <w:r>
              <w:rPr>
                <w:rFonts w:hint="eastAsia" w:ascii="Times New Roman" w:hAnsi="Times New Roman"/>
                <w:color w:val="auto"/>
                <w:szCs w:val="21"/>
              </w:rPr>
              <w:t>弯曲强度</w:t>
            </w:r>
          </w:p>
        </w:tc>
        <w:tc>
          <w:tcPr>
            <w:tcW w:w="970" w:type="dxa"/>
            <w:shd w:val="clear" w:color="auto" w:fill="auto"/>
            <w:vAlign w:val="center"/>
          </w:tcPr>
          <w:p w14:paraId="2E557F6D">
            <w:pPr>
              <w:jc w:val="center"/>
              <w:rPr>
                <w:rFonts w:ascii="Times New Roman" w:hAnsi="Times New Roman"/>
                <w:color w:val="auto"/>
                <w:szCs w:val="21"/>
              </w:rPr>
            </w:pPr>
            <w:r>
              <w:rPr>
                <w:rFonts w:hint="eastAsia" w:ascii="Times New Roman" w:hAnsi="Times New Roman"/>
                <w:color w:val="auto"/>
                <w:szCs w:val="21"/>
              </w:rPr>
              <w:t>MPa</w:t>
            </w:r>
          </w:p>
        </w:tc>
        <w:tc>
          <w:tcPr>
            <w:tcW w:w="1662" w:type="dxa"/>
            <w:gridSpan w:val="2"/>
            <w:shd w:val="clear" w:color="auto" w:fill="auto"/>
            <w:vAlign w:val="center"/>
          </w:tcPr>
          <w:p w14:paraId="40C41A6D">
            <w:pPr>
              <w:jc w:val="center"/>
              <w:rPr>
                <w:rFonts w:ascii="Times New Roman" w:hAnsi="Times New Roman" w:eastAsia="宋体" w:cs="Times New Roman"/>
                <w:color w:val="auto"/>
                <w:szCs w:val="21"/>
              </w:rPr>
            </w:pPr>
            <w:r>
              <w:rPr>
                <w:rFonts w:ascii="宋体" w:hAnsi="宋体" w:eastAsia="宋体"/>
                <w:color w:val="auto"/>
                <w:szCs w:val="21"/>
              </w:rPr>
              <w:t>≥</w:t>
            </w:r>
            <w:r>
              <w:rPr>
                <w:rFonts w:hint="eastAsia" w:ascii="Times New Roman" w:hAnsi="Times New Roman" w:eastAsia="宋体" w:cs="Times New Roman"/>
                <w:color w:val="auto"/>
                <w:szCs w:val="21"/>
              </w:rPr>
              <w:t>1.6</w:t>
            </w:r>
          </w:p>
        </w:tc>
        <w:tc>
          <w:tcPr>
            <w:tcW w:w="1663" w:type="dxa"/>
            <w:shd w:val="clear" w:color="auto" w:fill="auto"/>
            <w:vAlign w:val="center"/>
          </w:tcPr>
          <w:p w14:paraId="58EFA1B5">
            <w:pPr>
              <w:jc w:val="center"/>
              <w:rPr>
                <w:rFonts w:ascii="Times New Roman" w:hAnsi="Times New Roman" w:eastAsia="宋体" w:cs="Times New Roman"/>
                <w:color w:val="auto"/>
                <w:szCs w:val="21"/>
              </w:rPr>
            </w:pPr>
            <w:r>
              <w:rPr>
                <w:rFonts w:ascii="宋体" w:hAnsi="宋体" w:eastAsia="宋体"/>
                <w:color w:val="auto"/>
                <w:szCs w:val="21"/>
              </w:rPr>
              <w:t>≥</w:t>
            </w:r>
            <w:r>
              <w:rPr>
                <w:rFonts w:hint="eastAsia" w:ascii="Times New Roman" w:hAnsi="Times New Roman" w:eastAsia="宋体" w:cs="Times New Roman"/>
                <w:color w:val="auto"/>
                <w:szCs w:val="21"/>
              </w:rPr>
              <w:t>1.2</w:t>
            </w:r>
          </w:p>
        </w:tc>
        <w:tc>
          <w:tcPr>
            <w:tcW w:w="1628" w:type="dxa"/>
            <w:shd w:val="clear" w:color="auto" w:fill="auto"/>
            <w:vAlign w:val="center"/>
          </w:tcPr>
          <w:p w14:paraId="3F48B4BF">
            <w:pPr>
              <w:jc w:val="center"/>
              <w:rPr>
                <w:rFonts w:ascii="Times New Roman" w:hAnsi="Times New Roman"/>
                <w:color w:val="auto"/>
                <w:szCs w:val="21"/>
              </w:rPr>
            </w:pPr>
            <w:r>
              <w:rPr>
                <w:rFonts w:hint="eastAsia" w:ascii="Times New Roman" w:hAnsi="Times New Roman"/>
                <w:color w:val="auto"/>
                <w:szCs w:val="21"/>
              </w:rPr>
              <w:t>GB/T 5486</w:t>
            </w:r>
          </w:p>
        </w:tc>
      </w:tr>
      <w:tr w14:paraId="271E44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6" w:hRule="atLeast"/>
        </w:trPr>
        <w:tc>
          <w:tcPr>
            <w:tcW w:w="2600" w:type="dxa"/>
            <w:vMerge w:val="restart"/>
            <w:shd w:val="clear" w:color="auto" w:fill="auto"/>
            <w:vAlign w:val="center"/>
          </w:tcPr>
          <w:p w14:paraId="12627A38">
            <w:pPr>
              <w:jc w:val="center"/>
              <w:rPr>
                <w:rFonts w:ascii="Times New Roman" w:hAnsi="Times New Roman"/>
                <w:color w:val="auto"/>
                <w:szCs w:val="21"/>
              </w:rPr>
            </w:pPr>
            <w:r>
              <w:rPr>
                <w:rFonts w:hint="eastAsia" w:ascii="Times New Roman" w:hAnsi="Times New Roman"/>
                <w:color w:val="auto"/>
                <w:szCs w:val="21"/>
              </w:rPr>
              <w:t>弯曲弹性模量</w:t>
            </w:r>
          </w:p>
        </w:tc>
        <w:tc>
          <w:tcPr>
            <w:tcW w:w="970" w:type="dxa"/>
            <w:vMerge w:val="restart"/>
            <w:shd w:val="clear" w:color="auto" w:fill="auto"/>
            <w:vAlign w:val="center"/>
          </w:tcPr>
          <w:p w14:paraId="4718FF28">
            <w:pPr>
              <w:jc w:val="center"/>
              <w:rPr>
                <w:rFonts w:ascii="Times New Roman" w:hAnsi="Times New Roman"/>
                <w:color w:val="auto"/>
                <w:szCs w:val="21"/>
              </w:rPr>
            </w:pPr>
            <w:r>
              <w:rPr>
                <w:rFonts w:hint="eastAsia" w:ascii="Times New Roman" w:hAnsi="Times New Roman"/>
                <w:color w:val="auto"/>
                <w:szCs w:val="21"/>
              </w:rPr>
              <w:t>MPa</w:t>
            </w:r>
          </w:p>
        </w:tc>
        <w:tc>
          <w:tcPr>
            <w:tcW w:w="649" w:type="dxa"/>
            <w:shd w:val="clear" w:color="auto" w:fill="auto"/>
            <w:vAlign w:val="center"/>
          </w:tcPr>
          <w:p w14:paraId="6D144E94">
            <w:pPr>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Ⅰ型</w:t>
            </w:r>
          </w:p>
        </w:tc>
        <w:tc>
          <w:tcPr>
            <w:tcW w:w="1013" w:type="dxa"/>
            <w:shd w:val="clear" w:color="auto" w:fill="auto"/>
            <w:vAlign w:val="center"/>
          </w:tcPr>
          <w:p w14:paraId="2FD9168A">
            <w:pPr>
              <w:jc w:val="center"/>
              <w:rPr>
                <w:rFonts w:ascii="Times New Roman" w:hAnsi="Times New Roman" w:eastAsia="宋体" w:cs="Times New Roman"/>
                <w:color w:val="auto"/>
                <w:szCs w:val="21"/>
              </w:rPr>
            </w:pPr>
            <w:r>
              <w:rPr>
                <w:rFonts w:ascii="宋体" w:hAnsi="宋体" w:eastAsia="宋体"/>
                <w:color w:val="auto"/>
                <w:szCs w:val="21"/>
              </w:rPr>
              <w:t>≥</w:t>
            </w:r>
            <w:r>
              <w:rPr>
                <w:rFonts w:hint="eastAsia" w:ascii="Times New Roman" w:hAnsi="Times New Roman" w:eastAsia="宋体" w:cs="Times New Roman"/>
                <w:color w:val="auto"/>
                <w:szCs w:val="21"/>
              </w:rPr>
              <w:t>300</w:t>
            </w:r>
          </w:p>
        </w:tc>
        <w:tc>
          <w:tcPr>
            <w:tcW w:w="1663" w:type="dxa"/>
            <w:vMerge w:val="restart"/>
            <w:shd w:val="clear" w:color="auto" w:fill="auto"/>
            <w:vAlign w:val="center"/>
          </w:tcPr>
          <w:p w14:paraId="2C5A77C4">
            <w:pPr>
              <w:jc w:val="center"/>
              <w:rPr>
                <w:rFonts w:ascii="Times New Roman" w:hAnsi="Times New Roman" w:eastAsia="宋体" w:cs="Times New Roman"/>
                <w:color w:val="auto"/>
                <w:szCs w:val="21"/>
              </w:rPr>
            </w:pPr>
            <w:r>
              <w:rPr>
                <w:rFonts w:ascii="宋体" w:hAnsi="宋体" w:eastAsia="宋体"/>
                <w:color w:val="auto"/>
                <w:szCs w:val="21"/>
              </w:rPr>
              <w:t>≥</w:t>
            </w:r>
            <w:r>
              <w:rPr>
                <w:rFonts w:hint="eastAsia" w:ascii="Times New Roman" w:hAnsi="Times New Roman" w:eastAsia="宋体" w:cs="Times New Roman"/>
                <w:color w:val="auto"/>
                <w:szCs w:val="21"/>
              </w:rPr>
              <w:t>120</w:t>
            </w:r>
          </w:p>
        </w:tc>
        <w:tc>
          <w:tcPr>
            <w:tcW w:w="1628" w:type="dxa"/>
            <w:vMerge w:val="restart"/>
            <w:shd w:val="clear" w:color="auto" w:fill="auto"/>
            <w:vAlign w:val="center"/>
          </w:tcPr>
          <w:p w14:paraId="7E340328">
            <w:pPr>
              <w:jc w:val="center"/>
              <w:rPr>
                <w:rFonts w:ascii="Times New Roman" w:hAnsi="Times New Roman"/>
                <w:color w:val="auto"/>
                <w:szCs w:val="21"/>
              </w:rPr>
            </w:pPr>
            <w:r>
              <w:rPr>
                <w:rFonts w:hint="eastAsia" w:ascii="Times New Roman" w:hAnsi="Times New Roman"/>
                <w:color w:val="auto"/>
                <w:szCs w:val="21"/>
              </w:rPr>
              <w:t>GB/T 5486</w:t>
            </w:r>
          </w:p>
        </w:tc>
      </w:tr>
      <w:tr w14:paraId="19A2541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5" w:hRule="atLeast"/>
        </w:trPr>
        <w:tc>
          <w:tcPr>
            <w:tcW w:w="2600" w:type="dxa"/>
            <w:vMerge w:val="continue"/>
            <w:shd w:val="clear" w:color="auto" w:fill="auto"/>
            <w:vAlign w:val="center"/>
          </w:tcPr>
          <w:p w14:paraId="63FD7F96">
            <w:pPr>
              <w:jc w:val="center"/>
              <w:rPr>
                <w:rFonts w:ascii="Times New Roman" w:hAnsi="Times New Roman"/>
                <w:color w:val="auto"/>
                <w:szCs w:val="21"/>
              </w:rPr>
            </w:pPr>
          </w:p>
        </w:tc>
        <w:tc>
          <w:tcPr>
            <w:tcW w:w="970" w:type="dxa"/>
            <w:vMerge w:val="continue"/>
            <w:shd w:val="clear" w:color="auto" w:fill="auto"/>
            <w:vAlign w:val="center"/>
          </w:tcPr>
          <w:p w14:paraId="048AC137">
            <w:pPr>
              <w:jc w:val="center"/>
              <w:rPr>
                <w:rFonts w:ascii="Times New Roman" w:hAnsi="Times New Roman"/>
                <w:color w:val="auto"/>
                <w:szCs w:val="21"/>
              </w:rPr>
            </w:pPr>
          </w:p>
        </w:tc>
        <w:tc>
          <w:tcPr>
            <w:tcW w:w="649" w:type="dxa"/>
            <w:shd w:val="clear" w:color="auto" w:fill="auto"/>
            <w:vAlign w:val="center"/>
          </w:tcPr>
          <w:p w14:paraId="7648BB94">
            <w:pPr>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Ⅱ型</w:t>
            </w:r>
          </w:p>
        </w:tc>
        <w:tc>
          <w:tcPr>
            <w:tcW w:w="1013" w:type="dxa"/>
            <w:shd w:val="clear" w:color="auto" w:fill="auto"/>
            <w:vAlign w:val="center"/>
          </w:tcPr>
          <w:p w14:paraId="4FC3E713">
            <w:pPr>
              <w:jc w:val="center"/>
              <w:rPr>
                <w:rFonts w:ascii="Times New Roman" w:hAnsi="Times New Roman" w:eastAsia="宋体" w:cs="Times New Roman"/>
                <w:color w:val="auto"/>
                <w:szCs w:val="21"/>
              </w:rPr>
            </w:pPr>
            <w:r>
              <w:rPr>
                <w:rFonts w:ascii="宋体" w:hAnsi="宋体" w:eastAsia="宋体"/>
                <w:color w:val="auto"/>
                <w:szCs w:val="21"/>
              </w:rPr>
              <w:t>≥</w:t>
            </w:r>
            <w:r>
              <w:rPr>
                <w:rFonts w:hint="eastAsia" w:ascii="Times New Roman" w:hAnsi="Times New Roman" w:eastAsia="宋体" w:cs="Times New Roman"/>
                <w:color w:val="auto"/>
                <w:szCs w:val="21"/>
              </w:rPr>
              <w:t>200</w:t>
            </w:r>
          </w:p>
        </w:tc>
        <w:tc>
          <w:tcPr>
            <w:tcW w:w="1663" w:type="dxa"/>
            <w:vMerge w:val="continue"/>
            <w:shd w:val="clear" w:color="auto" w:fill="auto"/>
            <w:vAlign w:val="center"/>
          </w:tcPr>
          <w:p w14:paraId="6312FA9A">
            <w:pPr>
              <w:jc w:val="center"/>
              <w:rPr>
                <w:rFonts w:ascii="Times New Roman" w:hAnsi="Times New Roman" w:eastAsia="宋体" w:cs="Times New Roman"/>
                <w:color w:val="auto"/>
                <w:szCs w:val="21"/>
              </w:rPr>
            </w:pPr>
          </w:p>
        </w:tc>
        <w:tc>
          <w:tcPr>
            <w:tcW w:w="1628" w:type="dxa"/>
            <w:vMerge w:val="continue"/>
            <w:shd w:val="clear" w:color="auto" w:fill="auto"/>
            <w:vAlign w:val="center"/>
          </w:tcPr>
          <w:p w14:paraId="75F487F8">
            <w:pPr>
              <w:jc w:val="center"/>
              <w:rPr>
                <w:rFonts w:ascii="Times New Roman" w:hAnsi="Times New Roman"/>
                <w:color w:val="auto"/>
                <w:szCs w:val="21"/>
              </w:rPr>
            </w:pPr>
          </w:p>
        </w:tc>
      </w:tr>
    </w:tbl>
    <w:p w14:paraId="172DB844">
      <w:pPr>
        <w:spacing w:line="360" w:lineRule="auto"/>
        <w:rPr>
          <w:rFonts w:ascii="Times New Roman" w:hAnsi="Times New Roman"/>
          <w:color w:val="auto"/>
          <w:sz w:val="24"/>
          <w:szCs w:val="24"/>
        </w:rPr>
      </w:pPr>
      <w:r>
        <w:rPr>
          <w:rFonts w:hint="eastAsia" w:ascii="宋体" w:hAnsi="宋体" w:eastAsia="宋体" w:cs="黑体"/>
          <w:b/>
          <w:color w:val="auto"/>
          <w:kern w:val="0"/>
          <w:sz w:val="24"/>
          <w:szCs w:val="24"/>
        </w:rPr>
        <w:t>4.3.2</w:t>
      </w:r>
      <w:r>
        <w:rPr>
          <w:rFonts w:hint="eastAsia" w:ascii="Times New Roman" w:hAnsi="Times New Roman"/>
          <w:color w:val="auto"/>
          <w:sz w:val="24"/>
          <w:szCs w:val="24"/>
        </w:rPr>
        <w:t>保温</w:t>
      </w:r>
      <w:r>
        <w:rPr>
          <w:rFonts w:ascii="Times New Roman" w:hAnsi="Times New Roman"/>
          <w:color w:val="auto"/>
          <w:sz w:val="24"/>
          <w:szCs w:val="24"/>
        </w:rPr>
        <w:t>免拆模板的外观质量、尺寸允许偏差应符合表</w:t>
      </w:r>
      <w:r>
        <w:rPr>
          <w:rFonts w:hint="eastAsia" w:ascii="宋体" w:hAnsi="宋体" w:cs="黑体"/>
          <w:bCs/>
          <w:color w:val="auto"/>
          <w:kern w:val="0"/>
          <w:sz w:val="24"/>
        </w:rPr>
        <w:t>4.3.2-1</w:t>
      </w:r>
      <w:r>
        <w:rPr>
          <w:rFonts w:hint="eastAsia" w:ascii="宋体" w:hAnsi="宋体" w:eastAsia="宋体" w:cs="宋体"/>
          <w:bCs/>
          <w:color w:val="auto"/>
          <w:kern w:val="0"/>
          <w:sz w:val="24"/>
        </w:rPr>
        <w:t>、</w:t>
      </w:r>
      <w:r>
        <w:rPr>
          <w:rFonts w:hint="eastAsia" w:ascii="宋体" w:hAnsi="宋体" w:cs="黑体"/>
          <w:bCs/>
          <w:color w:val="auto"/>
          <w:kern w:val="0"/>
          <w:sz w:val="24"/>
        </w:rPr>
        <w:t>4.3.2-2</w:t>
      </w:r>
      <w:r>
        <w:rPr>
          <w:rFonts w:ascii="Times New Roman" w:hAnsi="Times New Roman"/>
          <w:color w:val="auto"/>
          <w:sz w:val="24"/>
          <w:szCs w:val="24"/>
        </w:rPr>
        <w:t>的规定。</w:t>
      </w:r>
    </w:p>
    <w:p w14:paraId="77E9F303">
      <w:pPr>
        <w:widowControl/>
        <w:spacing w:line="560" w:lineRule="exact"/>
        <w:jc w:val="center"/>
        <w:rPr>
          <w:rFonts w:hint="eastAsia" w:ascii="宋体" w:hAnsi="宋体" w:eastAsia="宋体"/>
          <w:b/>
          <w:color w:val="auto"/>
          <w:szCs w:val="21"/>
          <w:lang w:bidi="en-US"/>
        </w:rPr>
      </w:pPr>
      <w:r>
        <w:rPr>
          <w:rFonts w:ascii="宋体" w:hAnsi="宋体" w:eastAsia="宋体"/>
          <w:b/>
          <w:color w:val="auto"/>
          <w:szCs w:val="21"/>
          <w:lang w:bidi="en-US"/>
        </w:rPr>
        <w:t>表4.</w:t>
      </w:r>
      <w:r>
        <w:rPr>
          <w:rFonts w:hint="eastAsia" w:ascii="宋体" w:hAnsi="宋体" w:eastAsia="宋体"/>
          <w:b/>
          <w:color w:val="auto"/>
          <w:szCs w:val="21"/>
          <w:lang w:bidi="en-US"/>
        </w:rPr>
        <w:t>3</w:t>
      </w:r>
      <w:r>
        <w:rPr>
          <w:rFonts w:ascii="宋体" w:hAnsi="宋体" w:eastAsia="宋体"/>
          <w:b/>
          <w:color w:val="auto"/>
          <w:szCs w:val="21"/>
          <w:lang w:bidi="en-US"/>
        </w:rPr>
        <w:t xml:space="preserve">.2-1  </w:t>
      </w:r>
      <w:r>
        <w:rPr>
          <w:rFonts w:hint="eastAsia" w:ascii="宋体" w:hAnsi="宋体" w:eastAsia="宋体"/>
          <w:b/>
          <w:color w:val="auto"/>
          <w:szCs w:val="21"/>
          <w:lang w:bidi="en-US"/>
        </w:rPr>
        <w:t>保温</w:t>
      </w:r>
      <w:r>
        <w:rPr>
          <w:rFonts w:ascii="宋体" w:hAnsi="宋体" w:eastAsia="宋体"/>
          <w:b/>
          <w:color w:val="auto"/>
          <w:szCs w:val="21"/>
          <w:lang w:bidi="en-US"/>
        </w:rPr>
        <w:t>免拆模板的外观质量</w:t>
      </w:r>
    </w:p>
    <w:tbl>
      <w:tblPr>
        <w:tblStyle w:val="88"/>
        <w:tblW w:w="852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928"/>
        <w:gridCol w:w="1843"/>
        <w:gridCol w:w="1751"/>
      </w:tblGrid>
      <w:tr w14:paraId="6A410B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4928" w:type="dxa"/>
            <w:shd w:val="clear" w:color="auto" w:fill="auto"/>
            <w:vAlign w:val="center"/>
          </w:tcPr>
          <w:p w14:paraId="7B5A15FC">
            <w:pPr>
              <w:jc w:val="center"/>
              <w:rPr>
                <w:rFonts w:ascii="Times New Roman" w:hAnsi="Times New Roman"/>
                <w:color w:val="auto"/>
                <w:szCs w:val="21"/>
              </w:rPr>
            </w:pPr>
            <w:r>
              <w:rPr>
                <w:rFonts w:ascii="Times New Roman" w:hAnsi="Times New Roman"/>
                <w:color w:val="auto"/>
                <w:szCs w:val="21"/>
              </w:rPr>
              <w:t>项目</w:t>
            </w:r>
          </w:p>
        </w:tc>
        <w:tc>
          <w:tcPr>
            <w:tcW w:w="1843" w:type="dxa"/>
            <w:shd w:val="clear" w:color="auto" w:fill="auto"/>
            <w:vAlign w:val="center"/>
          </w:tcPr>
          <w:p w14:paraId="21140D04">
            <w:pPr>
              <w:jc w:val="center"/>
              <w:rPr>
                <w:rFonts w:ascii="Times New Roman" w:hAnsi="Times New Roman"/>
                <w:color w:val="auto"/>
                <w:szCs w:val="21"/>
              </w:rPr>
            </w:pPr>
            <w:r>
              <w:rPr>
                <w:rFonts w:ascii="Times New Roman" w:hAnsi="Times New Roman"/>
                <w:color w:val="auto"/>
                <w:szCs w:val="21"/>
              </w:rPr>
              <w:t>性能指标</w:t>
            </w:r>
          </w:p>
        </w:tc>
        <w:tc>
          <w:tcPr>
            <w:tcW w:w="1751" w:type="dxa"/>
            <w:shd w:val="clear" w:color="auto" w:fill="auto"/>
            <w:vAlign w:val="center"/>
          </w:tcPr>
          <w:p w14:paraId="65F01905">
            <w:pPr>
              <w:jc w:val="center"/>
              <w:rPr>
                <w:rFonts w:ascii="Times New Roman" w:hAnsi="Times New Roman"/>
                <w:color w:val="auto"/>
                <w:szCs w:val="21"/>
              </w:rPr>
            </w:pPr>
            <w:r>
              <w:rPr>
                <w:rFonts w:ascii="Times New Roman" w:hAnsi="Times New Roman"/>
                <w:color w:val="auto"/>
                <w:szCs w:val="21"/>
              </w:rPr>
              <w:t>试验方法</w:t>
            </w:r>
          </w:p>
        </w:tc>
      </w:tr>
      <w:tr w14:paraId="68A221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4928" w:type="dxa"/>
            <w:shd w:val="clear" w:color="auto" w:fill="auto"/>
            <w:vAlign w:val="center"/>
          </w:tcPr>
          <w:p w14:paraId="07A51474">
            <w:pPr>
              <w:jc w:val="center"/>
              <w:rPr>
                <w:rFonts w:ascii="Times New Roman" w:hAnsi="Times New Roman"/>
                <w:color w:val="auto"/>
                <w:szCs w:val="21"/>
              </w:rPr>
            </w:pPr>
            <w:r>
              <w:rPr>
                <w:rFonts w:ascii="Times New Roman" w:hAnsi="Times New Roman"/>
                <w:color w:val="auto"/>
                <w:szCs w:val="21"/>
              </w:rPr>
              <w:t>面层与保温芯板</w:t>
            </w:r>
            <w:r>
              <w:rPr>
                <w:rFonts w:hint="eastAsia" w:ascii="Times New Roman" w:hAnsi="Times New Roman"/>
                <w:color w:val="auto"/>
                <w:szCs w:val="21"/>
              </w:rPr>
              <w:t>脱开</w:t>
            </w:r>
          </w:p>
        </w:tc>
        <w:tc>
          <w:tcPr>
            <w:tcW w:w="1843" w:type="dxa"/>
            <w:shd w:val="clear" w:color="auto" w:fill="auto"/>
            <w:vAlign w:val="center"/>
          </w:tcPr>
          <w:p w14:paraId="4D9C7CCD">
            <w:pPr>
              <w:jc w:val="center"/>
              <w:rPr>
                <w:rFonts w:ascii="Times New Roman" w:hAnsi="Times New Roman"/>
                <w:color w:val="auto"/>
                <w:szCs w:val="21"/>
              </w:rPr>
            </w:pPr>
            <w:r>
              <w:rPr>
                <w:rFonts w:ascii="Times New Roman" w:hAnsi="Times New Roman"/>
                <w:color w:val="auto"/>
                <w:szCs w:val="21"/>
              </w:rPr>
              <w:t>不允许</w:t>
            </w:r>
          </w:p>
        </w:tc>
        <w:tc>
          <w:tcPr>
            <w:tcW w:w="1751" w:type="dxa"/>
            <w:vMerge w:val="restart"/>
            <w:shd w:val="clear" w:color="auto" w:fill="auto"/>
            <w:vAlign w:val="center"/>
          </w:tcPr>
          <w:p w14:paraId="1CDFF069">
            <w:pPr>
              <w:jc w:val="center"/>
              <w:rPr>
                <w:rFonts w:ascii="Times New Roman" w:hAnsi="Times New Roman"/>
                <w:color w:val="auto"/>
                <w:szCs w:val="21"/>
              </w:rPr>
            </w:pPr>
            <w:r>
              <w:rPr>
                <w:rFonts w:ascii="Times New Roman" w:hAnsi="Times New Roman"/>
                <w:color w:val="auto"/>
                <w:szCs w:val="21"/>
              </w:rPr>
              <w:t>JC/T 2493</w:t>
            </w:r>
          </w:p>
        </w:tc>
      </w:tr>
      <w:tr w14:paraId="467238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4928" w:type="dxa"/>
            <w:shd w:val="clear" w:color="auto" w:fill="auto"/>
            <w:vAlign w:val="center"/>
          </w:tcPr>
          <w:p w14:paraId="390963EB">
            <w:pPr>
              <w:jc w:val="center"/>
              <w:rPr>
                <w:rFonts w:ascii="Times New Roman" w:hAnsi="Times New Roman"/>
                <w:color w:val="auto"/>
                <w:szCs w:val="21"/>
              </w:rPr>
            </w:pPr>
            <w:r>
              <w:rPr>
                <w:rFonts w:ascii="Times New Roman" w:hAnsi="Times New Roman"/>
                <w:color w:val="auto"/>
                <w:szCs w:val="21"/>
              </w:rPr>
              <w:t>板面横向、纵向、厚度方向贯通裂缝</w:t>
            </w:r>
          </w:p>
        </w:tc>
        <w:tc>
          <w:tcPr>
            <w:tcW w:w="1843" w:type="dxa"/>
            <w:shd w:val="clear" w:color="auto" w:fill="auto"/>
            <w:vAlign w:val="center"/>
          </w:tcPr>
          <w:p w14:paraId="39D3FDF8">
            <w:pPr>
              <w:jc w:val="center"/>
              <w:rPr>
                <w:rFonts w:ascii="Times New Roman" w:hAnsi="Times New Roman"/>
                <w:color w:val="auto"/>
                <w:szCs w:val="21"/>
              </w:rPr>
            </w:pPr>
            <w:r>
              <w:rPr>
                <w:rFonts w:ascii="Times New Roman" w:hAnsi="Times New Roman"/>
                <w:color w:val="auto"/>
                <w:szCs w:val="21"/>
              </w:rPr>
              <w:t>不允许</w:t>
            </w:r>
          </w:p>
        </w:tc>
        <w:tc>
          <w:tcPr>
            <w:tcW w:w="1751" w:type="dxa"/>
            <w:vMerge w:val="continue"/>
            <w:shd w:val="clear" w:color="auto" w:fill="auto"/>
            <w:vAlign w:val="center"/>
          </w:tcPr>
          <w:p w14:paraId="03334BC8">
            <w:pPr>
              <w:jc w:val="center"/>
              <w:rPr>
                <w:rFonts w:ascii="Times New Roman" w:hAnsi="Times New Roman" w:eastAsia="华文仿宋"/>
                <w:color w:val="auto"/>
                <w:szCs w:val="21"/>
              </w:rPr>
            </w:pPr>
          </w:p>
        </w:tc>
      </w:tr>
      <w:tr w14:paraId="2BE663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4928" w:type="dxa"/>
            <w:shd w:val="clear" w:color="auto" w:fill="auto"/>
            <w:vAlign w:val="center"/>
          </w:tcPr>
          <w:p w14:paraId="0FF0E3C4">
            <w:pPr>
              <w:jc w:val="center"/>
              <w:rPr>
                <w:rFonts w:ascii="Times New Roman" w:hAnsi="Times New Roman"/>
                <w:color w:val="auto"/>
                <w:szCs w:val="21"/>
              </w:rPr>
            </w:pPr>
            <w:r>
              <w:rPr>
                <w:rFonts w:ascii="Times New Roman" w:hAnsi="Times New Roman"/>
                <w:color w:val="auto"/>
                <w:szCs w:val="21"/>
              </w:rPr>
              <w:t>板面裂缝，长度≤50mm，宽度≤0.5mm</w:t>
            </w:r>
          </w:p>
        </w:tc>
        <w:tc>
          <w:tcPr>
            <w:tcW w:w="1843" w:type="dxa"/>
            <w:shd w:val="clear" w:color="auto" w:fill="auto"/>
            <w:vAlign w:val="center"/>
          </w:tcPr>
          <w:p w14:paraId="15E77642">
            <w:pPr>
              <w:jc w:val="center"/>
              <w:rPr>
                <w:rFonts w:hint="eastAsia" w:ascii="宋体" w:hAnsi="宋体" w:eastAsia="宋体"/>
                <w:color w:val="auto"/>
                <w:szCs w:val="21"/>
              </w:rPr>
            </w:pPr>
            <w:r>
              <w:rPr>
                <w:rFonts w:ascii="宋体" w:hAnsi="宋体" w:eastAsia="宋体"/>
                <w:color w:val="auto"/>
                <w:szCs w:val="21"/>
              </w:rPr>
              <w:t>≤2处/板</w:t>
            </w:r>
          </w:p>
        </w:tc>
        <w:tc>
          <w:tcPr>
            <w:tcW w:w="1751" w:type="dxa"/>
            <w:vMerge w:val="continue"/>
            <w:shd w:val="clear" w:color="auto" w:fill="auto"/>
            <w:vAlign w:val="center"/>
          </w:tcPr>
          <w:p w14:paraId="690920C6">
            <w:pPr>
              <w:jc w:val="center"/>
              <w:rPr>
                <w:rFonts w:ascii="Times New Roman" w:hAnsi="Times New Roman" w:eastAsia="华文仿宋"/>
                <w:color w:val="auto"/>
                <w:szCs w:val="21"/>
              </w:rPr>
            </w:pPr>
          </w:p>
        </w:tc>
      </w:tr>
      <w:tr w14:paraId="3F4797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4928" w:type="dxa"/>
            <w:shd w:val="clear" w:color="auto" w:fill="auto"/>
            <w:vAlign w:val="center"/>
          </w:tcPr>
          <w:p w14:paraId="2A7DC957">
            <w:pPr>
              <w:jc w:val="center"/>
              <w:rPr>
                <w:rFonts w:ascii="Times New Roman" w:hAnsi="Times New Roman"/>
                <w:color w:val="auto"/>
                <w:szCs w:val="21"/>
              </w:rPr>
            </w:pPr>
            <w:r>
              <w:rPr>
                <w:rFonts w:ascii="Times New Roman" w:hAnsi="Times New Roman"/>
                <w:color w:val="auto"/>
                <w:szCs w:val="21"/>
              </w:rPr>
              <w:t>板面飞边毛刺、板面污损</w:t>
            </w:r>
          </w:p>
        </w:tc>
        <w:tc>
          <w:tcPr>
            <w:tcW w:w="1843" w:type="dxa"/>
            <w:shd w:val="clear" w:color="auto" w:fill="auto"/>
            <w:vAlign w:val="center"/>
          </w:tcPr>
          <w:p w14:paraId="6B2D8589">
            <w:pPr>
              <w:jc w:val="center"/>
              <w:rPr>
                <w:rFonts w:hint="eastAsia" w:ascii="宋体" w:hAnsi="宋体" w:eastAsia="宋体"/>
                <w:color w:val="auto"/>
                <w:szCs w:val="21"/>
              </w:rPr>
            </w:pPr>
            <w:r>
              <w:rPr>
                <w:rFonts w:ascii="宋体" w:hAnsi="宋体" w:eastAsia="宋体"/>
                <w:color w:val="auto"/>
                <w:szCs w:val="21"/>
              </w:rPr>
              <w:t>不允许</w:t>
            </w:r>
          </w:p>
        </w:tc>
        <w:tc>
          <w:tcPr>
            <w:tcW w:w="1751" w:type="dxa"/>
            <w:vMerge w:val="continue"/>
            <w:shd w:val="clear" w:color="auto" w:fill="auto"/>
            <w:vAlign w:val="center"/>
          </w:tcPr>
          <w:p w14:paraId="09CD8709">
            <w:pPr>
              <w:jc w:val="center"/>
              <w:rPr>
                <w:rFonts w:ascii="Times New Roman" w:hAnsi="Times New Roman" w:eastAsia="华文仿宋"/>
                <w:color w:val="auto"/>
                <w:szCs w:val="21"/>
              </w:rPr>
            </w:pPr>
          </w:p>
        </w:tc>
      </w:tr>
      <w:tr w14:paraId="436DFC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4928" w:type="dxa"/>
            <w:shd w:val="clear" w:color="auto" w:fill="auto"/>
            <w:vAlign w:val="center"/>
          </w:tcPr>
          <w:p w14:paraId="2597E83C">
            <w:pPr>
              <w:jc w:val="center"/>
              <w:rPr>
                <w:rFonts w:ascii="Times New Roman" w:hAnsi="Times New Roman"/>
                <w:color w:val="auto"/>
                <w:szCs w:val="21"/>
              </w:rPr>
            </w:pPr>
            <w:r>
              <w:rPr>
                <w:rFonts w:ascii="Times New Roman" w:hAnsi="Times New Roman"/>
                <w:color w:val="auto"/>
                <w:szCs w:val="21"/>
              </w:rPr>
              <w:t>缺棱掉角，宽度×长度：10mm×25mm~20mm×30mm</w:t>
            </w:r>
          </w:p>
        </w:tc>
        <w:tc>
          <w:tcPr>
            <w:tcW w:w="1843" w:type="dxa"/>
            <w:shd w:val="clear" w:color="auto" w:fill="auto"/>
            <w:vAlign w:val="center"/>
          </w:tcPr>
          <w:p w14:paraId="6157C998">
            <w:pPr>
              <w:jc w:val="center"/>
              <w:rPr>
                <w:rFonts w:hint="eastAsia" w:ascii="宋体" w:hAnsi="宋体" w:eastAsia="宋体"/>
                <w:color w:val="auto"/>
                <w:szCs w:val="21"/>
              </w:rPr>
            </w:pPr>
            <w:r>
              <w:rPr>
                <w:rFonts w:ascii="宋体" w:hAnsi="宋体" w:eastAsia="宋体"/>
                <w:color w:val="auto"/>
                <w:szCs w:val="21"/>
              </w:rPr>
              <w:t>≤2处/板</w:t>
            </w:r>
          </w:p>
        </w:tc>
        <w:tc>
          <w:tcPr>
            <w:tcW w:w="1751" w:type="dxa"/>
            <w:vMerge w:val="continue"/>
            <w:shd w:val="clear" w:color="auto" w:fill="auto"/>
            <w:vAlign w:val="center"/>
          </w:tcPr>
          <w:p w14:paraId="4F6121F0">
            <w:pPr>
              <w:jc w:val="center"/>
              <w:rPr>
                <w:rFonts w:ascii="Times New Roman" w:hAnsi="Times New Roman" w:eastAsia="华文仿宋"/>
                <w:color w:val="auto"/>
                <w:szCs w:val="21"/>
              </w:rPr>
            </w:pPr>
          </w:p>
        </w:tc>
      </w:tr>
    </w:tbl>
    <w:p w14:paraId="45C0D4F1">
      <w:pPr>
        <w:widowControl/>
        <w:spacing w:line="560" w:lineRule="exact"/>
        <w:jc w:val="center"/>
        <w:rPr>
          <w:rFonts w:hint="eastAsia" w:ascii="宋体" w:hAnsi="宋体" w:eastAsia="宋体"/>
          <w:b/>
          <w:color w:val="auto"/>
          <w:szCs w:val="21"/>
          <w:lang w:bidi="en-US"/>
        </w:rPr>
      </w:pPr>
      <w:r>
        <w:rPr>
          <w:rFonts w:ascii="宋体" w:hAnsi="宋体" w:eastAsia="宋体"/>
          <w:b/>
          <w:color w:val="auto"/>
          <w:szCs w:val="21"/>
          <w:lang w:bidi="en-US"/>
        </w:rPr>
        <w:t>表4.</w:t>
      </w:r>
      <w:r>
        <w:rPr>
          <w:rFonts w:hint="eastAsia" w:ascii="宋体" w:hAnsi="宋体" w:eastAsia="宋体"/>
          <w:b/>
          <w:color w:val="auto"/>
          <w:szCs w:val="21"/>
          <w:lang w:bidi="en-US"/>
        </w:rPr>
        <w:t>3</w:t>
      </w:r>
      <w:r>
        <w:rPr>
          <w:rFonts w:ascii="宋体" w:hAnsi="宋体" w:eastAsia="宋体"/>
          <w:b/>
          <w:color w:val="auto"/>
          <w:szCs w:val="21"/>
          <w:lang w:bidi="en-US"/>
        </w:rPr>
        <w:t xml:space="preserve">.2-2  </w:t>
      </w:r>
      <w:r>
        <w:rPr>
          <w:rFonts w:hint="eastAsia" w:ascii="宋体" w:hAnsi="宋体" w:eastAsia="宋体"/>
          <w:b/>
          <w:color w:val="auto"/>
          <w:szCs w:val="21"/>
          <w:lang w:bidi="en-US"/>
        </w:rPr>
        <w:t>保温</w:t>
      </w:r>
      <w:r>
        <w:rPr>
          <w:rFonts w:ascii="宋体" w:hAnsi="宋体" w:eastAsia="宋体"/>
          <w:b/>
          <w:color w:val="auto"/>
          <w:szCs w:val="21"/>
          <w:lang w:bidi="en-US"/>
        </w:rPr>
        <w:t>免拆模板尺寸允许偏差</w:t>
      </w:r>
    </w:p>
    <w:tbl>
      <w:tblPr>
        <w:tblStyle w:val="88"/>
        <w:tblW w:w="852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552"/>
        <w:gridCol w:w="881"/>
        <w:gridCol w:w="2478"/>
        <w:gridCol w:w="1860"/>
        <w:gridCol w:w="1751"/>
      </w:tblGrid>
      <w:tr w14:paraId="468C86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552" w:type="dxa"/>
            <w:shd w:val="clear" w:color="auto" w:fill="auto"/>
            <w:vAlign w:val="center"/>
          </w:tcPr>
          <w:p w14:paraId="4619DBAF">
            <w:pPr>
              <w:jc w:val="center"/>
              <w:rPr>
                <w:rFonts w:ascii="Times New Roman" w:hAnsi="Times New Roman"/>
                <w:color w:val="auto"/>
                <w:szCs w:val="21"/>
              </w:rPr>
            </w:pPr>
            <w:r>
              <w:rPr>
                <w:rFonts w:ascii="Times New Roman" w:hAnsi="Times New Roman"/>
                <w:color w:val="auto"/>
                <w:szCs w:val="21"/>
              </w:rPr>
              <w:t>项目</w:t>
            </w:r>
          </w:p>
        </w:tc>
        <w:tc>
          <w:tcPr>
            <w:tcW w:w="881" w:type="dxa"/>
            <w:shd w:val="clear" w:color="auto" w:fill="auto"/>
            <w:vAlign w:val="center"/>
          </w:tcPr>
          <w:p w14:paraId="17B8B4A0">
            <w:pPr>
              <w:jc w:val="center"/>
              <w:rPr>
                <w:rFonts w:ascii="Times New Roman" w:hAnsi="Times New Roman"/>
                <w:color w:val="auto"/>
                <w:szCs w:val="21"/>
              </w:rPr>
            </w:pPr>
            <w:r>
              <w:rPr>
                <w:rFonts w:ascii="Times New Roman" w:hAnsi="Times New Roman"/>
                <w:color w:val="auto"/>
                <w:szCs w:val="21"/>
              </w:rPr>
              <w:t>单位</w:t>
            </w:r>
          </w:p>
        </w:tc>
        <w:tc>
          <w:tcPr>
            <w:tcW w:w="2478" w:type="dxa"/>
            <w:shd w:val="clear" w:color="auto" w:fill="auto"/>
          </w:tcPr>
          <w:p w14:paraId="3B5F231E">
            <w:pPr>
              <w:jc w:val="center"/>
              <w:rPr>
                <w:rFonts w:ascii="Times New Roman" w:hAnsi="Times New Roman"/>
                <w:color w:val="auto"/>
                <w:szCs w:val="21"/>
              </w:rPr>
            </w:pPr>
            <w:r>
              <w:rPr>
                <w:rFonts w:ascii="Times New Roman" w:hAnsi="Times New Roman"/>
                <w:color w:val="auto"/>
                <w:szCs w:val="21"/>
              </w:rPr>
              <w:t>主规格尺寸</w:t>
            </w:r>
          </w:p>
        </w:tc>
        <w:tc>
          <w:tcPr>
            <w:tcW w:w="1860" w:type="dxa"/>
            <w:shd w:val="clear" w:color="auto" w:fill="auto"/>
            <w:vAlign w:val="center"/>
          </w:tcPr>
          <w:p w14:paraId="7E9D18AB">
            <w:pPr>
              <w:jc w:val="center"/>
              <w:rPr>
                <w:rFonts w:ascii="Times New Roman" w:hAnsi="Times New Roman"/>
                <w:color w:val="auto"/>
                <w:szCs w:val="21"/>
              </w:rPr>
            </w:pPr>
            <w:r>
              <w:rPr>
                <w:rFonts w:ascii="Times New Roman" w:hAnsi="Times New Roman"/>
                <w:color w:val="auto"/>
                <w:szCs w:val="21"/>
              </w:rPr>
              <w:t>尺寸允许偏差</w:t>
            </w:r>
          </w:p>
        </w:tc>
        <w:tc>
          <w:tcPr>
            <w:tcW w:w="1751" w:type="dxa"/>
            <w:shd w:val="clear" w:color="auto" w:fill="auto"/>
            <w:vAlign w:val="center"/>
          </w:tcPr>
          <w:p w14:paraId="585C5584">
            <w:pPr>
              <w:jc w:val="center"/>
              <w:rPr>
                <w:rFonts w:ascii="Times New Roman" w:hAnsi="Times New Roman"/>
                <w:color w:val="auto"/>
                <w:szCs w:val="21"/>
              </w:rPr>
            </w:pPr>
            <w:r>
              <w:rPr>
                <w:rFonts w:ascii="Times New Roman" w:hAnsi="Times New Roman"/>
                <w:color w:val="auto"/>
                <w:szCs w:val="21"/>
              </w:rPr>
              <w:t>试验方法</w:t>
            </w:r>
          </w:p>
        </w:tc>
      </w:tr>
      <w:tr w14:paraId="463322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552" w:type="dxa"/>
            <w:shd w:val="clear" w:color="auto" w:fill="auto"/>
            <w:vAlign w:val="center"/>
          </w:tcPr>
          <w:p w14:paraId="4FC4D361">
            <w:pPr>
              <w:jc w:val="center"/>
              <w:rPr>
                <w:rFonts w:ascii="Times New Roman" w:hAnsi="Times New Roman"/>
                <w:color w:val="auto"/>
                <w:szCs w:val="21"/>
              </w:rPr>
            </w:pPr>
            <w:r>
              <w:rPr>
                <w:rFonts w:ascii="Times New Roman" w:hAnsi="Times New Roman"/>
                <w:color w:val="auto"/>
                <w:szCs w:val="21"/>
              </w:rPr>
              <w:t>长度</w:t>
            </w:r>
          </w:p>
        </w:tc>
        <w:tc>
          <w:tcPr>
            <w:tcW w:w="881" w:type="dxa"/>
            <w:shd w:val="clear" w:color="auto" w:fill="auto"/>
            <w:vAlign w:val="center"/>
          </w:tcPr>
          <w:p w14:paraId="7B7BD45A">
            <w:pPr>
              <w:jc w:val="center"/>
              <w:rPr>
                <w:rFonts w:ascii="Times New Roman" w:hAnsi="Times New Roman"/>
                <w:color w:val="auto"/>
                <w:szCs w:val="21"/>
              </w:rPr>
            </w:pPr>
            <w:r>
              <w:rPr>
                <w:rFonts w:ascii="Times New Roman" w:hAnsi="Times New Roman"/>
                <w:color w:val="auto"/>
                <w:szCs w:val="21"/>
              </w:rPr>
              <w:t>mm</w:t>
            </w:r>
          </w:p>
        </w:tc>
        <w:tc>
          <w:tcPr>
            <w:tcW w:w="2478" w:type="dxa"/>
            <w:shd w:val="clear" w:color="auto" w:fill="auto"/>
            <w:vAlign w:val="center"/>
          </w:tcPr>
          <w:p w14:paraId="0DF077E6">
            <w:pPr>
              <w:jc w:val="center"/>
              <w:rPr>
                <w:rFonts w:ascii="Times New Roman" w:hAnsi="Times New Roman"/>
                <w:color w:val="auto"/>
                <w:szCs w:val="21"/>
              </w:rPr>
            </w:pPr>
            <w:r>
              <w:rPr>
                <w:rFonts w:ascii="Times New Roman" w:hAnsi="Times New Roman"/>
                <w:color w:val="auto"/>
                <w:szCs w:val="21"/>
              </w:rPr>
              <w:t>1</w:t>
            </w:r>
            <w:r>
              <w:rPr>
                <w:rFonts w:hint="eastAsia" w:ascii="Times New Roman" w:hAnsi="Times New Roman"/>
                <w:color w:val="auto"/>
                <w:szCs w:val="21"/>
              </w:rPr>
              <w:t>8</w:t>
            </w:r>
            <w:r>
              <w:rPr>
                <w:rFonts w:ascii="Times New Roman" w:hAnsi="Times New Roman"/>
                <w:color w:val="auto"/>
                <w:szCs w:val="21"/>
              </w:rPr>
              <w:t>00、</w:t>
            </w:r>
            <w:r>
              <w:rPr>
                <w:rFonts w:hint="eastAsia" w:ascii="Times New Roman" w:hAnsi="Times New Roman"/>
                <w:color w:val="auto"/>
                <w:szCs w:val="21"/>
              </w:rPr>
              <w:t>2</w:t>
            </w:r>
            <w:r>
              <w:rPr>
                <w:rFonts w:ascii="Times New Roman" w:hAnsi="Times New Roman"/>
                <w:color w:val="auto"/>
                <w:szCs w:val="21"/>
              </w:rPr>
              <w:t>400、3000</w:t>
            </w:r>
          </w:p>
        </w:tc>
        <w:tc>
          <w:tcPr>
            <w:tcW w:w="1860" w:type="dxa"/>
            <w:shd w:val="clear" w:color="auto" w:fill="auto"/>
            <w:vAlign w:val="center"/>
          </w:tcPr>
          <w:p w14:paraId="43EFEA78">
            <w:pPr>
              <w:jc w:val="center"/>
              <w:rPr>
                <w:rFonts w:hint="eastAsia" w:ascii="宋体" w:hAnsi="宋体" w:eastAsia="宋体"/>
                <w:color w:val="auto"/>
                <w:szCs w:val="21"/>
              </w:rPr>
            </w:pPr>
            <w:r>
              <w:rPr>
                <w:rFonts w:ascii="宋体" w:hAnsi="宋体" w:eastAsia="宋体"/>
                <w:color w:val="auto"/>
                <w:szCs w:val="21"/>
              </w:rPr>
              <w:t>±4</w:t>
            </w:r>
          </w:p>
        </w:tc>
        <w:tc>
          <w:tcPr>
            <w:tcW w:w="1751" w:type="dxa"/>
            <w:vMerge w:val="restart"/>
            <w:shd w:val="clear" w:color="auto" w:fill="auto"/>
            <w:vAlign w:val="center"/>
          </w:tcPr>
          <w:p w14:paraId="3198B763">
            <w:pPr>
              <w:jc w:val="center"/>
              <w:rPr>
                <w:rFonts w:ascii="Times New Roman" w:hAnsi="Times New Roman"/>
                <w:color w:val="auto"/>
                <w:szCs w:val="21"/>
              </w:rPr>
            </w:pPr>
            <w:r>
              <w:rPr>
                <w:rFonts w:ascii="Times New Roman" w:hAnsi="Times New Roman"/>
                <w:color w:val="auto"/>
                <w:szCs w:val="21"/>
              </w:rPr>
              <w:t>JC/T 2493</w:t>
            </w:r>
          </w:p>
        </w:tc>
      </w:tr>
      <w:tr w14:paraId="79E7BAF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552" w:type="dxa"/>
            <w:shd w:val="clear" w:color="auto" w:fill="auto"/>
            <w:vAlign w:val="center"/>
          </w:tcPr>
          <w:p w14:paraId="1289B723">
            <w:pPr>
              <w:jc w:val="center"/>
              <w:rPr>
                <w:rFonts w:ascii="Times New Roman" w:hAnsi="Times New Roman"/>
                <w:color w:val="auto"/>
                <w:szCs w:val="21"/>
              </w:rPr>
            </w:pPr>
            <w:r>
              <w:rPr>
                <w:rFonts w:ascii="Times New Roman" w:hAnsi="Times New Roman"/>
                <w:color w:val="auto"/>
                <w:szCs w:val="21"/>
              </w:rPr>
              <w:t>宽度</w:t>
            </w:r>
          </w:p>
        </w:tc>
        <w:tc>
          <w:tcPr>
            <w:tcW w:w="881" w:type="dxa"/>
            <w:shd w:val="clear" w:color="auto" w:fill="auto"/>
            <w:vAlign w:val="center"/>
          </w:tcPr>
          <w:p w14:paraId="7F2C4DD1">
            <w:pPr>
              <w:jc w:val="center"/>
              <w:rPr>
                <w:rFonts w:ascii="Times New Roman" w:hAnsi="Times New Roman"/>
                <w:color w:val="auto"/>
                <w:szCs w:val="21"/>
              </w:rPr>
            </w:pPr>
            <w:r>
              <w:rPr>
                <w:rFonts w:ascii="Times New Roman" w:hAnsi="Times New Roman"/>
                <w:color w:val="auto"/>
                <w:szCs w:val="21"/>
              </w:rPr>
              <w:t>mm</w:t>
            </w:r>
          </w:p>
        </w:tc>
        <w:tc>
          <w:tcPr>
            <w:tcW w:w="2478" w:type="dxa"/>
            <w:shd w:val="clear" w:color="auto" w:fill="auto"/>
            <w:vAlign w:val="center"/>
          </w:tcPr>
          <w:p w14:paraId="4020D199">
            <w:pPr>
              <w:jc w:val="center"/>
              <w:rPr>
                <w:rFonts w:ascii="Times New Roman" w:hAnsi="Times New Roman"/>
                <w:color w:val="auto"/>
                <w:szCs w:val="21"/>
              </w:rPr>
            </w:pPr>
            <w:r>
              <w:rPr>
                <w:rFonts w:ascii="Times New Roman" w:hAnsi="Times New Roman"/>
                <w:color w:val="auto"/>
                <w:szCs w:val="21"/>
              </w:rPr>
              <w:t>600</w:t>
            </w:r>
            <w:r>
              <w:rPr>
                <w:rFonts w:hint="eastAsia" w:ascii="Times New Roman" w:hAnsi="Times New Roman"/>
                <w:color w:val="auto"/>
                <w:szCs w:val="21"/>
              </w:rPr>
              <w:t>、1200</w:t>
            </w:r>
          </w:p>
        </w:tc>
        <w:tc>
          <w:tcPr>
            <w:tcW w:w="1860" w:type="dxa"/>
            <w:shd w:val="clear" w:color="auto" w:fill="auto"/>
            <w:vAlign w:val="center"/>
          </w:tcPr>
          <w:p w14:paraId="4FABA7B6">
            <w:pPr>
              <w:jc w:val="center"/>
              <w:rPr>
                <w:rFonts w:hint="eastAsia" w:ascii="宋体" w:hAnsi="宋体" w:eastAsia="宋体"/>
                <w:color w:val="auto"/>
                <w:szCs w:val="21"/>
              </w:rPr>
            </w:pPr>
            <w:r>
              <w:rPr>
                <w:rFonts w:ascii="宋体" w:hAnsi="宋体" w:eastAsia="宋体"/>
                <w:color w:val="auto"/>
                <w:szCs w:val="21"/>
              </w:rPr>
              <w:t>±4</w:t>
            </w:r>
          </w:p>
        </w:tc>
        <w:tc>
          <w:tcPr>
            <w:tcW w:w="1751" w:type="dxa"/>
            <w:vMerge w:val="continue"/>
            <w:shd w:val="clear" w:color="auto" w:fill="auto"/>
            <w:vAlign w:val="center"/>
          </w:tcPr>
          <w:p w14:paraId="7798345F">
            <w:pPr>
              <w:jc w:val="center"/>
              <w:rPr>
                <w:rFonts w:ascii="Times New Roman" w:hAnsi="Times New Roman"/>
                <w:color w:val="auto"/>
                <w:szCs w:val="21"/>
              </w:rPr>
            </w:pPr>
          </w:p>
        </w:tc>
      </w:tr>
      <w:tr w14:paraId="620246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1552" w:type="dxa"/>
            <w:shd w:val="clear" w:color="auto" w:fill="auto"/>
            <w:vAlign w:val="center"/>
          </w:tcPr>
          <w:p w14:paraId="04324956">
            <w:pPr>
              <w:jc w:val="center"/>
              <w:rPr>
                <w:rFonts w:ascii="Times New Roman" w:hAnsi="Times New Roman"/>
                <w:color w:val="auto"/>
                <w:szCs w:val="21"/>
              </w:rPr>
            </w:pPr>
            <w:r>
              <w:rPr>
                <w:rFonts w:ascii="Times New Roman" w:hAnsi="Times New Roman"/>
                <w:color w:val="auto"/>
                <w:szCs w:val="21"/>
              </w:rPr>
              <w:t>厚度</w:t>
            </w:r>
          </w:p>
        </w:tc>
        <w:tc>
          <w:tcPr>
            <w:tcW w:w="881" w:type="dxa"/>
            <w:shd w:val="clear" w:color="auto" w:fill="auto"/>
            <w:vAlign w:val="center"/>
          </w:tcPr>
          <w:p w14:paraId="25E0BC7A">
            <w:pPr>
              <w:jc w:val="center"/>
              <w:rPr>
                <w:rFonts w:ascii="Times New Roman" w:hAnsi="Times New Roman"/>
                <w:color w:val="auto"/>
                <w:szCs w:val="21"/>
              </w:rPr>
            </w:pPr>
            <w:r>
              <w:rPr>
                <w:rFonts w:ascii="Times New Roman" w:hAnsi="Times New Roman"/>
                <w:color w:val="auto"/>
                <w:szCs w:val="21"/>
              </w:rPr>
              <w:t>mm</w:t>
            </w:r>
          </w:p>
        </w:tc>
        <w:tc>
          <w:tcPr>
            <w:tcW w:w="2478" w:type="dxa"/>
            <w:shd w:val="clear" w:color="auto" w:fill="auto"/>
            <w:vAlign w:val="center"/>
          </w:tcPr>
          <w:p w14:paraId="3AF3A1B4">
            <w:pPr>
              <w:jc w:val="center"/>
              <w:rPr>
                <w:rFonts w:ascii="Times New Roman" w:hAnsi="Times New Roman"/>
                <w:color w:val="auto"/>
                <w:szCs w:val="21"/>
              </w:rPr>
            </w:pPr>
            <w:r>
              <w:rPr>
                <w:rFonts w:ascii="Times New Roman" w:hAnsi="Times New Roman"/>
                <w:color w:val="auto"/>
                <w:szCs w:val="21"/>
              </w:rPr>
              <w:t>50、55、60、65、70</w:t>
            </w:r>
          </w:p>
        </w:tc>
        <w:tc>
          <w:tcPr>
            <w:tcW w:w="1860" w:type="dxa"/>
            <w:shd w:val="clear" w:color="auto" w:fill="auto"/>
            <w:vAlign w:val="center"/>
          </w:tcPr>
          <w:p w14:paraId="098C0AF4">
            <w:pPr>
              <w:jc w:val="center"/>
              <w:rPr>
                <w:rFonts w:hint="eastAsia" w:ascii="宋体" w:hAnsi="宋体" w:eastAsia="宋体"/>
                <w:color w:val="auto"/>
                <w:szCs w:val="21"/>
              </w:rPr>
            </w:pPr>
            <w:r>
              <w:rPr>
                <w:rFonts w:ascii="宋体" w:hAnsi="宋体" w:eastAsia="宋体"/>
                <w:color w:val="auto"/>
                <w:szCs w:val="21"/>
              </w:rPr>
              <w:t>+3，0</w:t>
            </w:r>
          </w:p>
        </w:tc>
        <w:tc>
          <w:tcPr>
            <w:tcW w:w="1751" w:type="dxa"/>
            <w:vMerge w:val="continue"/>
            <w:shd w:val="clear" w:color="auto" w:fill="auto"/>
            <w:vAlign w:val="center"/>
          </w:tcPr>
          <w:p w14:paraId="7D0E7065">
            <w:pPr>
              <w:jc w:val="center"/>
              <w:rPr>
                <w:rFonts w:ascii="Times New Roman" w:hAnsi="Times New Roman"/>
                <w:color w:val="auto"/>
                <w:szCs w:val="21"/>
              </w:rPr>
            </w:pPr>
          </w:p>
        </w:tc>
      </w:tr>
      <w:tr w14:paraId="548A8D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552" w:type="dxa"/>
            <w:shd w:val="clear" w:color="auto" w:fill="auto"/>
            <w:vAlign w:val="center"/>
          </w:tcPr>
          <w:p w14:paraId="7A559E67">
            <w:pPr>
              <w:jc w:val="center"/>
              <w:rPr>
                <w:rFonts w:ascii="Times New Roman" w:hAnsi="Times New Roman"/>
                <w:color w:val="auto"/>
                <w:szCs w:val="21"/>
              </w:rPr>
            </w:pPr>
            <w:r>
              <w:rPr>
                <w:rFonts w:ascii="Times New Roman" w:hAnsi="Times New Roman"/>
                <w:color w:val="auto"/>
                <w:szCs w:val="21"/>
              </w:rPr>
              <w:t>板面平整度</w:t>
            </w:r>
          </w:p>
        </w:tc>
        <w:tc>
          <w:tcPr>
            <w:tcW w:w="881" w:type="dxa"/>
            <w:shd w:val="clear" w:color="auto" w:fill="auto"/>
            <w:vAlign w:val="center"/>
          </w:tcPr>
          <w:p w14:paraId="53E52469">
            <w:pPr>
              <w:jc w:val="center"/>
              <w:rPr>
                <w:rFonts w:ascii="Times New Roman" w:hAnsi="Times New Roman"/>
                <w:color w:val="auto"/>
                <w:szCs w:val="21"/>
              </w:rPr>
            </w:pPr>
            <w:r>
              <w:rPr>
                <w:rFonts w:ascii="Times New Roman" w:hAnsi="Times New Roman"/>
                <w:color w:val="auto"/>
                <w:szCs w:val="21"/>
              </w:rPr>
              <w:t>mm</w:t>
            </w:r>
          </w:p>
        </w:tc>
        <w:tc>
          <w:tcPr>
            <w:tcW w:w="2478" w:type="dxa"/>
            <w:shd w:val="clear" w:color="auto" w:fill="auto"/>
          </w:tcPr>
          <w:p w14:paraId="4726F152">
            <w:pPr>
              <w:jc w:val="center"/>
              <w:rPr>
                <w:rFonts w:ascii="Times New Roman" w:hAnsi="Times New Roman"/>
                <w:color w:val="auto"/>
                <w:szCs w:val="21"/>
              </w:rPr>
            </w:pPr>
            <w:r>
              <w:rPr>
                <w:rFonts w:ascii="Times New Roman" w:hAnsi="Times New Roman"/>
                <w:color w:val="auto"/>
                <w:szCs w:val="21"/>
              </w:rPr>
              <w:t>—</w:t>
            </w:r>
          </w:p>
        </w:tc>
        <w:tc>
          <w:tcPr>
            <w:tcW w:w="1860" w:type="dxa"/>
            <w:shd w:val="clear" w:color="auto" w:fill="auto"/>
            <w:vAlign w:val="center"/>
          </w:tcPr>
          <w:p w14:paraId="40DF902D">
            <w:pPr>
              <w:jc w:val="center"/>
              <w:rPr>
                <w:rFonts w:hint="eastAsia" w:ascii="宋体" w:hAnsi="宋体" w:eastAsia="宋体"/>
                <w:color w:val="auto"/>
                <w:szCs w:val="21"/>
              </w:rPr>
            </w:pPr>
            <w:r>
              <w:rPr>
                <w:rFonts w:ascii="宋体" w:hAnsi="宋体" w:eastAsia="宋体"/>
                <w:color w:val="auto"/>
                <w:szCs w:val="21"/>
              </w:rPr>
              <w:t>≤3</w:t>
            </w:r>
          </w:p>
        </w:tc>
        <w:tc>
          <w:tcPr>
            <w:tcW w:w="1751" w:type="dxa"/>
            <w:vMerge w:val="continue"/>
            <w:shd w:val="clear" w:color="auto" w:fill="auto"/>
            <w:vAlign w:val="center"/>
          </w:tcPr>
          <w:p w14:paraId="5D47F2F4">
            <w:pPr>
              <w:jc w:val="center"/>
              <w:rPr>
                <w:rFonts w:ascii="Times New Roman" w:hAnsi="Times New Roman"/>
                <w:color w:val="auto"/>
                <w:szCs w:val="21"/>
              </w:rPr>
            </w:pPr>
          </w:p>
        </w:tc>
      </w:tr>
      <w:tr w14:paraId="5670A9B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552" w:type="dxa"/>
            <w:shd w:val="clear" w:color="auto" w:fill="auto"/>
            <w:vAlign w:val="center"/>
          </w:tcPr>
          <w:p w14:paraId="2F771AE6">
            <w:pPr>
              <w:jc w:val="center"/>
              <w:rPr>
                <w:rFonts w:ascii="Times New Roman" w:hAnsi="Times New Roman"/>
                <w:color w:val="auto"/>
                <w:szCs w:val="21"/>
              </w:rPr>
            </w:pPr>
            <w:r>
              <w:rPr>
                <w:rFonts w:ascii="Times New Roman" w:hAnsi="Times New Roman"/>
                <w:color w:val="auto"/>
                <w:szCs w:val="21"/>
              </w:rPr>
              <w:t>对角线差</w:t>
            </w:r>
          </w:p>
        </w:tc>
        <w:tc>
          <w:tcPr>
            <w:tcW w:w="881" w:type="dxa"/>
            <w:shd w:val="clear" w:color="auto" w:fill="auto"/>
            <w:vAlign w:val="center"/>
          </w:tcPr>
          <w:p w14:paraId="1A119E25">
            <w:pPr>
              <w:jc w:val="center"/>
              <w:rPr>
                <w:rFonts w:ascii="Times New Roman" w:hAnsi="Times New Roman"/>
                <w:color w:val="auto"/>
                <w:szCs w:val="21"/>
              </w:rPr>
            </w:pPr>
            <w:r>
              <w:rPr>
                <w:rFonts w:ascii="Times New Roman" w:hAnsi="Times New Roman"/>
                <w:color w:val="auto"/>
                <w:szCs w:val="21"/>
              </w:rPr>
              <w:t>mm</w:t>
            </w:r>
          </w:p>
        </w:tc>
        <w:tc>
          <w:tcPr>
            <w:tcW w:w="2478" w:type="dxa"/>
            <w:shd w:val="clear" w:color="auto" w:fill="auto"/>
          </w:tcPr>
          <w:p w14:paraId="71D76ED1">
            <w:pPr>
              <w:jc w:val="center"/>
              <w:rPr>
                <w:rFonts w:ascii="Times New Roman" w:hAnsi="Times New Roman"/>
                <w:color w:val="auto"/>
                <w:szCs w:val="21"/>
              </w:rPr>
            </w:pPr>
            <w:r>
              <w:rPr>
                <w:rFonts w:ascii="Times New Roman" w:hAnsi="Times New Roman"/>
                <w:color w:val="auto"/>
                <w:szCs w:val="21"/>
              </w:rPr>
              <w:t>—</w:t>
            </w:r>
          </w:p>
        </w:tc>
        <w:tc>
          <w:tcPr>
            <w:tcW w:w="1860" w:type="dxa"/>
            <w:shd w:val="clear" w:color="auto" w:fill="auto"/>
            <w:vAlign w:val="center"/>
          </w:tcPr>
          <w:p w14:paraId="18D1B156">
            <w:pPr>
              <w:jc w:val="center"/>
              <w:rPr>
                <w:rFonts w:hint="eastAsia" w:ascii="宋体" w:hAnsi="宋体" w:eastAsia="宋体"/>
                <w:color w:val="auto"/>
                <w:szCs w:val="21"/>
              </w:rPr>
            </w:pPr>
            <w:r>
              <w:rPr>
                <w:rFonts w:ascii="宋体" w:hAnsi="宋体" w:eastAsia="宋体"/>
                <w:color w:val="auto"/>
                <w:szCs w:val="21"/>
              </w:rPr>
              <w:t>≤5</w:t>
            </w:r>
          </w:p>
        </w:tc>
        <w:tc>
          <w:tcPr>
            <w:tcW w:w="1751" w:type="dxa"/>
            <w:vMerge w:val="continue"/>
            <w:shd w:val="clear" w:color="auto" w:fill="auto"/>
            <w:vAlign w:val="center"/>
          </w:tcPr>
          <w:p w14:paraId="3EEC4FC6">
            <w:pPr>
              <w:jc w:val="center"/>
              <w:rPr>
                <w:rFonts w:ascii="Times New Roman" w:hAnsi="Times New Roman"/>
                <w:color w:val="auto"/>
                <w:szCs w:val="21"/>
              </w:rPr>
            </w:pPr>
          </w:p>
        </w:tc>
      </w:tr>
    </w:tbl>
    <w:p w14:paraId="6073EEFC">
      <w:pPr>
        <w:rPr>
          <w:rFonts w:ascii="Times New Roman" w:hAnsi="Times New Roman"/>
          <w:color w:val="auto"/>
          <w:szCs w:val="21"/>
        </w:rPr>
      </w:pPr>
      <w:r>
        <w:rPr>
          <w:rFonts w:ascii="Times New Roman" w:hAnsi="Times New Roman"/>
          <w:color w:val="auto"/>
          <w:szCs w:val="21"/>
        </w:rPr>
        <w:t>注：其他规格的尺寸由供需双方商定。</w:t>
      </w:r>
    </w:p>
    <w:p w14:paraId="14B4313E">
      <w:pPr>
        <w:rPr>
          <w:rFonts w:ascii="Times New Roman" w:hAnsi="Times New Roman"/>
          <w:color w:val="auto"/>
          <w:szCs w:val="21"/>
        </w:rPr>
      </w:pPr>
    </w:p>
    <w:p w14:paraId="02355EDC">
      <w:pPr>
        <w:spacing w:line="360" w:lineRule="auto"/>
        <w:rPr>
          <w:rFonts w:ascii="Times New Roman" w:hAnsi="Times New Roman"/>
          <w:color w:val="auto"/>
          <w:sz w:val="24"/>
          <w:szCs w:val="24"/>
        </w:rPr>
      </w:pPr>
      <w:r>
        <w:rPr>
          <w:rFonts w:hint="eastAsia" w:ascii="宋体" w:hAnsi="宋体" w:eastAsia="宋体" w:cs="黑体"/>
          <w:b/>
          <w:color w:val="auto"/>
          <w:kern w:val="0"/>
          <w:sz w:val="24"/>
          <w:szCs w:val="24"/>
        </w:rPr>
        <w:t>4.3.3</w:t>
      </w:r>
      <w:r>
        <w:rPr>
          <w:rFonts w:hint="eastAsia" w:ascii="Times New Roman" w:hAnsi="Times New Roman"/>
          <w:color w:val="auto"/>
          <w:sz w:val="24"/>
          <w:szCs w:val="24"/>
        </w:rPr>
        <w:t>保温</w:t>
      </w:r>
      <w:r>
        <w:rPr>
          <w:rFonts w:ascii="Times New Roman" w:hAnsi="Times New Roman"/>
          <w:color w:val="auto"/>
          <w:sz w:val="24"/>
          <w:szCs w:val="24"/>
        </w:rPr>
        <w:t>免拆模板的</w:t>
      </w:r>
      <w:r>
        <w:rPr>
          <w:rFonts w:hint="eastAsia" w:ascii="Times New Roman" w:hAnsi="Times New Roman"/>
          <w:color w:val="auto"/>
          <w:sz w:val="24"/>
          <w:szCs w:val="24"/>
        </w:rPr>
        <w:t>加强防护层</w:t>
      </w:r>
      <w:r>
        <w:rPr>
          <w:rFonts w:ascii="Times New Roman" w:hAnsi="Times New Roman"/>
          <w:color w:val="auto"/>
          <w:sz w:val="24"/>
          <w:szCs w:val="24"/>
        </w:rPr>
        <w:t>厚度应符合表</w:t>
      </w:r>
      <w:r>
        <w:rPr>
          <w:rFonts w:hint="eastAsia" w:ascii="宋体" w:hAnsi="宋体" w:cs="黑体"/>
          <w:bCs/>
          <w:color w:val="auto"/>
          <w:kern w:val="0"/>
          <w:sz w:val="24"/>
        </w:rPr>
        <w:t>4.3.3</w:t>
      </w:r>
      <w:r>
        <w:rPr>
          <w:rFonts w:ascii="Times New Roman" w:hAnsi="Times New Roman"/>
          <w:color w:val="auto"/>
          <w:sz w:val="24"/>
          <w:szCs w:val="24"/>
        </w:rPr>
        <w:t>的规定。</w:t>
      </w:r>
    </w:p>
    <w:p w14:paraId="14F4DE8E">
      <w:pPr>
        <w:spacing w:line="360" w:lineRule="auto"/>
        <w:jc w:val="center"/>
        <w:rPr>
          <w:rFonts w:ascii="Times New Roman" w:hAnsi="Times New Roman"/>
          <w:color w:val="auto"/>
          <w:sz w:val="24"/>
          <w:szCs w:val="24"/>
        </w:rPr>
      </w:pPr>
      <w:r>
        <w:rPr>
          <w:rFonts w:hint="eastAsia" w:ascii="宋体" w:hAnsi="宋体"/>
          <w:b/>
          <w:color w:val="auto"/>
          <w:szCs w:val="21"/>
        </w:rPr>
        <w:t>表4.3.</w:t>
      </w:r>
      <w:r>
        <w:rPr>
          <w:rFonts w:ascii="宋体" w:hAnsi="宋体"/>
          <w:b/>
          <w:color w:val="auto"/>
          <w:szCs w:val="21"/>
        </w:rPr>
        <w:t>3</w:t>
      </w:r>
      <w:r>
        <w:rPr>
          <w:rFonts w:hint="eastAsia" w:ascii="宋体" w:hAnsi="宋体"/>
          <w:b/>
          <w:color w:val="auto"/>
          <w:szCs w:val="21"/>
        </w:rPr>
        <w:t xml:space="preserve">  保温免拆模板加强防护层厚度</w:t>
      </w:r>
    </w:p>
    <w:tbl>
      <w:tblPr>
        <w:tblStyle w:val="88"/>
        <w:tblW w:w="852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433"/>
        <w:gridCol w:w="2478"/>
        <w:gridCol w:w="3611"/>
      </w:tblGrid>
      <w:tr w14:paraId="78C8B7C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433" w:type="dxa"/>
            <w:shd w:val="clear" w:color="auto" w:fill="auto"/>
            <w:vAlign w:val="center"/>
          </w:tcPr>
          <w:p w14:paraId="469F2498">
            <w:pPr>
              <w:jc w:val="center"/>
              <w:rPr>
                <w:rFonts w:ascii="Times New Roman" w:hAnsi="Times New Roman"/>
                <w:color w:val="auto"/>
                <w:szCs w:val="21"/>
              </w:rPr>
            </w:pPr>
            <w:r>
              <w:rPr>
                <w:rFonts w:hint="eastAsia" w:ascii="Times New Roman" w:hAnsi="Times New Roman"/>
                <w:color w:val="auto"/>
                <w:szCs w:val="21"/>
              </w:rPr>
              <w:t>类型</w:t>
            </w:r>
          </w:p>
        </w:tc>
        <w:tc>
          <w:tcPr>
            <w:tcW w:w="2478" w:type="dxa"/>
            <w:shd w:val="clear" w:color="auto" w:fill="auto"/>
          </w:tcPr>
          <w:p w14:paraId="35BF8CE9">
            <w:pPr>
              <w:jc w:val="center"/>
              <w:rPr>
                <w:rFonts w:ascii="Times New Roman" w:hAnsi="Times New Roman"/>
                <w:color w:val="auto"/>
                <w:szCs w:val="21"/>
              </w:rPr>
            </w:pPr>
            <w:r>
              <w:rPr>
                <w:rFonts w:hint="eastAsia" w:ascii="Times New Roman" w:hAnsi="Times New Roman"/>
                <w:color w:val="auto"/>
                <w:szCs w:val="21"/>
              </w:rPr>
              <w:t>部位</w:t>
            </w:r>
          </w:p>
        </w:tc>
        <w:tc>
          <w:tcPr>
            <w:tcW w:w="3611" w:type="dxa"/>
            <w:shd w:val="clear" w:color="auto" w:fill="auto"/>
            <w:vAlign w:val="center"/>
          </w:tcPr>
          <w:p w14:paraId="0247473E">
            <w:pPr>
              <w:jc w:val="center"/>
              <w:rPr>
                <w:rFonts w:ascii="Times New Roman" w:hAnsi="Times New Roman"/>
                <w:color w:val="auto"/>
                <w:szCs w:val="21"/>
              </w:rPr>
            </w:pPr>
            <w:r>
              <w:rPr>
                <w:rFonts w:hint="eastAsia" w:ascii="Times New Roman" w:hAnsi="Times New Roman"/>
                <w:color w:val="auto"/>
                <w:szCs w:val="21"/>
              </w:rPr>
              <w:t>厚度（</w:t>
            </w:r>
            <w:r>
              <w:rPr>
                <w:rFonts w:ascii="Times New Roman" w:hAnsi="Times New Roman"/>
                <w:color w:val="auto"/>
                <w:szCs w:val="21"/>
              </w:rPr>
              <w:t>mm</w:t>
            </w:r>
            <w:r>
              <w:rPr>
                <w:rFonts w:hint="eastAsia" w:ascii="Times New Roman" w:hAnsi="Times New Roman"/>
                <w:color w:val="auto"/>
                <w:szCs w:val="21"/>
              </w:rPr>
              <w:t>）</w:t>
            </w:r>
          </w:p>
        </w:tc>
      </w:tr>
      <w:tr w14:paraId="069535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433" w:type="dxa"/>
            <w:vMerge w:val="restart"/>
            <w:shd w:val="clear" w:color="auto" w:fill="auto"/>
            <w:vAlign w:val="center"/>
          </w:tcPr>
          <w:p w14:paraId="08681F87">
            <w:pPr>
              <w:jc w:val="center"/>
              <w:rPr>
                <w:rFonts w:ascii="Times New Roman" w:hAnsi="Times New Roman"/>
                <w:color w:val="auto"/>
                <w:szCs w:val="21"/>
              </w:rPr>
            </w:pPr>
            <w:r>
              <w:rPr>
                <w:rFonts w:ascii="Times New Roman" w:hAnsi="Times New Roman"/>
                <w:color w:val="auto"/>
                <w:szCs w:val="21"/>
              </w:rPr>
              <w:t>复合</w:t>
            </w:r>
            <w:r>
              <w:rPr>
                <w:rFonts w:hint="eastAsia" w:asciiTheme="minorEastAsia" w:hAnsiTheme="minorEastAsia"/>
                <w:color w:val="auto"/>
                <w:szCs w:val="21"/>
              </w:rPr>
              <w:t>Ⅰ</w:t>
            </w:r>
            <w:r>
              <w:rPr>
                <w:rFonts w:ascii="Times New Roman" w:hAnsi="Times New Roman"/>
                <w:color w:val="auto"/>
                <w:szCs w:val="21"/>
              </w:rPr>
              <w:t>型</w:t>
            </w:r>
          </w:p>
        </w:tc>
        <w:tc>
          <w:tcPr>
            <w:tcW w:w="2478" w:type="dxa"/>
            <w:shd w:val="clear" w:color="auto" w:fill="auto"/>
          </w:tcPr>
          <w:p w14:paraId="0E0A52CF">
            <w:pPr>
              <w:jc w:val="center"/>
              <w:rPr>
                <w:rFonts w:ascii="Times New Roman" w:hAnsi="Times New Roman"/>
                <w:color w:val="auto"/>
                <w:szCs w:val="21"/>
              </w:rPr>
            </w:pPr>
            <w:r>
              <w:rPr>
                <w:rFonts w:hint="eastAsia" w:ascii="Times New Roman" w:hAnsi="Times New Roman"/>
                <w:color w:val="auto"/>
                <w:szCs w:val="21"/>
              </w:rPr>
              <w:t>外侧</w:t>
            </w:r>
          </w:p>
        </w:tc>
        <w:tc>
          <w:tcPr>
            <w:tcW w:w="3611" w:type="dxa"/>
            <w:shd w:val="clear" w:color="auto" w:fill="auto"/>
            <w:vAlign w:val="center"/>
          </w:tcPr>
          <w:p w14:paraId="55EA2FBE">
            <w:pPr>
              <w:jc w:val="center"/>
              <w:rPr>
                <w:rFonts w:ascii="Times New Roman" w:hAnsi="Times New Roman"/>
                <w:color w:val="auto"/>
                <w:szCs w:val="21"/>
              </w:rPr>
            </w:pPr>
            <w:r>
              <w:rPr>
                <w:rFonts w:ascii="宋体" w:hAnsi="宋体" w:eastAsia="宋体"/>
                <w:color w:val="auto"/>
                <w:szCs w:val="21"/>
              </w:rPr>
              <w:t>≥</w:t>
            </w:r>
            <w:r>
              <w:rPr>
                <w:rFonts w:hint="eastAsia" w:ascii="宋体" w:hAnsi="宋体" w:eastAsia="宋体"/>
                <w:color w:val="auto"/>
                <w:szCs w:val="21"/>
              </w:rPr>
              <w:t>3</w:t>
            </w:r>
          </w:p>
        </w:tc>
      </w:tr>
      <w:tr w14:paraId="034BF6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433" w:type="dxa"/>
            <w:vMerge w:val="continue"/>
            <w:shd w:val="clear" w:color="auto" w:fill="auto"/>
            <w:vAlign w:val="center"/>
          </w:tcPr>
          <w:p w14:paraId="6E864ABD">
            <w:pPr>
              <w:jc w:val="center"/>
              <w:rPr>
                <w:rFonts w:ascii="Times New Roman" w:hAnsi="Times New Roman"/>
                <w:color w:val="auto"/>
                <w:szCs w:val="21"/>
              </w:rPr>
            </w:pPr>
          </w:p>
        </w:tc>
        <w:tc>
          <w:tcPr>
            <w:tcW w:w="2478" w:type="dxa"/>
            <w:shd w:val="clear" w:color="auto" w:fill="auto"/>
          </w:tcPr>
          <w:p w14:paraId="55F2F78C">
            <w:pPr>
              <w:jc w:val="center"/>
              <w:rPr>
                <w:rFonts w:ascii="Times New Roman" w:hAnsi="Times New Roman"/>
                <w:color w:val="auto"/>
                <w:szCs w:val="21"/>
              </w:rPr>
            </w:pPr>
            <w:r>
              <w:rPr>
                <w:rFonts w:hint="eastAsia" w:ascii="Times New Roman" w:hAnsi="Times New Roman"/>
                <w:color w:val="auto"/>
                <w:szCs w:val="21"/>
              </w:rPr>
              <w:t>贴近混凝土侧</w:t>
            </w:r>
          </w:p>
        </w:tc>
        <w:tc>
          <w:tcPr>
            <w:tcW w:w="3611" w:type="dxa"/>
            <w:shd w:val="clear" w:color="auto" w:fill="auto"/>
            <w:vAlign w:val="center"/>
          </w:tcPr>
          <w:p w14:paraId="5516F2CF">
            <w:pPr>
              <w:jc w:val="center"/>
              <w:rPr>
                <w:rFonts w:ascii="Times New Roman" w:hAnsi="Times New Roman"/>
                <w:color w:val="auto"/>
                <w:szCs w:val="21"/>
              </w:rPr>
            </w:pPr>
            <w:r>
              <w:rPr>
                <w:rFonts w:ascii="宋体" w:hAnsi="宋体" w:eastAsia="宋体"/>
                <w:color w:val="auto"/>
                <w:szCs w:val="21"/>
              </w:rPr>
              <w:t>≥</w:t>
            </w:r>
            <w:r>
              <w:rPr>
                <w:rFonts w:hint="eastAsia" w:ascii="宋体" w:hAnsi="宋体" w:eastAsia="宋体"/>
                <w:color w:val="auto"/>
                <w:szCs w:val="21"/>
              </w:rPr>
              <w:t>3</w:t>
            </w:r>
          </w:p>
        </w:tc>
      </w:tr>
      <w:tr w14:paraId="252878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433" w:type="dxa"/>
            <w:vMerge w:val="restart"/>
            <w:shd w:val="clear" w:color="auto" w:fill="auto"/>
            <w:vAlign w:val="center"/>
          </w:tcPr>
          <w:p w14:paraId="4A5D1DDF">
            <w:pPr>
              <w:jc w:val="center"/>
              <w:rPr>
                <w:rFonts w:ascii="Times New Roman" w:hAnsi="Times New Roman"/>
                <w:color w:val="auto"/>
                <w:szCs w:val="21"/>
              </w:rPr>
            </w:pPr>
            <w:r>
              <w:rPr>
                <w:rFonts w:hint="eastAsia" w:ascii="Times New Roman" w:hAnsi="Times New Roman"/>
                <w:color w:val="auto"/>
                <w:szCs w:val="21"/>
              </w:rPr>
              <w:t>叠合</w:t>
            </w:r>
            <w:r>
              <w:rPr>
                <w:rFonts w:ascii="Times New Roman" w:hAnsi="Times New Roman"/>
                <w:color w:val="auto"/>
                <w:szCs w:val="21"/>
              </w:rPr>
              <w:t>型</w:t>
            </w:r>
          </w:p>
        </w:tc>
        <w:tc>
          <w:tcPr>
            <w:tcW w:w="2478" w:type="dxa"/>
            <w:shd w:val="clear" w:color="auto" w:fill="auto"/>
          </w:tcPr>
          <w:p w14:paraId="78C8B83E">
            <w:pPr>
              <w:jc w:val="center"/>
              <w:rPr>
                <w:rFonts w:ascii="Times New Roman" w:hAnsi="Times New Roman"/>
                <w:color w:val="auto"/>
                <w:szCs w:val="21"/>
              </w:rPr>
            </w:pPr>
            <w:r>
              <w:rPr>
                <w:rFonts w:hint="eastAsia" w:ascii="Times New Roman" w:hAnsi="Times New Roman"/>
                <w:color w:val="auto"/>
                <w:szCs w:val="21"/>
              </w:rPr>
              <w:t>外侧</w:t>
            </w:r>
          </w:p>
        </w:tc>
        <w:tc>
          <w:tcPr>
            <w:tcW w:w="3611" w:type="dxa"/>
            <w:shd w:val="clear" w:color="auto" w:fill="auto"/>
            <w:vAlign w:val="center"/>
          </w:tcPr>
          <w:p w14:paraId="0B576988">
            <w:pPr>
              <w:jc w:val="center"/>
              <w:rPr>
                <w:rFonts w:ascii="Times New Roman" w:hAnsi="Times New Roman"/>
                <w:color w:val="auto"/>
                <w:szCs w:val="21"/>
              </w:rPr>
            </w:pPr>
            <w:r>
              <w:rPr>
                <w:rFonts w:ascii="宋体" w:hAnsi="宋体" w:eastAsia="宋体"/>
                <w:color w:val="auto"/>
                <w:szCs w:val="21"/>
              </w:rPr>
              <w:t>≥</w:t>
            </w:r>
            <w:r>
              <w:rPr>
                <w:rFonts w:hint="eastAsia" w:ascii="宋体" w:hAnsi="宋体" w:eastAsia="宋体"/>
                <w:color w:val="auto"/>
                <w:szCs w:val="21"/>
              </w:rPr>
              <w:t>50</w:t>
            </w:r>
          </w:p>
        </w:tc>
      </w:tr>
      <w:tr w14:paraId="315B89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433" w:type="dxa"/>
            <w:vMerge w:val="continue"/>
            <w:shd w:val="clear" w:color="auto" w:fill="auto"/>
            <w:vAlign w:val="center"/>
          </w:tcPr>
          <w:p w14:paraId="49B1C760">
            <w:pPr>
              <w:jc w:val="center"/>
              <w:rPr>
                <w:rFonts w:ascii="Times New Roman" w:hAnsi="Times New Roman"/>
                <w:color w:val="auto"/>
                <w:szCs w:val="21"/>
              </w:rPr>
            </w:pPr>
          </w:p>
        </w:tc>
        <w:tc>
          <w:tcPr>
            <w:tcW w:w="2478" w:type="dxa"/>
            <w:shd w:val="clear" w:color="auto" w:fill="auto"/>
          </w:tcPr>
          <w:p w14:paraId="5CEF296B">
            <w:pPr>
              <w:jc w:val="center"/>
              <w:rPr>
                <w:rFonts w:ascii="Times New Roman" w:hAnsi="Times New Roman"/>
                <w:color w:val="auto"/>
                <w:szCs w:val="21"/>
              </w:rPr>
            </w:pPr>
            <w:r>
              <w:rPr>
                <w:rFonts w:hint="eastAsia" w:ascii="Times New Roman" w:hAnsi="Times New Roman"/>
                <w:color w:val="auto"/>
                <w:szCs w:val="21"/>
              </w:rPr>
              <w:t>贴近混凝土侧</w:t>
            </w:r>
          </w:p>
        </w:tc>
        <w:tc>
          <w:tcPr>
            <w:tcW w:w="3611" w:type="dxa"/>
            <w:shd w:val="clear" w:color="auto" w:fill="auto"/>
            <w:vAlign w:val="center"/>
          </w:tcPr>
          <w:p w14:paraId="74CEA394">
            <w:pPr>
              <w:jc w:val="center"/>
              <w:rPr>
                <w:rFonts w:hint="eastAsia" w:ascii="宋体" w:hAnsi="宋体" w:eastAsia="宋体"/>
                <w:color w:val="auto"/>
                <w:szCs w:val="21"/>
              </w:rPr>
            </w:pPr>
            <w:r>
              <w:rPr>
                <w:rFonts w:ascii="宋体" w:hAnsi="宋体" w:eastAsia="宋体"/>
                <w:color w:val="auto"/>
                <w:szCs w:val="21"/>
              </w:rPr>
              <w:t>≥</w:t>
            </w:r>
            <w:r>
              <w:rPr>
                <w:rFonts w:hint="eastAsia" w:ascii="宋体" w:hAnsi="宋体" w:eastAsia="宋体"/>
                <w:color w:val="auto"/>
                <w:szCs w:val="21"/>
              </w:rPr>
              <w:t>3</w:t>
            </w:r>
          </w:p>
        </w:tc>
      </w:tr>
    </w:tbl>
    <w:p w14:paraId="74FF563C">
      <w:pPr>
        <w:spacing w:line="360" w:lineRule="auto"/>
        <w:rPr>
          <w:rFonts w:hint="eastAsia" w:ascii="宋体" w:hAnsi="宋体" w:eastAsia="宋体"/>
          <w:color w:val="auto"/>
          <w:szCs w:val="21"/>
        </w:rPr>
      </w:pPr>
      <w:bookmarkStart w:id="52" w:name="_Toc42786016"/>
      <w:bookmarkStart w:id="53" w:name="_Toc3852"/>
      <w:bookmarkStart w:id="54" w:name="_Toc53995530"/>
      <w:bookmarkStart w:id="55" w:name="_Toc28543"/>
      <w:bookmarkStart w:id="56" w:name="_Toc55460034"/>
      <w:bookmarkStart w:id="57" w:name="_Toc9006"/>
      <w:bookmarkStart w:id="58" w:name="_Toc46332058"/>
      <w:bookmarkStart w:id="59" w:name="_Toc53996510"/>
      <w:r>
        <w:rPr>
          <w:rFonts w:hint="eastAsia" w:ascii="宋体" w:hAnsi="宋体" w:eastAsia="宋体" w:cs="楷体"/>
          <w:color w:val="auto"/>
          <w:szCs w:val="21"/>
        </w:rPr>
        <w:t>注：内置双层热镀锌钢丝网，采用硅质无机胶凝材料经模压加热成型生产的复合Ⅱ型保温免拆模板可对加强防护层不做要求。</w:t>
      </w:r>
    </w:p>
    <w:p w14:paraId="31AA0063">
      <w:pPr>
        <w:pStyle w:val="144"/>
        <w:tabs>
          <w:tab w:val="clear" w:pos="1620"/>
        </w:tabs>
        <w:spacing w:before="312" w:after="312"/>
        <w:rPr>
          <w:color w:val="auto"/>
        </w:rPr>
      </w:pPr>
      <w:bookmarkStart w:id="60" w:name="_Toc29856"/>
      <w:bookmarkStart w:id="61" w:name="_Toc184662785"/>
      <w:r>
        <w:rPr>
          <w:rFonts w:hint="eastAsia"/>
          <w:color w:val="auto"/>
        </w:rPr>
        <w:t>4.4保温免拆模板保温</w:t>
      </w:r>
      <w:bookmarkEnd w:id="52"/>
      <w:r>
        <w:rPr>
          <w:rFonts w:hint="eastAsia"/>
          <w:color w:val="auto"/>
        </w:rPr>
        <w:t>芯材</w:t>
      </w:r>
      <w:bookmarkEnd w:id="53"/>
      <w:bookmarkEnd w:id="54"/>
      <w:bookmarkEnd w:id="55"/>
      <w:bookmarkEnd w:id="56"/>
      <w:bookmarkEnd w:id="57"/>
      <w:bookmarkEnd w:id="58"/>
      <w:bookmarkEnd w:id="59"/>
      <w:r>
        <w:rPr>
          <w:rFonts w:hint="eastAsia"/>
          <w:color w:val="auto"/>
        </w:rPr>
        <w:t>性能要求</w:t>
      </w:r>
      <w:bookmarkEnd w:id="60"/>
      <w:bookmarkEnd w:id="61"/>
    </w:p>
    <w:p w14:paraId="5B7C3A3F">
      <w:pPr>
        <w:tabs>
          <w:tab w:val="left" w:pos="3969"/>
        </w:tabs>
        <w:snapToGrid w:val="0"/>
        <w:spacing w:line="520" w:lineRule="exact"/>
        <w:rPr>
          <w:rFonts w:ascii="Calibri" w:hAnsi="Calibri" w:cs="黑体"/>
          <w:bCs/>
          <w:color w:val="auto"/>
          <w:kern w:val="0"/>
          <w:sz w:val="24"/>
        </w:rPr>
      </w:pPr>
      <w:r>
        <w:rPr>
          <w:rFonts w:hint="eastAsia" w:ascii="宋体" w:hAnsi="宋体" w:cstheme="minorHAnsi"/>
          <w:b/>
          <w:color w:val="auto"/>
          <w:kern w:val="0"/>
          <w:sz w:val="24"/>
          <w:szCs w:val="24"/>
        </w:rPr>
        <w:t>4.4.1</w:t>
      </w:r>
      <w:bookmarkStart w:id="62" w:name="_Hlk42611460"/>
      <w:r>
        <w:rPr>
          <w:rFonts w:hint="eastAsia" w:ascii="宋体" w:hAnsi="宋体" w:cstheme="minorHAnsi"/>
          <w:color w:val="auto"/>
          <w:kern w:val="0"/>
          <w:sz w:val="24"/>
          <w:szCs w:val="24"/>
        </w:rPr>
        <w:t>复合Ⅰ型保温免拆模板保温芯材</w:t>
      </w:r>
      <w:r>
        <w:rPr>
          <w:rFonts w:hint="eastAsia" w:ascii="Calibri" w:hAnsi="Calibri" w:cs="黑体"/>
          <w:bCs/>
          <w:color w:val="auto"/>
          <w:kern w:val="0"/>
          <w:sz w:val="24"/>
        </w:rPr>
        <w:t>、</w:t>
      </w:r>
      <w:r>
        <w:rPr>
          <w:rFonts w:hint="eastAsia" w:ascii="宋体" w:hAnsi="宋体" w:cstheme="minorHAnsi"/>
          <w:color w:val="auto"/>
          <w:kern w:val="0"/>
          <w:sz w:val="24"/>
          <w:szCs w:val="24"/>
        </w:rPr>
        <w:t>复合Ⅱ型保温免拆模板保温芯材</w:t>
      </w:r>
      <w:r>
        <w:rPr>
          <w:rFonts w:hint="eastAsia" w:ascii="Calibri" w:hAnsi="Calibri" w:cs="黑体"/>
          <w:bCs/>
          <w:color w:val="auto"/>
          <w:kern w:val="0"/>
          <w:sz w:val="24"/>
        </w:rPr>
        <w:t>其主要性能指标应符合表4.4.1-1、4.4.1-2的规定。</w:t>
      </w:r>
    </w:p>
    <w:p w14:paraId="7F5DB0A0">
      <w:pPr>
        <w:spacing w:line="360" w:lineRule="auto"/>
        <w:jc w:val="center"/>
        <w:rPr>
          <w:rFonts w:hint="eastAsia" w:ascii="宋体" w:hAnsi="宋体"/>
          <w:b/>
          <w:color w:val="auto"/>
          <w:szCs w:val="21"/>
        </w:rPr>
      </w:pPr>
      <w:r>
        <w:rPr>
          <w:rFonts w:hint="eastAsia" w:ascii="宋体" w:hAnsi="宋体"/>
          <w:b/>
          <w:color w:val="auto"/>
          <w:szCs w:val="21"/>
        </w:rPr>
        <w:t>表4.4.1-1  复合Ⅰ型保温免拆模板保温芯材性能指标</w:t>
      </w:r>
    </w:p>
    <w:tbl>
      <w:tblPr>
        <w:tblStyle w:val="88"/>
        <w:tblW w:w="8522"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3"/>
        <w:gridCol w:w="3555"/>
        <w:gridCol w:w="2640"/>
        <w:gridCol w:w="1634"/>
      </w:tblGrid>
      <w:tr w14:paraId="42415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93" w:type="dxa"/>
            <w:shd w:val="clear" w:color="auto" w:fill="auto"/>
          </w:tcPr>
          <w:p w14:paraId="3C151B70">
            <w:pPr>
              <w:spacing w:line="320" w:lineRule="exact"/>
              <w:jc w:val="center"/>
              <w:rPr>
                <w:rFonts w:hint="eastAsia" w:ascii="宋体" w:hAnsi="宋体" w:cs="宋体"/>
                <w:color w:val="auto"/>
                <w:kern w:val="0"/>
                <w:szCs w:val="21"/>
              </w:rPr>
            </w:pPr>
            <w:bookmarkStart w:id="63" w:name="_Toc42786148"/>
            <w:bookmarkStart w:id="64" w:name="_Toc53996560"/>
            <w:bookmarkStart w:id="65" w:name="_Toc44576971"/>
            <w:bookmarkStart w:id="66" w:name="_Toc46332109"/>
            <w:bookmarkStart w:id="67" w:name="_Toc46331128"/>
            <w:bookmarkStart w:id="68" w:name="_Toc43215299"/>
            <w:bookmarkStart w:id="69" w:name="_Toc44424559"/>
            <w:bookmarkStart w:id="70" w:name="_Toc42873196"/>
            <w:bookmarkStart w:id="71" w:name="_Toc53993620"/>
            <w:bookmarkStart w:id="72" w:name="_Toc55460084"/>
            <w:bookmarkStart w:id="73" w:name="_Toc42788457"/>
            <w:bookmarkStart w:id="74" w:name="_Toc11703"/>
            <w:bookmarkStart w:id="75" w:name="_Toc45697767"/>
            <w:bookmarkStart w:id="76" w:name="_Toc53518956"/>
            <w:bookmarkStart w:id="77" w:name="_Toc53995580"/>
            <w:r>
              <w:rPr>
                <w:rFonts w:hint="eastAsia" w:ascii="宋体" w:hAnsi="宋体" w:cs="宋体"/>
                <w:color w:val="auto"/>
                <w:kern w:val="0"/>
                <w:szCs w:val="21"/>
              </w:rPr>
              <w:t>序号</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tc>
        <w:tc>
          <w:tcPr>
            <w:tcW w:w="3555" w:type="dxa"/>
            <w:shd w:val="clear" w:color="auto" w:fill="auto"/>
          </w:tcPr>
          <w:p w14:paraId="2FC012AF">
            <w:pPr>
              <w:spacing w:line="320" w:lineRule="exact"/>
              <w:jc w:val="center"/>
              <w:rPr>
                <w:rFonts w:hint="eastAsia" w:ascii="宋体" w:hAnsi="宋体" w:cs="宋体"/>
                <w:color w:val="auto"/>
                <w:kern w:val="0"/>
                <w:szCs w:val="21"/>
              </w:rPr>
            </w:pPr>
            <w:bookmarkStart w:id="78" w:name="_Toc46331129"/>
            <w:bookmarkStart w:id="79" w:name="_Toc55460085"/>
            <w:bookmarkStart w:id="80" w:name="_Toc42788458"/>
            <w:bookmarkStart w:id="81" w:name="_Toc42873197"/>
            <w:bookmarkStart w:id="82" w:name="_Toc44576972"/>
            <w:bookmarkStart w:id="83" w:name="_Toc53993621"/>
            <w:bookmarkStart w:id="84" w:name="_Toc43215300"/>
            <w:bookmarkStart w:id="85" w:name="_Toc53518957"/>
            <w:bookmarkStart w:id="86" w:name="_Toc53995581"/>
            <w:bookmarkStart w:id="87" w:name="_Toc45697768"/>
            <w:bookmarkStart w:id="88" w:name="_Toc46332110"/>
            <w:bookmarkStart w:id="89" w:name="_Toc53996561"/>
            <w:bookmarkStart w:id="90" w:name="_Toc42786149"/>
            <w:bookmarkStart w:id="91" w:name="_Toc3506"/>
            <w:bookmarkStart w:id="92" w:name="_Toc44424560"/>
            <w:r>
              <w:rPr>
                <w:rFonts w:hint="eastAsia" w:ascii="宋体" w:hAnsi="宋体" w:cs="宋体"/>
                <w:color w:val="auto"/>
                <w:kern w:val="0"/>
                <w:szCs w:val="21"/>
              </w:rPr>
              <w:t>检验项目</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tc>
        <w:tc>
          <w:tcPr>
            <w:tcW w:w="2640" w:type="dxa"/>
            <w:shd w:val="clear" w:color="auto" w:fill="auto"/>
          </w:tcPr>
          <w:p w14:paraId="430AD770">
            <w:pPr>
              <w:spacing w:line="320" w:lineRule="exact"/>
              <w:jc w:val="center"/>
              <w:rPr>
                <w:rFonts w:hint="eastAsia" w:ascii="宋体" w:hAnsi="宋体" w:cs="宋体"/>
                <w:color w:val="auto"/>
                <w:kern w:val="0"/>
                <w:szCs w:val="21"/>
              </w:rPr>
            </w:pPr>
            <w:bookmarkStart w:id="93" w:name="_Toc42788459"/>
            <w:bookmarkStart w:id="94" w:name="_Toc46331130"/>
            <w:bookmarkStart w:id="95" w:name="_Toc53993622"/>
            <w:bookmarkStart w:id="96" w:name="_Toc55460086"/>
            <w:bookmarkStart w:id="97" w:name="_Toc53996562"/>
            <w:bookmarkStart w:id="98" w:name="_Toc45697769"/>
            <w:bookmarkStart w:id="99" w:name="_Toc5704"/>
            <w:bookmarkStart w:id="100" w:name="_Toc42873198"/>
            <w:bookmarkStart w:id="101" w:name="_Toc53518958"/>
            <w:bookmarkStart w:id="102" w:name="_Toc53995582"/>
            <w:bookmarkStart w:id="103" w:name="_Toc44576973"/>
            <w:bookmarkStart w:id="104" w:name="_Toc42786150"/>
            <w:bookmarkStart w:id="105" w:name="_Toc44424561"/>
            <w:bookmarkStart w:id="106" w:name="_Toc46332111"/>
            <w:bookmarkStart w:id="107" w:name="_Toc43215301"/>
            <w:r>
              <w:rPr>
                <w:rFonts w:hint="eastAsia" w:ascii="宋体" w:hAnsi="宋体" w:cs="宋体"/>
                <w:color w:val="auto"/>
                <w:kern w:val="0"/>
                <w:szCs w:val="21"/>
              </w:rPr>
              <w:t>性能指标</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tc>
        <w:tc>
          <w:tcPr>
            <w:tcW w:w="1634" w:type="dxa"/>
            <w:shd w:val="clear" w:color="auto" w:fill="auto"/>
          </w:tcPr>
          <w:p w14:paraId="7114AE08">
            <w:pPr>
              <w:spacing w:line="320" w:lineRule="exact"/>
              <w:jc w:val="center"/>
              <w:rPr>
                <w:rFonts w:hint="eastAsia" w:ascii="宋体" w:hAnsi="宋体" w:cs="宋体"/>
                <w:color w:val="auto"/>
                <w:kern w:val="0"/>
                <w:szCs w:val="21"/>
              </w:rPr>
            </w:pPr>
            <w:bookmarkStart w:id="108" w:name="_Toc46332112"/>
            <w:bookmarkStart w:id="109" w:name="_Toc45697770"/>
            <w:bookmarkStart w:id="110" w:name="_Toc46331131"/>
            <w:bookmarkStart w:id="111" w:name="_Toc53996563"/>
            <w:bookmarkStart w:id="112" w:name="_Toc53995583"/>
            <w:bookmarkStart w:id="113" w:name="_Toc43215302"/>
            <w:bookmarkStart w:id="114" w:name="_Toc53518959"/>
            <w:bookmarkStart w:id="115" w:name="_Toc42788460"/>
            <w:bookmarkStart w:id="116" w:name="_Toc42873199"/>
            <w:bookmarkStart w:id="117" w:name="_Toc44576974"/>
            <w:bookmarkStart w:id="118" w:name="_Toc53993623"/>
            <w:bookmarkStart w:id="119" w:name="_Toc44424562"/>
            <w:bookmarkStart w:id="120" w:name="_Toc55460087"/>
            <w:bookmarkStart w:id="121" w:name="_Toc42786151"/>
            <w:bookmarkStart w:id="122" w:name="_Toc22949"/>
            <w:r>
              <w:rPr>
                <w:rFonts w:hint="eastAsia" w:ascii="宋体" w:hAnsi="宋体" w:cs="宋体"/>
                <w:color w:val="auto"/>
                <w:kern w:val="0"/>
                <w:szCs w:val="21"/>
              </w:rPr>
              <w:t>试验方法</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tc>
      </w:tr>
      <w:tr w14:paraId="31BCF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tcPr>
          <w:p w14:paraId="34CECF1A">
            <w:pPr>
              <w:spacing w:line="320" w:lineRule="exact"/>
              <w:jc w:val="center"/>
              <w:rPr>
                <w:rFonts w:hint="eastAsia" w:ascii="宋体" w:hAnsi="宋体" w:cs="宋体"/>
                <w:color w:val="auto"/>
                <w:kern w:val="0"/>
                <w:szCs w:val="21"/>
              </w:rPr>
            </w:pPr>
            <w:bookmarkStart w:id="123" w:name="_Toc55460088"/>
            <w:bookmarkStart w:id="124" w:name="_Toc42786152"/>
            <w:bookmarkStart w:id="125" w:name="_Toc46331132"/>
            <w:bookmarkStart w:id="126" w:name="_Toc44576975"/>
            <w:bookmarkStart w:id="127" w:name="_Toc46332113"/>
            <w:bookmarkStart w:id="128" w:name="_Toc42788461"/>
            <w:bookmarkStart w:id="129" w:name="_Toc13348"/>
            <w:bookmarkStart w:id="130" w:name="_Toc45697771"/>
            <w:bookmarkStart w:id="131" w:name="_Toc44424563"/>
            <w:bookmarkStart w:id="132" w:name="_Toc53996564"/>
            <w:bookmarkStart w:id="133" w:name="_Toc43215303"/>
            <w:bookmarkStart w:id="134" w:name="_Toc42873200"/>
            <w:bookmarkStart w:id="135" w:name="_Toc53518960"/>
            <w:bookmarkStart w:id="136" w:name="_Toc53993624"/>
            <w:bookmarkStart w:id="137" w:name="_Toc53995584"/>
            <w:r>
              <w:rPr>
                <w:rFonts w:hint="eastAsia" w:ascii="宋体" w:hAnsi="宋体" w:cs="宋体"/>
                <w:color w:val="auto"/>
                <w:kern w:val="0"/>
                <w:szCs w:val="21"/>
              </w:rPr>
              <w:t>1</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tc>
        <w:tc>
          <w:tcPr>
            <w:tcW w:w="3555" w:type="dxa"/>
            <w:shd w:val="clear" w:color="auto" w:fill="auto"/>
            <w:vAlign w:val="center"/>
          </w:tcPr>
          <w:p w14:paraId="6B9B0922">
            <w:pPr>
              <w:spacing w:line="320" w:lineRule="exact"/>
              <w:jc w:val="center"/>
              <w:rPr>
                <w:rFonts w:hint="eastAsia" w:ascii="宋体" w:hAnsi="宋体" w:cs="宋体"/>
                <w:color w:val="auto"/>
                <w:kern w:val="0"/>
                <w:szCs w:val="21"/>
              </w:rPr>
            </w:pPr>
            <w:bookmarkStart w:id="138" w:name="_Toc42786153"/>
            <w:bookmarkStart w:id="139" w:name="_Toc53995585"/>
            <w:bookmarkStart w:id="140" w:name="_Toc42788462"/>
            <w:bookmarkStart w:id="141" w:name="_Toc43215304"/>
            <w:bookmarkStart w:id="142" w:name="_Toc53996565"/>
            <w:bookmarkStart w:id="143" w:name="_Toc17174"/>
            <w:bookmarkStart w:id="144" w:name="_Toc45697772"/>
            <w:bookmarkStart w:id="145" w:name="_Toc53518961"/>
            <w:bookmarkStart w:id="146" w:name="_Toc55460089"/>
            <w:bookmarkStart w:id="147" w:name="_Toc44576976"/>
            <w:bookmarkStart w:id="148" w:name="_Toc53993625"/>
            <w:bookmarkStart w:id="149" w:name="_Toc46332114"/>
            <w:bookmarkStart w:id="150" w:name="_Toc42873201"/>
            <w:bookmarkStart w:id="151" w:name="_Toc44424564"/>
            <w:bookmarkStart w:id="152" w:name="_Toc46331133"/>
            <w:r>
              <w:rPr>
                <w:rFonts w:hint="eastAsia" w:ascii="宋体" w:hAnsi="宋体" w:cs="宋体"/>
                <w:color w:val="auto"/>
                <w:kern w:val="0"/>
                <w:szCs w:val="21"/>
              </w:rPr>
              <w:t>干密度,kg/m</w:t>
            </w:r>
            <w:r>
              <w:rPr>
                <w:rFonts w:hint="eastAsia" w:ascii="宋体" w:hAnsi="宋体" w:cs="宋体"/>
                <w:color w:val="auto"/>
                <w:kern w:val="0"/>
                <w:szCs w:val="21"/>
                <w:vertAlign w:val="superscript"/>
              </w:rPr>
              <w:t>3</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tc>
        <w:tc>
          <w:tcPr>
            <w:tcW w:w="2640" w:type="dxa"/>
            <w:shd w:val="clear" w:color="auto" w:fill="auto"/>
            <w:vAlign w:val="center"/>
          </w:tcPr>
          <w:p w14:paraId="5CE117D3">
            <w:pPr>
              <w:spacing w:line="320" w:lineRule="exact"/>
              <w:jc w:val="center"/>
              <w:rPr>
                <w:rFonts w:hint="eastAsia" w:ascii="宋体" w:hAnsi="宋体" w:cs="宋体"/>
                <w:strike/>
                <w:color w:val="auto"/>
                <w:kern w:val="0"/>
                <w:szCs w:val="21"/>
              </w:rPr>
            </w:pPr>
            <w:bookmarkStart w:id="153" w:name="_Toc45697773"/>
            <w:bookmarkStart w:id="154" w:name="_Toc46331134"/>
            <w:bookmarkStart w:id="155" w:name="_Toc55460090"/>
            <w:bookmarkStart w:id="156" w:name="_Toc42786154"/>
            <w:bookmarkStart w:id="157" w:name="_Toc53518962"/>
            <w:bookmarkStart w:id="158" w:name="_Toc53993626"/>
            <w:bookmarkStart w:id="159" w:name="_Toc22111"/>
            <w:bookmarkStart w:id="160" w:name="_Toc53996566"/>
            <w:bookmarkStart w:id="161" w:name="_Toc44576977"/>
            <w:bookmarkStart w:id="162" w:name="_Toc42788463"/>
            <w:bookmarkStart w:id="163" w:name="_Toc53995586"/>
            <w:bookmarkStart w:id="164" w:name="_Toc46332115"/>
            <w:bookmarkStart w:id="165" w:name="_Toc42873202"/>
            <w:bookmarkStart w:id="166" w:name="_Toc44424565"/>
            <w:bookmarkStart w:id="167" w:name="_Toc43215305"/>
            <w:r>
              <w:rPr>
                <w:rFonts w:hint="eastAsia" w:ascii="宋体" w:hAnsi="宋体" w:cs="宋体"/>
                <w:color w:val="auto"/>
                <w:kern w:val="0"/>
                <w:szCs w:val="21"/>
              </w:rPr>
              <w:t>≥</w:t>
            </w:r>
            <w:r>
              <w:rPr>
                <w:rFonts w:ascii="宋体" w:hAnsi="宋体" w:cs="宋体"/>
                <w:color w:val="auto"/>
                <w:kern w:val="0"/>
                <w:szCs w:val="21"/>
              </w:rPr>
              <w:t>140</w:t>
            </w:r>
            <w:r>
              <w:rPr>
                <w:rFonts w:hint="eastAsia" w:ascii="宋体" w:hAnsi="宋体" w:cs="宋体"/>
                <w:color w:val="auto"/>
                <w:kern w:val="0"/>
                <w:szCs w:val="21"/>
              </w:rPr>
              <w:t>，≤</w:t>
            </w:r>
            <w:r>
              <w:rPr>
                <w:rFonts w:ascii="宋体" w:hAnsi="宋体" w:cs="宋体"/>
                <w:color w:val="auto"/>
                <w:kern w:val="0"/>
                <w:szCs w:val="21"/>
              </w:rPr>
              <w:t>170</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tc>
        <w:tc>
          <w:tcPr>
            <w:tcW w:w="1634" w:type="dxa"/>
            <w:shd w:val="clear" w:color="auto" w:fill="auto"/>
            <w:vAlign w:val="center"/>
          </w:tcPr>
          <w:p w14:paraId="0CC6AB59">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GB/T 5486</w:t>
            </w:r>
          </w:p>
        </w:tc>
      </w:tr>
      <w:tr w14:paraId="4C61A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tcPr>
          <w:p w14:paraId="79F995EC">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2</w:t>
            </w:r>
          </w:p>
        </w:tc>
        <w:tc>
          <w:tcPr>
            <w:tcW w:w="3555" w:type="dxa"/>
            <w:shd w:val="clear" w:color="auto" w:fill="auto"/>
            <w:vAlign w:val="center"/>
          </w:tcPr>
          <w:p w14:paraId="556CC285">
            <w:pPr>
              <w:spacing w:line="320" w:lineRule="exact"/>
              <w:jc w:val="center"/>
              <w:rPr>
                <w:rFonts w:hint="eastAsia" w:ascii="宋体" w:hAnsi="宋体" w:cs="宋体"/>
                <w:color w:val="auto"/>
                <w:kern w:val="0"/>
                <w:szCs w:val="21"/>
              </w:rPr>
            </w:pPr>
            <w:bookmarkStart w:id="168" w:name="_Toc43215311"/>
            <w:bookmarkStart w:id="169" w:name="_Toc44576983"/>
            <w:bookmarkStart w:id="170" w:name="_Toc45697779"/>
            <w:bookmarkStart w:id="171" w:name="_Toc42873208"/>
            <w:bookmarkStart w:id="172" w:name="_Toc53993632"/>
            <w:bookmarkStart w:id="173" w:name="_Toc55460096"/>
            <w:bookmarkStart w:id="174" w:name="_Toc53518968"/>
            <w:bookmarkStart w:id="175" w:name="_Toc42786160"/>
            <w:bookmarkStart w:id="176" w:name="_Toc44424571"/>
            <w:bookmarkStart w:id="177" w:name="_Toc53996572"/>
            <w:bookmarkStart w:id="178" w:name="_Toc856"/>
            <w:bookmarkStart w:id="179" w:name="_Toc46332121"/>
            <w:bookmarkStart w:id="180" w:name="_Toc42788469"/>
            <w:bookmarkStart w:id="181" w:name="_Toc46331140"/>
            <w:bookmarkStart w:id="182" w:name="_Toc53995592"/>
            <w:r>
              <w:rPr>
                <w:rFonts w:hint="eastAsia" w:ascii="宋体" w:hAnsi="宋体" w:cs="宋体"/>
                <w:color w:val="auto"/>
                <w:kern w:val="0"/>
                <w:szCs w:val="21"/>
              </w:rPr>
              <w:t>导热系数</w:t>
            </w:r>
            <w:r>
              <w:rPr>
                <w:rFonts w:hint="eastAsia" w:ascii="宋体" w:hAnsi="宋体" w:cs="宋体"/>
                <w:color w:val="auto"/>
                <w:kern w:val="0"/>
                <w:szCs w:val="21"/>
                <w:vertAlign w:val="superscript"/>
              </w:rPr>
              <w:t>a</w:t>
            </w:r>
            <w:r>
              <w:rPr>
                <w:rFonts w:hint="eastAsia" w:ascii="宋体" w:hAnsi="宋体" w:cs="宋体"/>
                <w:color w:val="auto"/>
                <w:kern w:val="0"/>
                <w:szCs w:val="21"/>
              </w:rPr>
              <w:t>（平均温度25℃）,W/(m·K)</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tc>
        <w:tc>
          <w:tcPr>
            <w:tcW w:w="2640" w:type="dxa"/>
            <w:shd w:val="clear" w:color="auto" w:fill="auto"/>
            <w:vAlign w:val="center"/>
          </w:tcPr>
          <w:p w14:paraId="4D59C4B4">
            <w:pPr>
              <w:spacing w:line="320" w:lineRule="exact"/>
              <w:jc w:val="center"/>
              <w:rPr>
                <w:rFonts w:hint="eastAsia" w:ascii="宋体" w:hAnsi="宋体" w:cs="宋体"/>
                <w:color w:val="auto"/>
                <w:kern w:val="0"/>
                <w:szCs w:val="21"/>
              </w:rPr>
            </w:pPr>
            <w:bookmarkStart w:id="183" w:name="_Toc55460097"/>
            <w:bookmarkStart w:id="184" w:name="_Toc31699"/>
            <w:bookmarkStart w:id="185" w:name="_Toc53996573"/>
            <w:bookmarkStart w:id="186" w:name="_Toc43215312"/>
            <w:bookmarkStart w:id="187" w:name="_Toc53993633"/>
            <w:bookmarkStart w:id="188" w:name="_Toc44576984"/>
            <w:bookmarkStart w:id="189" w:name="_Toc44424572"/>
            <w:bookmarkStart w:id="190" w:name="_Toc42788470"/>
            <w:bookmarkStart w:id="191" w:name="_Toc42873209"/>
            <w:bookmarkStart w:id="192" w:name="_Toc42786161"/>
            <w:bookmarkStart w:id="193" w:name="_Toc46331141"/>
            <w:bookmarkStart w:id="194" w:name="_Toc45697780"/>
            <w:bookmarkStart w:id="195" w:name="_Toc53995593"/>
            <w:bookmarkStart w:id="196" w:name="_Toc46332122"/>
            <w:bookmarkStart w:id="197" w:name="_Toc53518969"/>
            <w:r>
              <w:rPr>
                <w:rFonts w:hint="eastAsia" w:ascii="宋体" w:hAnsi="宋体" w:cs="宋体"/>
                <w:color w:val="auto"/>
                <w:kern w:val="0"/>
                <w:szCs w:val="21"/>
              </w:rPr>
              <w:t>≤0.0</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rPr>
                <w:rFonts w:hint="eastAsia" w:ascii="宋体" w:hAnsi="宋体" w:cs="宋体"/>
                <w:color w:val="auto"/>
                <w:kern w:val="0"/>
                <w:szCs w:val="21"/>
              </w:rPr>
              <w:t>55</w:t>
            </w:r>
          </w:p>
        </w:tc>
        <w:tc>
          <w:tcPr>
            <w:tcW w:w="1634" w:type="dxa"/>
            <w:shd w:val="clear" w:color="auto" w:fill="auto"/>
            <w:vAlign w:val="center"/>
          </w:tcPr>
          <w:p w14:paraId="6B24448E">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GB/T 10294</w:t>
            </w:r>
          </w:p>
        </w:tc>
      </w:tr>
      <w:tr w14:paraId="270C8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tcPr>
          <w:p w14:paraId="56E57655">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3</w:t>
            </w:r>
          </w:p>
        </w:tc>
        <w:tc>
          <w:tcPr>
            <w:tcW w:w="3555" w:type="dxa"/>
            <w:shd w:val="clear" w:color="auto" w:fill="auto"/>
            <w:vAlign w:val="center"/>
          </w:tcPr>
          <w:p w14:paraId="1A292E79">
            <w:pPr>
              <w:spacing w:line="320" w:lineRule="exact"/>
              <w:jc w:val="center"/>
              <w:rPr>
                <w:rFonts w:hint="eastAsia" w:ascii="宋体" w:hAnsi="宋体" w:cs="宋体"/>
                <w:color w:val="auto"/>
                <w:kern w:val="0"/>
                <w:szCs w:val="21"/>
              </w:rPr>
            </w:pPr>
            <w:bookmarkStart w:id="198" w:name="_Toc53995589"/>
            <w:bookmarkStart w:id="199" w:name="_Toc53996569"/>
            <w:bookmarkStart w:id="200" w:name="_Toc42873205"/>
            <w:bookmarkStart w:id="201" w:name="_Toc44576980"/>
            <w:bookmarkStart w:id="202" w:name="_Toc42786157"/>
            <w:bookmarkStart w:id="203" w:name="_Toc42788466"/>
            <w:bookmarkStart w:id="204" w:name="_Toc46332118"/>
            <w:bookmarkStart w:id="205" w:name="_Toc53518965"/>
            <w:bookmarkStart w:id="206" w:name="_Toc53993629"/>
            <w:bookmarkStart w:id="207" w:name="_Toc46331137"/>
            <w:bookmarkStart w:id="208" w:name="_Toc44424568"/>
            <w:bookmarkStart w:id="209" w:name="_Toc55460093"/>
            <w:bookmarkStart w:id="210" w:name="_Toc43215308"/>
            <w:bookmarkStart w:id="211" w:name="_Toc11996"/>
            <w:bookmarkStart w:id="212" w:name="_Toc45697776"/>
            <w:r>
              <w:rPr>
                <w:rFonts w:hint="eastAsia" w:ascii="宋体" w:hAnsi="宋体" w:cs="宋体"/>
                <w:color w:val="auto"/>
                <w:kern w:val="0"/>
                <w:szCs w:val="21"/>
              </w:rPr>
              <w:t>体积吸水率（v/v）,%</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tc>
        <w:tc>
          <w:tcPr>
            <w:tcW w:w="2640" w:type="dxa"/>
            <w:shd w:val="clear" w:color="auto" w:fill="auto"/>
            <w:vAlign w:val="center"/>
          </w:tcPr>
          <w:p w14:paraId="17B97744">
            <w:pPr>
              <w:spacing w:line="320" w:lineRule="exact"/>
              <w:jc w:val="center"/>
              <w:rPr>
                <w:rFonts w:hint="eastAsia" w:ascii="宋体" w:hAnsi="宋体" w:cs="宋体"/>
                <w:color w:val="auto"/>
                <w:kern w:val="0"/>
                <w:szCs w:val="21"/>
              </w:rPr>
            </w:pPr>
            <w:bookmarkStart w:id="213" w:name="_Toc42873206"/>
            <w:bookmarkStart w:id="214" w:name="_Toc42786158"/>
            <w:bookmarkStart w:id="215" w:name="_Toc43215309"/>
            <w:bookmarkStart w:id="216" w:name="_Toc42788467"/>
            <w:bookmarkStart w:id="217" w:name="_Toc53995590"/>
            <w:bookmarkStart w:id="218" w:name="_Toc53518966"/>
            <w:bookmarkStart w:id="219" w:name="_Toc44424569"/>
            <w:bookmarkStart w:id="220" w:name="_Toc44576981"/>
            <w:bookmarkStart w:id="221" w:name="_Toc46332119"/>
            <w:bookmarkStart w:id="222" w:name="_Toc16729"/>
            <w:bookmarkStart w:id="223" w:name="_Toc53996570"/>
            <w:bookmarkStart w:id="224" w:name="_Toc45697777"/>
            <w:bookmarkStart w:id="225" w:name="_Toc46331138"/>
            <w:bookmarkStart w:id="226" w:name="_Toc55460094"/>
            <w:bookmarkStart w:id="227" w:name="_Toc53993630"/>
            <w:r>
              <w:rPr>
                <w:rFonts w:hint="eastAsia" w:ascii="宋体" w:hAnsi="宋体" w:cs="宋体"/>
                <w:color w:val="auto"/>
                <w:kern w:val="0"/>
                <w:szCs w:val="21"/>
              </w:rPr>
              <w:t>≤</w:t>
            </w:r>
            <w:bookmarkEnd w:id="213"/>
            <w:bookmarkEnd w:id="214"/>
            <w:bookmarkEnd w:id="215"/>
            <w:bookmarkEnd w:id="216"/>
            <w:r>
              <w:rPr>
                <w:rFonts w:ascii="宋体" w:hAnsi="宋体" w:cs="宋体"/>
                <w:color w:val="auto"/>
                <w:kern w:val="0"/>
                <w:szCs w:val="21"/>
              </w:rPr>
              <w:t>8</w:t>
            </w:r>
            <w:bookmarkEnd w:id="217"/>
            <w:bookmarkEnd w:id="218"/>
            <w:bookmarkEnd w:id="219"/>
            <w:bookmarkEnd w:id="220"/>
            <w:bookmarkEnd w:id="221"/>
            <w:bookmarkEnd w:id="222"/>
            <w:bookmarkEnd w:id="223"/>
            <w:bookmarkEnd w:id="224"/>
            <w:bookmarkEnd w:id="225"/>
            <w:bookmarkEnd w:id="226"/>
            <w:bookmarkEnd w:id="227"/>
          </w:p>
        </w:tc>
        <w:tc>
          <w:tcPr>
            <w:tcW w:w="1634" w:type="dxa"/>
            <w:vMerge w:val="restart"/>
            <w:shd w:val="clear" w:color="auto" w:fill="auto"/>
            <w:vAlign w:val="center"/>
          </w:tcPr>
          <w:p w14:paraId="16B5D4AB">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GB/T 5486</w:t>
            </w:r>
          </w:p>
        </w:tc>
      </w:tr>
      <w:tr w14:paraId="74D3E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tcPr>
          <w:p w14:paraId="1A32F169">
            <w:pPr>
              <w:spacing w:line="320" w:lineRule="exact"/>
              <w:jc w:val="center"/>
              <w:rPr>
                <w:rFonts w:hint="eastAsia" w:ascii="宋体" w:hAnsi="宋体" w:cs="宋体"/>
                <w:color w:val="auto"/>
                <w:kern w:val="0"/>
                <w:szCs w:val="21"/>
              </w:rPr>
            </w:pPr>
            <w:bookmarkStart w:id="228" w:name="_Toc43215313"/>
            <w:bookmarkStart w:id="229" w:name="_Toc46332123"/>
            <w:bookmarkStart w:id="230" w:name="_Toc42786162"/>
            <w:bookmarkStart w:id="231" w:name="_Toc2459"/>
            <w:bookmarkStart w:id="232" w:name="_Toc53996574"/>
            <w:bookmarkStart w:id="233" w:name="_Toc44424573"/>
            <w:bookmarkStart w:id="234" w:name="_Toc45697781"/>
            <w:bookmarkStart w:id="235" w:name="_Toc55460098"/>
            <w:bookmarkStart w:id="236" w:name="_Toc46331142"/>
            <w:bookmarkStart w:id="237" w:name="_Toc42788471"/>
            <w:bookmarkStart w:id="238" w:name="_Toc53518970"/>
            <w:bookmarkStart w:id="239" w:name="_Toc53995594"/>
            <w:bookmarkStart w:id="240" w:name="_Toc44576985"/>
            <w:bookmarkStart w:id="241" w:name="_Toc53993634"/>
            <w:bookmarkStart w:id="242" w:name="_Toc42873210"/>
            <w:r>
              <w:rPr>
                <w:rFonts w:hint="eastAsia" w:ascii="宋体" w:hAnsi="宋体" w:cs="宋体"/>
                <w:color w:val="auto"/>
                <w:kern w:val="0"/>
                <w:szCs w:val="21"/>
              </w:rPr>
              <w:t>4</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tc>
        <w:tc>
          <w:tcPr>
            <w:tcW w:w="3555" w:type="dxa"/>
            <w:shd w:val="clear" w:color="auto" w:fill="auto"/>
            <w:vAlign w:val="center"/>
          </w:tcPr>
          <w:p w14:paraId="473608FA">
            <w:pPr>
              <w:spacing w:line="320" w:lineRule="exact"/>
              <w:jc w:val="center"/>
              <w:rPr>
                <w:rFonts w:hint="eastAsia" w:ascii="宋体" w:hAnsi="宋体" w:cs="宋体"/>
                <w:color w:val="auto"/>
                <w:kern w:val="0"/>
                <w:szCs w:val="21"/>
              </w:rPr>
            </w:pPr>
            <w:bookmarkStart w:id="243" w:name="_Toc45697782"/>
            <w:bookmarkStart w:id="244" w:name="_Toc42788472"/>
            <w:bookmarkStart w:id="245" w:name="_Toc44576986"/>
            <w:bookmarkStart w:id="246" w:name="_Toc46332124"/>
            <w:bookmarkStart w:id="247" w:name="_Toc53518971"/>
            <w:bookmarkStart w:id="248" w:name="_Toc53995595"/>
            <w:bookmarkStart w:id="249" w:name="_Toc55460099"/>
            <w:bookmarkStart w:id="250" w:name="_Toc9804"/>
            <w:bookmarkStart w:id="251" w:name="_Toc42873211"/>
            <w:bookmarkStart w:id="252" w:name="_Toc44424574"/>
            <w:bookmarkStart w:id="253" w:name="_Toc53993635"/>
            <w:bookmarkStart w:id="254" w:name="_Toc46331143"/>
            <w:bookmarkStart w:id="255" w:name="_Toc53996575"/>
            <w:bookmarkStart w:id="256" w:name="_Toc43215314"/>
            <w:bookmarkStart w:id="257" w:name="_Toc42786163"/>
            <w:r>
              <w:rPr>
                <w:rFonts w:hint="eastAsia" w:ascii="宋体" w:hAnsi="宋体" w:cs="宋体"/>
                <w:color w:val="auto"/>
                <w:kern w:val="0"/>
                <w:szCs w:val="21"/>
              </w:rPr>
              <w:t>抗压强度,MPa</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tc>
        <w:tc>
          <w:tcPr>
            <w:tcW w:w="2640" w:type="dxa"/>
            <w:shd w:val="clear" w:color="auto" w:fill="auto"/>
            <w:vAlign w:val="center"/>
          </w:tcPr>
          <w:p w14:paraId="3CD924F1">
            <w:pPr>
              <w:spacing w:line="320" w:lineRule="exact"/>
              <w:jc w:val="center"/>
              <w:rPr>
                <w:rFonts w:hint="eastAsia" w:ascii="宋体" w:hAnsi="宋体" w:cs="宋体"/>
                <w:strike/>
                <w:color w:val="auto"/>
                <w:kern w:val="0"/>
                <w:szCs w:val="21"/>
              </w:rPr>
            </w:pPr>
            <w:bookmarkStart w:id="258" w:name="_Toc55460100"/>
            <w:bookmarkStart w:id="259" w:name="_Toc15115"/>
            <w:bookmarkStart w:id="260" w:name="_Toc43215315"/>
            <w:bookmarkStart w:id="261" w:name="_Toc42788473"/>
            <w:bookmarkStart w:id="262" w:name="_Toc42873212"/>
            <w:bookmarkStart w:id="263" w:name="_Toc44424575"/>
            <w:bookmarkStart w:id="264" w:name="_Toc45697783"/>
            <w:bookmarkStart w:id="265" w:name="_Toc44576987"/>
            <w:bookmarkStart w:id="266" w:name="_Toc46332125"/>
            <w:bookmarkStart w:id="267" w:name="_Toc53995596"/>
            <w:bookmarkStart w:id="268" w:name="_Toc53993636"/>
            <w:bookmarkStart w:id="269" w:name="_Toc42786164"/>
            <w:bookmarkStart w:id="270" w:name="_Toc53996576"/>
            <w:bookmarkStart w:id="271" w:name="_Toc53518972"/>
            <w:bookmarkStart w:id="272" w:name="_Toc46331144"/>
            <w:r>
              <w:rPr>
                <w:rFonts w:hint="eastAsia" w:ascii="宋体" w:hAnsi="宋体" w:cs="宋体"/>
                <w:color w:val="auto"/>
                <w:kern w:val="0"/>
                <w:szCs w:val="21"/>
              </w:rPr>
              <w:t>≥0.</w:t>
            </w:r>
            <w:r>
              <w:rPr>
                <w:rFonts w:ascii="宋体" w:hAnsi="宋体" w:cs="宋体"/>
                <w:color w:val="auto"/>
                <w:kern w:val="0"/>
                <w:szCs w:val="21"/>
              </w:rPr>
              <w:t>20</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tc>
        <w:tc>
          <w:tcPr>
            <w:tcW w:w="1634" w:type="dxa"/>
            <w:vMerge w:val="continue"/>
            <w:shd w:val="clear" w:color="auto" w:fill="auto"/>
            <w:vAlign w:val="center"/>
          </w:tcPr>
          <w:p w14:paraId="567FF698">
            <w:pPr>
              <w:spacing w:line="320" w:lineRule="exact"/>
              <w:jc w:val="center"/>
              <w:rPr>
                <w:rFonts w:hint="eastAsia" w:ascii="宋体" w:hAnsi="宋体" w:cs="宋体"/>
                <w:color w:val="auto"/>
                <w:kern w:val="0"/>
                <w:szCs w:val="21"/>
              </w:rPr>
            </w:pPr>
          </w:p>
        </w:tc>
      </w:tr>
      <w:tr w14:paraId="4D316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tcPr>
          <w:p w14:paraId="09D8E022">
            <w:pPr>
              <w:spacing w:line="320" w:lineRule="exact"/>
              <w:jc w:val="center"/>
              <w:rPr>
                <w:rFonts w:hint="eastAsia" w:ascii="宋体" w:hAnsi="宋体" w:cs="宋体"/>
                <w:color w:val="auto"/>
                <w:kern w:val="0"/>
                <w:szCs w:val="21"/>
              </w:rPr>
            </w:pPr>
            <w:bookmarkStart w:id="273" w:name="_Toc42786165"/>
            <w:bookmarkStart w:id="274" w:name="_Toc43215316"/>
            <w:bookmarkStart w:id="275" w:name="_Toc55460101"/>
            <w:bookmarkStart w:id="276" w:name="_Toc53996577"/>
            <w:bookmarkStart w:id="277" w:name="_Toc44576988"/>
            <w:bookmarkStart w:id="278" w:name="_Toc45697784"/>
            <w:bookmarkStart w:id="279" w:name="_Toc42788474"/>
            <w:bookmarkStart w:id="280" w:name="_Toc46332126"/>
            <w:bookmarkStart w:id="281" w:name="_Toc46331145"/>
            <w:bookmarkStart w:id="282" w:name="_Toc44424576"/>
            <w:bookmarkStart w:id="283" w:name="_Toc53995597"/>
            <w:bookmarkStart w:id="284" w:name="_Toc42873213"/>
            <w:bookmarkStart w:id="285" w:name="_Toc53518973"/>
            <w:bookmarkStart w:id="286" w:name="_Toc53993637"/>
            <w:bookmarkStart w:id="287" w:name="_Toc17804"/>
            <w:r>
              <w:rPr>
                <w:rFonts w:hint="eastAsia" w:ascii="宋体" w:hAnsi="宋体" w:cs="宋体"/>
                <w:color w:val="auto"/>
                <w:kern w:val="0"/>
                <w:szCs w:val="21"/>
              </w:rPr>
              <w:t>5</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tc>
        <w:tc>
          <w:tcPr>
            <w:tcW w:w="3555" w:type="dxa"/>
            <w:shd w:val="clear" w:color="auto" w:fill="auto"/>
            <w:vAlign w:val="center"/>
          </w:tcPr>
          <w:p w14:paraId="3C3E088A">
            <w:pPr>
              <w:spacing w:line="320" w:lineRule="exact"/>
              <w:jc w:val="center"/>
              <w:rPr>
                <w:rFonts w:hint="eastAsia" w:ascii="宋体" w:hAnsi="宋体" w:cs="宋体"/>
                <w:color w:val="auto"/>
                <w:kern w:val="0"/>
                <w:szCs w:val="21"/>
              </w:rPr>
            </w:pPr>
            <w:bookmarkStart w:id="288" w:name="_Toc46332127"/>
            <w:bookmarkStart w:id="289" w:name="_Toc44576989"/>
            <w:bookmarkStart w:id="290" w:name="_Toc46331146"/>
            <w:bookmarkStart w:id="291" w:name="_Toc53995598"/>
            <w:bookmarkStart w:id="292" w:name="_Toc45697785"/>
            <w:bookmarkStart w:id="293" w:name="_Toc42873214"/>
            <w:bookmarkStart w:id="294" w:name="_Toc42788475"/>
            <w:bookmarkStart w:id="295" w:name="_Toc43215317"/>
            <w:bookmarkStart w:id="296" w:name="_Toc28733"/>
            <w:bookmarkStart w:id="297" w:name="_Toc53518974"/>
            <w:bookmarkStart w:id="298" w:name="_Toc44424577"/>
            <w:bookmarkStart w:id="299" w:name="_Toc53993638"/>
            <w:bookmarkStart w:id="300" w:name="_Toc42786166"/>
            <w:bookmarkStart w:id="301" w:name="_Toc53996578"/>
            <w:bookmarkStart w:id="302" w:name="_Toc55460102"/>
            <w:r>
              <w:rPr>
                <w:rFonts w:hint="eastAsia" w:ascii="宋体" w:hAnsi="宋体" w:cs="宋体"/>
                <w:color w:val="auto"/>
                <w:kern w:val="0"/>
                <w:szCs w:val="21"/>
              </w:rPr>
              <w:t>抗折强度,MPa</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tc>
        <w:tc>
          <w:tcPr>
            <w:tcW w:w="2640" w:type="dxa"/>
            <w:shd w:val="clear" w:color="auto" w:fill="auto"/>
            <w:vAlign w:val="center"/>
          </w:tcPr>
          <w:p w14:paraId="6F76713B">
            <w:pPr>
              <w:spacing w:line="320" w:lineRule="exact"/>
              <w:jc w:val="center"/>
              <w:rPr>
                <w:rFonts w:hint="eastAsia" w:ascii="宋体" w:hAnsi="宋体" w:cs="宋体"/>
                <w:color w:val="auto"/>
                <w:kern w:val="0"/>
                <w:szCs w:val="21"/>
              </w:rPr>
            </w:pPr>
            <w:bookmarkStart w:id="303" w:name="_Toc44424578"/>
            <w:bookmarkStart w:id="304" w:name="_Toc55460103"/>
            <w:bookmarkStart w:id="305" w:name="_Toc42788476"/>
            <w:bookmarkStart w:id="306" w:name="_Toc44576990"/>
            <w:bookmarkStart w:id="307" w:name="_Toc53995599"/>
            <w:bookmarkStart w:id="308" w:name="_Toc53518975"/>
            <w:bookmarkStart w:id="309" w:name="_Toc42786167"/>
            <w:bookmarkStart w:id="310" w:name="_Toc46332128"/>
            <w:bookmarkStart w:id="311" w:name="_Toc25659"/>
            <w:bookmarkStart w:id="312" w:name="_Toc53993639"/>
            <w:bookmarkStart w:id="313" w:name="_Toc43215318"/>
            <w:bookmarkStart w:id="314" w:name="_Toc45697786"/>
            <w:bookmarkStart w:id="315" w:name="_Toc53996579"/>
            <w:bookmarkStart w:id="316" w:name="_Toc46331147"/>
            <w:bookmarkStart w:id="317" w:name="_Toc42873215"/>
            <w:r>
              <w:rPr>
                <w:rFonts w:hint="eastAsia" w:ascii="宋体" w:hAnsi="宋体" w:cs="宋体"/>
                <w:color w:val="auto"/>
                <w:kern w:val="0"/>
                <w:szCs w:val="21"/>
              </w:rPr>
              <w:t>≥0.</w:t>
            </w:r>
            <w:r>
              <w:rPr>
                <w:rFonts w:ascii="宋体" w:hAnsi="宋体" w:cs="宋体"/>
                <w:color w:val="auto"/>
                <w:kern w:val="0"/>
                <w:szCs w:val="21"/>
              </w:rPr>
              <w:t>20</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tc>
        <w:tc>
          <w:tcPr>
            <w:tcW w:w="1634" w:type="dxa"/>
            <w:vMerge w:val="continue"/>
            <w:shd w:val="clear" w:color="auto" w:fill="auto"/>
            <w:vAlign w:val="center"/>
          </w:tcPr>
          <w:p w14:paraId="6F96A03B">
            <w:pPr>
              <w:spacing w:line="320" w:lineRule="exact"/>
              <w:jc w:val="center"/>
              <w:rPr>
                <w:rFonts w:hint="eastAsia" w:ascii="宋体" w:hAnsi="宋体" w:cs="宋体"/>
                <w:color w:val="auto"/>
                <w:kern w:val="0"/>
                <w:szCs w:val="21"/>
              </w:rPr>
            </w:pPr>
          </w:p>
        </w:tc>
      </w:tr>
      <w:tr w14:paraId="7EF59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693" w:type="dxa"/>
            <w:shd w:val="clear" w:color="auto" w:fill="auto"/>
          </w:tcPr>
          <w:p w14:paraId="03C27253">
            <w:pPr>
              <w:spacing w:line="320" w:lineRule="exact"/>
              <w:jc w:val="center"/>
              <w:rPr>
                <w:rFonts w:hint="eastAsia" w:ascii="宋体" w:hAnsi="宋体" w:cs="宋体"/>
                <w:color w:val="auto"/>
                <w:kern w:val="0"/>
                <w:szCs w:val="21"/>
              </w:rPr>
            </w:pPr>
            <w:bookmarkStart w:id="318" w:name="_Toc53996580"/>
            <w:bookmarkStart w:id="319" w:name="_Toc45697787"/>
            <w:bookmarkStart w:id="320" w:name="_Toc53993640"/>
            <w:bookmarkStart w:id="321" w:name="_Toc44576991"/>
            <w:bookmarkStart w:id="322" w:name="_Toc46331148"/>
            <w:bookmarkStart w:id="323" w:name="_Toc42788477"/>
            <w:bookmarkStart w:id="324" w:name="_Toc42786168"/>
            <w:bookmarkStart w:id="325" w:name="_Toc42873216"/>
            <w:bookmarkStart w:id="326" w:name="_Toc44424579"/>
            <w:bookmarkStart w:id="327" w:name="_Toc55460104"/>
            <w:bookmarkStart w:id="328" w:name="_Toc53995600"/>
            <w:bookmarkStart w:id="329" w:name="_Toc53518976"/>
            <w:bookmarkStart w:id="330" w:name="_Toc29693"/>
            <w:bookmarkStart w:id="331" w:name="_Toc43215319"/>
            <w:bookmarkStart w:id="332" w:name="_Toc46332129"/>
            <w:r>
              <w:rPr>
                <w:rFonts w:hint="eastAsia" w:ascii="宋体" w:hAnsi="宋体" w:cs="宋体"/>
                <w:color w:val="auto"/>
                <w:kern w:val="0"/>
                <w:szCs w:val="21"/>
              </w:rPr>
              <w:t>6</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tc>
        <w:tc>
          <w:tcPr>
            <w:tcW w:w="3555" w:type="dxa"/>
            <w:shd w:val="clear" w:color="auto" w:fill="auto"/>
            <w:vAlign w:val="center"/>
          </w:tcPr>
          <w:p w14:paraId="55CAAA3E">
            <w:pPr>
              <w:spacing w:line="320" w:lineRule="exact"/>
              <w:jc w:val="center"/>
              <w:rPr>
                <w:rFonts w:hint="eastAsia" w:ascii="宋体" w:hAnsi="宋体" w:cs="宋体"/>
                <w:color w:val="auto"/>
                <w:kern w:val="0"/>
                <w:szCs w:val="21"/>
              </w:rPr>
            </w:pPr>
            <w:bookmarkStart w:id="333" w:name="_Toc46331149"/>
            <w:bookmarkStart w:id="334" w:name="_Toc53993641"/>
            <w:bookmarkStart w:id="335" w:name="_Toc27060"/>
            <w:bookmarkStart w:id="336" w:name="_Toc46332130"/>
            <w:bookmarkStart w:id="337" w:name="_Toc53995601"/>
            <w:bookmarkStart w:id="338" w:name="_Toc45697788"/>
            <w:bookmarkStart w:id="339" w:name="_Toc53996581"/>
            <w:bookmarkStart w:id="340" w:name="_Toc55460105"/>
            <w:bookmarkStart w:id="341" w:name="_Toc44576992"/>
            <w:bookmarkStart w:id="342" w:name="_Toc53518977"/>
            <w:r>
              <w:rPr>
                <w:rFonts w:hint="eastAsia" w:ascii="宋体" w:hAnsi="宋体" w:cs="宋体"/>
                <w:color w:val="auto"/>
                <w:kern w:val="0"/>
                <w:szCs w:val="21"/>
              </w:rPr>
              <w:t>垂直于板面方向的抗拉强度，</w:t>
            </w:r>
            <w:r>
              <w:rPr>
                <w:rFonts w:ascii="宋体" w:hAnsi="宋体" w:cs="宋体"/>
                <w:color w:val="auto"/>
                <w:kern w:val="0"/>
                <w:szCs w:val="21"/>
              </w:rPr>
              <w:t>MPa</w:t>
            </w:r>
            <w:bookmarkEnd w:id="333"/>
            <w:bookmarkEnd w:id="334"/>
            <w:bookmarkEnd w:id="335"/>
            <w:bookmarkEnd w:id="336"/>
            <w:bookmarkEnd w:id="337"/>
            <w:bookmarkEnd w:id="338"/>
            <w:bookmarkEnd w:id="339"/>
            <w:bookmarkEnd w:id="340"/>
            <w:bookmarkEnd w:id="341"/>
            <w:bookmarkEnd w:id="342"/>
          </w:p>
        </w:tc>
        <w:tc>
          <w:tcPr>
            <w:tcW w:w="2640" w:type="dxa"/>
            <w:shd w:val="clear" w:color="auto" w:fill="auto"/>
            <w:vAlign w:val="center"/>
          </w:tcPr>
          <w:p w14:paraId="781A7A8E">
            <w:pPr>
              <w:spacing w:line="320" w:lineRule="exact"/>
              <w:jc w:val="center"/>
              <w:rPr>
                <w:rFonts w:hint="eastAsia" w:ascii="宋体" w:hAnsi="宋体" w:cs="宋体"/>
                <w:color w:val="auto"/>
                <w:kern w:val="0"/>
                <w:szCs w:val="21"/>
              </w:rPr>
            </w:pPr>
            <w:bookmarkStart w:id="343" w:name="_Toc55460106"/>
            <w:bookmarkStart w:id="344" w:name="_Toc43215321"/>
            <w:bookmarkStart w:id="345" w:name="_Toc42788479"/>
            <w:bookmarkStart w:id="346" w:name="_Toc8462"/>
            <w:bookmarkStart w:id="347" w:name="_Toc42786170"/>
            <w:bookmarkStart w:id="348" w:name="_Toc53995602"/>
            <w:bookmarkStart w:id="349" w:name="_Toc46332131"/>
            <w:bookmarkStart w:id="350" w:name="_Toc46331150"/>
            <w:bookmarkStart w:id="351" w:name="_Toc53993642"/>
            <w:bookmarkStart w:id="352" w:name="_Toc42873218"/>
            <w:bookmarkStart w:id="353" w:name="_Toc53518978"/>
            <w:bookmarkStart w:id="354" w:name="_Toc53996582"/>
            <w:bookmarkStart w:id="355" w:name="_Toc45697789"/>
            <w:bookmarkStart w:id="356" w:name="_Toc44576993"/>
            <w:bookmarkStart w:id="357" w:name="_Toc44424581"/>
            <w:r>
              <w:rPr>
                <w:rFonts w:hint="eastAsia" w:ascii="宋体" w:hAnsi="宋体" w:cs="宋体"/>
                <w:color w:val="auto"/>
                <w:kern w:val="0"/>
                <w:szCs w:val="21"/>
              </w:rPr>
              <w:t>≥0.1</w:t>
            </w:r>
            <w:r>
              <w:rPr>
                <w:rFonts w:ascii="宋体" w:hAnsi="宋体" w:cs="宋体"/>
                <w:color w:val="auto"/>
                <w:kern w:val="0"/>
                <w:szCs w:val="21"/>
              </w:rPr>
              <w:t>2</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tc>
        <w:tc>
          <w:tcPr>
            <w:tcW w:w="1634" w:type="dxa"/>
            <w:shd w:val="clear" w:color="auto" w:fill="auto"/>
            <w:vAlign w:val="center"/>
          </w:tcPr>
          <w:p w14:paraId="2E1C473D">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JGJ 144</w:t>
            </w:r>
          </w:p>
        </w:tc>
      </w:tr>
      <w:tr w14:paraId="4F346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vAlign w:val="center"/>
          </w:tcPr>
          <w:p w14:paraId="39200D97">
            <w:pPr>
              <w:spacing w:line="320" w:lineRule="exact"/>
              <w:jc w:val="center"/>
              <w:rPr>
                <w:rFonts w:hint="eastAsia" w:ascii="宋体" w:hAnsi="宋体" w:cs="宋体"/>
                <w:color w:val="auto"/>
                <w:kern w:val="0"/>
                <w:szCs w:val="21"/>
              </w:rPr>
            </w:pPr>
            <w:bookmarkStart w:id="358" w:name="_Toc53996583"/>
            <w:bookmarkStart w:id="359" w:name="_Toc43215322"/>
            <w:bookmarkStart w:id="360" w:name="_Toc44424582"/>
            <w:bookmarkStart w:id="361" w:name="_Toc44576994"/>
            <w:bookmarkStart w:id="362" w:name="_Toc23347"/>
            <w:bookmarkStart w:id="363" w:name="_Toc55460107"/>
            <w:bookmarkStart w:id="364" w:name="_Toc46331151"/>
            <w:bookmarkStart w:id="365" w:name="_Toc53995603"/>
            <w:bookmarkStart w:id="366" w:name="_Toc46332132"/>
            <w:bookmarkStart w:id="367" w:name="_Toc53518979"/>
            <w:bookmarkStart w:id="368" w:name="_Toc53993643"/>
            <w:bookmarkStart w:id="369" w:name="_Toc42786171"/>
            <w:bookmarkStart w:id="370" w:name="_Toc45697790"/>
            <w:bookmarkStart w:id="371" w:name="_Toc42788480"/>
            <w:bookmarkStart w:id="372" w:name="_Toc42873219"/>
            <w:r>
              <w:rPr>
                <w:rFonts w:hint="eastAsia" w:ascii="宋体" w:hAnsi="宋体" w:cs="宋体"/>
                <w:color w:val="auto"/>
                <w:kern w:val="0"/>
                <w:szCs w:val="21"/>
              </w:rPr>
              <w:t>7</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tc>
        <w:tc>
          <w:tcPr>
            <w:tcW w:w="3555" w:type="dxa"/>
            <w:shd w:val="clear" w:color="auto" w:fill="auto"/>
            <w:vAlign w:val="center"/>
          </w:tcPr>
          <w:p w14:paraId="3D750B6E">
            <w:pPr>
              <w:spacing w:line="320" w:lineRule="exact"/>
              <w:jc w:val="center"/>
              <w:rPr>
                <w:rFonts w:hint="eastAsia" w:ascii="宋体" w:hAnsi="宋体" w:cs="宋体"/>
                <w:color w:val="auto"/>
                <w:kern w:val="0"/>
                <w:szCs w:val="21"/>
              </w:rPr>
            </w:pPr>
            <w:bookmarkStart w:id="373" w:name="_Toc53996584"/>
            <w:bookmarkStart w:id="374" w:name="_Toc43215323"/>
            <w:bookmarkStart w:id="375" w:name="_Toc42788481"/>
            <w:bookmarkStart w:id="376" w:name="_Toc42786172"/>
            <w:bookmarkStart w:id="377" w:name="_Toc53995604"/>
            <w:bookmarkStart w:id="378" w:name="_Toc45697791"/>
            <w:bookmarkStart w:id="379" w:name="_Toc46332133"/>
            <w:bookmarkStart w:id="380" w:name="_Toc20247"/>
            <w:bookmarkStart w:id="381" w:name="_Toc44424583"/>
            <w:bookmarkStart w:id="382" w:name="_Toc46331152"/>
            <w:bookmarkStart w:id="383" w:name="_Toc42873220"/>
            <w:bookmarkStart w:id="384" w:name="_Toc53993644"/>
            <w:bookmarkStart w:id="385" w:name="_Toc44576995"/>
            <w:bookmarkStart w:id="386" w:name="_Toc53518980"/>
            <w:bookmarkStart w:id="387" w:name="_Toc55460108"/>
            <w:r>
              <w:rPr>
                <w:rFonts w:hint="eastAsia" w:ascii="宋体" w:hAnsi="宋体" w:cs="宋体"/>
                <w:color w:val="auto"/>
                <w:kern w:val="0"/>
                <w:szCs w:val="21"/>
              </w:rPr>
              <w:t>软化系数</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tc>
        <w:tc>
          <w:tcPr>
            <w:tcW w:w="2640" w:type="dxa"/>
            <w:shd w:val="clear" w:color="auto" w:fill="auto"/>
            <w:vAlign w:val="center"/>
          </w:tcPr>
          <w:p w14:paraId="138122B3">
            <w:pPr>
              <w:spacing w:line="320" w:lineRule="exact"/>
              <w:jc w:val="center"/>
              <w:rPr>
                <w:rFonts w:hint="eastAsia" w:ascii="宋体" w:hAnsi="宋体" w:cs="宋体"/>
                <w:color w:val="auto"/>
                <w:kern w:val="0"/>
                <w:szCs w:val="21"/>
              </w:rPr>
            </w:pPr>
            <w:bookmarkStart w:id="388" w:name="_Toc55460109"/>
            <w:bookmarkStart w:id="389" w:name="_Toc44576996"/>
            <w:bookmarkStart w:id="390" w:name="_Toc46331153"/>
            <w:bookmarkStart w:id="391" w:name="_Toc45697792"/>
            <w:bookmarkStart w:id="392" w:name="_Toc44424584"/>
            <w:bookmarkStart w:id="393" w:name="_Toc42786173"/>
            <w:bookmarkStart w:id="394" w:name="_Toc53518981"/>
            <w:bookmarkStart w:id="395" w:name="_Toc53995605"/>
            <w:bookmarkStart w:id="396" w:name="_Toc928"/>
            <w:bookmarkStart w:id="397" w:name="_Toc42873221"/>
            <w:bookmarkStart w:id="398" w:name="_Toc42788482"/>
            <w:bookmarkStart w:id="399" w:name="_Toc53993645"/>
            <w:bookmarkStart w:id="400" w:name="_Toc53996585"/>
            <w:bookmarkStart w:id="401" w:name="_Toc43215324"/>
            <w:bookmarkStart w:id="402" w:name="_Toc46332134"/>
            <w:r>
              <w:rPr>
                <w:rFonts w:hint="eastAsia" w:ascii="宋体" w:hAnsi="宋体" w:cs="宋体"/>
                <w:color w:val="auto"/>
                <w:kern w:val="0"/>
                <w:szCs w:val="21"/>
              </w:rPr>
              <w:t>≥0.</w:t>
            </w:r>
            <w:r>
              <w:rPr>
                <w:rFonts w:ascii="宋体" w:hAnsi="宋体" w:cs="宋体"/>
                <w:color w:val="auto"/>
                <w:kern w:val="0"/>
                <w:szCs w:val="21"/>
              </w:rPr>
              <w:t>7</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tc>
        <w:tc>
          <w:tcPr>
            <w:tcW w:w="1634" w:type="dxa"/>
            <w:vMerge w:val="restart"/>
            <w:shd w:val="clear" w:color="auto" w:fill="auto"/>
            <w:vAlign w:val="center"/>
          </w:tcPr>
          <w:p w14:paraId="73BB60B9">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JG/T 536</w:t>
            </w:r>
          </w:p>
        </w:tc>
      </w:tr>
      <w:tr w14:paraId="1612D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vAlign w:val="center"/>
          </w:tcPr>
          <w:p w14:paraId="4A0E095C">
            <w:pPr>
              <w:spacing w:line="320" w:lineRule="exact"/>
              <w:jc w:val="center"/>
              <w:rPr>
                <w:rFonts w:hint="eastAsia" w:ascii="宋体" w:hAnsi="宋体" w:cs="宋体"/>
                <w:color w:val="auto"/>
                <w:kern w:val="0"/>
                <w:szCs w:val="21"/>
              </w:rPr>
            </w:pPr>
            <w:bookmarkStart w:id="403" w:name="_Toc43215325"/>
            <w:bookmarkStart w:id="404" w:name="_Toc44576997"/>
            <w:bookmarkStart w:id="405" w:name="_Toc53518982"/>
            <w:bookmarkStart w:id="406" w:name="_Toc42788483"/>
            <w:bookmarkStart w:id="407" w:name="_Toc53993646"/>
            <w:bookmarkStart w:id="408" w:name="_Toc42873222"/>
            <w:bookmarkStart w:id="409" w:name="_Toc45697793"/>
            <w:bookmarkStart w:id="410" w:name="_Toc44424585"/>
            <w:bookmarkStart w:id="411" w:name="_Toc46332135"/>
            <w:bookmarkStart w:id="412" w:name="_Toc42786174"/>
            <w:bookmarkStart w:id="413" w:name="_Toc55460110"/>
            <w:bookmarkStart w:id="414" w:name="_Toc53995606"/>
            <w:bookmarkStart w:id="415" w:name="_Toc4056"/>
            <w:bookmarkStart w:id="416" w:name="_Toc53996586"/>
            <w:bookmarkStart w:id="417" w:name="_Toc46331154"/>
            <w:r>
              <w:rPr>
                <w:rFonts w:ascii="宋体" w:hAnsi="宋体" w:cs="宋体"/>
                <w:color w:val="auto"/>
                <w:kern w:val="0"/>
                <w:szCs w:val="21"/>
              </w:rPr>
              <w:t>8</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tc>
        <w:tc>
          <w:tcPr>
            <w:tcW w:w="3555" w:type="dxa"/>
            <w:shd w:val="clear" w:color="auto" w:fill="auto"/>
            <w:vAlign w:val="center"/>
          </w:tcPr>
          <w:p w14:paraId="171E2728">
            <w:pPr>
              <w:spacing w:line="320" w:lineRule="exact"/>
              <w:jc w:val="center"/>
              <w:rPr>
                <w:rFonts w:hint="eastAsia" w:ascii="宋体" w:hAnsi="宋体" w:cs="宋体"/>
                <w:color w:val="auto"/>
                <w:kern w:val="0"/>
                <w:szCs w:val="21"/>
              </w:rPr>
            </w:pPr>
            <w:bookmarkStart w:id="418" w:name="_Toc53993647"/>
            <w:bookmarkStart w:id="419" w:name="_Toc46332136"/>
            <w:bookmarkStart w:id="420" w:name="_Toc53996587"/>
            <w:bookmarkStart w:id="421" w:name="_Toc7781"/>
            <w:bookmarkStart w:id="422" w:name="_Toc53995607"/>
            <w:bookmarkStart w:id="423" w:name="_Toc45697794"/>
            <w:bookmarkStart w:id="424" w:name="_Toc42788484"/>
            <w:bookmarkStart w:id="425" w:name="_Toc42786175"/>
            <w:bookmarkStart w:id="426" w:name="_Toc53518983"/>
            <w:bookmarkStart w:id="427" w:name="_Toc43215326"/>
            <w:bookmarkStart w:id="428" w:name="_Toc55460111"/>
            <w:bookmarkStart w:id="429" w:name="_Toc44576998"/>
            <w:bookmarkStart w:id="430" w:name="_Toc42873223"/>
            <w:bookmarkStart w:id="431" w:name="_Toc44424586"/>
            <w:bookmarkStart w:id="432" w:name="_Toc46331155"/>
            <w:r>
              <w:rPr>
                <w:rFonts w:hint="eastAsia" w:ascii="宋体" w:hAnsi="宋体" w:cs="宋体"/>
                <w:color w:val="auto"/>
                <w:kern w:val="0"/>
                <w:szCs w:val="21"/>
              </w:rPr>
              <w:t>干燥收缩率，%</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tc>
        <w:tc>
          <w:tcPr>
            <w:tcW w:w="2640" w:type="dxa"/>
            <w:shd w:val="clear" w:color="auto" w:fill="auto"/>
            <w:vAlign w:val="center"/>
          </w:tcPr>
          <w:p w14:paraId="11E8CAC6">
            <w:pPr>
              <w:spacing w:line="320" w:lineRule="exact"/>
              <w:jc w:val="center"/>
              <w:rPr>
                <w:rFonts w:hint="eastAsia" w:ascii="宋体" w:hAnsi="宋体" w:cs="宋体"/>
                <w:color w:val="auto"/>
                <w:kern w:val="0"/>
                <w:szCs w:val="21"/>
              </w:rPr>
            </w:pPr>
            <w:bookmarkStart w:id="433" w:name="_Toc43215327"/>
            <w:bookmarkStart w:id="434" w:name="_Toc42873224"/>
            <w:bookmarkStart w:id="435" w:name="_Toc42788485"/>
            <w:bookmarkStart w:id="436" w:name="_Toc42786176"/>
            <w:bookmarkStart w:id="437" w:name="_Toc53995608"/>
            <w:bookmarkStart w:id="438" w:name="_Toc46331156"/>
            <w:bookmarkStart w:id="439" w:name="_Toc1814"/>
            <w:bookmarkStart w:id="440" w:name="_Toc45697795"/>
            <w:bookmarkStart w:id="441" w:name="_Toc53518984"/>
            <w:bookmarkStart w:id="442" w:name="_Toc44424587"/>
            <w:bookmarkStart w:id="443" w:name="_Toc46332137"/>
            <w:bookmarkStart w:id="444" w:name="_Toc44576999"/>
            <w:bookmarkStart w:id="445" w:name="_Toc53996588"/>
            <w:bookmarkStart w:id="446" w:name="_Toc55460112"/>
            <w:bookmarkStart w:id="447" w:name="_Toc53993648"/>
            <w:r>
              <w:rPr>
                <w:rFonts w:hint="eastAsia" w:ascii="宋体" w:hAnsi="宋体" w:cs="宋体"/>
                <w:color w:val="auto"/>
                <w:kern w:val="0"/>
                <w:szCs w:val="21"/>
              </w:rPr>
              <w:t>≤0.</w:t>
            </w:r>
            <w:bookmarkEnd w:id="433"/>
            <w:bookmarkEnd w:id="434"/>
            <w:bookmarkEnd w:id="435"/>
            <w:bookmarkEnd w:id="436"/>
            <w:r>
              <w:rPr>
                <w:rFonts w:ascii="宋体" w:hAnsi="宋体" w:cs="宋体"/>
                <w:color w:val="auto"/>
                <w:kern w:val="0"/>
                <w:szCs w:val="21"/>
              </w:rPr>
              <w:t>6</w:t>
            </w:r>
            <w:bookmarkEnd w:id="437"/>
            <w:bookmarkEnd w:id="438"/>
            <w:bookmarkEnd w:id="439"/>
            <w:bookmarkEnd w:id="440"/>
            <w:bookmarkEnd w:id="441"/>
            <w:bookmarkEnd w:id="442"/>
            <w:bookmarkEnd w:id="443"/>
            <w:bookmarkEnd w:id="444"/>
            <w:bookmarkEnd w:id="445"/>
            <w:bookmarkEnd w:id="446"/>
            <w:bookmarkEnd w:id="447"/>
          </w:p>
        </w:tc>
        <w:tc>
          <w:tcPr>
            <w:tcW w:w="1634" w:type="dxa"/>
            <w:vMerge w:val="continue"/>
            <w:shd w:val="clear" w:color="auto" w:fill="auto"/>
            <w:vAlign w:val="center"/>
          </w:tcPr>
          <w:p w14:paraId="744658F1">
            <w:pPr>
              <w:spacing w:line="320" w:lineRule="exact"/>
              <w:jc w:val="center"/>
              <w:rPr>
                <w:rFonts w:hint="eastAsia" w:ascii="宋体" w:hAnsi="宋体" w:cs="宋体"/>
                <w:color w:val="auto"/>
                <w:kern w:val="0"/>
                <w:szCs w:val="21"/>
              </w:rPr>
            </w:pPr>
          </w:p>
        </w:tc>
      </w:tr>
      <w:tr w14:paraId="28CDD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vAlign w:val="center"/>
          </w:tcPr>
          <w:p w14:paraId="6DC78A8F">
            <w:pPr>
              <w:spacing w:line="320" w:lineRule="exact"/>
              <w:jc w:val="center"/>
              <w:rPr>
                <w:rFonts w:hint="eastAsia" w:ascii="宋体" w:hAnsi="宋体" w:cs="宋体"/>
                <w:color w:val="auto"/>
                <w:kern w:val="0"/>
                <w:szCs w:val="21"/>
              </w:rPr>
            </w:pPr>
            <w:bookmarkStart w:id="448" w:name="_Toc53993650"/>
            <w:bookmarkStart w:id="449" w:name="_Toc46332139"/>
            <w:bookmarkStart w:id="450" w:name="_Toc53995610"/>
            <w:bookmarkStart w:id="451" w:name="_Toc44424589"/>
            <w:bookmarkStart w:id="452" w:name="_Toc45697797"/>
            <w:bookmarkStart w:id="453" w:name="_Toc55460114"/>
            <w:bookmarkStart w:id="454" w:name="_Toc53518986"/>
            <w:bookmarkStart w:id="455" w:name="_Toc53996590"/>
            <w:bookmarkStart w:id="456" w:name="_Toc46331158"/>
            <w:bookmarkStart w:id="457" w:name="_Toc15077"/>
            <w:bookmarkStart w:id="458" w:name="_Toc44577001"/>
            <w:r>
              <w:rPr>
                <w:rFonts w:hint="eastAsia" w:ascii="宋体" w:hAnsi="宋体" w:cs="宋体"/>
                <w:color w:val="auto"/>
                <w:kern w:val="0"/>
                <w:szCs w:val="21"/>
              </w:rPr>
              <w:t>9</w:t>
            </w:r>
            <w:bookmarkEnd w:id="448"/>
            <w:bookmarkEnd w:id="449"/>
            <w:bookmarkEnd w:id="450"/>
            <w:bookmarkEnd w:id="451"/>
            <w:bookmarkEnd w:id="452"/>
            <w:bookmarkEnd w:id="453"/>
            <w:bookmarkEnd w:id="454"/>
            <w:bookmarkEnd w:id="455"/>
            <w:bookmarkEnd w:id="456"/>
            <w:bookmarkEnd w:id="457"/>
            <w:bookmarkEnd w:id="458"/>
          </w:p>
        </w:tc>
        <w:tc>
          <w:tcPr>
            <w:tcW w:w="3555" w:type="dxa"/>
            <w:shd w:val="clear" w:color="auto" w:fill="auto"/>
            <w:vAlign w:val="center"/>
          </w:tcPr>
          <w:p w14:paraId="65F72D42">
            <w:pPr>
              <w:spacing w:line="320" w:lineRule="exact"/>
              <w:jc w:val="center"/>
              <w:rPr>
                <w:rFonts w:hint="eastAsia" w:ascii="宋体" w:hAnsi="宋体" w:cs="宋体"/>
                <w:color w:val="auto"/>
                <w:kern w:val="0"/>
                <w:szCs w:val="21"/>
              </w:rPr>
            </w:pPr>
            <w:bookmarkStart w:id="459" w:name="_Toc42786183"/>
            <w:bookmarkStart w:id="460" w:name="_Toc42873231"/>
            <w:bookmarkStart w:id="461" w:name="_Toc42788492"/>
            <w:bookmarkStart w:id="462" w:name="_Toc53996591"/>
            <w:bookmarkStart w:id="463" w:name="_Toc53995611"/>
            <w:bookmarkStart w:id="464" w:name="_Toc46332140"/>
            <w:bookmarkStart w:id="465" w:name="_Toc11906"/>
            <w:bookmarkStart w:id="466" w:name="_Toc46331159"/>
            <w:bookmarkStart w:id="467" w:name="_Toc43215334"/>
            <w:bookmarkStart w:id="468" w:name="_Toc45697798"/>
            <w:bookmarkStart w:id="469" w:name="_Toc44424590"/>
            <w:bookmarkStart w:id="470" w:name="_Toc55460115"/>
            <w:bookmarkStart w:id="471" w:name="_Toc53993651"/>
            <w:bookmarkStart w:id="472" w:name="_Toc44577002"/>
            <w:bookmarkStart w:id="473" w:name="_Toc53518987"/>
            <w:r>
              <w:rPr>
                <w:rFonts w:hint="eastAsia" w:ascii="宋体" w:hAnsi="宋体" w:cs="宋体"/>
                <w:color w:val="auto"/>
                <w:kern w:val="0"/>
                <w:szCs w:val="21"/>
              </w:rPr>
              <w:t>蓄热系数</w:t>
            </w:r>
            <w:r>
              <w:rPr>
                <w:rFonts w:ascii="TimesNewRomanPS-ItalicMT" w:eastAsia="TimesNewRomanPS-ItalicMT" w:cs="TimesNewRomanPS-ItalicMT"/>
                <w:i/>
                <w:iCs/>
                <w:color w:val="auto"/>
                <w:kern w:val="0"/>
                <w:szCs w:val="21"/>
                <w:vertAlign w:val="superscript"/>
              </w:rPr>
              <w:t>b</w:t>
            </w:r>
            <w:r>
              <w:rPr>
                <w:rFonts w:hint="eastAsia" w:ascii="宋体" w:hAnsi="宋体" w:cs="宋体"/>
                <w:color w:val="auto"/>
                <w:kern w:val="0"/>
                <w:szCs w:val="21"/>
              </w:rPr>
              <w:t>W/(m</w:t>
            </w:r>
            <w:r>
              <w:rPr>
                <w:rFonts w:hint="eastAsia" w:ascii="宋体" w:hAnsi="宋体" w:cs="宋体"/>
                <w:color w:val="auto"/>
                <w:kern w:val="0"/>
                <w:szCs w:val="21"/>
                <w:vertAlign w:val="superscript"/>
              </w:rPr>
              <w:t>2</w:t>
            </w:r>
            <w:r>
              <w:rPr>
                <w:rFonts w:hint="eastAsia" w:ascii="宋体" w:hAnsi="宋体" w:cs="宋体"/>
                <w:color w:val="auto"/>
                <w:kern w:val="0"/>
                <w:szCs w:val="21"/>
              </w:rPr>
              <w:t>·K)</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tc>
        <w:tc>
          <w:tcPr>
            <w:tcW w:w="2640" w:type="dxa"/>
            <w:shd w:val="clear" w:color="auto" w:fill="auto"/>
            <w:vAlign w:val="center"/>
          </w:tcPr>
          <w:p w14:paraId="485346AE">
            <w:pPr>
              <w:spacing w:line="320" w:lineRule="exact"/>
              <w:jc w:val="center"/>
              <w:rPr>
                <w:rFonts w:hint="eastAsia" w:ascii="宋体" w:hAnsi="宋体" w:cs="宋体"/>
                <w:color w:val="auto"/>
                <w:kern w:val="0"/>
                <w:szCs w:val="21"/>
              </w:rPr>
            </w:pPr>
            <w:bookmarkStart w:id="474" w:name="_Toc42788493"/>
            <w:bookmarkStart w:id="475" w:name="_Toc53995612"/>
            <w:bookmarkStart w:id="476" w:name="_Toc42873232"/>
            <w:bookmarkStart w:id="477" w:name="_Toc53518988"/>
            <w:bookmarkStart w:id="478" w:name="_Toc46332141"/>
            <w:bookmarkStart w:id="479" w:name="_Toc44424591"/>
            <w:bookmarkStart w:id="480" w:name="_Toc44577003"/>
            <w:bookmarkStart w:id="481" w:name="_Toc42786184"/>
            <w:bookmarkStart w:id="482" w:name="_Toc43215335"/>
            <w:bookmarkStart w:id="483" w:name="_Toc53993652"/>
            <w:bookmarkStart w:id="484" w:name="_Toc26418"/>
            <w:bookmarkStart w:id="485" w:name="_Toc46331160"/>
            <w:bookmarkStart w:id="486" w:name="_Toc45697799"/>
            <w:bookmarkStart w:id="487" w:name="_Toc55460116"/>
            <w:bookmarkStart w:id="488" w:name="_Toc53996592"/>
            <w:r>
              <w:rPr>
                <w:rFonts w:hint="eastAsia" w:ascii="宋体" w:hAnsi="宋体" w:cs="宋体"/>
                <w:color w:val="auto"/>
                <w:kern w:val="0"/>
                <w:szCs w:val="21"/>
              </w:rPr>
              <w:t>≥</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r>
              <w:rPr>
                <w:rFonts w:hint="eastAsia" w:ascii="宋体" w:hAnsi="宋体" w:cs="宋体"/>
                <w:color w:val="auto"/>
                <w:kern w:val="0"/>
                <w:szCs w:val="21"/>
              </w:rPr>
              <w:t>0.80</w:t>
            </w:r>
          </w:p>
        </w:tc>
        <w:tc>
          <w:tcPr>
            <w:tcW w:w="1634" w:type="dxa"/>
            <w:shd w:val="clear" w:color="auto" w:fill="auto"/>
            <w:vAlign w:val="center"/>
          </w:tcPr>
          <w:p w14:paraId="73218C83">
            <w:pPr>
              <w:spacing w:line="320" w:lineRule="exact"/>
              <w:jc w:val="center"/>
              <w:rPr>
                <w:rFonts w:hint="eastAsia" w:ascii="宋体" w:hAnsi="宋体" w:cs="宋体"/>
                <w:color w:val="auto"/>
                <w:kern w:val="0"/>
                <w:szCs w:val="21"/>
              </w:rPr>
            </w:pPr>
            <w:bookmarkStart w:id="489" w:name="_Toc45697800"/>
            <w:bookmarkStart w:id="490" w:name="_Toc53993653"/>
            <w:bookmarkStart w:id="491" w:name="_Toc55460117"/>
            <w:bookmarkStart w:id="492" w:name="_Toc53518989"/>
            <w:bookmarkStart w:id="493" w:name="_Toc10172"/>
            <w:bookmarkStart w:id="494" w:name="_Toc53996593"/>
            <w:bookmarkStart w:id="495" w:name="_Toc46332142"/>
            <w:bookmarkStart w:id="496" w:name="_Toc44577004"/>
            <w:bookmarkStart w:id="497" w:name="_Toc46331161"/>
            <w:bookmarkStart w:id="498" w:name="_Toc53995613"/>
            <w:r>
              <w:rPr>
                <w:rFonts w:ascii="宋体" w:hAnsi="宋体" w:cs="宋体"/>
                <w:color w:val="auto"/>
                <w:kern w:val="0"/>
                <w:szCs w:val="21"/>
              </w:rPr>
              <w:t>JGJ/T 12</w:t>
            </w:r>
            <w:bookmarkEnd w:id="489"/>
            <w:bookmarkEnd w:id="490"/>
            <w:bookmarkEnd w:id="491"/>
            <w:bookmarkEnd w:id="492"/>
            <w:bookmarkEnd w:id="493"/>
            <w:bookmarkEnd w:id="494"/>
            <w:bookmarkEnd w:id="495"/>
            <w:bookmarkEnd w:id="496"/>
            <w:bookmarkEnd w:id="497"/>
            <w:bookmarkEnd w:id="498"/>
          </w:p>
        </w:tc>
      </w:tr>
      <w:tr w14:paraId="4C40C5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vAlign w:val="center"/>
          </w:tcPr>
          <w:p w14:paraId="41584325">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10</w:t>
            </w:r>
          </w:p>
        </w:tc>
        <w:tc>
          <w:tcPr>
            <w:tcW w:w="3555" w:type="dxa"/>
            <w:shd w:val="clear" w:color="auto" w:fill="auto"/>
            <w:vAlign w:val="center"/>
          </w:tcPr>
          <w:p w14:paraId="79CD97F6">
            <w:pPr>
              <w:spacing w:line="320" w:lineRule="exact"/>
              <w:jc w:val="center"/>
              <w:rPr>
                <w:rFonts w:hint="eastAsia" w:ascii="宋体" w:hAnsi="宋体" w:cs="宋体"/>
                <w:color w:val="auto"/>
                <w:kern w:val="0"/>
                <w:szCs w:val="21"/>
              </w:rPr>
            </w:pPr>
            <w:bookmarkStart w:id="499" w:name="_Toc42786208"/>
            <w:bookmarkStart w:id="500" w:name="_Toc43215359"/>
            <w:bookmarkStart w:id="501" w:name="_Toc53993680"/>
            <w:bookmarkStart w:id="502" w:name="_Toc45697827"/>
            <w:bookmarkStart w:id="503" w:name="_Toc53995640"/>
            <w:bookmarkStart w:id="504" w:name="_Toc55460144"/>
            <w:bookmarkStart w:id="505" w:name="_Toc42873256"/>
            <w:bookmarkStart w:id="506" w:name="_Toc53519016"/>
            <w:bookmarkStart w:id="507" w:name="_Toc46331188"/>
            <w:bookmarkStart w:id="508" w:name="_Toc53996620"/>
            <w:bookmarkStart w:id="509" w:name="_Toc21359"/>
            <w:bookmarkStart w:id="510" w:name="_Toc46332169"/>
            <w:bookmarkStart w:id="511" w:name="_Toc44424618"/>
            <w:bookmarkStart w:id="512" w:name="_Toc44577031"/>
            <w:bookmarkStart w:id="513" w:name="_Toc42788517"/>
            <w:r>
              <w:rPr>
                <w:rFonts w:hint="eastAsia" w:ascii="宋体" w:hAnsi="宋体" w:cs="宋体"/>
                <w:color w:val="auto"/>
                <w:kern w:val="0"/>
                <w:szCs w:val="21"/>
              </w:rPr>
              <w:t>燃烧性能等级</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tc>
        <w:tc>
          <w:tcPr>
            <w:tcW w:w="2640" w:type="dxa"/>
            <w:shd w:val="clear" w:color="auto" w:fill="auto"/>
            <w:vAlign w:val="center"/>
          </w:tcPr>
          <w:p w14:paraId="0661288B">
            <w:pPr>
              <w:spacing w:line="320" w:lineRule="exact"/>
              <w:jc w:val="center"/>
              <w:rPr>
                <w:rFonts w:hint="eastAsia" w:ascii="宋体" w:hAnsi="宋体" w:cs="宋体"/>
                <w:color w:val="auto"/>
                <w:kern w:val="0"/>
                <w:szCs w:val="21"/>
              </w:rPr>
            </w:pPr>
            <w:bookmarkStart w:id="514" w:name="_Toc42873257"/>
            <w:bookmarkStart w:id="515" w:name="_Toc53996621"/>
            <w:bookmarkStart w:id="516" w:name="_Toc46332170"/>
            <w:bookmarkStart w:id="517" w:name="_Toc44424619"/>
            <w:bookmarkStart w:id="518" w:name="_Toc42788518"/>
            <w:bookmarkStart w:id="519" w:name="_Toc15792"/>
            <w:bookmarkStart w:id="520" w:name="_Toc43215360"/>
            <w:bookmarkStart w:id="521" w:name="_Toc55460145"/>
            <w:bookmarkStart w:id="522" w:name="_Toc53519017"/>
            <w:bookmarkStart w:id="523" w:name="_Toc46331189"/>
            <w:bookmarkStart w:id="524" w:name="_Toc44577032"/>
            <w:bookmarkStart w:id="525" w:name="_Toc53995641"/>
            <w:bookmarkStart w:id="526" w:name="_Toc53993681"/>
            <w:bookmarkStart w:id="527" w:name="_Toc42786209"/>
            <w:bookmarkStart w:id="528" w:name="_Toc45697828"/>
            <w:r>
              <w:rPr>
                <w:rFonts w:ascii="宋体" w:hAnsi="宋体" w:cs="宋体"/>
                <w:color w:val="auto"/>
                <w:kern w:val="0"/>
                <w:szCs w:val="21"/>
              </w:rPr>
              <w:t>A(</w:t>
            </w:r>
            <w:r>
              <w:rPr>
                <w:rFonts w:hint="eastAsia" w:ascii="宋体" w:hAnsi="宋体" w:cs="宋体"/>
                <w:color w:val="auto"/>
                <w:kern w:val="0"/>
                <w:szCs w:val="21"/>
              </w:rPr>
              <w:t>A</w:t>
            </w:r>
            <w:r>
              <w:rPr>
                <w:rFonts w:hint="eastAsia" w:ascii="宋体" w:hAnsi="宋体" w:cs="宋体"/>
                <w:color w:val="auto"/>
                <w:kern w:val="0"/>
                <w:szCs w:val="21"/>
                <w:vertAlign w:val="subscript"/>
              </w:rPr>
              <w:t>2</w:t>
            </w:r>
            <w:r>
              <w:rPr>
                <w:rFonts w:ascii="宋体" w:hAnsi="宋体" w:cs="宋体"/>
                <w:color w:val="auto"/>
                <w:kern w:val="0"/>
                <w:szCs w:val="21"/>
              </w:rPr>
              <w:t>)</w:t>
            </w:r>
            <w:r>
              <w:rPr>
                <w:rFonts w:hint="eastAsia" w:ascii="宋体" w:hAnsi="宋体" w:cs="宋体"/>
                <w:color w:val="auto"/>
                <w:kern w:val="0"/>
                <w:szCs w:val="21"/>
              </w:rPr>
              <w:t>级</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tc>
        <w:tc>
          <w:tcPr>
            <w:tcW w:w="1634" w:type="dxa"/>
            <w:shd w:val="clear" w:color="auto" w:fill="auto"/>
            <w:vAlign w:val="center"/>
          </w:tcPr>
          <w:p w14:paraId="1FA5D672">
            <w:pPr>
              <w:spacing w:line="320" w:lineRule="exact"/>
              <w:jc w:val="center"/>
              <w:rPr>
                <w:rFonts w:hint="eastAsia" w:ascii="宋体" w:hAnsi="宋体" w:cs="宋体"/>
                <w:color w:val="auto"/>
                <w:kern w:val="0"/>
                <w:szCs w:val="21"/>
              </w:rPr>
            </w:pPr>
            <w:bookmarkStart w:id="529" w:name="_Toc44424620"/>
            <w:bookmarkStart w:id="530" w:name="_Toc42786210"/>
            <w:bookmarkStart w:id="531" w:name="_Toc46332171"/>
            <w:bookmarkStart w:id="532" w:name="_Toc43215361"/>
            <w:bookmarkStart w:id="533" w:name="_Toc8354"/>
            <w:bookmarkStart w:id="534" w:name="_Toc53519018"/>
            <w:bookmarkStart w:id="535" w:name="_Toc46331190"/>
            <w:bookmarkStart w:id="536" w:name="_Toc45697829"/>
            <w:bookmarkStart w:id="537" w:name="_Toc44577033"/>
            <w:bookmarkStart w:id="538" w:name="_Toc53996622"/>
            <w:bookmarkStart w:id="539" w:name="_Toc53995642"/>
            <w:bookmarkStart w:id="540" w:name="_Toc53993682"/>
            <w:bookmarkStart w:id="541" w:name="_Toc42788519"/>
            <w:bookmarkStart w:id="542" w:name="_Toc42873258"/>
            <w:bookmarkStart w:id="543" w:name="_Toc55460146"/>
            <w:r>
              <w:rPr>
                <w:rFonts w:hint="eastAsia" w:ascii="宋体" w:hAnsi="宋体" w:cs="宋体"/>
                <w:color w:val="auto"/>
                <w:kern w:val="0"/>
                <w:szCs w:val="21"/>
              </w:rPr>
              <w:t>GB 8624</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tc>
      </w:tr>
      <w:tr w14:paraId="5E5A6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693" w:type="dxa"/>
            <w:vMerge w:val="restart"/>
            <w:shd w:val="clear" w:color="auto" w:fill="auto"/>
            <w:vAlign w:val="center"/>
          </w:tcPr>
          <w:p w14:paraId="7432746E">
            <w:pPr>
              <w:spacing w:line="320" w:lineRule="exact"/>
              <w:jc w:val="center"/>
              <w:rPr>
                <w:rFonts w:hint="eastAsia" w:ascii="宋体" w:hAnsi="宋体" w:cs="宋体"/>
                <w:color w:val="auto"/>
                <w:kern w:val="0"/>
                <w:szCs w:val="21"/>
              </w:rPr>
            </w:pPr>
            <w:bookmarkStart w:id="544" w:name="_Toc44577034"/>
            <w:bookmarkStart w:id="545" w:name="_Toc55460147"/>
            <w:bookmarkStart w:id="546" w:name="_Toc42786211"/>
            <w:bookmarkStart w:id="547" w:name="_Toc53519019"/>
            <w:bookmarkStart w:id="548" w:name="_Toc42873259"/>
            <w:bookmarkStart w:id="549" w:name="_Toc44424621"/>
            <w:bookmarkStart w:id="550" w:name="_Toc53995643"/>
            <w:bookmarkStart w:id="551" w:name="_Toc29279"/>
            <w:bookmarkStart w:id="552" w:name="_Toc46332172"/>
            <w:bookmarkStart w:id="553" w:name="_Toc53996623"/>
            <w:bookmarkStart w:id="554" w:name="_Toc43215362"/>
            <w:bookmarkStart w:id="555" w:name="_Toc53993683"/>
            <w:bookmarkStart w:id="556" w:name="_Toc46331191"/>
            <w:bookmarkStart w:id="557" w:name="_Toc45697830"/>
            <w:bookmarkStart w:id="558" w:name="_Toc42788520"/>
            <w:r>
              <w:rPr>
                <w:rFonts w:hint="eastAsia" w:ascii="宋体" w:hAnsi="宋体" w:cs="宋体"/>
                <w:color w:val="auto"/>
                <w:kern w:val="0"/>
                <w:szCs w:val="21"/>
              </w:rPr>
              <w:t>1</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r>
              <w:rPr>
                <w:rFonts w:hint="eastAsia" w:ascii="宋体" w:hAnsi="宋体" w:cs="宋体"/>
                <w:color w:val="auto"/>
                <w:kern w:val="0"/>
                <w:szCs w:val="21"/>
              </w:rPr>
              <w:t>1</w:t>
            </w:r>
          </w:p>
        </w:tc>
        <w:tc>
          <w:tcPr>
            <w:tcW w:w="3555" w:type="dxa"/>
            <w:vMerge w:val="restart"/>
            <w:shd w:val="clear" w:color="auto" w:fill="auto"/>
            <w:vAlign w:val="center"/>
          </w:tcPr>
          <w:p w14:paraId="7B507646">
            <w:pPr>
              <w:spacing w:line="320" w:lineRule="exact"/>
              <w:jc w:val="center"/>
              <w:rPr>
                <w:rFonts w:hint="eastAsia" w:ascii="宋体" w:hAnsi="宋体" w:cs="宋体"/>
                <w:color w:val="auto"/>
                <w:kern w:val="0"/>
                <w:szCs w:val="21"/>
              </w:rPr>
            </w:pPr>
            <w:bookmarkStart w:id="559" w:name="_Toc45697831"/>
            <w:bookmarkStart w:id="560" w:name="_Toc46331192"/>
            <w:bookmarkStart w:id="561" w:name="_Toc53995644"/>
            <w:bookmarkStart w:id="562" w:name="_Toc44424622"/>
            <w:bookmarkStart w:id="563" w:name="_Toc44577035"/>
            <w:bookmarkStart w:id="564" w:name="_Toc11870"/>
            <w:bookmarkStart w:id="565" w:name="_Toc46332173"/>
            <w:bookmarkStart w:id="566" w:name="_Toc53996624"/>
            <w:bookmarkStart w:id="567" w:name="_Toc53993684"/>
            <w:bookmarkStart w:id="568" w:name="_Toc53519020"/>
            <w:bookmarkStart w:id="569" w:name="_Toc55460148"/>
            <w:r>
              <w:rPr>
                <w:rFonts w:hint="eastAsia" w:ascii="宋体" w:hAnsi="宋体" w:cs="宋体"/>
                <w:color w:val="auto"/>
                <w:kern w:val="0"/>
                <w:szCs w:val="21"/>
              </w:rPr>
              <w:t>放射性核素限量</w:t>
            </w:r>
            <w:bookmarkEnd w:id="559"/>
            <w:bookmarkEnd w:id="560"/>
            <w:bookmarkEnd w:id="561"/>
            <w:bookmarkEnd w:id="562"/>
            <w:bookmarkEnd w:id="563"/>
            <w:bookmarkEnd w:id="564"/>
            <w:bookmarkEnd w:id="565"/>
            <w:bookmarkEnd w:id="566"/>
            <w:bookmarkEnd w:id="567"/>
            <w:bookmarkEnd w:id="568"/>
            <w:bookmarkEnd w:id="569"/>
          </w:p>
        </w:tc>
        <w:tc>
          <w:tcPr>
            <w:tcW w:w="2640" w:type="dxa"/>
            <w:shd w:val="clear" w:color="auto" w:fill="auto"/>
            <w:vAlign w:val="center"/>
          </w:tcPr>
          <w:p w14:paraId="7AEBE9A5">
            <w:pPr>
              <w:spacing w:line="320" w:lineRule="exact"/>
              <w:jc w:val="center"/>
              <w:rPr>
                <w:rFonts w:hint="eastAsia" w:ascii="宋体" w:hAnsi="宋体" w:cs="宋体"/>
                <w:color w:val="auto"/>
                <w:kern w:val="0"/>
                <w:szCs w:val="21"/>
              </w:rPr>
            </w:pPr>
            <w:bookmarkStart w:id="570" w:name="_Toc53996625"/>
            <w:bookmarkStart w:id="571" w:name="_Toc17392"/>
            <w:bookmarkStart w:id="572" w:name="_Toc46331193"/>
            <w:bookmarkStart w:id="573" w:name="_Toc45697832"/>
            <w:bookmarkStart w:id="574" w:name="_Toc42788522"/>
            <w:bookmarkStart w:id="575" w:name="_Toc53995645"/>
            <w:bookmarkStart w:id="576" w:name="_Toc42873261"/>
            <w:bookmarkStart w:id="577" w:name="_Toc42786213"/>
            <w:bookmarkStart w:id="578" w:name="_Toc43215364"/>
            <w:bookmarkStart w:id="579" w:name="_Toc44577036"/>
            <w:bookmarkStart w:id="580" w:name="_Toc53993685"/>
            <w:bookmarkStart w:id="581" w:name="_Toc46332174"/>
            <w:bookmarkStart w:id="582" w:name="_Toc44424623"/>
            <w:bookmarkStart w:id="583" w:name="_Toc55460149"/>
            <w:bookmarkStart w:id="584" w:name="_Toc53519021"/>
            <w:r>
              <w:rPr>
                <w:rFonts w:hint="eastAsia" w:ascii="宋体" w:hAnsi="宋体" w:cs="宋体"/>
                <w:color w:val="auto"/>
                <w:kern w:val="0"/>
                <w:szCs w:val="21"/>
              </w:rPr>
              <w:t>外照射指数 I</w:t>
            </w:r>
            <w:r>
              <w:rPr>
                <w:rFonts w:hint="eastAsia" w:ascii="宋体" w:hAnsi="宋体" w:cs="宋体"/>
                <w:color w:val="auto"/>
                <w:kern w:val="0"/>
                <w:szCs w:val="21"/>
                <w:vertAlign w:val="subscript"/>
              </w:rPr>
              <w:t>r</w:t>
            </w:r>
            <w:r>
              <w:rPr>
                <w:rFonts w:hint="eastAsia" w:ascii="宋体" w:hAnsi="宋体" w:cs="宋体"/>
                <w:color w:val="auto"/>
                <w:kern w:val="0"/>
                <w:szCs w:val="21"/>
              </w:rPr>
              <w:t>≤1.0</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tc>
        <w:tc>
          <w:tcPr>
            <w:tcW w:w="1634" w:type="dxa"/>
            <w:vMerge w:val="restart"/>
            <w:shd w:val="clear" w:color="auto" w:fill="auto"/>
            <w:vAlign w:val="center"/>
          </w:tcPr>
          <w:p w14:paraId="79E58019">
            <w:pPr>
              <w:spacing w:line="320" w:lineRule="exact"/>
              <w:jc w:val="center"/>
              <w:rPr>
                <w:rFonts w:hint="eastAsia" w:ascii="宋体" w:hAnsi="宋体" w:cs="宋体"/>
                <w:color w:val="auto"/>
                <w:kern w:val="0"/>
                <w:szCs w:val="21"/>
              </w:rPr>
            </w:pPr>
            <w:bookmarkStart w:id="585" w:name="_Toc53996626"/>
            <w:bookmarkStart w:id="586" w:name="_Toc46332175"/>
            <w:bookmarkStart w:id="587" w:name="_Toc55460150"/>
            <w:bookmarkStart w:id="588" w:name="_Toc44424624"/>
            <w:bookmarkStart w:id="589" w:name="_Toc42786215"/>
            <w:bookmarkStart w:id="590" w:name="_Toc20219"/>
            <w:bookmarkStart w:id="591" w:name="_Toc45697833"/>
            <w:bookmarkStart w:id="592" w:name="_Toc53995646"/>
            <w:bookmarkStart w:id="593" w:name="_Toc43215366"/>
            <w:bookmarkStart w:id="594" w:name="_Toc53519022"/>
            <w:bookmarkStart w:id="595" w:name="_Toc44577037"/>
            <w:bookmarkStart w:id="596" w:name="_Toc42873263"/>
            <w:bookmarkStart w:id="597" w:name="_Toc53993686"/>
            <w:bookmarkStart w:id="598" w:name="_Toc42788524"/>
            <w:bookmarkStart w:id="599" w:name="_Toc46331194"/>
            <w:r>
              <w:rPr>
                <w:rFonts w:hint="eastAsia" w:ascii="宋体" w:hAnsi="宋体" w:cs="宋体"/>
                <w:color w:val="auto"/>
                <w:kern w:val="0"/>
                <w:szCs w:val="21"/>
              </w:rPr>
              <w:t>GB6566</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tc>
      </w:tr>
      <w:tr w14:paraId="26211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93" w:type="dxa"/>
            <w:vMerge w:val="continue"/>
            <w:shd w:val="clear" w:color="auto" w:fill="auto"/>
            <w:vAlign w:val="center"/>
          </w:tcPr>
          <w:p w14:paraId="52CBC555">
            <w:pPr>
              <w:spacing w:line="320" w:lineRule="exact"/>
              <w:jc w:val="center"/>
              <w:rPr>
                <w:rFonts w:hint="eastAsia" w:ascii="宋体" w:hAnsi="宋体" w:cs="宋体"/>
                <w:color w:val="auto"/>
                <w:kern w:val="0"/>
                <w:szCs w:val="21"/>
              </w:rPr>
            </w:pPr>
          </w:p>
        </w:tc>
        <w:tc>
          <w:tcPr>
            <w:tcW w:w="3555" w:type="dxa"/>
            <w:vMerge w:val="continue"/>
            <w:shd w:val="clear" w:color="auto" w:fill="auto"/>
            <w:vAlign w:val="center"/>
          </w:tcPr>
          <w:p w14:paraId="7C4E69AA">
            <w:pPr>
              <w:spacing w:line="320" w:lineRule="exact"/>
              <w:jc w:val="center"/>
              <w:rPr>
                <w:rFonts w:hint="eastAsia" w:ascii="宋体" w:hAnsi="宋体" w:cs="宋体"/>
                <w:color w:val="auto"/>
                <w:kern w:val="0"/>
                <w:szCs w:val="21"/>
              </w:rPr>
            </w:pPr>
          </w:p>
        </w:tc>
        <w:tc>
          <w:tcPr>
            <w:tcW w:w="2640" w:type="dxa"/>
            <w:shd w:val="clear" w:color="auto" w:fill="auto"/>
            <w:vAlign w:val="center"/>
          </w:tcPr>
          <w:p w14:paraId="6A1CA143">
            <w:pPr>
              <w:spacing w:line="320" w:lineRule="exact"/>
              <w:jc w:val="center"/>
              <w:rPr>
                <w:rFonts w:hint="eastAsia" w:ascii="宋体" w:hAnsi="宋体" w:cs="宋体"/>
                <w:color w:val="auto"/>
                <w:kern w:val="0"/>
                <w:szCs w:val="21"/>
              </w:rPr>
            </w:pPr>
            <w:bookmarkStart w:id="600" w:name="_Toc42873262"/>
            <w:bookmarkStart w:id="601" w:name="_Toc53995647"/>
            <w:bookmarkStart w:id="602" w:name="_Toc53519023"/>
            <w:bookmarkStart w:id="603" w:name="_Toc42788523"/>
            <w:bookmarkStart w:id="604" w:name="_Toc4420"/>
            <w:bookmarkStart w:id="605" w:name="_Toc42786214"/>
            <w:bookmarkStart w:id="606" w:name="_Toc44424625"/>
            <w:bookmarkStart w:id="607" w:name="_Toc46331195"/>
            <w:bookmarkStart w:id="608" w:name="_Toc53993687"/>
            <w:bookmarkStart w:id="609" w:name="_Toc46332176"/>
            <w:bookmarkStart w:id="610" w:name="_Toc44577038"/>
            <w:bookmarkStart w:id="611" w:name="_Toc55460151"/>
            <w:bookmarkStart w:id="612" w:name="_Toc45697834"/>
            <w:bookmarkStart w:id="613" w:name="_Toc43215365"/>
            <w:bookmarkStart w:id="614" w:name="_Toc53996627"/>
            <w:r>
              <w:rPr>
                <w:rFonts w:hint="eastAsia" w:ascii="宋体" w:hAnsi="宋体" w:cs="宋体"/>
                <w:color w:val="auto"/>
                <w:kern w:val="0"/>
                <w:szCs w:val="21"/>
              </w:rPr>
              <w:t>内照射指数 I</w:t>
            </w:r>
            <w:r>
              <w:rPr>
                <w:rFonts w:hint="eastAsia" w:ascii="宋体" w:hAnsi="宋体" w:cs="宋体"/>
                <w:color w:val="auto"/>
                <w:kern w:val="0"/>
                <w:szCs w:val="21"/>
                <w:vertAlign w:val="subscript"/>
              </w:rPr>
              <w:t>Ra</w:t>
            </w:r>
            <w:r>
              <w:rPr>
                <w:rFonts w:hint="eastAsia" w:ascii="宋体" w:hAnsi="宋体" w:cs="宋体"/>
                <w:color w:val="auto"/>
                <w:kern w:val="0"/>
                <w:szCs w:val="21"/>
              </w:rPr>
              <w:t>≤1.0</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tc>
        <w:tc>
          <w:tcPr>
            <w:tcW w:w="1634" w:type="dxa"/>
            <w:vMerge w:val="continue"/>
            <w:shd w:val="clear" w:color="auto" w:fill="auto"/>
            <w:vAlign w:val="center"/>
          </w:tcPr>
          <w:p w14:paraId="63D0F08E">
            <w:pPr>
              <w:spacing w:line="320" w:lineRule="exact"/>
              <w:jc w:val="center"/>
              <w:rPr>
                <w:rFonts w:hint="eastAsia" w:ascii="宋体" w:hAnsi="宋体" w:cs="宋体"/>
                <w:color w:val="auto"/>
                <w:kern w:val="0"/>
                <w:szCs w:val="21"/>
              </w:rPr>
            </w:pPr>
          </w:p>
        </w:tc>
      </w:tr>
      <w:tr w14:paraId="304A9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trPr>
        <w:tc>
          <w:tcPr>
            <w:tcW w:w="8522" w:type="dxa"/>
            <w:gridSpan w:val="4"/>
            <w:shd w:val="clear" w:color="auto" w:fill="auto"/>
            <w:vAlign w:val="center"/>
          </w:tcPr>
          <w:p w14:paraId="107606DE">
            <w:pPr>
              <w:rPr>
                <w:rFonts w:hint="eastAsia" w:ascii="宋体" w:hAnsi="宋体" w:cs="黑体"/>
                <w:bCs/>
                <w:color w:val="auto"/>
                <w:kern w:val="0"/>
                <w:szCs w:val="21"/>
              </w:rPr>
            </w:pPr>
            <w:r>
              <w:rPr>
                <w:rFonts w:hint="eastAsia" w:ascii="宋体" w:hAnsi="宋体" w:cs="黑体"/>
                <w:bCs/>
                <w:color w:val="auto"/>
                <w:kern w:val="0"/>
                <w:szCs w:val="21"/>
              </w:rPr>
              <w:t>注：</w:t>
            </w:r>
            <w:r>
              <w:rPr>
                <w:rFonts w:ascii="宋体" w:hAnsi="宋体" w:cs="黑体"/>
                <w:b/>
                <w:bCs/>
                <w:color w:val="auto"/>
                <w:kern w:val="0"/>
                <w:szCs w:val="21"/>
              </w:rPr>
              <w:t xml:space="preserve">1 </w:t>
            </w:r>
            <w:r>
              <w:rPr>
                <w:rFonts w:hint="eastAsia" w:ascii="宋体" w:hAnsi="宋体" w:cs="黑体"/>
                <w:bCs/>
                <w:color w:val="auto"/>
                <w:kern w:val="0"/>
                <w:szCs w:val="21"/>
              </w:rPr>
              <w:t>型式检验时，检测试样必须满足同批次、同材料、同工艺、同规格和同密度要求；</w:t>
            </w:r>
          </w:p>
          <w:p w14:paraId="3903BAFE">
            <w:pPr>
              <w:ind w:firstLine="422" w:firstLineChars="200"/>
              <w:rPr>
                <w:rFonts w:hint="eastAsia" w:ascii="宋体" w:hAnsi="宋体" w:cs="黑体"/>
                <w:bCs/>
                <w:color w:val="auto"/>
                <w:kern w:val="0"/>
                <w:szCs w:val="21"/>
              </w:rPr>
            </w:pPr>
            <w:r>
              <w:rPr>
                <w:rFonts w:ascii="宋体" w:hAnsi="宋体" w:cs="黑体"/>
                <w:b/>
                <w:bCs/>
                <w:color w:val="auto"/>
                <w:kern w:val="0"/>
                <w:szCs w:val="21"/>
              </w:rPr>
              <w:t xml:space="preserve">2 </w:t>
            </w:r>
            <w:r>
              <w:rPr>
                <w:rFonts w:hint="eastAsia" w:ascii="宋体" w:hAnsi="宋体" w:cs="黑体"/>
                <w:bCs/>
                <w:color w:val="auto"/>
                <w:kern w:val="0"/>
                <w:szCs w:val="21"/>
              </w:rPr>
              <w:t>非型式检验时，检验报告中应注明样品密度；</w:t>
            </w:r>
          </w:p>
          <w:p w14:paraId="0D695B6F">
            <w:pPr>
              <w:ind w:firstLine="422" w:firstLineChars="200"/>
              <w:rPr>
                <w:rFonts w:hint="eastAsia" w:ascii="宋体" w:hAnsi="宋体" w:cs="黑体"/>
                <w:bCs/>
                <w:color w:val="auto"/>
                <w:kern w:val="0"/>
                <w:szCs w:val="21"/>
              </w:rPr>
            </w:pPr>
            <w:r>
              <w:rPr>
                <w:rFonts w:ascii="宋体" w:hAnsi="宋体" w:cs="黑体"/>
                <w:b/>
                <w:bCs/>
                <w:color w:val="auto"/>
                <w:kern w:val="0"/>
                <w:szCs w:val="21"/>
              </w:rPr>
              <w:t xml:space="preserve">3 </w:t>
            </w:r>
            <w:r>
              <w:rPr>
                <w:rFonts w:hint="eastAsia" w:ascii="宋体" w:hAnsi="宋体" w:cs="黑体"/>
                <w:bCs/>
                <w:color w:val="auto"/>
                <w:kern w:val="0"/>
                <w:szCs w:val="21"/>
              </w:rPr>
              <w:t>产品检测的成型养护龄期不应低于</w:t>
            </w:r>
            <w:r>
              <w:rPr>
                <w:rFonts w:ascii="宋体" w:hAnsi="宋体" w:cs="黑体"/>
                <w:bCs/>
                <w:color w:val="auto"/>
                <w:kern w:val="0"/>
                <w:szCs w:val="21"/>
              </w:rPr>
              <w:t>28d</w:t>
            </w:r>
            <w:r>
              <w:rPr>
                <w:rFonts w:hint="eastAsia" w:ascii="宋体" w:hAnsi="宋体" w:cs="黑体"/>
                <w:bCs/>
                <w:color w:val="auto"/>
                <w:kern w:val="0"/>
                <w:szCs w:val="21"/>
              </w:rPr>
              <w:t>；</w:t>
            </w:r>
          </w:p>
          <w:p w14:paraId="6CF6FB62">
            <w:pPr>
              <w:ind w:firstLine="422" w:firstLineChars="200"/>
              <w:rPr>
                <w:rFonts w:hint="eastAsia" w:ascii="宋体" w:hAnsi="宋体" w:cs="黑体"/>
                <w:bCs/>
                <w:color w:val="auto"/>
                <w:kern w:val="0"/>
                <w:szCs w:val="21"/>
              </w:rPr>
            </w:pPr>
            <w:r>
              <w:rPr>
                <w:rFonts w:ascii="宋体" w:hAnsi="宋体" w:cs="黑体"/>
                <w:b/>
                <w:bCs/>
                <w:color w:val="auto"/>
                <w:kern w:val="0"/>
                <w:szCs w:val="21"/>
              </w:rPr>
              <w:t xml:space="preserve">4 </w:t>
            </w:r>
            <w:r>
              <w:rPr>
                <w:rFonts w:hint="eastAsia" w:ascii="宋体" w:hAnsi="宋体" w:cs="黑体"/>
                <w:bCs/>
                <w:color w:val="auto"/>
                <w:kern w:val="0"/>
                <w:szCs w:val="21"/>
              </w:rPr>
              <w:t>保温板中无机原材料不得采用氯氧镁水泥、硫氧镁水泥等菱镁类气硬性材料为主的胶凝材料；</w:t>
            </w:r>
          </w:p>
          <w:p w14:paraId="348A78E9">
            <w:pPr>
              <w:ind w:firstLine="422" w:firstLineChars="200"/>
              <w:rPr>
                <w:rFonts w:hint="eastAsia" w:ascii="宋体" w:hAnsi="宋体" w:cs="黑体"/>
                <w:bCs/>
                <w:color w:val="auto"/>
                <w:kern w:val="0"/>
                <w:szCs w:val="21"/>
              </w:rPr>
            </w:pPr>
            <w:r>
              <w:rPr>
                <w:rFonts w:ascii="宋体" w:hAnsi="宋体" w:cs="黑体"/>
                <w:b/>
                <w:bCs/>
                <w:color w:val="auto"/>
                <w:kern w:val="0"/>
                <w:szCs w:val="21"/>
              </w:rPr>
              <w:t xml:space="preserve">5 </w:t>
            </w:r>
            <w:r>
              <w:rPr>
                <w:rFonts w:ascii="黑体" w:hAnsi="黑体" w:eastAsia="黑体" w:cs="黑体"/>
                <w:b/>
                <w:color w:val="auto"/>
                <w:kern w:val="0"/>
                <w:szCs w:val="21"/>
                <w:vertAlign w:val="superscript"/>
              </w:rPr>
              <w:t>a</w:t>
            </w:r>
            <w:r>
              <w:rPr>
                <w:rFonts w:hint="eastAsia" w:ascii="宋体" w:hAnsi="宋体" w:cs="黑体"/>
                <w:bCs/>
                <w:color w:val="auto"/>
                <w:kern w:val="0"/>
                <w:szCs w:val="21"/>
              </w:rPr>
              <w:t>导热系数是在环境温度（</w:t>
            </w:r>
            <w:r>
              <w:rPr>
                <w:rFonts w:ascii="宋体" w:hAnsi="宋体" w:cs="黑体"/>
                <w:bCs/>
                <w:color w:val="auto"/>
                <w:kern w:val="0"/>
                <w:szCs w:val="21"/>
              </w:rPr>
              <w:t>65</w:t>
            </w:r>
            <w:r>
              <w:rPr>
                <w:rFonts w:hint="eastAsia" w:ascii="宋体" w:hAnsi="宋体" w:cs="黑体"/>
                <w:bCs/>
                <w:color w:val="auto"/>
                <w:kern w:val="0"/>
                <w:szCs w:val="21"/>
              </w:rPr>
              <w:t>±</w:t>
            </w:r>
            <w:r>
              <w:rPr>
                <w:rFonts w:ascii="宋体" w:hAnsi="宋体" w:cs="黑体"/>
                <w:bCs/>
                <w:color w:val="auto"/>
                <w:kern w:val="0"/>
                <w:szCs w:val="21"/>
              </w:rPr>
              <w:t>5</w:t>
            </w:r>
            <w:r>
              <w:rPr>
                <w:rFonts w:hint="eastAsia" w:ascii="宋体" w:hAnsi="宋体" w:cs="黑体"/>
                <w:bCs/>
                <w:color w:val="auto"/>
                <w:kern w:val="0"/>
                <w:szCs w:val="21"/>
              </w:rPr>
              <w:t>）℃且连续烘干至少</w:t>
            </w:r>
            <w:r>
              <w:rPr>
                <w:rFonts w:ascii="宋体" w:hAnsi="宋体" w:cs="黑体"/>
                <w:bCs/>
                <w:color w:val="auto"/>
                <w:kern w:val="0"/>
                <w:szCs w:val="21"/>
              </w:rPr>
              <w:t xml:space="preserve">72h </w:t>
            </w:r>
            <w:r>
              <w:rPr>
                <w:rFonts w:hint="eastAsia" w:ascii="宋体" w:hAnsi="宋体" w:cs="黑体"/>
                <w:bCs/>
                <w:color w:val="auto"/>
                <w:kern w:val="0"/>
                <w:szCs w:val="21"/>
              </w:rPr>
              <w:t>以上至恒重状态时已测定其干密度值的样品上截取并按</w:t>
            </w:r>
            <w:r>
              <w:rPr>
                <w:rFonts w:ascii="宋体" w:hAnsi="宋体" w:cs="黑体"/>
                <w:bCs/>
                <w:color w:val="auto"/>
                <w:kern w:val="0"/>
                <w:szCs w:val="21"/>
              </w:rPr>
              <w:t xml:space="preserve">JG/T 536 </w:t>
            </w:r>
            <w:r>
              <w:rPr>
                <w:rFonts w:hint="eastAsia" w:ascii="宋体" w:hAnsi="宋体" w:cs="黑体"/>
                <w:bCs/>
                <w:color w:val="auto"/>
                <w:kern w:val="0"/>
                <w:szCs w:val="21"/>
              </w:rPr>
              <w:t>规定的试验方法进行检测的数值。密度是指在环境温度（</w:t>
            </w:r>
            <w:r>
              <w:rPr>
                <w:rFonts w:ascii="宋体" w:hAnsi="宋体" w:cs="黑体"/>
                <w:bCs/>
                <w:color w:val="auto"/>
                <w:kern w:val="0"/>
                <w:szCs w:val="21"/>
              </w:rPr>
              <w:t>65</w:t>
            </w:r>
            <w:r>
              <w:rPr>
                <w:rFonts w:hint="eastAsia" w:ascii="宋体" w:hAnsi="宋体" w:cs="黑体"/>
                <w:bCs/>
                <w:color w:val="auto"/>
                <w:kern w:val="0"/>
                <w:szCs w:val="21"/>
              </w:rPr>
              <w:t>±</w:t>
            </w:r>
            <w:r>
              <w:rPr>
                <w:rFonts w:ascii="宋体" w:hAnsi="宋体" w:cs="黑体"/>
                <w:bCs/>
                <w:color w:val="auto"/>
                <w:kern w:val="0"/>
                <w:szCs w:val="21"/>
              </w:rPr>
              <w:t>5</w:t>
            </w:r>
            <w:r>
              <w:rPr>
                <w:rFonts w:hint="eastAsia" w:ascii="宋体" w:hAnsi="宋体" w:cs="黑体"/>
                <w:bCs/>
                <w:color w:val="auto"/>
                <w:kern w:val="0"/>
                <w:szCs w:val="21"/>
              </w:rPr>
              <w:t>）℃且连续烘干至少</w:t>
            </w:r>
            <w:r>
              <w:rPr>
                <w:rFonts w:ascii="宋体" w:hAnsi="宋体" w:cs="黑体"/>
                <w:bCs/>
                <w:color w:val="auto"/>
                <w:kern w:val="0"/>
                <w:szCs w:val="21"/>
              </w:rPr>
              <w:t xml:space="preserve">72h </w:t>
            </w:r>
            <w:r>
              <w:rPr>
                <w:rFonts w:hint="eastAsia" w:ascii="宋体" w:hAnsi="宋体" w:cs="黑体"/>
                <w:bCs/>
                <w:color w:val="auto"/>
                <w:kern w:val="0"/>
                <w:szCs w:val="21"/>
              </w:rPr>
              <w:t>以上至恒重状态时检测的干密度值。</w:t>
            </w:r>
          </w:p>
          <w:p w14:paraId="44B236BF">
            <w:pPr>
              <w:ind w:firstLine="422" w:firstLineChars="200"/>
              <w:rPr>
                <w:rFonts w:hint="eastAsia" w:ascii="宋体" w:hAnsi="宋体" w:cs="黑体"/>
                <w:bCs/>
                <w:color w:val="auto"/>
                <w:kern w:val="0"/>
                <w:szCs w:val="21"/>
              </w:rPr>
            </w:pPr>
            <w:r>
              <w:rPr>
                <w:rFonts w:ascii="宋体" w:hAnsi="宋体" w:cs="黑体"/>
                <w:b/>
                <w:bCs/>
                <w:color w:val="auto"/>
                <w:kern w:val="0"/>
                <w:szCs w:val="21"/>
              </w:rPr>
              <w:t xml:space="preserve">6  </w:t>
            </w:r>
            <w:r>
              <w:rPr>
                <w:rFonts w:ascii="黑体" w:hAnsi="黑体" w:eastAsia="黑体" w:cs="黑体"/>
                <w:b/>
                <w:color w:val="auto"/>
                <w:kern w:val="0"/>
                <w:szCs w:val="21"/>
                <w:vertAlign w:val="superscript"/>
              </w:rPr>
              <w:t>b</w:t>
            </w:r>
            <w:r>
              <w:rPr>
                <w:rFonts w:hint="eastAsia" w:ascii="宋体" w:hAnsi="宋体" w:cs="黑体"/>
                <w:bCs/>
                <w:color w:val="auto"/>
                <w:kern w:val="0"/>
                <w:szCs w:val="21"/>
              </w:rPr>
              <w:t>为有特殊要求时的检测项目。</w:t>
            </w:r>
          </w:p>
          <w:p w14:paraId="042B34DE">
            <w:pPr>
              <w:ind w:firstLine="422" w:firstLineChars="200"/>
              <w:rPr>
                <w:rFonts w:hint="eastAsia" w:ascii="宋体" w:hAnsi="宋体" w:cs="黑体"/>
                <w:bCs/>
                <w:color w:val="auto"/>
                <w:kern w:val="0"/>
                <w:szCs w:val="21"/>
              </w:rPr>
            </w:pPr>
            <w:r>
              <w:rPr>
                <w:rFonts w:hint="eastAsia" w:ascii="宋体" w:hAnsi="宋体" w:cs="黑体"/>
                <w:b/>
                <w:color w:val="auto"/>
                <w:kern w:val="0"/>
                <w:szCs w:val="21"/>
              </w:rPr>
              <w:t>7</w:t>
            </w:r>
            <w:r>
              <w:rPr>
                <w:rFonts w:hint="eastAsia" w:ascii="宋体" w:hAnsi="宋体" w:cs="黑体"/>
                <w:bCs/>
                <w:color w:val="auto"/>
                <w:kern w:val="0"/>
                <w:szCs w:val="21"/>
              </w:rPr>
              <w:t>用于外墙外保温工程时，可不检测放射性核素限量。</w:t>
            </w:r>
          </w:p>
        </w:tc>
      </w:tr>
      <w:bookmarkEnd w:id="62"/>
    </w:tbl>
    <w:p w14:paraId="7BB6A15B">
      <w:pPr>
        <w:spacing w:line="360" w:lineRule="auto"/>
        <w:jc w:val="center"/>
        <w:rPr>
          <w:rFonts w:hint="eastAsia" w:ascii="宋体" w:hAnsi="宋体"/>
          <w:b/>
          <w:color w:val="auto"/>
          <w:szCs w:val="21"/>
        </w:rPr>
      </w:pPr>
      <w:r>
        <w:rPr>
          <w:rFonts w:hint="eastAsia" w:ascii="宋体" w:hAnsi="宋体"/>
          <w:b/>
          <w:color w:val="auto"/>
          <w:szCs w:val="21"/>
        </w:rPr>
        <w:t>表4.4.1-2  复合Ⅱ型保温免拆模板保温芯材性能指标</w:t>
      </w:r>
    </w:p>
    <w:tbl>
      <w:tblPr>
        <w:tblStyle w:val="88"/>
        <w:tblW w:w="8359"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3"/>
        <w:gridCol w:w="3555"/>
        <w:gridCol w:w="2640"/>
        <w:gridCol w:w="1471"/>
      </w:tblGrid>
      <w:tr w14:paraId="30206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93" w:type="dxa"/>
            <w:shd w:val="clear" w:color="auto" w:fill="auto"/>
          </w:tcPr>
          <w:p w14:paraId="4B40AD4E">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序号</w:t>
            </w:r>
          </w:p>
        </w:tc>
        <w:tc>
          <w:tcPr>
            <w:tcW w:w="3555" w:type="dxa"/>
            <w:shd w:val="clear" w:color="auto" w:fill="auto"/>
          </w:tcPr>
          <w:p w14:paraId="5424ACE9">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检验项目</w:t>
            </w:r>
          </w:p>
        </w:tc>
        <w:tc>
          <w:tcPr>
            <w:tcW w:w="2640" w:type="dxa"/>
            <w:shd w:val="clear" w:color="auto" w:fill="auto"/>
          </w:tcPr>
          <w:p w14:paraId="37D07804">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性能指标</w:t>
            </w:r>
          </w:p>
        </w:tc>
        <w:tc>
          <w:tcPr>
            <w:tcW w:w="1471" w:type="dxa"/>
            <w:shd w:val="clear" w:color="auto" w:fill="auto"/>
          </w:tcPr>
          <w:p w14:paraId="72A45E3E">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试验方法</w:t>
            </w:r>
          </w:p>
        </w:tc>
      </w:tr>
      <w:tr w14:paraId="57F01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tcPr>
          <w:p w14:paraId="465B851D">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1</w:t>
            </w:r>
          </w:p>
        </w:tc>
        <w:tc>
          <w:tcPr>
            <w:tcW w:w="3555" w:type="dxa"/>
            <w:shd w:val="clear" w:color="auto" w:fill="auto"/>
            <w:vAlign w:val="center"/>
          </w:tcPr>
          <w:p w14:paraId="4E745257">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干密度,kg/m</w:t>
            </w:r>
            <w:r>
              <w:rPr>
                <w:rFonts w:hint="eastAsia" w:ascii="宋体" w:hAnsi="宋体" w:cs="宋体"/>
                <w:color w:val="auto"/>
                <w:kern w:val="0"/>
                <w:szCs w:val="21"/>
                <w:vertAlign w:val="superscript"/>
              </w:rPr>
              <w:t>3</w:t>
            </w:r>
          </w:p>
        </w:tc>
        <w:tc>
          <w:tcPr>
            <w:tcW w:w="2640" w:type="dxa"/>
            <w:shd w:val="clear" w:color="auto" w:fill="auto"/>
            <w:vAlign w:val="center"/>
          </w:tcPr>
          <w:p w14:paraId="36AE1CB7">
            <w:pPr>
              <w:spacing w:line="320" w:lineRule="exact"/>
              <w:jc w:val="center"/>
              <w:rPr>
                <w:rFonts w:hint="eastAsia" w:ascii="宋体" w:hAnsi="宋体" w:cs="宋体"/>
                <w:strike/>
                <w:color w:val="auto"/>
                <w:kern w:val="0"/>
                <w:szCs w:val="21"/>
              </w:rPr>
            </w:pPr>
            <w:r>
              <w:rPr>
                <w:rFonts w:hint="eastAsia" w:ascii="宋体" w:hAnsi="宋体" w:cs="宋体"/>
                <w:color w:val="auto"/>
                <w:kern w:val="0"/>
                <w:szCs w:val="21"/>
              </w:rPr>
              <w:t>180</w:t>
            </w:r>
            <w:r>
              <w:rPr>
                <w:rFonts w:hint="eastAsia" w:cs="宋体" w:asciiTheme="minorEastAsia" w:hAnsiTheme="minorEastAsia"/>
                <w:color w:val="auto"/>
                <w:kern w:val="0"/>
                <w:szCs w:val="21"/>
              </w:rPr>
              <w:t>～220</w:t>
            </w:r>
          </w:p>
        </w:tc>
        <w:tc>
          <w:tcPr>
            <w:tcW w:w="1471" w:type="dxa"/>
            <w:shd w:val="clear" w:color="auto" w:fill="auto"/>
            <w:vAlign w:val="center"/>
          </w:tcPr>
          <w:p w14:paraId="3D7D5F95">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GB/T 5486</w:t>
            </w:r>
          </w:p>
        </w:tc>
      </w:tr>
      <w:tr w14:paraId="05404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tcPr>
          <w:p w14:paraId="320A65B3">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2</w:t>
            </w:r>
          </w:p>
        </w:tc>
        <w:tc>
          <w:tcPr>
            <w:tcW w:w="3555" w:type="dxa"/>
            <w:shd w:val="clear" w:color="auto" w:fill="auto"/>
            <w:vAlign w:val="center"/>
          </w:tcPr>
          <w:p w14:paraId="743ADAD1">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导热系数</w:t>
            </w:r>
            <w:r>
              <w:rPr>
                <w:rFonts w:hint="eastAsia" w:ascii="宋体" w:hAnsi="宋体" w:cs="宋体"/>
                <w:color w:val="auto"/>
                <w:kern w:val="0"/>
                <w:szCs w:val="21"/>
                <w:vertAlign w:val="superscript"/>
              </w:rPr>
              <w:t>a</w:t>
            </w:r>
            <w:r>
              <w:rPr>
                <w:rFonts w:hint="eastAsia" w:ascii="宋体" w:hAnsi="宋体" w:cs="宋体"/>
                <w:color w:val="auto"/>
                <w:kern w:val="0"/>
                <w:szCs w:val="21"/>
              </w:rPr>
              <w:t>（平均温度25℃）,W/(m·K)</w:t>
            </w:r>
          </w:p>
        </w:tc>
        <w:tc>
          <w:tcPr>
            <w:tcW w:w="2640" w:type="dxa"/>
            <w:shd w:val="clear" w:color="auto" w:fill="auto"/>
            <w:vAlign w:val="center"/>
          </w:tcPr>
          <w:p w14:paraId="36A0068D">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≤0.055</w:t>
            </w:r>
          </w:p>
        </w:tc>
        <w:tc>
          <w:tcPr>
            <w:tcW w:w="1471" w:type="dxa"/>
            <w:shd w:val="clear" w:color="auto" w:fill="auto"/>
            <w:vAlign w:val="center"/>
          </w:tcPr>
          <w:p w14:paraId="717D39AE">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GB/T 10294</w:t>
            </w:r>
          </w:p>
        </w:tc>
      </w:tr>
      <w:tr w14:paraId="44F7B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tcPr>
          <w:p w14:paraId="2A8E4E9C">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3</w:t>
            </w:r>
          </w:p>
        </w:tc>
        <w:tc>
          <w:tcPr>
            <w:tcW w:w="3555" w:type="dxa"/>
            <w:shd w:val="clear" w:color="auto" w:fill="auto"/>
            <w:vAlign w:val="center"/>
          </w:tcPr>
          <w:p w14:paraId="6044FEBD">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体积吸水率（v/v）,%</w:t>
            </w:r>
          </w:p>
        </w:tc>
        <w:tc>
          <w:tcPr>
            <w:tcW w:w="2640" w:type="dxa"/>
            <w:shd w:val="clear" w:color="auto" w:fill="auto"/>
            <w:vAlign w:val="center"/>
          </w:tcPr>
          <w:p w14:paraId="39BD966E">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≤6</w:t>
            </w:r>
          </w:p>
        </w:tc>
        <w:tc>
          <w:tcPr>
            <w:tcW w:w="1471" w:type="dxa"/>
            <w:vMerge w:val="restart"/>
            <w:shd w:val="clear" w:color="auto" w:fill="auto"/>
            <w:vAlign w:val="center"/>
          </w:tcPr>
          <w:p w14:paraId="07940D73">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GB/T 5486</w:t>
            </w:r>
          </w:p>
        </w:tc>
      </w:tr>
      <w:tr w14:paraId="73DD4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tcPr>
          <w:p w14:paraId="2569DCAB">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4</w:t>
            </w:r>
          </w:p>
        </w:tc>
        <w:tc>
          <w:tcPr>
            <w:tcW w:w="3555" w:type="dxa"/>
            <w:shd w:val="clear" w:color="auto" w:fill="auto"/>
            <w:vAlign w:val="center"/>
          </w:tcPr>
          <w:p w14:paraId="203E9551">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抗压强度,MPa</w:t>
            </w:r>
          </w:p>
        </w:tc>
        <w:tc>
          <w:tcPr>
            <w:tcW w:w="2640" w:type="dxa"/>
            <w:shd w:val="clear" w:color="auto" w:fill="auto"/>
            <w:vAlign w:val="center"/>
          </w:tcPr>
          <w:p w14:paraId="0804477B">
            <w:pPr>
              <w:spacing w:line="320" w:lineRule="exact"/>
              <w:jc w:val="center"/>
              <w:rPr>
                <w:rFonts w:hint="eastAsia" w:ascii="宋体" w:hAnsi="宋体" w:cs="宋体"/>
                <w:strike/>
                <w:color w:val="auto"/>
                <w:kern w:val="0"/>
                <w:szCs w:val="21"/>
              </w:rPr>
            </w:pPr>
            <w:r>
              <w:rPr>
                <w:rFonts w:hint="eastAsia" w:ascii="宋体" w:hAnsi="宋体" w:cs="宋体"/>
                <w:color w:val="auto"/>
                <w:kern w:val="0"/>
                <w:szCs w:val="21"/>
              </w:rPr>
              <w:t>≥0.3</w:t>
            </w:r>
            <w:r>
              <w:rPr>
                <w:rFonts w:ascii="宋体" w:hAnsi="宋体" w:cs="宋体"/>
                <w:color w:val="auto"/>
                <w:kern w:val="0"/>
                <w:szCs w:val="21"/>
              </w:rPr>
              <w:t>0</w:t>
            </w:r>
          </w:p>
        </w:tc>
        <w:tc>
          <w:tcPr>
            <w:tcW w:w="1471" w:type="dxa"/>
            <w:vMerge w:val="continue"/>
            <w:shd w:val="clear" w:color="auto" w:fill="auto"/>
            <w:vAlign w:val="center"/>
          </w:tcPr>
          <w:p w14:paraId="7AD8DBB6">
            <w:pPr>
              <w:spacing w:line="320" w:lineRule="exact"/>
              <w:jc w:val="center"/>
              <w:rPr>
                <w:rFonts w:hint="eastAsia" w:ascii="宋体" w:hAnsi="宋体" w:cs="宋体"/>
                <w:color w:val="auto"/>
                <w:kern w:val="0"/>
                <w:szCs w:val="21"/>
              </w:rPr>
            </w:pPr>
          </w:p>
        </w:tc>
      </w:tr>
      <w:tr w14:paraId="0DFF4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693" w:type="dxa"/>
            <w:shd w:val="clear" w:color="auto" w:fill="auto"/>
          </w:tcPr>
          <w:p w14:paraId="3AB5D9AC">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5</w:t>
            </w:r>
          </w:p>
        </w:tc>
        <w:tc>
          <w:tcPr>
            <w:tcW w:w="3555" w:type="dxa"/>
            <w:shd w:val="clear" w:color="auto" w:fill="auto"/>
            <w:vAlign w:val="center"/>
          </w:tcPr>
          <w:p w14:paraId="733A1F8B">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垂直于板面方向的抗拉强度，</w:t>
            </w:r>
            <w:r>
              <w:rPr>
                <w:rFonts w:ascii="宋体" w:hAnsi="宋体" w:cs="宋体"/>
                <w:color w:val="auto"/>
                <w:kern w:val="0"/>
                <w:szCs w:val="21"/>
              </w:rPr>
              <w:t>MPa</w:t>
            </w:r>
          </w:p>
        </w:tc>
        <w:tc>
          <w:tcPr>
            <w:tcW w:w="2640" w:type="dxa"/>
            <w:shd w:val="clear" w:color="auto" w:fill="auto"/>
            <w:vAlign w:val="center"/>
          </w:tcPr>
          <w:p w14:paraId="6ABE6DD3">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≥0.15</w:t>
            </w:r>
          </w:p>
        </w:tc>
        <w:tc>
          <w:tcPr>
            <w:tcW w:w="1471" w:type="dxa"/>
            <w:shd w:val="clear" w:color="auto" w:fill="auto"/>
            <w:vAlign w:val="center"/>
          </w:tcPr>
          <w:p w14:paraId="4417762C">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JGJ 144</w:t>
            </w:r>
          </w:p>
        </w:tc>
      </w:tr>
      <w:tr w14:paraId="78F24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vAlign w:val="center"/>
          </w:tcPr>
          <w:p w14:paraId="62CC024C">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6</w:t>
            </w:r>
          </w:p>
        </w:tc>
        <w:tc>
          <w:tcPr>
            <w:tcW w:w="3555" w:type="dxa"/>
            <w:shd w:val="clear" w:color="auto" w:fill="auto"/>
            <w:vAlign w:val="center"/>
          </w:tcPr>
          <w:p w14:paraId="739B5AD1">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软化系数</w:t>
            </w:r>
          </w:p>
        </w:tc>
        <w:tc>
          <w:tcPr>
            <w:tcW w:w="2640" w:type="dxa"/>
            <w:shd w:val="clear" w:color="auto" w:fill="auto"/>
            <w:vAlign w:val="center"/>
          </w:tcPr>
          <w:p w14:paraId="39227AC3">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≥0.7</w:t>
            </w:r>
          </w:p>
        </w:tc>
        <w:tc>
          <w:tcPr>
            <w:tcW w:w="1471" w:type="dxa"/>
            <w:shd w:val="clear" w:color="auto" w:fill="auto"/>
            <w:vAlign w:val="center"/>
          </w:tcPr>
          <w:p w14:paraId="14E788E0">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JG/T 536</w:t>
            </w:r>
          </w:p>
        </w:tc>
      </w:tr>
      <w:tr w14:paraId="48F41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vAlign w:val="center"/>
          </w:tcPr>
          <w:p w14:paraId="0FF227CF">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7</w:t>
            </w:r>
          </w:p>
        </w:tc>
        <w:tc>
          <w:tcPr>
            <w:tcW w:w="3555" w:type="dxa"/>
            <w:shd w:val="clear" w:color="auto" w:fill="auto"/>
            <w:vAlign w:val="center"/>
          </w:tcPr>
          <w:p w14:paraId="2BCD4FBA">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干燥收缩率，%</w:t>
            </w:r>
          </w:p>
        </w:tc>
        <w:tc>
          <w:tcPr>
            <w:tcW w:w="2640" w:type="dxa"/>
            <w:shd w:val="clear" w:color="auto" w:fill="auto"/>
            <w:vAlign w:val="center"/>
          </w:tcPr>
          <w:p w14:paraId="3875F36F">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≤0.</w:t>
            </w:r>
            <w:r>
              <w:rPr>
                <w:rFonts w:ascii="宋体" w:hAnsi="宋体" w:cs="宋体"/>
                <w:color w:val="auto"/>
                <w:kern w:val="0"/>
                <w:szCs w:val="21"/>
              </w:rPr>
              <w:t>6</w:t>
            </w:r>
          </w:p>
        </w:tc>
        <w:tc>
          <w:tcPr>
            <w:tcW w:w="1471" w:type="dxa"/>
            <w:shd w:val="clear" w:color="auto" w:fill="auto"/>
            <w:vAlign w:val="center"/>
          </w:tcPr>
          <w:p w14:paraId="42DDFA4D">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JG/T 536</w:t>
            </w:r>
          </w:p>
        </w:tc>
      </w:tr>
      <w:tr w14:paraId="106DC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vAlign w:val="center"/>
          </w:tcPr>
          <w:p w14:paraId="62EF065A">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8</w:t>
            </w:r>
          </w:p>
        </w:tc>
        <w:tc>
          <w:tcPr>
            <w:tcW w:w="3555" w:type="dxa"/>
            <w:shd w:val="clear" w:color="auto" w:fill="auto"/>
            <w:vAlign w:val="center"/>
          </w:tcPr>
          <w:p w14:paraId="340E1ECA">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蓄热系数W/(m</w:t>
            </w:r>
            <w:r>
              <w:rPr>
                <w:rFonts w:hint="eastAsia" w:ascii="宋体" w:hAnsi="宋体" w:cs="宋体"/>
                <w:color w:val="auto"/>
                <w:kern w:val="0"/>
                <w:szCs w:val="21"/>
                <w:vertAlign w:val="superscript"/>
              </w:rPr>
              <w:t>2</w:t>
            </w:r>
            <w:r>
              <w:rPr>
                <w:rFonts w:hint="eastAsia" w:ascii="宋体" w:hAnsi="宋体" w:cs="宋体"/>
                <w:color w:val="auto"/>
                <w:kern w:val="0"/>
                <w:szCs w:val="21"/>
              </w:rPr>
              <w:t>·K)</w:t>
            </w:r>
          </w:p>
        </w:tc>
        <w:tc>
          <w:tcPr>
            <w:tcW w:w="2640" w:type="dxa"/>
            <w:shd w:val="clear" w:color="auto" w:fill="auto"/>
            <w:vAlign w:val="center"/>
          </w:tcPr>
          <w:p w14:paraId="208CBA79">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≥1.00</w:t>
            </w:r>
          </w:p>
        </w:tc>
        <w:tc>
          <w:tcPr>
            <w:tcW w:w="1471" w:type="dxa"/>
            <w:shd w:val="clear" w:color="auto" w:fill="auto"/>
            <w:vAlign w:val="center"/>
          </w:tcPr>
          <w:p w14:paraId="0946988C">
            <w:pPr>
              <w:spacing w:line="320" w:lineRule="exact"/>
              <w:jc w:val="center"/>
              <w:rPr>
                <w:rFonts w:hint="eastAsia" w:ascii="宋体" w:hAnsi="宋体" w:cs="宋体"/>
                <w:color w:val="auto"/>
                <w:kern w:val="0"/>
                <w:szCs w:val="21"/>
              </w:rPr>
            </w:pPr>
            <w:r>
              <w:rPr>
                <w:rFonts w:ascii="宋体" w:hAnsi="宋体" w:cs="宋体"/>
                <w:color w:val="auto"/>
                <w:kern w:val="0"/>
                <w:szCs w:val="21"/>
              </w:rPr>
              <w:t>JGJ/T 12</w:t>
            </w:r>
          </w:p>
        </w:tc>
      </w:tr>
      <w:tr w14:paraId="1B830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vAlign w:val="center"/>
          </w:tcPr>
          <w:p w14:paraId="2085B63F">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9</w:t>
            </w:r>
          </w:p>
        </w:tc>
        <w:tc>
          <w:tcPr>
            <w:tcW w:w="3555" w:type="dxa"/>
            <w:shd w:val="clear" w:color="auto" w:fill="auto"/>
            <w:vAlign w:val="center"/>
          </w:tcPr>
          <w:p w14:paraId="114384E8">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燃烧性能等级</w:t>
            </w:r>
          </w:p>
        </w:tc>
        <w:tc>
          <w:tcPr>
            <w:tcW w:w="2640" w:type="dxa"/>
            <w:shd w:val="clear" w:color="auto" w:fill="auto"/>
            <w:vAlign w:val="center"/>
          </w:tcPr>
          <w:p w14:paraId="558EC47E">
            <w:pPr>
              <w:spacing w:line="320" w:lineRule="exact"/>
              <w:jc w:val="center"/>
              <w:rPr>
                <w:rFonts w:hint="eastAsia" w:ascii="宋体" w:hAnsi="宋体" w:cs="宋体"/>
                <w:color w:val="auto"/>
                <w:kern w:val="0"/>
                <w:szCs w:val="21"/>
              </w:rPr>
            </w:pPr>
            <w:r>
              <w:rPr>
                <w:rFonts w:ascii="宋体" w:hAnsi="宋体" w:cs="宋体"/>
                <w:color w:val="auto"/>
                <w:kern w:val="0"/>
                <w:szCs w:val="21"/>
              </w:rPr>
              <w:t>A(</w:t>
            </w:r>
            <w:r>
              <w:rPr>
                <w:rFonts w:hint="eastAsia" w:ascii="宋体" w:hAnsi="宋体" w:cs="宋体"/>
                <w:color w:val="auto"/>
                <w:kern w:val="0"/>
                <w:szCs w:val="21"/>
              </w:rPr>
              <w:t>A</w:t>
            </w:r>
            <w:r>
              <w:rPr>
                <w:rFonts w:hint="eastAsia" w:ascii="宋体" w:hAnsi="宋体" w:cs="宋体"/>
                <w:color w:val="auto"/>
                <w:kern w:val="0"/>
                <w:szCs w:val="21"/>
                <w:vertAlign w:val="subscript"/>
              </w:rPr>
              <w:t>2</w:t>
            </w:r>
            <w:r>
              <w:rPr>
                <w:rFonts w:ascii="宋体" w:hAnsi="宋体" w:cs="宋体"/>
                <w:color w:val="auto"/>
                <w:kern w:val="0"/>
                <w:szCs w:val="21"/>
              </w:rPr>
              <w:t>)</w:t>
            </w:r>
            <w:r>
              <w:rPr>
                <w:rFonts w:hint="eastAsia" w:ascii="宋体" w:hAnsi="宋体" w:cs="宋体"/>
                <w:color w:val="auto"/>
                <w:kern w:val="0"/>
                <w:szCs w:val="21"/>
              </w:rPr>
              <w:t>级</w:t>
            </w:r>
          </w:p>
        </w:tc>
        <w:tc>
          <w:tcPr>
            <w:tcW w:w="1471" w:type="dxa"/>
            <w:shd w:val="clear" w:color="auto" w:fill="auto"/>
            <w:vAlign w:val="center"/>
          </w:tcPr>
          <w:p w14:paraId="5B1D70E4">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GB 8624</w:t>
            </w:r>
          </w:p>
        </w:tc>
      </w:tr>
      <w:tr w14:paraId="5C744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 w:type="dxa"/>
            <w:shd w:val="clear" w:color="auto" w:fill="auto"/>
            <w:vAlign w:val="center"/>
          </w:tcPr>
          <w:p w14:paraId="2E694158">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10</w:t>
            </w:r>
          </w:p>
        </w:tc>
        <w:tc>
          <w:tcPr>
            <w:tcW w:w="3555" w:type="dxa"/>
            <w:shd w:val="clear" w:color="auto" w:fill="auto"/>
            <w:vAlign w:val="center"/>
          </w:tcPr>
          <w:p w14:paraId="1ADD07B2">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压缩弹性模量，</w:t>
            </w:r>
            <w:r>
              <w:rPr>
                <w:rFonts w:ascii="宋体" w:hAnsi="宋体" w:cs="宋体"/>
                <w:color w:val="auto"/>
                <w:kern w:val="0"/>
                <w:szCs w:val="21"/>
              </w:rPr>
              <w:t>MPa</w:t>
            </w:r>
          </w:p>
        </w:tc>
        <w:tc>
          <w:tcPr>
            <w:tcW w:w="2640" w:type="dxa"/>
            <w:shd w:val="clear" w:color="auto" w:fill="auto"/>
            <w:vAlign w:val="center"/>
          </w:tcPr>
          <w:p w14:paraId="5B51AA7D">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≥20</w:t>
            </w:r>
          </w:p>
        </w:tc>
        <w:tc>
          <w:tcPr>
            <w:tcW w:w="1471" w:type="dxa"/>
            <w:shd w:val="clear" w:color="auto" w:fill="auto"/>
            <w:vAlign w:val="center"/>
          </w:tcPr>
          <w:p w14:paraId="5C095530">
            <w:pPr>
              <w:spacing w:line="320" w:lineRule="exact"/>
              <w:jc w:val="center"/>
              <w:rPr>
                <w:rFonts w:hint="eastAsia" w:ascii="宋体" w:hAnsi="宋体" w:eastAsia="宋体" w:cs="宋体"/>
                <w:color w:val="auto"/>
                <w:kern w:val="0"/>
                <w:szCs w:val="21"/>
              </w:rPr>
            </w:pPr>
            <w:r>
              <w:rPr>
                <w:rFonts w:hint="eastAsia" w:ascii="宋体" w:hAnsi="宋体" w:eastAsia="宋体"/>
                <w:color w:val="auto"/>
                <w:szCs w:val="21"/>
              </w:rPr>
              <w:t>GB/T 8813</w:t>
            </w:r>
          </w:p>
        </w:tc>
      </w:tr>
    </w:tbl>
    <w:p w14:paraId="364A7FF5">
      <w:pPr>
        <w:rPr>
          <w:rFonts w:hint="eastAsia" w:ascii="黑体" w:hAnsi="黑体" w:eastAsia="黑体" w:cs="黑体"/>
          <w:b/>
          <w:color w:val="auto"/>
          <w:kern w:val="0"/>
          <w:szCs w:val="21"/>
        </w:rPr>
      </w:pPr>
    </w:p>
    <w:p w14:paraId="65119686">
      <w:pPr>
        <w:tabs>
          <w:tab w:val="left" w:pos="3969"/>
        </w:tabs>
        <w:snapToGrid w:val="0"/>
        <w:spacing w:line="520" w:lineRule="exact"/>
        <w:rPr>
          <w:rFonts w:hint="eastAsia" w:ascii="宋体" w:hAnsi="宋体" w:cs="宋体"/>
          <w:color w:val="auto"/>
          <w:kern w:val="0"/>
          <w:sz w:val="24"/>
        </w:rPr>
      </w:pPr>
      <w:r>
        <w:rPr>
          <w:rFonts w:hint="eastAsia" w:ascii="宋体" w:hAnsi="宋体" w:cstheme="minorHAnsi"/>
          <w:b/>
          <w:color w:val="auto"/>
          <w:kern w:val="0"/>
          <w:sz w:val="24"/>
        </w:rPr>
        <w:t>4.4.2</w:t>
      </w:r>
      <w:r>
        <w:rPr>
          <w:rFonts w:hint="eastAsia" w:ascii="宋体" w:hAnsi="宋体" w:cstheme="minorHAnsi"/>
          <w:color w:val="auto"/>
          <w:kern w:val="0"/>
          <w:sz w:val="24"/>
        </w:rPr>
        <w:t>叠合型保温免拆模板保温芯材</w:t>
      </w:r>
      <w:r>
        <w:rPr>
          <w:rFonts w:hint="eastAsia" w:ascii="Calibri" w:hAnsi="Calibri" w:cs="黑体"/>
          <w:bCs/>
          <w:color w:val="auto"/>
          <w:kern w:val="0"/>
          <w:sz w:val="24"/>
        </w:rPr>
        <w:t>的主要性能应符合表4.4.2的规定。</w:t>
      </w:r>
    </w:p>
    <w:p w14:paraId="6A14AE3B">
      <w:pPr>
        <w:jc w:val="center"/>
        <w:rPr>
          <w:rFonts w:hint="eastAsia" w:ascii="宋体" w:hAnsi="宋体"/>
          <w:b/>
          <w:color w:val="auto"/>
          <w:szCs w:val="21"/>
        </w:rPr>
      </w:pPr>
      <w:r>
        <w:rPr>
          <w:rFonts w:hint="eastAsia" w:ascii="宋体" w:hAnsi="宋体"/>
          <w:b/>
          <w:color w:val="auto"/>
          <w:szCs w:val="21"/>
        </w:rPr>
        <w:t>表4.4.2叠合型保温免拆模板保温芯材性能指标</w:t>
      </w:r>
    </w:p>
    <w:tbl>
      <w:tblPr>
        <w:tblStyle w:val="8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9"/>
        <w:gridCol w:w="3520"/>
        <w:gridCol w:w="2835"/>
        <w:gridCol w:w="1468"/>
      </w:tblGrid>
      <w:tr w14:paraId="79180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99" w:type="dxa"/>
            <w:shd w:val="clear" w:color="auto" w:fill="auto"/>
          </w:tcPr>
          <w:p w14:paraId="3A86C4B4">
            <w:pPr>
              <w:spacing w:line="320" w:lineRule="exact"/>
              <w:jc w:val="center"/>
              <w:rPr>
                <w:rFonts w:hint="eastAsia" w:ascii="宋体" w:hAnsi="宋体" w:cs="宋体"/>
                <w:color w:val="auto"/>
                <w:kern w:val="0"/>
                <w:szCs w:val="21"/>
              </w:rPr>
            </w:pPr>
            <w:bookmarkStart w:id="615" w:name="_Toc42873524"/>
            <w:bookmarkStart w:id="616" w:name="_Toc53996958"/>
            <w:bookmarkStart w:id="617" w:name="_Toc43215627"/>
            <w:bookmarkStart w:id="618" w:name="_Toc46332502"/>
            <w:bookmarkStart w:id="619" w:name="_Toc15142"/>
            <w:bookmarkStart w:id="620" w:name="_Toc44424963"/>
            <w:bookmarkStart w:id="621" w:name="_Toc42786476"/>
            <w:bookmarkStart w:id="622" w:name="_Toc44577364"/>
            <w:bookmarkStart w:id="623" w:name="_Toc53519354"/>
            <w:bookmarkStart w:id="624" w:name="_Toc45698160"/>
            <w:bookmarkStart w:id="625" w:name="_Toc42788785"/>
            <w:bookmarkStart w:id="626" w:name="_Toc53995978"/>
            <w:bookmarkStart w:id="627" w:name="_Toc55460497"/>
            <w:bookmarkStart w:id="628" w:name="_Toc53994018"/>
            <w:bookmarkStart w:id="629" w:name="_Toc46331521"/>
            <w:r>
              <w:rPr>
                <w:rFonts w:hint="eastAsia" w:ascii="宋体" w:hAnsi="宋体" w:cs="宋体"/>
                <w:color w:val="auto"/>
                <w:kern w:val="0"/>
                <w:szCs w:val="21"/>
              </w:rPr>
              <w:t>序号</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tc>
        <w:tc>
          <w:tcPr>
            <w:tcW w:w="3520" w:type="dxa"/>
            <w:shd w:val="clear" w:color="auto" w:fill="auto"/>
          </w:tcPr>
          <w:p w14:paraId="7A12D0FB">
            <w:pPr>
              <w:spacing w:line="320" w:lineRule="exact"/>
              <w:jc w:val="center"/>
              <w:rPr>
                <w:color w:val="auto"/>
                <w:szCs w:val="21"/>
              </w:rPr>
            </w:pPr>
            <w:bookmarkStart w:id="630" w:name="_Toc44577365"/>
            <w:bookmarkStart w:id="631" w:name="_Toc55460498"/>
            <w:bookmarkStart w:id="632" w:name="_Toc29240"/>
            <w:bookmarkStart w:id="633" w:name="_Toc42873525"/>
            <w:bookmarkStart w:id="634" w:name="_Toc43215628"/>
            <w:bookmarkStart w:id="635" w:name="_Toc46332503"/>
            <w:bookmarkStart w:id="636" w:name="_Toc53995979"/>
            <w:bookmarkStart w:id="637" w:name="_Toc42786477"/>
            <w:bookmarkStart w:id="638" w:name="_Toc53996959"/>
            <w:bookmarkStart w:id="639" w:name="_Toc44424964"/>
            <w:bookmarkStart w:id="640" w:name="_Toc53994019"/>
            <w:bookmarkStart w:id="641" w:name="_Toc45698161"/>
            <w:bookmarkStart w:id="642" w:name="_Toc42788786"/>
            <w:bookmarkStart w:id="643" w:name="_Toc46331522"/>
            <w:bookmarkStart w:id="644" w:name="_Toc53519355"/>
            <w:r>
              <w:rPr>
                <w:rFonts w:hint="eastAsia" w:ascii="宋体" w:hAnsi="宋体" w:cs="宋体"/>
                <w:color w:val="auto"/>
                <w:kern w:val="0"/>
                <w:szCs w:val="21"/>
              </w:rPr>
              <w:t>试验项目</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tc>
        <w:tc>
          <w:tcPr>
            <w:tcW w:w="2835" w:type="dxa"/>
            <w:shd w:val="clear" w:color="auto" w:fill="auto"/>
          </w:tcPr>
          <w:p w14:paraId="6DDE155F">
            <w:pPr>
              <w:spacing w:line="320" w:lineRule="exact"/>
              <w:jc w:val="center"/>
              <w:rPr>
                <w:rFonts w:hint="eastAsia" w:ascii="宋体" w:hAnsi="宋体" w:cs="宋体"/>
                <w:color w:val="auto"/>
                <w:kern w:val="0"/>
                <w:szCs w:val="21"/>
              </w:rPr>
            </w:pPr>
            <w:bookmarkStart w:id="645" w:name="_Toc53519356"/>
            <w:bookmarkStart w:id="646" w:name="_Toc53996960"/>
            <w:bookmarkStart w:id="647" w:name="_Toc53995980"/>
            <w:bookmarkStart w:id="648" w:name="_Toc42788787"/>
            <w:bookmarkStart w:id="649" w:name="_Toc42873526"/>
            <w:bookmarkStart w:id="650" w:name="_Toc25334"/>
            <w:bookmarkStart w:id="651" w:name="_Toc53994020"/>
            <w:bookmarkStart w:id="652" w:name="_Toc45698162"/>
            <w:bookmarkStart w:id="653" w:name="_Toc46332504"/>
            <w:bookmarkStart w:id="654" w:name="_Toc44577366"/>
            <w:bookmarkStart w:id="655" w:name="_Toc46331523"/>
            <w:bookmarkStart w:id="656" w:name="_Toc43215629"/>
            <w:bookmarkStart w:id="657" w:name="_Toc55460499"/>
            <w:bookmarkStart w:id="658" w:name="_Toc42786478"/>
            <w:bookmarkStart w:id="659" w:name="_Toc44424965"/>
            <w:r>
              <w:rPr>
                <w:rFonts w:hint="eastAsia" w:ascii="宋体" w:hAnsi="宋体" w:cs="宋体"/>
                <w:color w:val="auto"/>
                <w:kern w:val="0"/>
                <w:szCs w:val="21"/>
              </w:rPr>
              <w:t>性能指标</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tc>
        <w:tc>
          <w:tcPr>
            <w:tcW w:w="1468" w:type="dxa"/>
            <w:shd w:val="clear" w:color="auto" w:fill="auto"/>
          </w:tcPr>
          <w:p w14:paraId="71FD004B">
            <w:pPr>
              <w:spacing w:line="320" w:lineRule="exact"/>
              <w:jc w:val="center"/>
              <w:rPr>
                <w:rFonts w:hint="eastAsia" w:ascii="宋体" w:hAnsi="宋体" w:cs="宋体"/>
                <w:color w:val="auto"/>
                <w:kern w:val="0"/>
                <w:szCs w:val="21"/>
              </w:rPr>
            </w:pPr>
            <w:bookmarkStart w:id="660" w:name="_Toc55460500"/>
            <w:bookmarkStart w:id="661" w:name="_Toc53519357"/>
            <w:bookmarkStart w:id="662" w:name="_Toc42788788"/>
            <w:bookmarkStart w:id="663" w:name="_Toc45698163"/>
            <w:bookmarkStart w:id="664" w:name="_Toc42786479"/>
            <w:bookmarkStart w:id="665" w:name="_Toc46332505"/>
            <w:bookmarkStart w:id="666" w:name="_Toc25295"/>
            <w:bookmarkStart w:id="667" w:name="_Toc44577367"/>
            <w:bookmarkStart w:id="668" w:name="_Toc53994021"/>
            <w:bookmarkStart w:id="669" w:name="_Toc53996961"/>
            <w:bookmarkStart w:id="670" w:name="_Toc43215630"/>
            <w:bookmarkStart w:id="671" w:name="_Toc44424966"/>
            <w:bookmarkStart w:id="672" w:name="_Toc42873527"/>
            <w:bookmarkStart w:id="673" w:name="_Toc53995981"/>
            <w:bookmarkStart w:id="674" w:name="_Toc46331524"/>
            <w:r>
              <w:rPr>
                <w:rFonts w:hint="eastAsia" w:ascii="宋体" w:hAnsi="宋体" w:cs="宋体"/>
                <w:color w:val="auto"/>
                <w:kern w:val="0"/>
                <w:szCs w:val="21"/>
              </w:rPr>
              <w:t>试验方法</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tc>
      </w:tr>
      <w:tr w14:paraId="51DF5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9" w:type="dxa"/>
            <w:shd w:val="clear" w:color="auto" w:fill="auto"/>
            <w:vAlign w:val="center"/>
          </w:tcPr>
          <w:p w14:paraId="7B749905">
            <w:pPr>
              <w:spacing w:line="320" w:lineRule="exact"/>
              <w:jc w:val="center"/>
              <w:rPr>
                <w:rFonts w:hint="eastAsia" w:ascii="宋体" w:hAnsi="宋体" w:cs="宋体"/>
                <w:color w:val="auto"/>
                <w:kern w:val="0"/>
                <w:szCs w:val="21"/>
              </w:rPr>
            </w:pPr>
            <w:bookmarkStart w:id="675" w:name="_Toc53519358"/>
            <w:bookmarkStart w:id="676" w:name="_Toc53994022"/>
            <w:bookmarkStart w:id="677" w:name="_Toc28985"/>
            <w:bookmarkStart w:id="678" w:name="_Toc42788789"/>
            <w:bookmarkStart w:id="679" w:name="_Toc44424967"/>
            <w:bookmarkStart w:id="680" w:name="_Toc55460501"/>
            <w:bookmarkStart w:id="681" w:name="_Toc42873528"/>
            <w:bookmarkStart w:id="682" w:name="_Toc53996962"/>
            <w:bookmarkStart w:id="683" w:name="_Toc53995982"/>
            <w:bookmarkStart w:id="684" w:name="_Toc46331525"/>
            <w:bookmarkStart w:id="685" w:name="_Toc46332506"/>
            <w:bookmarkStart w:id="686" w:name="_Toc45698164"/>
            <w:bookmarkStart w:id="687" w:name="_Toc44577368"/>
            <w:bookmarkStart w:id="688" w:name="_Toc43215631"/>
            <w:bookmarkStart w:id="689" w:name="_Toc42786480"/>
            <w:r>
              <w:rPr>
                <w:rFonts w:hint="eastAsia" w:ascii="宋体" w:hAnsi="宋体" w:cs="宋体"/>
                <w:color w:val="auto"/>
                <w:kern w:val="0"/>
                <w:szCs w:val="21"/>
              </w:rPr>
              <w:t>1</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tc>
        <w:tc>
          <w:tcPr>
            <w:tcW w:w="3520" w:type="dxa"/>
            <w:shd w:val="clear" w:color="auto" w:fill="auto"/>
            <w:vAlign w:val="center"/>
          </w:tcPr>
          <w:p w14:paraId="30A098A3">
            <w:pPr>
              <w:spacing w:line="320" w:lineRule="exact"/>
              <w:jc w:val="center"/>
              <w:rPr>
                <w:color w:val="auto"/>
                <w:szCs w:val="21"/>
              </w:rPr>
            </w:pPr>
            <w:bookmarkStart w:id="690" w:name="_Toc44424968"/>
            <w:bookmarkStart w:id="691" w:name="_Toc46331526"/>
            <w:bookmarkStart w:id="692" w:name="_Toc42788790"/>
            <w:bookmarkStart w:id="693" w:name="_Toc53994023"/>
            <w:bookmarkStart w:id="694" w:name="_Toc53996963"/>
            <w:bookmarkStart w:id="695" w:name="_Toc45698165"/>
            <w:bookmarkStart w:id="696" w:name="_Toc42873529"/>
            <w:bookmarkStart w:id="697" w:name="_Toc46332507"/>
            <w:bookmarkStart w:id="698" w:name="_Toc53519359"/>
            <w:bookmarkStart w:id="699" w:name="_Toc42786481"/>
            <w:bookmarkStart w:id="700" w:name="_Toc44577369"/>
            <w:bookmarkStart w:id="701" w:name="_Toc43215632"/>
            <w:bookmarkStart w:id="702" w:name="_Toc20361"/>
            <w:bookmarkStart w:id="703" w:name="_Toc53995983"/>
            <w:bookmarkStart w:id="704" w:name="_Toc55460502"/>
            <w:r>
              <w:rPr>
                <w:rFonts w:hint="eastAsia" w:ascii="宋体" w:hAnsi="宋体" w:cs="宋体"/>
                <w:color w:val="auto"/>
                <w:kern w:val="0"/>
                <w:szCs w:val="21"/>
              </w:rPr>
              <w:t>表观密度，kg/m</w:t>
            </w:r>
            <w:r>
              <w:rPr>
                <w:rFonts w:hint="eastAsia" w:ascii="宋体" w:hAnsi="宋体" w:cs="宋体"/>
                <w:color w:val="auto"/>
                <w:kern w:val="0"/>
                <w:szCs w:val="21"/>
                <w:vertAlign w:val="superscript"/>
              </w:rPr>
              <w:t>3</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tc>
        <w:tc>
          <w:tcPr>
            <w:tcW w:w="2835" w:type="dxa"/>
            <w:shd w:val="clear" w:color="auto" w:fill="auto"/>
            <w:vAlign w:val="center"/>
          </w:tcPr>
          <w:p w14:paraId="1CB2E576">
            <w:pPr>
              <w:spacing w:line="320" w:lineRule="exact"/>
              <w:jc w:val="center"/>
              <w:rPr>
                <w:rFonts w:hint="eastAsia" w:ascii="宋体" w:hAnsi="宋体" w:eastAsia="宋体" w:cs="宋体"/>
                <w:strike/>
                <w:color w:val="auto"/>
                <w:kern w:val="0"/>
                <w:szCs w:val="21"/>
              </w:rPr>
            </w:pPr>
            <w:bookmarkStart w:id="705" w:name="_Toc15775"/>
            <w:r>
              <w:rPr>
                <w:rFonts w:hint="eastAsia" w:ascii="宋体" w:hAnsi="宋体" w:eastAsia="宋体" w:cs="宋体"/>
                <w:color w:val="auto"/>
                <w:kern w:val="0"/>
                <w:szCs w:val="21"/>
              </w:rPr>
              <w:t>30</w:t>
            </w:r>
            <w:r>
              <w:rPr>
                <w:rFonts w:hint="eastAsia" w:ascii="宋体" w:hAnsi="宋体" w:eastAsia="宋体" w:cs="仿宋"/>
                <w:color w:val="auto"/>
                <w:kern w:val="0"/>
                <w:szCs w:val="21"/>
              </w:rPr>
              <w:t>～3</w:t>
            </w:r>
            <w:r>
              <w:rPr>
                <w:rFonts w:hint="eastAsia" w:ascii="宋体" w:hAnsi="宋体" w:eastAsia="宋体" w:cs="宋体"/>
                <w:color w:val="auto"/>
                <w:kern w:val="0"/>
                <w:szCs w:val="21"/>
              </w:rPr>
              <w:t>5</w:t>
            </w:r>
            <w:bookmarkEnd w:id="705"/>
          </w:p>
        </w:tc>
        <w:tc>
          <w:tcPr>
            <w:tcW w:w="1468" w:type="dxa"/>
            <w:shd w:val="clear" w:color="auto" w:fill="auto"/>
          </w:tcPr>
          <w:p w14:paraId="48F975EE">
            <w:pPr>
              <w:spacing w:line="320" w:lineRule="exact"/>
              <w:jc w:val="center"/>
              <w:rPr>
                <w:rFonts w:hint="eastAsia" w:ascii="宋体" w:hAnsi="宋体" w:eastAsia="宋体" w:cs="宋体"/>
                <w:color w:val="auto"/>
                <w:kern w:val="0"/>
                <w:szCs w:val="21"/>
              </w:rPr>
            </w:pPr>
            <w:bookmarkStart w:id="706" w:name="_Toc46331528"/>
            <w:bookmarkStart w:id="707" w:name="_Toc53996965"/>
            <w:bookmarkStart w:id="708" w:name="_Toc46332509"/>
            <w:bookmarkStart w:id="709" w:name="_Toc10040"/>
            <w:bookmarkStart w:id="710" w:name="_Toc53994025"/>
            <w:bookmarkStart w:id="711" w:name="_Toc43215634"/>
            <w:bookmarkStart w:id="712" w:name="_Toc53519361"/>
            <w:bookmarkStart w:id="713" w:name="_Toc42873531"/>
            <w:bookmarkStart w:id="714" w:name="_Toc44577371"/>
            <w:bookmarkStart w:id="715" w:name="_Toc42786483"/>
            <w:bookmarkStart w:id="716" w:name="_Toc44424970"/>
            <w:bookmarkStart w:id="717" w:name="_Toc45698167"/>
            <w:bookmarkStart w:id="718" w:name="_Toc53995985"/>
            <w:bookmarkStart w:id="719" w:name="_Toc55460504"/>
            <w:bookmarkStart w:id="720" w:name="_Toc42788792"/>
            <w:r>
              <w:rPr>
                <w:rFonts w:hint="eastAsia" w:ascii="宋体" w:hAnsi="宋体" w:cs="宋体"/>
                <w:color w:val="auto"/>
                <w:kern w:val="0"/>
                <w:szCs w:val="21"/>
              </w:rPr>
              <w:t xml:space="preserve">GB/T </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r>
              <w:rPr>
                <w:rFonts w:hint="eastAsia" w:ascii="宋体" w:hAnsi="宋体" w:cs="宋体"/>
                <w:color w:val="auto"/>
                <w:kern w:val="0"/>
                <w:szCs w:val="21"/>
              </w:rPr>
              <w:t>6343</w:t>
            </w:r>
          </w:p>
        </w:tc>
      </w:tr>
      <w:tr w14:paraId="5677B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9" w:type="dxa"/>
            <w:shd w:val="clear" w:color="auto" w:fill="auto"/>
            <w:vAlign w:val="center"/>
          </w:tcPr>
          <w:p w14:paraId="434AE71C">
            <w:pPr>
              <w:spacing w:line="320" w:lineRule="exact"/>
              <w:jc w:val="center"/>
              <w:rPr>
                <w:rFonts w:hint="eastAsia" w:ascii="宋体" w:hAnsi="宋体" w:cs="宋体"/>
                <w:color w:val="auto"/>
                <w:kern w:val="0"/>
                <w:szCs w:val="21"/>
              </w:rPr>
            </w:pPr>
            <w:bookmarkStart w:id="721" w:name="_Toc44577372"/>
            <w:bookmarkStart w:id="722" w:name="_Toc42788793"/>
            <w:bookmarkStart w:id="723" w:name="_Toc44424971"/>
            <w:bookmarkStart w:id="724" w:name="_Toc46332510"/>
            <w:bookmarkStart w:id="725" w:name="_Toc46331529"/>
            <w:bookmarkStart w:id="726" w:name="_Toc43215635"/>
            <w:bookmarkStart w:id="727" w:name="_Toc8718"/>
            <w:bookmarkStart w:id="728" w:name="_Toc55460505"/>
            <w:bookmarkStart w:id="729" w:name="_Toc53995986"/>
            <w:bookmarkStart w:id="730" w:name="_Toc42873532"/>
            <w:bookmarkStart w:id="731" w:name="_Toc42786484"/>
            <w:bookmarkStart w:id="732" w:name="_Toc45698168"/>
            <w:bookmarkStart w:id="733" w:name="_Toc53519362"/>
            <w:bookmarkStart w:id="734" w:name="_Toc53996966"/>
            <w:bookmarkStart w:id="735" w:name="_Toc53994026"/>
            <w:r>
              <w:rPr>
                <w:rFonts w:hint="eastAsia" w:ascii="宋体" w:hAnsi="宋体" w:cs="宋体"/>
                <w:color w:val="auto"/>
                <w:kern w:val="0"/>
                <w:szCs w:val="21"/>
              </w:rPr>
              <w:t>2</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tc>
        <w:tc>
          <w:tcPr>
            <w:tcW w:w="3520" w:type="dxa"/>
            <w:shd w:val="clear" w:color="auto" w:fill="auto"/>
            <w:vAlign w:val="center"/>
          </w:tcPr>
          <w:p w14:paraId="35F47FB9">
            <w:pPr>
              <w:spacing w:line="320" w:lineRule="exact"/>
              <w:jc w:val="center"/>
              <w:rPr>
                <w:color w:val="auto"/>
                <w:szCs w:val="21"/>
              </w:rPr>
            </w:pPr>
            <w:bookmarkStart w:id="736" w:name="_Toc42873533"/>
            <w:bookmarkStart w:id="737" w:name="_Toc43215636"/>
            <w:bookmarkStart w:id="738" w:name="_Toc53995987"/>
            <w:bookmarkStart w:id="739" w:name="_Toc44424972"/>
            <w:bookmarkStart w:id="740" w:name="_Toc42788794"/>
            <w:bookmarkStart w:id="741" w:name="_Toc53996967"/>
            <w:bookmarkStart w:id="742" w:name="_Toc20767"/>
            <w:bookmarkStart w:id="743" w:name="_Toc45698169"/>
            <w:bookmarkStart w:id="744" w:name="_Toc46331530"/>
            <w:bookmarkStart w:id="745" w:name="_Toc46332511"/>
            <w:bookmarkStart w:id="746" w:name="_Toc42786485"/>
            <w:bookmarkStart w:id="747" w:name="_Toc55460506"/>
            <w:bookmarkStart w:id="748" w:name="_Toc53519363"/>
            <w:bookmarkStart w:id="749" w:name="_Toc44577373"/>
            <w:bookmarkStart w:id="750" w:name="_Toc53994027"/>
            <w:r>
              <w:rPr>
                <w:rFonts w:hint="eastAsia" w:ascii="宋体" w:hAnsi="宋体" w:cs="宋体"/>
                <w:color w:val="auto"/>
                <w:kern w:val="0"/>
                <w:szCs w:val="21"/>
              </w:rPr>
              <w:t>导热系数（平均温度25℃±2℃），W/(m·K)</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tc>
        <w:tc>
          <w:tcPr>
            <w:tcW w:w="2835" w:type="dxa"/>
            <w:shd w:val="clear" w:color="auto" w:fill="auto"/>
            <w:vAlign w:val="center"/>
          </w:tcPr>
          <w:p w14:paraId="3E074790">
            <w:pPr>
              <w:spacing w:line="320" w:lineRule="exact"/>
              <w:jc w:val="center"/>
              <w:rPr>
                <w:rFonts w:hint="eastAsia" w:ascii="宋体" w:hAnsi="宋体" w:eastAsia="宋体" w:cs="宋体"/>
                <w:strike/>
                <w:color w:val="auto"/>
                <w:kern w:val="0"/>
                <w:szCs w:val="21"/>
              </w:rPr>
            </w:pPr>
            <w:bookmarkStart w:id="751" w:name="_Toc43215637"/>
            <w:bookmarkStart w:id="752" w:name="_Toc45698170"/>
            <w:bookmarkStart w:id="753" w:name="_Toc46331531"/>
            <w:bookmarkStart w:id="754" w:name="_Toc42788795"/>
            <w:bookmarkStart w:id="755" w:name="_Toc44577374"/>
            <w:bookmarkStart w:id="756" w:name="_Toc46332512"/>
            <w:bookmarkStart w:id="757" w:name="_Toc55460507"/>
            <w:bookmarkStart w:id="758" w:name="_Toc53994028"/>
            <w:bookmarkStart w:id="759" w:name="_Toc44424973"/>
            <w:bookmarkStart w:id="760" w:name="_Toc53995988"/>
            <w:bookmarkStart w:id="761" w:name="_Toc53996968"/>
            <w:bookmarkStart w:id="762" w:name="_Toc53519364"/>
            <w:bookmarkStart w:id="763" w:name="_Toc42873534"/>
            <w:bookmarkStart w:id="764" w:name="_Toc42786486"/>
            <w:bookmarkStart w:id="765" w:name="_Toc20961"/>
            <w:r>
              <w:rPr>
                <w:rFonts w:hint="eastAsia" w:ascii="宋体" w:hAnsi="宋体" w:eastAsia="宋体" w:cs="宋体"/>
                <w:color w:val="auto"/>
                <w:kern w:val="0"/>
                <w:szCs w:val="21"/>
              </w:rPr>
              <w:t>≤0.0</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r>
              <w:rPr>
                <w:rFonts w:hint="eastAsia" w:ascii="宋体" w:hAnsi="宋体" w:eastAsia="宋体" w:cs="宋体"/>
                <w:color w:val="auto"/>
                <w:kern w:val="0"/>
                <w:szCs w:val="21"/>
              </w:rPr>
              <w:t>3</w:t>
            </w:r>
            <w:bookmarkEnd w:id="765"/>
            <w:r>
              <w:rPr>
                <w:rFonts w:ascii="宋体" w:hAnsi="宋体" w:eastAsia="宋体" w:cs="宋体"/>
                <w:color w:val="auto"/>
                <w:kern w:val="0"/>
                <w:szCs w:val="21"/>
              </w:rPr>
              <w:t>4</w:t>
            </w:r>
          </w:p>
        </w:tc>
        <w:tc>
          <w:tcPr>
            <w:tcW w:w="1468" w:type="dxa"/>
            <w:shd w:val="clear" w:color="auto" w:fill="auto"/>
            <w:vAlign w:val="center"/>
          </w:tcPr>
          <w:p w14:paraId="4D61271C">
            <w:pPr>
              <w:spacing w:line="320" w:lineRule="exact"/>
              <w:jc w:val="center"/>
              <w:rPr>
                <w:rFonts w:hint="eastAsia" w:ascii="宋体" w:hAnsi="宋体" w:cs="宋体"/>
                <w:color w:val="auto"/>
                <w:kern w:val="0"/>
                <w:szCs w:val="21"/>
              </w:rPr>
            </w:pPr>
            <w:bookmarkStart w:id="766" w:name="_Toc55460508"/>
            <w:bookmarkStart w:id="767" w:name="_Toc53994029"/>
            <w:bookmarkStart w:id="768" w:name="_Toc46332513"/>
            <w:bookmarkStart w:id="769" w:name="_Toc53519365"/>
            <w:bookmarkStart w:id="770" w:name="_Toc53995989"/>
            <w:bookmarkStart w:id="771" w:name="_Toc44424974"/>
            <w:bookmarkStart w:id="772" w:name="_Toc53996969"/>
            <w:bookmarkStart w:id="773" w:name="_Toc42788796"/>
            <w:bookmarkStart w:id="774" w:name="_Toc43215638"/>
            <w:bookmarkStart w:id="775" w:name="_Toc46331532"/>
            <w:bookmarkStart w:id="776" w:name="_Toc44577375"/>
            <w:bookmarkStart w:id="777" w:name="_Toc42786487"/>
            <w:bookmarkStart w:id="778" w:name="_Toc42873535"/>
            <w:bookmarkStart w:id="779" w:name="_Toc8105"/>
            <w:bookmarkStart w:id="780" w:name="_Toc45698171"/>
            <w:r>
              <w:rPr>
                <w:rFonts w:hint="eastAsia" w:ascii="宋体" w:hAnsi="宋体" w:cs="宋体"/>
                <w:color w:val="auto"/>
                <w:kern w:val="0"/>
                <w:szCs w:val="21"/>
              </w:rPr>
              <w:t>GB/T 10294</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r>
              <w:rPr>
                <w:rFonts w:hint="eastAsia" w:ascii="宋体" w:hAnsi="宋体" w:cs="宋体"/>
                <w:color w:val="auto"/>
                <w:kern w:val="0"/>
                <w:szCs w:val="21"/>
              </w:rPr>
              <w:t>或GB/T 10295</w:t>
            </w:r>
          </w:p>
        </w:tc>
      </w:tr>
      <w:tr w14:paraId="036F7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9" w:type="dxa"/>
            <w:shd w:val="clear" w:color="auto" w:fill="auto"/>
            <w:vAlign w:val="center"/>
          </w:tcPr>
          <w:p w14:paraId="3167EA07">
            <w:pPr>
              <w:spacing w:line="320" w:lineRule="exact"/>
              <w:jc w:val="center"/>
              <w:rPr>
                <w:rFonts w:hint="eastAsia" w:ascii="宋体" w:hAnsi="宋体" w:cs="宋体"/>
                <w:color w:val="auto"/>
                <w:kern w:val="0"/>
                <w:szCs w:val="21"/>
              </w:rPr>
            </w:pPr>
            <w:bookmarkStart w:id="781" w:name="_Toc45698173"/>
            <w:bookmarkStart w:id="782" w:name="_Toc43215640"/>
            <w:bookmarkStart w:id="783" w:name="_Toc44424976"/>
            <w:bookmarkStart w:id="784" w:name="_Toc46331534"/>
            <w:bookmarkStart w:id="785" w:name="_Toc53519367"/>
            <w:bookmarkStart w:id="786" w:name="_Toc53995991"/>
            <w:bookmarkStart w:id="787" w:name="_Toc55460510"/>
            <w:bookmarkStart w:id="788" w:name="_Toc44577377"/>
            <w:bookmarkStart w:id="789" w:name="_Toc53994031"/>
            <w:bookmarkStart w:id="790" w:name="_Toc46332515"/>
            <w:bookmarkStart w:id="791" w:name="_Toc42873537"/>
            <w:bookmarkStart w:id="792" w:name="_Toc53996971"/>
            <w:bookmarkStart w:id="793" w:name="_Toc42788798"/>
            <w:bookmarkStart w:id="794" w:name="_Toc42786489"/>
            <w:bookmarkStart w:id="795" w:name="_Toc20920"/>
            <w:r>
              <w:rPr>
                <w:rFonts w:hint="eastAsia" w:ascii="宋体" w:hAnsi="宋体" w:cs="宋体"/>
                <w:color w:val="auto"/>
                <w:kern w:val="0"/>
                <w:szCs w:val="21"/>
              </w:rPr>
              <w:t>3</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tc>
        <w:tc>
          <w:tcPr>
            <w:tcW w:w="3520" w:type="dxa"/>
            <w:shd w:val="clear" w:color="auto" w:fill="auto"/>
            <w:vAlign w:val="center"/>
          </w:tcPr>
          <w:p w14:paraId="42C4D246">
            <w:pPr>
              <w:spacing w:line="320" w:lineRule="exact"/>
              <w:jc w:val="center"/>
              <w:rPr>
                <w:color w:val="auto"/>
                <w:szCs w:val="21"/>
              </w:rPr>
            </w:pPr>
            <w:bookmarkStart w:id="796" w:name="_Toc7951"/>
            <w:r>
              <w:rPr>
                <w:rFonts w:hint="eastAsia" w:ascii="宋体" w:hAnsi="宋体" w:cs="宋体"/>
                <w:color w:val="auto"/>
                <w:kern w:val="0"/>
                <w:szCs w:val="21"/>
              </w:rPr>
              <w:t>压缩强度，MPa</w:t>
            </w:r>
            <w:bookmarkEnd w:id="796"/>
          </w:p>
        </w:tc>
        <w:tc>
          <w:tcPr>
            <w:tcW w:w="2835" w:type="dxa"/>
            <w:shd w:val="clear" w:color="auto" w:fill="auto"/>
            <w:vAlign w:val="center"/>
          </w:tcPr>
          <w:p w14:paraId="4449DF79">
            <w:pPr>
              <w:spacing w:line="320" w:lineRule="exact"/>
              <w:jc w:val="center"/>
              <w:rPr>
                <w:rFonts w:hint="eastAsia" w:ascii="宋体" w:hAnsi="宋体" w:eastAsia="宋体" w:cs="宋体"/>
                <w:strike/>
                <w:color w:val="auto"/>
                <w:kern w:val="0"/>
                <w:szCs w:val="21"/>
              </w:rPr>
            </w:pPr>
            <w:bookmarkStart w:id="797" w:name="_Toc24440"/>
            <w:r>
              <w:rPr>
                <w:rFonts w:hint="eastAsia" w:ascii="宋体" w:hAnsi="宋体" w:eastAsia="宋体" w:cs="宋体"/>
                <w:color w:val="auto"/>
                <w:kern w:val="0"/>
                <w:szCs w:val="21"/>
              </w:rPr>
              <w:t>≥0.20</w:t>
            </w:r>
            <w:bookmarkEnd w:id="797"/>
          </w:p>
        </w:tc>
        <w:tc>
          <w:tcPr>
            <w:tcW w:w="1468" w:type="dxa"/>
            <w:shd w:val="clear" w:color="auto" w:fill="auto"/>
            <w:vAlign w:val="center"/>
          </w:tcPr>
          <w:p w14:paraId="42AB46C1">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GB/T 8813</w:t>
            </w:r>
          </w:p>
        </w:tc>
      </w:tr>
      <w:tr w14:paraId="637F9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9" w:type="dxa"/>
            <w:shd w:val="clear" w:color="auto" w:fill="auto"/>
            <w:vAlign w:val="center"/>
          </w:tcPr>
          <w:p w14:paraId="5A37FADC">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4</w:t>
            </w:r>
          </w:p>
        </w:tc>
        <w:tc>
          <w:tcPr>
            <w:tcW w:w="3520" w:type="dxa"/>
            <w:shd w:val="clear" w:color="auto" w:fill="auto"/>
            <w:vAlign w:val="center"/>
          </w:tcPr>
          <w:p w14:paraId="6E92B980">
            <w:pPr>
              <w:spacing w:line="320" w:lineRule="exact"/>
              <w:jc w:val="center"/>
              <w:rPr>
                <w:color w:val="auto"/>
                <w:szCs w:val="21"/>
              </w:rPr>
            </w:pPr>
            <w:bookmarkStart w:id="798" w:name="_Toc22289"/>
            <w:r>
              <w:rPr>
                <w:rFonts w:hint="eastAsia" w:ascii="宋体" w:hAnsi="宋体" w:cs="宋体"/>
                <w:color w:val="auto"/>
                <w:kern w:val="0"/>
                <w:szCs w:val="21"/>
              </w:rPr>
              <w:t>垂直于板面方向的抗拉强度，MPa</w:t>
            </w:r>
            <w:bookmarkEnd w:id="798"/>
          </w:p>
        </w:tc>
        <w:tc>
          <w:tcPr>
            <w:tcW w:w="2835" w:type="dxa"/>
            <w:shd w:val="clear" w:color="auto" w:fill="auto"/>
            <w:vAlign w:val="center"/>
          </w:tcPr>
          <w:p w14:paraId="26B9B837">
            <w:pPr>
              <w:spacing w:line="320" w:lineRule="exact"/>
              <w:jc w:val="center"/>
              <w:rPr>
                <w:rFonts w:hint="eastAsia" w:ascii="宋体" w:hAnsi="宋体" w:eastAsia="宋体" w:cs="宋体"/>
                <w:color w:val="auto"/>
                <w:kern w:val="0"/>
                <w:szCs w:val="21"/>
              </w:rPr>
            </w:pPr>
            <w:bookmarkStart w:id="799" w:name="_Toc28178"/>
            <w:r>
              <w:rPr>
                <w:rFonts w:hint="eastAsia" w:ascii="宋体" w:hAnsi="宋体" w:eastAsia="宋体" w:cs="宋体"/>
                <w:color w:val="auto"/>
                <w:kern w:val="0"/>
                <w:szCs w:val="21"/>
              </w:rPr>
              <w:t>≥0.20</w:t>
            </w:r>
            <w:bookmarkEnd w:id="799"/>
          </w:p>
        </w:tc>
        <w:tc>
          <w:tcPr>
            <w:tcW w:w="1468" w:type="dxa"/>
            <w:shd w:val="clear" w:color="auto" w:fill="auto"/>
            <w:vAlign w:val="center"/>
          </w:tcPr>
          <w:p w14:paraId="3AFABE60">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GB/T 29906</w:t>
            </w:r>
          </w:p>
        </w:tc>
      </w:tr>
      <w:tr w14:paraId="2CAD6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699" w:type="dxa"/>
            <w:shd w:val="clear" w:color="auto" w:fill="auto"/>
            <w:vAlign w:val="center"/>
          </w:tcPr>
          <w:p w14:paraId="7A5C4F70">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5</w:t>
            </w:r>
          </w:p>
        </w:tc>
        <w:tc>
          <w:tcPr>
            <w:tcW w:w="3520" w:type="dxa"/>
            <w:shd w:val="clear" w:color="auto" w:fill="auto"/>
            <w:vAlign w:val="center"/>
          </w:tcPr>
          <w:p w14:paraId="143AFC5C">
            <w:pPr>
              <w:spacing w:line="320" w:lineRule="exact"/>
              <w:jc w:val="center"/>
              <w:rPr>
                <w:color w:val="auto"/>
                <w:szCs w:val="21"/>
              </w:rPr>
            </w:pPr>
            <w:bookmarkStart w:id="800" w:name="_Toc5074"/>
            <w:r>
              <w:rPr>
                <w:rFonts w:hint="eastAsia" w:ascii="宋体" w:hAnsi="宋体" w:cs="宋体"/>
                <w:color w:val="auto"/>
                <w:kern w:val="0"/>
                <w:szCs w:val="21"/>
              </w:rPr>
              <w:t>体积吸水率，%</w:t>
            </w:r>
            <w:bookmarkEnd w:id="800"/>
          </w:p>
        </w:tc>
        <w:tc>
          <w:tcPr>
            <w:tcW w:w="2835" w:type="dxa"/>
            <w:shd w:val="clear" w:color="auto" w:fill="auto"/>
            <w:vAlign w:val="center"/>
          </w:tcPr>
          <w:p w14:paraId="6E0FA7D1">
            <w:pPr>
              <w:spacing w:line="320" w:lineRule="exact"/>
              <w:jc w:val="center"/>
              <w:rPr>
                <w:rFonts w:hint="eastAsia" w:ascii="宋体" w:hAnsi="宋体" w:eastAsia="宋体" w:cs="宋体"/>
                <w:color w:val="auto"/>
                <w:kern w:val="0"/>
                <w:szCs w:val="21"/>
              </w:rPr>
            </w:pPr>
            <w:bookmarkStart w:id="801" w:name="_Toc16575"/>
            <w:r>
              <w:rPr>
                <w:rFonts w:hint="eastAsia" w:ascii="宋体" w:hAnsi="宋体" w:eastAsia="宋体" w:cs="宋体"/>
                <w:color w:val="auto"/>
                <w:kern w:val="0"/>
                <w:szCs w:val="21"/>
              </w:rPr>
              <w:t>≤1.</w:t>
            </w:r>
            <w:bookmarkEnd w:id="801"/>
            <w:r>
              <w:rPr>
                <w:rFonts w:hint="eastAsia" w:ascii="宋体" w:hAnsi="宋体" w:eastAsia="宋体" w:cs="宋体"/>
                <w:color w:val="auto"/>
                <w:kern w:val="0"/>
                <w:szCs w:val="21"/>
              </w:rPr>
              <w:t>5</w:t>
            </w:r>
          </w:p>
        </w:tc>
        <w:tc>
          <w:tcPr>
            <w:tcW w:w="1468" w:type="dxa"/>
            <w:shd w:val="clear" w:color="auto" w:fill="auto"/>
            <w:vAlign w:val="center"/>
          </w:tcPr>
          <w:p w14:paraId="6D148316">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GB/T 8810</w:t>
            </w:r>
          </w:p>
        </w:tc>
      </w:tr>
      <w:tr w14:paraId="0DA4C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699" w:type="dxa"/>
            <w:shd w:val="clear" w:color="auto" w:fill="auto"/>
            <w:vAlign w:val="center"/>
          </w:tcPr>
          <w:p w14:paraId="030B6946">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6</w:t>
            </w:r>
          </w:p>
        </w:tc>
        <w:tc>
          <w:tcPr>
            <w:tcW w:w="3520" w:type="dxa"/>
            <w:shd w:val="clear" w:color="auto" w:fill="auto"/>
          </w:tcPr>
          <w:p w14:paraId="6FA34219">
            <w:pPr>
              <w:spacing w:line="320" w:lineRule="exact"/>
              <w:jc w:val="center"/>
              <w:rPr>
                <w:color w:val="auto"/>
                <w:szCs w:val="21"/>
              </w:rPr>
            </w:pPr>
            <w:bookmarkStart w:id="802" w:name="_Toc16340"/>
            <w:r>
              <w:rPr>
                <w:rFonts w:hint="eastAsia" w:ascii="宋体" w:hAnsi="宋体" w:cs="宋体"/>
                <w:color w:val="auto"/>
                <w:kern w:val="0"/>
                <w:szCs w:val="21"/>
              </w:rPr>
              <w:t>尺寸稳定性，％</w:t>
            </w:r>
            <w:bookmarkEnd w:id="802"/>
          </w:p>
        </w:tc>
        <w:tc>
          <w:tcPr>
            <w:tcW w:w="2835" w:type="dxa"/>
            <w:shd w:val="clear" w:color="auto" w:fill="auto"/>
            <w:vAlign w:val="center"/>
          </w:tcPr>
          <w:p w14:paraId="59464B00">
            <w:pPr>
              <w:spacing w:line="320" w:lineRule="exact"/>
              <w:jc w:val="center"/>
              <w:rPr>
                <w:rFonts w:hint="eastAsia" w:ascii="宋体" w:hAnsi="宋体" w:eastAsia="宋体" w:cs="宋体"/>
                <w:color w:val="auto"/>
                <w:kern w:val="0"/>
                <w:szCs w:val="21"/>
              </w:rPr>
            </w:pPr>
            <w:bookmarkStart w:id="803" w:name="_Toc25094"/>
            <w:r>
              <w:rPr>
                <w:rFonts w:hint="eastAsia" w:ascii="宋体" w:hAnsi="宋体" w:eastAsia="宋体" w:cs="宋体"/>
                <w:color w:val="auto"/>
                <w:kern w:val="0"/>
                <w:szCs w:val="21"/>
              </w:rPr>
              <w:t>≤1.</w:t>
            </w:r>
            <w:bookmarkEnd w:id="803"/>
            <w:r>
              <w:rPr>
                <w:rFonts w:hint="eastAsia" w:ascii="宋体" w:hAnsi="宋体" w:eastAsia="宋体" w:cs="宋体"/>
                <w:color w:val="auto"/>
                <w:kern w:val="0"/>
                <w:szCs w:val="21"/>
              </w:rPr>
              <w:t>5</w:t>
            </w:r>
          </w:p>
        </w:tc>
        <w:tc>
          <w:tcPr>
            <w:tcW w:w="1468" w:type="dxa"/>
            <w:shd w:val="clear" w:color="auto" w:fill="auto"/>
            <w:vAlign w:val="center"/>
          </w:tcPr>
          <w:p w14:paraId="5765970B">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GB/T 8811</w:t>
            </w:r>
          </w:p>
        </w:tc>
      </w:tr>
      <w:tr w14:paraId="4A878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699" w:type="dxa"/>
            <w:shd w:val="clear" w:color="auto" w:fill="auto"/>
            <w:vAlign w:val="center"/>
          </w:tcPr>
          <w:p w14:paraId="7E7BAFE8">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7</w:t>
            </w:r>
          </w:p>
        </w:tc>
        <w:tc>
          <w:tcPr>
            <w:tcW w:w="3520" w:type="dxa"/>
            <w:shd w:val="clear" w:color="auto" w:fill="auto"/>
          </w:tcPr>
          <w:p w14:paraId="77F67E4E">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水蒸气透过系数</w:t>
            </w:r>
          </w:p>
        </w:tc>
        <w:tc>
          <w:tcPr>
            <w:tcW w:w="2835" w:type="dxa"/>
            <w:shd w:val="clear" w:color="auto" w:fill="auto"/>
            <w:vAlign w:val="center"/>
          </w:tcPr>
          <w:p w14:paraId="51DD294B">
            <w:pPr>
              <w:spacing w:line="320" w:lineRule="exact"/>
              <w:jc w:val="center"/>
              <w:rPr>
                <w:rFonts w:hint="eastAsia" w:ascii="宋体" w:hAnsi="宋体" w:eastAsia="宋体" w:cs="宋体"/>
                <w:color w:val="auto"/>
                <w:kern w:val="0"/>
                <w:szCs w:val="21"/>
              </w:rPr>
            </w:pPr>
            <w:r>
              <w:rPr>
                <w:rFonts w:hint="eastAsia" w:ascii="宋体" w:hAnsi="宋体" w:eastAsia="宋体" w:cs="宋体"/>
                <w:color w:val="auto"/>
                <w:kern w:val="0"/>
                <w:szCs w:val="21"/>
              </w:rPr>
              <w:t>≤3.5</w:t>
            </w:r>
          </w:p>
        </w:tc>
        <w:tc>
          <w:tcPr>
            <w:tcW w:w="1468" w:type="dxa"/>
            <w:shd w:val="clear" w:color="auto" w:fill="auto"/>
            <w:vAlign w:val="center"/>
          </w:tcPr>
          <w:p w14:paraId="40FDF5FE">
            <w:pPr>
              <w:spacing w:line="320" w:lineRule="exact"/>
              <w:jc w:val="center"/>
              <w:rPr>
                <w:rFonts w:hint="eastAsia" w:ascii="宋体" w:hAnsi="宋体" w:cs="宋体"/>
                <w:color w:val="auto"/>
                <w:kern w:val="0"/>
                <w:szCs w:val="21"/>
              </w:rPr>
            </w:pPr>
            <w:r>
              <w:rPr>
                <w:rFonts w:hint="eastAsia" w:ascii="宋体" w:hAnsi="宋体" w:cs="宋体"/>
                <w:color w:val="auto"/>
                <w:kern w:val="0"/>
                <w:szCs w:val="21"/>
              </w:rPr>
              <w:t>QB/T 2411</w:t>
            </w:r>
          </w:p>
        </w:tc>
      </w:tr>
      <w:tr w14:paraId="616E2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9" w:type="dxa"/>
            <w:shd w:val="clear" w:color="auto" w:fill="auto"/>
          </w:tcPr>
          <w:p w14:paraId="5586F341">
            <w:pPr>
              <w:spacing w:line="320" w:lineRule="exact"/>
              <w:jc w:val="center"/>
              <w:rPr>
                <w:rFonts w:hint="eastAsia" w:ascii="宋体" w:hAnsi="宋体" w:eastAsia="宋体" w:cs="宋体"/>
                <w:color w:val="auto"/>
                <w:kern w:val="0"/>
                <w:szCs w:val="21"/>
              </w:rPr>
            </w:pPr>
            <w:r>
              <w:rPr>
                <w:rFonts w:hint="eastAsia" w:ascii="宋体" w:hAnsi="宋体" w:cs="宋体"/>
                <w:color w:val="auto"/>
                <w:kern w:val="0"/>
                <w:szCs w:val="21"/>
              </w:rPr>
              <w:t>8</w:t>
            </w:r>
          </w:p>
        </w:tc>
        <w:tc>
          <w:tcPr>
            <w:tcW w:w="3520" w:type="dxa"/>
            <w:shd w:val="clear" w:color="auto" w:fill="auto"/>
            <w:vAlign w:val="center"/>
          </w:tcPr>
          <w:p w14:paraId="632DF7D5">
            <w:pPr>
              <w:spacing w:line="320" w:lineRule="exact"/>
              <w:jc w:val="center"/>
              <w:rPr>
                <w:color w:val="auto"/>
                <w:szCs w:val="21"/>
              </w:rPr>
            </w:pPr>
            <w:bookmarkStart w:id="804" w:name="_Toc5295"/>
            <w:r>
              <w:rPr>
                <w:rFonts w:hint="eastAsia" w:ascii="宋体" w:hAnsi="宋体" w:cs="宋体"/>
                <w:color w:val="auto"/>
                <w:kern w:val="0"/>
                <w:szCs w:val="21"/>
              </w:rPr>
              <w:t>燃烧性能等级</w:t>
            </w:r>
            <w:bookmarkEnd w:id="804"/>
          </w:p>
        </w:tc>
        <w:tc>
          <w:tcPr>
            <w:tcW w:w="2835" w:type="dxa"/>
            <w:shd w:val="clear" w:color="auto" w:fill="auto"/>
            <w:vAlign w:val="center"/>
          </w:tcPr>
          <w:p w14:paraId="45539FF7">
            <w:pPr>
              <w:spacing w:line="320" w:lineRule="exact"/>
              <w:jc w:val="center"/>
              <w:rPr>
                <w:rFonts w:hint="eastAsia" w:ascii="宋体" w:hAnsi="宋体" w:cs="宋体"/>
                <w:color w:val="auto"/>
                <w:kern w:val="0"/>
                <w:szCs w:val="21"/>
              </w:rPr>
            </w:pPr>
            <w:bookmarkStart w:id="805" w:name="_Toc22144"/>
            <w:r>
              <w:rPr>
                <w:rFonts w:hint="eastAsia" w:ascii="宋体" w:hAnsi="宋体" w:cs="宋体"/>
                <w:color w:val="auto"/>
                <w:kern w:val="0"/>
                <w:szCs w:val="21"/>
              </w:rPr>
              <w:t>B</w:t>
            </w:r>
            <w:r>
              <w:rPr>
                <w:rFonts w:hint="eastAsia" w:ascii="宋体" w:hAnsi="宋体" w:cs="宋体"/>
                <w:color w:val="auto"/>
                <w:kern w:val="0"/>
                <w:szCs w:val="21"/>
                <w:vertAlign w:val="subscript"/>
              </w:rPr>
              <w:t>1</w:t>
            </w:r>
            <w:r>
              <w:rPr>
                <w:rFonts w:hint="eastAsia" w:ascii="宋体" w:hAnsi="宋体" w:cs="宋体"/>
                <w:color w:val="auto"/>
                <w:kern w:val="0"/>
                <w:szCs w:val="21"/>
              </w:rPr>
              <w:t>级</w:t>
            </w:r>
            <w:bookmarkEnd w:id="805"/>
          </w:p>
        </w:tc>
        <w:tc>
          <w:tcPr>
            <w:tcW w:w="1468" w:type="dxa"/>
            <w:shd w:val="clear" w:color="auto" w:fill="auto"/>
            <w:vAlign w:val="center"/>
          </w:tcPr>
          <w:p w14:paraId="3AE045D2">
            <w:pPr>
              <w:spacing w:line="320" w:lineRule="exact"/>
              <w:jc w:val="center"/>
              <w:rPr>
                <w:rFonts w:hint="eastAsia" w:ascii="宋体" w:hAnsi="宋体" w:cs="宋体"/>
                <w:color w:val="auto"/>
                <w:kern w:val="0"/>
                <w:szCs w:val="21"/>
              </w:rPr>
            </w:pPr>
            <w:bookmarkStart w:id="806" w:name="_Toc28238"/>
            <w:r>
              <w:rPr>
                <w:rFonts w:hint="eastAsia" w:ascii="宋体" w:hAnsi="宋体" w:cs="宋体"/>
                <w:color w:val="auto"/>
                <w:kern w:val="0"/>
                <w:szCs w:val="21"/>
              </w:rPr>
              <w:t>GB 8624</w:t>
            </w:r>
            <w:bookmarkEnd w:id="806"/>
          </w:p>
        </w:tc>
      </w:tr>
    </w:tbl>
    <w:p w14:paraId="74D06A2D">
      <w:pPr>
        <w:tabs>
          <w:tab w:val="left" w:pos="3969"/>
        </w:tabs>
        <w:snapToGrid w:val="0"/>
        <w:spacing w:line="520" w:lineRule="exact"/>
        <w:rPr>
          <w:rFonts w:ascii="Calibri" w:hAnsi="Calibri" w:cs="黑体"/>
          <w:bCs/>
          <w:color w:val="auto"/>
          <w:kern w:val="0"/>
          <w:sz w:val="24"/>
        </w:rPr>
      </w:pPr>
      <w:bookmarkStart w:id="807" w:name="_Hlk43477597"/>
      <w:r>
        <w:rPr>
          <w:rFonts w:hint="eastAsia" w:ascii="宋体" w:hAnsi="宋体" w:cstheme="minorHAnsi"/>
          <w:b/>
          <w:color w:val="auto"/>
          <w:kern w:val="0"/>
          <w:sz w:val="24"/>
        </w:rPr>
        <w:t xml:space="preserve">4.4.3 </w:t>
      </w:r>
      <w:r>
        <w:rPr>
          <w:rFonts w:hint="eastAsia" w:ascii="宋体" w:hAnsi="宋体" w:cs="黑体"/>
          <w:bCs/>
          <w:color w:val="auto"/>
          <w:kern w:val="0"/>
          <w:sz w:val="24"/>
        </w:rPr>
        <w:t>其他作为保温免拆模板使用的保温芯材性能应符合相关标准要求。</w:t>
      </w:r>
    </w:p>
    <w:bookmarkEnd w:id="807"/>
    <w:p w14:paraId="386AFA0B">
      <w:pPr>
        <w:pStyle w:val="144"/>
        <w:tabs>
          <w:tab w:val="clear" w:pos="1620"/>
        </w:tabs>
        <w:spacing w:before="312" w:after="312"/>
        <w:rPr>
          <w:color w:val="auto"/>
        </w:rPr>
      </w:pPr>
      <w:bookmarkStart w:id="808" w:name="_Toc46332613"/>
      <w:bookmarkStart w:id="809" w:name="_Toc42786574"/>
      <w:bookmarkStart w:id="810" w:name="_Toc1843"/>
      <w:bookmarkStart w:id="811" w:name="_Toc53997070"/>
      <w:bookmarkStart w:id="812" w:name="_Toc11114"/>
      <w:bookmarkStart w:id="813" w:name="_Toc30612"/>
      <w:bookmarkStart w:id="814" w:name="_Toc53996090"/>
      <w:bookmarkStart w:id="815" w:name="_Toc55460609"/>
      <w:bookmarkStart w:id="816" w:name="_Toc184662786"/>
      <w:r>
        <w:rPr>
          <w:rFonts w:hint="eastAsia"/>
          <w:color w:val="auto"/>
        </w:rPr>
        <w:t>4.5 配套材料</w:t>
      </w:r>
      <w:bookmarkEnd w:id="808"/>
      <w:bookmarkEnd w:id="809"/>
      <w:r>
        <w:rPr>
          <w:rFonts w:hint="eastAsia"/>
          <w:color w:val="auto"/>
        </w:rPr>
        <w:t>技术要求</w:t>
      </w:r>
      <w:bookmarkEnd w:id="810"/>
      <w:bookmarkEnd w:id="811"/>
      <w:bookmarkEnd w:id="812"/>
      <w:bookmarkEnd w:id="813"/>
      <w:bookmarkEnd w:id="814"/>
      <w:bookmarkEnd w:id="815"/>
      <w:bookmarkEnd w:id="816"/>
    </w:p>
    <w:p w14:paraId="283AB76B">
      <w:pPr>
        <w:pStyle w:val="13"/>
        <w:ind w:left="148" w:leftChars="23" w:hanging="100" w:firstLineChars="0"/>
        <w:rPr>
          <w:rFonts w:hint="eastAsia" w:ascii="宋体" w:hAnsi="宋体" w:cstheme="minorHAnsi"/>
          <w:b/>
          <w:color w:val="auto"/>
          <w:kern w:val="0"/>
          <w:sz w:val="24"/>
        </w:rPr>
      </w:pPr>
      <w:r>
        <w:rPr>
          <w:rFonts w:hint="eastAsia" w:ascii="宋体" w:hAnsi="宋体" w:cstheme="minorHAnsi"/>
          <w:b/>
          <w:color w:val="auto"/>
          <w:kern w:val="0"/>
          <w:sz w:val="24"/>
        </w:rPr>
        <w:t>4.5.1</w:t>
      </w:r>
      <w:r>
        <w:rPr>
          <w:rFonts w:hint="eastAsia" w:ascii="宋体" w:hAnsi="宋体" w:cstheme="minorHAnsi"/>
          <w:color w:val="auto"/>
          <w:kern w:val="0"/>
          <w:sz w:val="24"/>
        </w:rPr>
        <w:t>抹面胶浆主要性能指标应符合表4.5.1的规定。</w:t>
      </w:r>
    </w:p>
    <w:p w14:paraId="5A558D28">
      <w:pPr>
        <w:spacing w:line="360" w:lineRule="auto"/>
        <w:jc w:val="center"/>
        <w:rPr>
          <w:b/>
          <w:bCs/>
          <w:color w:val="auto"/>
          <w:szCs w:val="21"/>
        </w:rPr>
      </w:pPr>
      <w:bookmarkStart w:id="817" w:name="_Hlk43738905"/>
      <w:r>
        <w:rPr>
          <w:rFonts w:hint="eastAsia"/>
          <w:b/>
          <w:bCs/>
          <w:color w:val="auto"/>
          <w:szCs w:val="21"/>
        </w:rPr>
        <w:t>表4. 5.1抹面胶浆性能指标</w:t>
      </w:r>
    </w:p>
    <w:bookmarkEnd w:id="817"/>
    <w:tbl>
      <w:tblPr>
        <w:tblStyle w:val="88"/>
        <w:tblW w:w="8526"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7"/>
        <w:gridCol w:w="1227"/>
        <w:gridCol w:w="748"/>
        <w:gridCol w:w="1844"/>
        <w:gridCol w:w="2665"/>
        <w:gridCol w:w="1325"/>
      </w:tblGrid>
      <w:tr w14:paraId="0A7B6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trPr>
        <w:tc>
          <w:tcPr>
            <w:tcW w:w="717" w:type="dxa"/>
            <w:vAlign w:val="center"/>
          </w:tcPr>
          <w:p w14:paraId="3F0499C3">
            <w:pPr>
              <w:spacing w:line="320" w:lineRule="exact"/>
              <w:jc w:val="center"/>
              <w:rPr>
                <w:rFonts w:hint="eastAsia" w:ascii="宋体" w:hAnsi="宋体" w:cs="宋体"/>
                <w:color w:val="auto"/>
                <w:kern w:val="0"/>
                <w:szCs w:val="21"/>
              </w:rPr>
            </w:pPr>
            <w:bookmarkStart w:id="818" w:name="_Toc53997157"/>
            <w:bookmarkStart w:id="819" w:name="_Toc44425103"/>
            <w:bookmarkStart w:id="820" w:name="_Toc29730"/>
            <w:bookmarkStart w:id="821" w:name="_Toc42788939"/>
            <w:bookmarkStart w:id="822" w:name="_Toc55460696"/>
            <w:bookmarkStart w:id="823" w:name="_Toc45698301"/>
            <w:bookmarkStart w:id="824" w:name="_Toc53519553"/>
            <w:bookmarkStart w:id="825" w:name="_Toc43215785"/>
            <w:bookmarkStart w:id="826" w:name="_Toc53994217"/>
            <w:bookmarkStart w:id="827" w:name="_Toc46332658"/>
            <w:bookmarkStart w:id="828" w:name="_Toc53996177"/>
            <w:bookmarkStart w:id="829" w:name="_Toc42786630"/>
            <w:bookmarkStart w:id="830" w:name="_Toc44577504"/>
            <w:bookmarkStart w:id="831" w:name="_Toc42873678"/>
            <w:bookmarkStart w:id="832" w:name="_Toc46331677"/>
            <w:r>
              <w:rPr>
                <w:rFonts w:hint="eastAsia" w:ascii="宋体" w:hAnsi="宋体" w:cs="宋体"/>
                <w:color w:val="auto"/>
                <w:kern w:val="0"/>
                <w:szCs w:val="21"/>
              </w:rPr>
              <w:t>序号</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tc>
        <w:tc>
          <w:tcPr>
            <w:tcW w:w="3819" w:type="dxa"/>
            <w:gridSpan w:val="3"/>
            <w:vAlign w:val="center"/>
          </w:tcPr>
          <w:p w14:paraId="4E5577F1">
            <w:pPr>
              <w:spacing w:line="320" w:lineRule="exact"/>
              <w:jc w:val="center"/>
              <w:rPr>
                <w:rFonts w:hint="eastAsia" w:ascii="宋体" w:hAnsi="宋体" w:cs="宋体"/>
                <w:color w:val="auto"/>
                <w:kern w:val="0"/>
                <w:szCs w:val="21"/>
              </w:rPr>
            </w:pPr>
            <w:bookmarkStart w:id="833" w:name="_Toc43215786"/>
            <w:bookmarkStart w:id="834" w:name="_Toc42786631"/>
            <w:bookmarkStart w:id="835" w:name="_Toc23201"/>
            <w:bookmarkStart w:id="836" w:name="_Toc53994218"/>
            <w:bookmarkStart w:id="837" w:name="_Toc42873679"/>
            <w:bookmarkStart w:id="838" w:name="_Toc55460697"/>
            <w:bookmarkStart w:id="839" w:name="_Toc53996178"/>
            <w:bookmarkStart w:id="840" w:name="_Toc46331678"/>
            <w:bookmarkStart w:id="841" w:name="_Toc44425104"/>
            <w:bookmarkStart w:id="842" w:name="_Toc46332659"/>
            <w:bookmarkStart w:id="843" w:name="_Toc53997158"/>
            <w:bookmarkStart w:id="844" w:name="_Toc45698302"/>
            <w:bookmarkStart w:id="845" w:name="_Toc42788940"/>
            <w:bookmarkStart w:id="846" w:name="_Toc53519554"/>
            <w:bookmarkStart w:id="847" w:name="_Toc44577505"/>
            <w:r>
              <w:rPr>
                <w:rFonts w:hint="eastAsia" w:ascii="宋体" w:hAnsi="宋体" w:cs="宋体"/>
                <w:color w:val="auto"/>
                <w:kern w:val="0"/>
                <w:szCs w:val="21"/>
              </w:rPr>
              <w:t>试验项目</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tc>
        <w:tc>
          <w:tcPr>
            <w:tcW w:w="2665" w:type="dxa"/>
            <w:vAlign w:val="center"/>
          </w:tcPr>
          <w:p w14:paraId="593095A5">
            <w:pPr>
              <w:spacing w:line="320" w:lineRule="exact"/>
              <w:jc w:val="center"/>
              <w:rPr>
                <w:rFonts w:hint="eastAsia" w:ascii="宋体" w:hAnsi="宋体" w:cs="宋体"/>
                <w:color w:val="auto"/>
                <w:kern w:val="0"/>
                <w:szCs w:val="21"/>
              </w:rPr>
            </w:pPr>
            <w:bookmarkStart w:id="848" w:name="_Toc23856"/>
            <w:bookmarkStart w:id="849" w:name="_Toc53994219"/>
            <w:bookmarkStart w:id="850" w:name="_Toc46332660"/>
            <w:bookmarkStart w:id="851" w:name="_Toc45698303"/>
            <w:bookmarkStart w:id="852" w:name="_Toc43215787"/>
            <w:bookmarkStart w:id="853" w:name="_Toc53997159"/>
            <w:bookmarkStart w:id="854" w:name="_Toc53519555"/>
            <w:bookmarkStart w:id="855" w:name="_Toc42788941"/>
            <w:bookmarkStart w:id="856" w:name="_Toc53996179"/>
            <w:bookmarkStart w:id="857" w:name="_Toc42873680"/>
            <w:bookmarkStart w:id="858" w:name="_Toc44425105"/>
            <w:bookmarkStart w:id="859" w:name="_Toc46331679"/>
            <w:bookmarkStart w:id="860" w:name="_Toc44577506"/>
            <w:bookmarkStart w:id="861" w:name="_Toc42786632"/>
            <w:bookmarkStart w:id="862" w:name="_Toc55460698"/>
            <w:r>
              <w:rPr>
                <w:rFonts w:hint="eastAsia" w:ascii="宋体" w:hAnsi="宋体" w:cs="宋体"/>
                <w:color w:val="auto"/>
                <w:kern w:val="0"/>
                <w:szCs w:val="21"/>
              </w:rPr>
              <w:t>性能指标</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tc>
        <w:tc>
          <w:tcPr>
            <w:tcW w:w="1325" w:type="dxa"/>
            <w:vAlign w:val="center"/>
          </w:tcPr>
          <w:p w14:paraId="3F985D3E">
            <w:pPr>
              <w:spacing w:line="320" w:lineRule="exact"/>
              <w:jc w:val="center"/>
              <w:rPr>
                <w:rFonts w:hint="eastAsia" w:ascii="宋体" w:hAnsi="宋体" w:cs="宋体"/>
                <w:color w:val="auto"/>
                <w:kern w:val="0"/>
                <w:sz w:val="18"/>
                <w:szCs w:val="18"/>
              </w:rPr>
            </w:pPr>
            <w:bookmarkStart w:id="863" w:name="_Toc53519556"/>
            <w:bookmarkStart w:id="864" w:name="_Toc42788942"/>
            <w:bookmarkStart w:id="865" w:name="_Toc20752"/>
            <w:bookmarkStart w:id="866" w:name="_Toc42873681"/>
            <w:bookmarkStart w:id="867" w:name="_Toc46331680"/>
            <w:bookmarkStart w:id="868" w:name="_Toc45698304"/>
            <w:bookmarkStart w:id="869" w:name="_Toc44577507"/>
            <w:bookmarkStart w:id="870" w:name="_Toc42786633"/>
            <w:bookmarkStart w:id="871" w:name="_Toc44425106"/>
            <w:bookmarkStart w:id="872" w:name="_Toc53997160"/>
            <w:bookmarkStart w:id="873" w:name="_Toc55460699"/>
            <w:bookmarkStart w:id="874" w:name="_Toc53994220"/>
            <w:bookmarkStart w:id="875" w:name="_Toc43215788"/>
            <w:bookmarkStart w:id="876" w:name="_Toc53996180"/>
            <w:bookmarkStart w:id="877" w:name="_Toc46332661"/>
            <w:r>
              <w:rPr>
                <w:rFonts w:hint="eastAsia" w:ascii="宋体" w:hAnsi="宋体" w:cs="宋体"/>
                <w:color w:val="auto"/>
                <w:kern w:val="0"/>
                <w:sz w:val="18"/>
                <w:szCs w:val="18"/>
              </w:rPr>
              <w:t>试验方法</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tc>
      </w:tr>
      <w:tr w14:paraId="5F7C0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717" w:type="dxa"/>
            <w:vMerge w:val="restart"/>
            <w:vAlign w:val="center"/>
          </w:tcPr>
          <w:p w14:paraId="625F5177">
            <w:pPr>
              <w:spacing w:line="320" w:lineRule="exact"/>
              <w:jc w:val="center"/>
              <w:rPr>
                <w:rFonts w:hint="eastAsia" w:ascii="宋体" w:hAnsi="宋体" w:cs="宋体"/>
                <w:color w:val="auto"/>
                <w:kern w:val="0"/>
                <w:szCs w:val="21"/>
              </w:rPr>
            </w:pPr>
            <w:bookmarkStart w:id="878" w:name="_Toc42786634"/>
            <w:bookmarkStart w:id="879" w:name="_Toc44577508"/>
            <w:bookmarkStart w:id="880" w:name="_Toc53519557"/>
            <w:bookmarkStart w:id="881" w:name="_Toc53997161"/>
            <w:bookmarkStart w:id="882" w:name="_Toc27066"/>
            <w:bookmarkStart w:id="883" w:name="_Toc42788943"/>
            <w:bookmarkStart w:id="884" w:name="_Toc53994221"/>
            <w:bookmarkStart w:id="885" w:name="_Toc42873682"/>
            <w:bookmarkStart w:id="886" w:name="_Toc55460700"/>
            <w:bookmarkStart w:id="887" w:name="_Toc53996181"/>
            <w:bookmarkStart w:id="888" w:name="_Toc43215789"/>
            <w:bookmarkStart w:id="889" w:name="_Toc44425107"/>
            <w:bookmarkStart w:id="890" w:name="_Toc45698305"/>
            <w:bookmarkStart w:id="891" w:name="_Toc46332662"/>
            <w:bookmarkStart w:id="892" w:name="_Toc46331681"/>
            <w:r>
              <w:rPr>
                <w:rFonts w:hint="eastAsia" w:ascii="宋体" w:hAnsi="宋体" w:cs="宋体"/>
                <w:color w:val="auto"/>
                <w:kern w:val="0"/>
                <w:szCs w:val="21"/>
              </w:rPr>
              <w:t>1</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tc>
        <w:tc>
          <w:tcPr>
            <w:tcW w:w="1227" w:type="dxa"/>
            <w:vMerge w:val="restart"/>
            <w:vAlign w:val="center"/>
          </w:tcPr>
          <w:p w14:paraId="0B76E3DC">
            <w:pPr>
              <w:spacing w:line="320" w:lineRule="exact"/>
              <w:jc w:val="center"/>
              <w:rPr>
                <w:rFonts w:hint="eastAsia" w:ascii="宋体" w:hAnsi="宋体" w:cs="宋体"/>
                <w:color w:val="auto"/>
                <w:kern w:val="0"/>
                <w:szCs w:val="21"/>
              </w:rPr>
            </w:pPr>
            <w:bookmarkStart w:id="893" w:name="_Toc43215790"/>
            <w:bookmarkStart w:id="894" w:name="_Toc53997162"/>
            <w:bookmarkStart w:id="895" w:name="_Toc45698306"/>
            <w:bookmarkStart w:id="896" w:name="_Toc55460701"/>
            <w:bookmarkStart w:id="897" w:name="_Toc19983"/>
            <w:bookmarkStart w:id="898" w:name="_Toc46331682"/>
            <w:bookmarkStart w:id="899" w:name="_Toc44425108"/>
            <w:bookmarkStart w:id="900" w:name="_Toc53996182"/>
            <w:bookmarkStart w:id="901" w:name="_Toc42873683"/>
            <w:bookmarkStart w:id="902" w:name="_Toc53994222"/>
            <w:bookmarkStart w:id="903" w:name="_Toc42788944"/>
            <w:bookmarkStart w:id="904" w:name="_Toc42786635"/>
            <w:bookmarkStart w:id="905" w:name="_Toc53519558"/>
            <w:bookmarkStart w:id="906" w:name="_Toc46332663"/>
            <w:bookmarkStart w:id="907" w:name="_Toc44577509"/>
            <w:r>
              <w:rPr>
                <w:rFonts w:hint="eastAsia" w:ascii="宋体" w:hAnsi="宋体" w:cs="宋体"/>
                <w:color w:val="auto"/>
                <w:kern w:val="0"/>
                <w:szCs w:val="21"/>
              </w:rPr>
              <w:t>拉伸粘结强度（与保温免拆模板）,MPa</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tc>
        <w:tc>
          <w:tcPr>
            <w:tcW w:w="2592" w:type="dxa"/>
            <w:gridSpan w:val="2"/>
            <w:tcBorders>
              <w:bottom w:val="single" w:color="000000" w:sz="2" w:space="0"/>
            </w:tcBorders>
            <w:vAlign w:val="center"/>
          </w:tcPr>
          <w:p w14:paraId="4EA88120">
            <w:pPr>
              <w:spacing w:line="320" w:lineRule="exact"/>
              <w:jc w:val="center"/>
              <w:rPr>
                <w:rFonts w:hint="eastAsia" w:ascii="宋体" w:hAnsi="宋体" w:cs="宋体"/>
                <w:color w:val="auto"/>
                <w:kern w:val="0"/>
                <w:szCs w:val="21"/>
              </w:rPr>
            </w:pPr>
            <w:bookmarkStart w:id="908" w:name="_Toc53997163"/>
            <w:bookmarkStart w:id="909" w:name="_Toc53996183"/>
            <w:bookmarkStart w:id="910" w:name="_Toc13441"/>
            <w:bookmarkStart w:id="911" w:name="_Toc55460702"/>
            <w:bookmarkStart w:id="912" w:name="_Toc53994223"/>
            <w:bookmarkStart w:id="913" w:name="_Toc53519559"/>
            <w:r>
              <w:rPr>
                <w:rFonts w:hint="eastAsia" w:ascii="宋体" w:hAnsi="宋体" w:cs="宋体"/>
                <w:color w:val="auto"/>
                <w:kern w:val="0"/>
                <w:szCs w:val="21"/>
              </w:rPr>
              <w:t>标准状态</w:t>
            </w:r>
            <w:bookmarkEnd w:id="908"/>
            <w:bookmarkEnd w:id="909"/>
            <w:bookmarkEnd w:id="910"/>
            <w:bookmarkEnd w:id="911"/>
            <w:bookmarkEnd w:id="912"/>
            <w:bookmarkEnd w:id="913"/>
          </w:p>
        </w:tc>
        <w:tc>
          <w:tcPr>
            <w:tcW w:w="2665" w:type="dxa"/>
            <w:tcBorders>
              <w:bottom w:val="single" w:color="000000" w:sz="2" w:space="0"/>
            </w:tcBorders>
            <w:vAlign w:val="center"/>
          </w:tcPr>
          <w:p w14:paraId="4A7A0182">
            <w:pPr>
              <w:spacing w:line="320" w:lineRule="exact"/>
              <w:jc w:val="center"/>
              <w:rPr>
                <w:rFonts w:hint="eastAsia" w:ascii="宋体" w:hAnsi="宋体" w:cs="宋体"/>
                <w:color w:val="auto"/>
                <w:kern w:val="0"/>
                <w:szCs w:val="21"/>
              </w:rPr>
            </w:pPr>
            <w:bookmarkStart w:id="914" w:name="_Toc11145"/>
            <w:bookmarkStart w:id="915" w:name="_Toc53519560"/>
            <w:bookmarkStart w:id="916" w:name="_Toc42788946"/>
            <w:bookmarkStart w:id="917" w:name="_Toc46331684"/>
            <w:bookmarkStart w:id="918" w:name="_Toc42786637"/>
            <w:bookmarkStart w:id="919" w:name="_Toc55460703"/>
            <w:bookmarkStart w:id="920" w:name="_Toc44425110"/>
            <w:bookmarkStart w:id="921" w:name="_Toc42873685"/>
            <w:bookmarkStart w:id="922" w:name="_Toc53997164"/>
            <w:bookmarkStart w:id="923" w:name="_Toc53996184"/>
            <w:bookmarkStart w:id="924" w:name="_Toc46332665"/>
            <w:bookmarkStart w:id="925" w:name="_Toc45698308"/>
            <w:bookmarkStart w:id="926" w:name="_Toc53994224"/>
            <w:bookmarkStart w:id="927" w:name="_Toc44577511"/>
            <w:bookmarkStart w:id="928" w:name="_Toc43215792"/>
            <w:r>
              <w:rPr>
                <w:rFonts w:hint="eastAsia" w:ascii="宋体" w:hAnsi="宋体" w:cs="宋体"/>
                <w:color w:val="auto"/>
                <w:kern w:val="0"/>
                <w:szCs w:val="21"/>
              </w:rPr>
              <w:t>≥0.10MPa</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tc>
        <w:tc>
          <w:tcPr>
            <w:tcW w:w="1325" w:type="dxa"/>
            <w:vMerge w:val="restart"/>
            <w:vAlign w:val="center"/>
          </w:tcPr>
          <w:p w14:paraId="7DC6AE50">
            <w:pPr>
              <w:snapToGrid w:val="0"/>
              <w:spacing w:line="360" w:lineRule="exact"/>
              <w:ind w:right="17"/>
              <w:rPr>
                <w:rFonts w:hint="eastAsia" w:ascii="宋体" w:hAnsi="宋体" w:cs="宋体"/>
                <w:color w:val="auto"/>
                <w:kern w:val="0"/>
                <w:szCs w:val="21"/>
              </w:rPr>
            </w:pPr>
            <w:r>
              <w:rPr>
                <w:rFonts w:ascii="宋体" w:hAnsi="宋体"/>
                <w:color w:val="auto"/>
                <w:szCs w:val="21"/>
              </w:rPr>
              <w:t>GB/T 29906</w:t>
            </w:r>
          </w:p>
        </w:tc>
      </w:tr>
      <w:tr w14:paraId="41A00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trPr>
        <w:tc>
          <w:tcPr>
            <w:tcW w:w="717" w:type="dxa"/>
            <w:vMerge w:val="continue"/>
            <w:vAlign w:val="center"/>
          </w:tcPr>
          <w:p w14:paraId="0F1C0334">
            <w:pPr>
              <w:spacing w:line="320" w:lineRule="exact"/>
              <w:jc w:val="center"/>
              <w:rPr>
                <w:rFonts w:hint="eastAsia" w:ascii="宋体" w:hAnsi="宋体" w:cs="宋体"/>
                <w:color w:val="auto"/>
                <w:kern w:val="0"/>
                <w:szCs w:val="21"/>
              </w:rPr>
            </w:pPr>
          </w:p>
        </w:tc>
        <w:tc>
          <w:tcPr>
            <w:tcW w:w="1227" w:type="dxa"/>
            <w:vMerge w:val="continue"/>
            <w:vAlign w:val="center"/>
          </w:tcPr>
          <w:p w14:paraId="75B55D71">
            <w:pPr>
              <w:spacing w:line="320" w:lineRule="exact"/>
              <w:jc w:val="center"/>
              <w:rPr>
                <w:rFonts w:hint="eastAsia" w:ascii="宋体" w:hAnsi="宋体" w:cs="宋体"/>
                <w:color w:val="auto"/>
                <w:kern w:val="0"/>
                <w:szCs w:val="21"/>
              </w:rPr>
            </w:pPr>
          </w:p>
        </w:tc>
        <w:tc>
          <w:tcPr>
            <w:tcW w:w="748" w:type="dxa"/>
            <w:vMerge w:val="restart"/>
            <w:tcBorders>
              <w:top w:val="single" w:color="000000" w:sz="2" w:space="0"/>
            </w:tcBorders>
            <w:vAlign w:val="center"/>
          </w:tcPr>
          <w:p w14:paraId="4693F807">
            <w:pPr>
              <w:spacing w:line="320" w:lineRule="exact"/>
              <w:jc w:val="center"/>
              <w:rPr>
                <w:rFonts w:hint="eastAsia" w:ascii="宋体" w:hAnsi="宋体" w:cs="宋体"/>
                <w:color w:val="auto"/>
                <w:kern w:val="0"/>
                <w:szCs w:val="21"/>
              </w:rPr>
            </w:pPr>
            <w:bookmarkStart w:id="929" w:name="_Toc46331685"/>
            <w:bookmarkStart w:id="930" w:name="_Toc44425111"/>
            <w:bookmarkStart w:id="931" w:name="_Toc53519561"/>
            <w:bookmarkStart w:id="932" w:name="_Toc44577512"/>
            <w:bookmarkStart w:id="933" w:name="_Toc55460704"/>
            <w:bookmarkStart w:id="934" w:name="_Toc22860"/>
            <w:bookmarkStart w:id="935" w:name="_Toc53994225"/>
            <w:bookmarkStart w:id="936" w:name="_Toc42788948"/>
            <w:bookmarkStart w:id="937" w:name="_Toc53997165"/>
            <w:bookmarkStart w:id="938" w:name="_Toc46332666"/>
            <w:bookmarkStart w:id="939" w:name="_Toc43215794"/>
            <w:bookmarkStart w:id="940" w:name="_Toc42786639"/>
            <w:bookmarkStart w:id="941" w:name="_Toc53996185"/>
            <w:bookmarkStart w:id="942" w:name="_Toc45698309"/>
            <w:bookmarkStart w:id="943" w:name="_Toc42873687"/>
            <w:r>
              <w:rPr>
                <w:rFonts w:hint="eastAsia" w:ascii="宋体" w:hAnsi="宋体" w:cs="宋体"/>
                <w:color w:val="auto"/>
                <w:kern w:val="0"/>
                <w:szCs w:val="21"/>
              </w:rPr>
              <w:t>耐水</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028C28C6">
            <w:pPr>
              <w:spacing w:line="320" w:lineRule="exact"/>
              <w:jc w:val="center"/>
              <w:rPr>
                <w:rFonts w:hint="eastAsia" w:ascii="宋体" w:hAnsi="宋体" w:cs="宋体"/>
                <w:color w:val="auto"/>
                <w:kern w:val="0"/>
                <w:szCs w:val="21"/>
              </w:rPr>
            </w:pPr>
            <w:bookmarkStart w:id="944" w:name="_Toc46332667"/>
            <w:bookmarkStart w:id="945" w:name="_Toc53519562"/>
            <w:bookmarkStart w:id="946" w:name="_Toc44577513"/>
            <w:bookmarkStart w:id="947" w:name="_Toc53997166"/>
            <w:bookmarkStart w:id="948" w:name="_Toc44425112"/>
            <w:bookmarkStart w:id="949" w:name="_Toc55460705"/>
            <w:bookmarkStart w:id="950" w:name="_Toc8605"/>
            <w:bookmarkStart w:id="951" w:name="_Toc46331686"/>
            <w:bookmarkStart w:id="952" w:name="_Toc42873688"/>
            <w:bookmarkStart w:id="953" w:name="_Toc45698310"/>
            <w:bookmarkStart w:id="954" w:name="_Toc42786640"/>
            <w:bookmarkStart w:id="955" w:name="_Toc42788949"/>
            <w:bookmarkStart w:id="956" w:name="_Toc43215795"/>
            <w:bookmarkStart w:id="957" w:name="_Toc53996186"/>
            <w:bookmarkStart w:id="958" w:name="_Toc53994226"/>
            <w:r>
              <w:rPr>
                <w:rFonts w:hint="eastAsia" w:ascii="宋体" w:hAnsi="宋体" w:cs="宋体"/>
                <w:color w:val="auto"/>
                <w:kern w:val="0"/>
                <w:szCs w:val="21"/>
              </w:rPr>
              <w:t>强度</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tc>
        <w:tc>
          <w:tcPr>
            <w:tcW w:w="1844" w:type="dxa"/>
            <w:tcBorders>
              <w:top w:val="single" w:color="000000" w:sz="2" w:space="0"/>
            </w:tcBorders>
            <w:vAlign w:val="center"/>
          </w:tcPr>
          <w:p w14:paraId="0B685FA7">
            <w:pPr>
              <w:spacing w:line="320" w:lineRule="exact"/>
              <w:jc w:val="center"/>
              <w:rPr>
                <w:rFonts w:hint="eastAsia" w:ascii="宋体" w:hAnsi="宋体" w:cs="宋体"/>
                <w:color w:val="auto"/>
                <w:kern w:val="0"/>
                <w:szCs w:val="21"/>
              </w:rPr>
            </w:pPr>
            <w:bookmarkStart w:id="959" w:name="_Toc45698311"/>
            <w:bookmarkStart w:id="960" w:name="_Toc42788950"/>
            <w:bookmarkStart w:id="961" w:name="_Toc30030"/>
            <w:bookmarkStart w:id="962" w:name="_Toc55460706"/>
            <w:bookmarkStart w:id="963" w:name="_Toc46332668"/>
            <w:bookmarkStart w:id="964" w:name="_Toc43215796"/>
            <w:bookmarkStart w:id="965" w:name="_Toc53997167"/>
            <w:bookmarkStart w:id="966" w:name="_Toc53519563"/>
            <w:bookmarkStart w:id="967" w:name="_Toc44577514"/>
            <w:bookmarkStart w:id="968" w:name="_Toc42873689"/>
            <w:bookmarkStart w:id="969" w:name="_Toc53994227"/>
            <w:bookmarkStart w:id="970" w:name="_Toc53996187"/>
            <w:bookmarkStart w:id="971" w:name="_Toc42786641"/>
            <w:bookmarkStart w:id="972" w:name="_Toc46331687"/>
            <w:bookmarkStart w:id="973" w:name="_Toc44425113"/>
            <w:r>
              <w:rPr>
                <w:rFonts w:hint="eastAsia" w:ascii="宋体" w:hAnsi="宋体" w:cs="宋体"/>
                <w:color w:val="auto"/>
                <w:kern w:val="0"/>
                <w:szCs w:val="21"/>
              </w:rPr>
              <w:t>浸水48h,干燥2h</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tc>
        <w:tc>
          <w:tcPr>
            <w:tcW w:w="2665" w:type="dxa"/>
            <w:tcBorders>
              <w:top w:val="single" w:color="000000" w:sz="2" w:space="0"/>
              <w:bottom w:val="single" w:color="000000" w:sz="2" w:space="0"/>
            </w:tcBorders>
            <w:vAlign w:val="center"/>
          </w:tcPr>
          <w:p w14:paraId="3673A61A">
            <w:pPr>
              <w:spacing w:line="320" w:lineRule="exact"/>
              <w:jc w:val="center"/>
              <w:rPr>
                <w:rFonts w:hint="eastAsia" w:ascii="宋体" w:hAnsi="宋体" w:cs="宋体"/>
                <w:color w:val="auto"/>
                <w:kern w:val="0"/>
                <w:szCs w:val="21"/>
              </w:rPr>
            </w:pPr>
            <w:bookmarkStart w:id="974" w:name="_Toc45698312"/>
            <w:bookmarkStart w:id="975" w:name="_Toc42788951"/>
            <w:bookmarkStart w:id="976" w:name="_Toc46331688"/>
            <w:bookmarkStart w:id="977" w:name="_Toc53519564"/>
            <w:bookmarkStart w:id="978" w:name="_Toc44425114"/>
            <w:bookmarkStart w:id="979" w:name="_Toc55460707"/>
            <w:bookmarkStart w:id="980" w:name="_Toc53994228"/>
            <w:bookmarkStart w:id="981" w:name="_Toc42873690"/>
            <w:bookmarkStart w:id="982" w:name="_Toc46332669"/>
            <w:bookmarkStart w:id="983" w:name="_Toc42786642"/>
            <w:bookmarkStart w:id="984" w:name="_Toc53997168"/>
            <w:bookmarkStart w:id="985" w:name="_Toc43215797"/>
            <w:bookmarkStart w:id="986" w:name="_Toc20480"/>
            <w:bookmarkStart w:id="987" w:name="_Toc53996188"/>
            <w:bookmarkStart w:id="988" w:name="_Toc44577515"/>
            <w:r>
              <w:rPr>
                <w:rFonts w:hint="eastAsia" w:ascii="宋体" w:hAnsi="宋体" w:cs="宋体"/>
                <w:color w:val="auto"/>
                <w:kern w:val="0"/>
                <w:szCs w:val="21"/>
              </w:rPr>
              <w:t>≥0.06</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tc>
        <w:tc>
          <w:tcPr>
            <w:tcW w:w="1325" w:type="dxa"/>
            <w:vMerge w:val="continue"/>
            <w:vAlign w:val="center"/>
          </w:tcPr>
          <w:p w14:paraId="2D938502">
            <w:pPr>
              <w:snapToGrid w:val="0"/>
              <w:spacing w:line="360" w:lineRule="exact"/>
              <w:ind w:right="17"/>
              <w:rPr>
                <w:rFonts w:hint="eastAsia" w:ascii="宋体" w:hAnsi="宋体"/>
                <w:color w:val="auto"/>
                <w:sz w:val="18"/>
                <w:szCs w:val="18"/>
              </w:rPr>
            </w:pPr>
          </w:p>
        </w:tc>
      </w:tr>
      <w:tr w14:paraId="2A5CF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717" w:type="dxa"/>
            <w:vMerge w:val="continue"/>
            <w:vAlign w:val="center"/>
          </w:tcPr>
          <w:p w14:paraId="2B0B0497">
            <w:pPr>
              <w:spacing w:line="320" w:lineRule="exact"/>
              <w:jc w:val="center"/>
              <w:rPr>
                <w:rFonts w:hint="eastAsia" w:ascii="宋体" w:hAnsi="宋体" w:cs="宋体"/>
                <w:color w:val="auto"/>
                <w:kern w:val="0"/>
                <w:szCs w:val="21"/>
              </w:rPr>
            </w:pPr>
          </w:p>
        </w:tc>
        <w:tc>
          <w:tcPr>
            <w:tcW w:w="1227" w:type="dxa"/>
            <w:vMerge w:val="continue"/>
            <w:vAlign w:val="center"/>
          </w:tcPr>
          <w:p w14:paraId="45F5617D">
            <w:pPr>
              <w:spacing w:line="320" w:lineRule="exact"/>
              <w:jc w:val="center"/>
              <w:rPr>
                <w:rFonts w:hint="eastAsia" w:ascii="宋体" w:hAnsi="宋体" w:cs="宋体"/>
                <w:color w:val="auto"/>
                <w:kern w:val="0"/>
                <w:szCs w:val="21"/>
              </w:rPr>
            </w:pPr>
          </w:p>
        </w:tc>
        <w:tc>
          <w:tcPr>
            <w:tcW w:w="748" w:type="dxa"/>
            <w:vMerge w:val="continue"/>
            <w:vAlign w:val="center"/>
          </w:tcPr>
          <w:p w14:paraId="5DCE4163">
            <w:pPr>
              <w:spacing w:line="320" w:lineRule="exact"/>
              <w:jc w:val="center"/>
              <w:rPr>
                <w:rFonts w:hint="eastAsia" w:ascii="宋体" w:hAnsi="宋体" w:cs="宋体"/>
                <w:color w:val="auto"/>
                <w:kern w:val="0"/>
                <w:szCs w:val="21"/>
              </w:rPr>
            </w:pPr>
          </w:p>
        </w:tc>
        <w:tc>
          <w:tcPr>
            <w:tcW w:w="1844" w:type="dxa"/>
            <w:vAlign w:val="center"/>
          </w:tcPr>
          <w:p w14:paraId="2EBEA832">
            <w:pPr>
              <w:spacing w:line="320" w:lineRule="exact"/>
              <w:jc w:val="center"/>
              <w:rPr>
                <w:rFonts w:hint="eastAsia" w:ascii="宋体" w:hAnsi="宋体" w:cs="宋体"/>
                <w:color w:val="auto"/>
                <w:kern w:val="0"/>
                <w:szCs w:val="21"/>
              </w:rPr>
            </w:pPr>
            <w:bookmarkStart w:id="989" w:name="_Toc46331689"/>
            <w:bookmarkStart w:id="990" w:name="_Toc42873691"/>
            <w:bookmarkStart w:id="991" w:name="_Toc55460708"/>
            <w:bookmarkStart w:id="992" w:name="_Toc27526"/>
            <w:bookmarkStart w:id="993" w:name="_Toc42786643"/>
            <w:bookmarkStart w:id="994" w:name="_Toc46332670"/>
            <w:bookmarkStart w:id="995" w:name="_Toc44577516"/>
            <w:bookmarkStart w:id="996" w:name="_Toc45698313"/>
            <w:bookmarkStart w:id="997" w:name="_Toc44425115"/>
            <w:bookmarkStart w:id="998" w:name="_Toc53997169"/>
            <w:bookmarkStart w:id="999" w:name="_Toc53994229"/>
            <w:bookmarkStart w:id="1000" w:name="_Toc53519565"/>
            <w:bookmarkStart w:id="1001" w:name="_Toc53996189"/>
            <w:bookmarkStart w:id="1002" w:name="_Toc42788952"/>
            <w:bookmarkStart w:id="1003" w:name="_Toc43215798"/>
            <w:r>
              <w:rPr>
                <w:rFonts w:hint="eastAsia" w:ascii="宋体" w:hAnsi="宋体" w:cs="宋体"/>
                <w:color w:val="auto"/>
                <w:kern w:val="0"/>
                <w:szCs w:val="21"/>
              </w:rPr>
              <w:t>浸水48h,干燥7d</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tc>
        <w:tc>
          <w:tcPr>
            <w:tcW w:w="2665" w:type="dxa"/>
            <w:tcBorders>
              <w:top w:val="single" w:color="000000" w:sz="2" w:space="0"/>
            </w:tcBorders>
            <w:vAlign w:val="center"/>
          </w:tcPr>
          <w:p w14:paraId="16635B80">
            <w:pPr>
              <w:spacing w:line="320" w:lineRule="exact"/>
              <w:jc w:val="center"/>
              <w:rPr>
                <w:rFonts w:hint="eastAsia" w:ascii="宋体" w:hAnsi="宋体" w:cs="宋体"/>
                <w:color w:val="auto"/>
                <w:kern w:val="0"/>
                <w:szCs w:val="21"/>
              </w:rPr>
            </w:pPr>
            <w:bookmarkStart w:id="1004" w:name="_Toc42786644"/>
            <w:bookmarkStart w:id="1005" w:name="_Toc45698314"/>
            <w:bookmarkStart w:id="1006" w:name="_Toc53519566"/>
            <w:bookmarkStart w:id="1007" w:name="_Toc46331690"/>
            <w:bookmarkStart w:id="1008" w:name="_Toc53994230"/>
            <w:bookmarkStart w:id="1009" w:name="_Toc46332671"/>
            <w:bookmarkStart w:id="1010" w:name="_Toc53996190"/>
            <w:bookmarkStart w:id="1011" w:name="_Toc44425116"/>
            <w:bookmarkStart w:id="1012" w:name="_Toc44577517"/>
            <w:bookmarkStart w:id="1013" w:name="_Toc42873692"/>
            <w:bookmarkStart w:id="1014" w:name="_Toc20303"/>
            <w:bookmarkStart w:id="1015" w:name="_Toc53997170"/>
            <w:bookmarkStart w:id="1016" w:name="_Toc55460709"/>
            <w:bookmarkStart w:id="1017" w:name="_Toc42788953"/>
            <w:bookmarkStart w:id="1018" w:name="_Toc43215799"/>
            <w:r>
              <w:rPr>
                <w:rFonts w:hint="eastAsia" w:ascii="宋体" w:hAnsi="宋体" w:cs="宋体"/>
                <w:color w:val="auto"/>
                <w:kern w:val="0"/>
                <w:szCs w:val="21"/>
              </w:rPr>
              <w:t>≥0.10</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tc>
        <w:tc>
          <w:tcPr>
            <w:tcW w:w="1325" w:type="dxa"/>
            <w:vMerge w:val="continue"/>
            <w:vAlign w:val="center"/>
          </w:tcPr>
          <w:p w14:paraId="611C3D73">
            <w:pPr>
              <w:snapToGrid w:val="0"/>
              <w:spacing w:line="360" w:lineRule="exact"/>
              <w:ind w:right="17"/>
              <w:rPr>
                <w:rFonts w:hint="eastAsia" w:ascii="宋体" w:hAnsi="宋体"/>
                <w:color w:val="auto"/>
                <w:sz w:val="18"/>
                <w:szCs w:val="18"/>
              </w:rPr>
            </w:pPr>
          </w:p>
        </w:tc>
      </w:tr>
      <w:tr w14:paraId="0696F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717" w:type="dxa"/>
            <w:vMerge w:val="continue"/>
            <w:vAlign w:val="center"/>
          </w:tcPr>
          <w:p w14:paraId="380FAA31">
            <w:pPr>
              <w:spacing w:line="320" w:lineRule="exact"/>
              <w:jc w:val="center"/>
              <w:rPr>
                <w:rFonts w:hint="eastAsia" w:ascii="宋体" w:hAnsi="宋体" w:cs="宋体"/>
                <w:color w:val="auto"/>
                <w:kern w:val="0"/>
                <w:szCs w:val="21"/>
              </w:rPr>
            </w:pPr>
          </w:p>
        </w:tc>
        <w:tc>
          <w:tcPr>
            <w:tcW w:w="1227" w:type="dxa"/>
            <w:vMerge w:val="continue"/>
            <w:vAlign w:val="center"/>
          </w:tcPr>
          <w:p w14:paraId="400746B4">
            <w:pPr>
              <w:spacing w:line="320" w:lineRule="exact"/>
              <w:jc w:val="center"/>
              <w:rPr>
                <w:rFonts w:hint="eastAsia" w:ascii="宋体" w:hAnsi="宋体" w:cs="宋体"/>
                <w:color w:val="auto"/>
                <w:kern w:val="0"/>
                <w:szCs w:val="21"/>
              </w:rPr>
            </w:pPr>
          </w:p>
        </w:tc>
        <w:tc>
          <w:tcPr>
            <w:tcW w:w="2592" w:type="dxa"/>
            <w:gridSpan w:val="2"/>
            <w:vAlign w:val="center"/>
          </w:tcPr>
          <w:p w14:paraId="47E77682">
            <w:pPr>
              <w:spacing w:line="320" w:lineRule="exact"/>
              <w:jc w:val="center"/>
              <w:rPr>
                <w:rFonts w:hint="eastAsia" w:ascii="宋体" w:hAnsi="宋体" w:cs="宋体"/>
                <w:color w:val="auto"/>
                <w:kern w:val="0"/>
                <w:szCs w:val="21"/>
              </w:rPr>
            </w:pPr>
            <w:bookmarkStart w:id="1019" w:name="_Toc55460710"/>
            <w:bookmarkStart w:id="1020" w:name="_Toc53519567"/>
            <w:bookmarkStart w:id="1021" w:name="_Toc53996191"/>
            <w:bookmarkStart w:id="1022" w:name="_Toc53994231"/>
            <w:bookmarkStart w:id="1023" w:name="_Toc53997171"/>
            <w:bookmarkStart w:id="1024" w:name="_Toc5461"/>
            <w:r>
              <w:rPr>
                <w:rFonts w:hint="eastAsia" w:ascii="宋体" w:hAnsi="宋体" w:cs="宋体"/>
                <w:color w:val="auto"/>
                <w:kern w:val="0"/>
                <w:szCs w:val="21"/>
              </w:rPr>
              <w:t>耐冻融</w:t>
            </w:r>
            <w:bookmarkEnd w:id="1019"/>
            <w:bookmarkEnd w:id="1020"/>
            <w:bookmarkEnd w:id="1021"/>
            <w:bookmarkEnd w:id="1022"/>
            <w:bookmarkEnd w:id="1023"/>
            <w:bookmarkEnd w:id="1024"/>
            <w:r>
              <w:rPr>
                <w:rFonts w:hint="eastAsia" w:ascii="宋体" w:hAnsi="宋体" w:cs="宋体"/>
                <w:color w:val="auto"/>
                <w:kern w:val="0"/>
                <w:szCs w:val="21"/>
              </w:rPr>
              <w:t>强度</w:t>
            </w:r>
          </w:p>
        </w:tc>
        <w:tc>
          <w:tcPr>
            <w:tcW w:w="2665" w:type="dxa"/>
            <w:tcBorders>
              <w:top w:val="single" w:color="000000" w:sz="2" w:space="0"/>
            </w:tcBorders>
            <w:vAlign w:val="center"/>
          </w:tcPr>
          <w:p w14:paraId="4F70AC49">
            <w:pPr>
              <w:spacing w:line="320" w:lineRule="exact"/>
              <w:jc w:val="center"/>
              <w:rPr>
                <w:rFonts w:hint="eastAsia" w:ascii="宋体" w:hAnsi="宋体" w:cs="宋体"/>
                <w:color w:val="auto"/>
                <w:kern w:val="0"/>
                <w:szCs w:val="21"/>
              </w:rPr>
            </w:pPr>
            <w:bookmarkStart w:id="1025" w:name="_Toc43215801"/>
            <w:bookmarkStart w:id="1026" w:name="_Toc29138"/>
            <w:bookmarkStart w:id="1027" w:name="_Toc42786646"/>
            <w:bookmarkStart w:id="1028" w:name="_Toc53997172"/>
            <w:bookmarkStart w:id="1029" w:name="_Toc53994232"/>
            <w:bookmarkStart w:id="1030" w:name="_Toc46331692"/>
            <w:bookmarkStart w:id="1031" w:name="_Toc42788955"/>
            <w:bookmarkStart w:id="1032" w:name="_Toc45698316"/>
            <w:bookmarkStart w:id="1033" w:name="_Toc42873694"/>
            <w:bookmarkStart w:id="1034" w:name="_Toc53996192"/>
            <w:bookmarkStart w:id="1035" w:name="_Toc46332673"/>
            <w:bookmarkStart w:id="1036" w:name="_Toc53519568"/>
            <w:bookmarkStart w:id="1037" w:name="_Toc44577519"/>
            <w:bookmarkStart w:id="1038" w:name="_Toc44425118"/>
            <w:bookmarkStart w:id="1039" w:name="_Toc55460711"/>
            <w:r>
              <w:rPr>
                <w:rFonts w:hint="eastAsia" w:ascii="宋体" w:hAnsi="宋体" w:cs="宋体"/>
                <w:color w:val="auto"/>
                <w:kern w:val="0"/>
                <w:szCs w:val="21"/>
              </w:rPr>
              <w:t>≥0.10</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tc>
        <w:tc>
          <w:tcPr>
            <w:tcW w:w="1325" w:type="dxa"/>
            <w:vMerge w:val="continue"/>
            <w:vAlign w:val="center"/>
          </w:tcPr>
          <w:p w14:paraId="42CB29D4">
            <w:pPr>
              <w:snapToGrid w:val="0"/>
              <w:spacing w:line="360" w:lineRule="exact"/>
              <w:ind w:right="17"/>
              <w:rPr>
                <w:rFonts w:hint="eastAsia" w:ascii="宋体" w:hAnsi="宋体"/>
                <w:color w:val="auto"/>
                <w:sz w:val="18"/>
                <w:szCs w:val="18"/>
              </w:rPr>
            </w:pPr>
          </w:p>
        </w:tc>
      </w:tr>
      <w:tr w14:paraId="6818C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717" w:type="dxa"/>
            <w:vAlign w:val="center"/>
          </w:tcPr>
          <w:p w14:paraId="6A932C79">
            <w:pPr>
              <w:spacing w:line="320" w:lineRule="exact"/>
              <w:jc w:val="center"/>
              <w:rPr>
                <w:rFonts w:hint="eastAsia" w:ascii="宋体" w:hAnsi="宋体" w:cs="宋体"/>
                <w:color w:val="auto"/>
                <w:kern w:val="0"/>
                <w:szCs w:val="21"/>
              </w:rPr>
            </w:pPr>
            <w:bookmarkStart w:id="1040" w:name="_Toc53519569"/>
            <w:bookmarkStart w:id="1041" w:name="_Toc55460712"/>
            <w:bookmarkStart w:id="1042" w:name="_Toc53996193"/>
            <w:bookmarkStart w:id="1043" w:name="_Toc2211"/>
            <w:bookmarkStart w:id="1044" w:name="_Toc53994233"/>
            <w:bookmarkStart w:id="1045" w:name="_Toc53997173"/>
            <w:r>
              <w:rPr>
                <w:rFonts w:ascii="宋体" w:hAnsi="宋体" w:cs="宋体"/>
                <w:color w:val="auto"/>
                <w:kern w:val="0"/>
                <w:szCs w:val="21"/>
              </w:rPr>
              <w:t>2</w:t>
            </w:r>
            <w:bookmarkEnd w:id="1040"/>
            <w:bookmarkEnd w:id="1041"/>
            <w:bookmarkEnd w:id="1042"/>
            <w:bookmarkEnd w:id="1043"/>
            <w:bookmarkEnd w:id="1044"/>
            <w:bookmarkEnd w:id="1045"/>
          </w:p>
        </w:tc>
        <w:tc>
          <w:tcPr>
            <w:tcW w:w="3819" w:type="dxa"/>
            <w:gridSpan w:val="3"/>
            <w:vAlign w:val="center"/>
          </w:tcPr>
          <w:p w14:paraId="67691528">
            <w:pPr>
              <w:spacing w:line="320" w:lineRule="exact"/>
              <w:jc w:val="center"/>
              <w:rPr>
                <w:rFonts w:hint="eastAsia" w:ascii="宋体" w:hAnsi="宋体" w:cs="宋体"/>
                <w:color w:val="auto"/>
                <w:kern w:val="0"/>
                <w:szCs w:val="21"/>
              </w:rPr>
            </w:pPr>
            <w:bookmarkStart w:id="1046" w:name="_Toc53997174"/>
            <w:bookmarkStart w:id="1047" w:name="_Toc53994234"/>
            <w:bookmarkStart w:id="1048" w:name="_Toc45698318"/>
            <w:bookmarkStart w:id="1049" w:name="_Toc44577521"/>
            <w:bookmarkStart w:id="1050" w:name="_Toc22406"/>
            <w:bookmarkStart w:id="1051" w:name="_Toc46332675"/>
            <w:bookmarkStart w:id="1052" w:name="_Toc55460713"/>
            <w:bookmarkStart w:id="1053" w:name="_Toc53996194"/>
            <w:bookmarkStart w:id="1054" w:name="_Toc53519570"/>
            <w:bookmarkStart w:id="1055" w:name="_Toc46331694"/>
            <w:bookmarkStart w:id="1056" w:name="_Toc42788960"/>
            <w:bookmarkStart w:id="1057" w:name="_Toc43215806"/>
            <w:bookmarkStart w:id="1058" w:name="_Toc44425120"/>
            <w:bookmarkStart w:id="1059" w:name="_Toc42786651"/>
            <w:bookmarkStart w:id="1060" w:name="_Toc42873699"/>
            <w:r>
              <w:rPr>
                <w:rFonts w:hint="eastAsia" w:ascii="宋体" w:hAnsi="宋体" w:cs="宋体"/>
                <w:color w:val="auto"/>
                <w:kern w:val="0"/>
                <w:szCs w:val="21"/>
              </w:rPr>
              <w:t>柔韧性（压折比）</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tc>
        <w:tc>
          <w:tcPr>
            <w:tcW w:w="2665" w:type="dxa"/>
            <w:vAlign w:val="center"/>
          </w:tcPr>
          <w:p w14:paraId="715973A3">
            <w:pPr>
              <w:spacing w:line="320" w:lineRule="exact"/>
              <w:jc w:val="center"/>
              <w:rPr>
                <w:rFonts w:hint="eastAsia" w:ascii="宋体" w:hAnsi="宋体" w:cs="宋体"/>
                <w:color w:val="auto"/>
                <w:kern w:val="0"/>
                <w:szCs w:val="21"/>
              </w:rPr>
            </w:pPr>
            <w:bookmarkStart w:id="1061" w:name="_Toc55460714"/>
            <w:bookmarkStart w:id="1062" w:name="_Toc42786652"/>
            <w:bookmarkStart w:id="1063" w:name="_Toc53519571"/>
            <w:bookmarkStart w:id="1064" w:name="_Toc53994235"/>
            <w:bookmarkStart w:id="1065" w:name="_Toc45698319"/>
            <w:bookmarkStart w:id="1066" w:name="_Toc44425121"/>
            <w:bookmarkStart w:id="1067" w:name="_Toc53996195"/>
            <w:bookmarkStart w:id="1068" w:name="_Toc42788961"/>
            <w:bookmarkStart w:id="1069" w:name="_Toc44577522"/>
            <w:bookmarkStart w:id="1070" w:name="_Toc43215807"/>
            <w:bookmarkStart w:id="1071" w:name="_Toc42873700"/>
            <w:bookmarkStart w:id="1072" w:name="_Toc46332676"/>
            <w:bookmarkStart w:id="1073" w:name="_Toc53997175"/>
            <w:bookmarkStart w:id="1074" w:name="_Toc46331695"/>
            <w:bookmarkStart w:id="1075" w:name="_Toc10311"/>
            <w:r>
              <w:rPr>
                <w:rFonts w:hint="eastAsia" w:ascii="宋体" w:hAnsi="宋体" w:cs="宋体"/>
                <w:color w:val="auto"/>
                <w:kern w:val="0"/>
                <w:szCs w:val="21"/>
              </w:rPr>
              <w:t>≤3.0</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tc>
        <w:tc>
          <w:tcPr>
            <w:tcW w:w="1325" w:type="dxa"/>
            <w:vMerge w:val="continue"/>
            <w:vAlign w:val="center"/>
          </w:tcPr>
          <w:p w14:paraId="08CF3658">
            <w:pPr>
              <w:snapToGrid w:val="0"/>
              <w:spacing w:line="360" w:lineRule="exact"/>
              <w:ind w:right="17"/>
              <w:rPr>
                <w:rFonts w:hint="eastAsia" w:ascii="宋体" w:hAnsi="宋体"/>
                <w:color w:val="auto"/>
                <w:sz w:val="18"/>
                <w:szCs w:val="18"/>
              </w:rPr>
            </w:pPr>
          </w:p>
        </w:tc>
      </w:tr>
      <w:tr w14:paraId="6AB7A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717" w:type="dxa"/>
            <w:vAlign w:val="center"/>
          </w:tcPr>
          <w:p w14:paraId="5A3FD94F">
            <w:pPr>
              <w:spacing w:line="320" w:lineRule="exact"/>
              <w:jc w:val="center"/>
              <w:rPr>
                <w:rFonts w:hint="eastAsia" w:ascii="宋体" w:hAnsi="宋体" w:cs="宋体"/>
                <w:color w:val="auto"/>
                <w:kern w:val="0"/>
                <w:szCs w:val="21"/>
              </w:rPr>
            </w:pPr>
            <w:bookmarkStart w:id="1076" w:name="_Toc53996196"/>
            <w:bookmarkStart w:id="1077" w:name="_Toc53519572"/>
            <w:bookmarkStart w:id="1078" w:name="_Toc53997176"/>
            <w:bookmarkStart w:id="1079" w:name="_Toc22388"/>
            <w:bookmarkStart w:id="1080" w:name="_Toc53994236"/>
            <w:bookmarkStart w:id="1081" w:name="_Toc55460715"/>
            <w:r>
              <w:rPr>
                <w:rFonts w:ascii="宋体" w:hAnsi="宋体" w:cs="宋体"/>
                <w:color w:val="auto"/>
                <w:kern w:val="0"/>
                <w:szCs w:val="21"/>
              </w:rPr>
              <w:t>3</w:t>
            </w:r>
            <w:bookmarkEnd w:id="1076"/>
            <w:bookmarkEnd w:id="1077"/>
            <w:bookmarkEnd w:id="1078"/>
            <w:bookmarkEnd w:id="1079"/>
            <w:bookmarkEnd w:id="1080"/>
            <w:bookmarkEnd w:id="1081"/>
          </w:p>
        </w:tc>
        <w:tc>
          <w:tcPr>
            <w:tcW w:w="3819" w:type="dxa"/>
            <w:gridSpan w:val="3"/>
            <w:vAlign w:val="center"/>
          </w:tcPr>
          <w:p w14:paraId="19F026A2">
            <w:pPr>
              <w:spacing w:line="320" w:lineRule="exact"/>
              <w:jc w:val="center"/>
              <w:rPr>
                <w:rFonts w:hint="eastAsia" w:ascii="宋体" w:hAnsi="宋体" w:cs="宋体"/>
                <w:color w:val="auto"/>
                <w:kern w:val="0"/>
                <w:szCs w:val="21"/>
              </w:rPr>
            </w:pPr>
            <w:bookmarkStart w:id="1082" w:name="_Toc46331697"/>
            <w:bookmarkStart w:id="1083" w:name="_Toc45698321"/>
            <w:bookmarkStart w:id="1084" w:name="_Toc44425123"/>
            <w:bookmarkStart w:id="1085" w:name="_Toc42788963"/>
            <w:bookmarkStart w:id="1086" w:name="_Toc53997177"/>
            <w:bookmarkStart w:id="1087" w:name="_Toc53996197"/>
            <w:bookmarkStart w:id="1088" w:name="_Toc46332678"/>
            <w:bookmarkStart w:id="1089" w:name="_Toc43215809"/>
            <w:bookmarkStart w:id="1090" w:name="_Toc44577524"/>
            <w:bookmarkStart w:id="1091" w:name="_Toc55460716"/>
            <w:bookmarkStart w:id="1092" w:name="_Toc53994237"/>
            <w:bookmarkStart w:id="1093" w:name="_Toc42786654"/>
            <w:bookmarkStart w:id="1094" w:name="_Toc53519573"/>
            <w:bookmarkStart w:id="1095" w:name="_Toc6287"/>
            <w:bookmarkStart w:id="1096" w:name="_Toc42873702"/>
            <w:r>
              <w:rPr>
                <w:rFonts w:hint="eastAsia" w:ascii="宋体" w:hAnsi="宋体" w:cs="宋体"/>
                <w:color w:val="auto"/>
                <w:kern w:val="0"/>
                <w:szCs w:val="21"/>
              </w:rPr>
              <w:t>抗冲击性</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tc>
        <w:tc>
          <w:tcPr>
            <w:tcW w:w="2665" w:type="dxa"/>
            <w:vAlign w:val="center"/>
          </w:tcPr>
          <w:p w14:paraId="39271135">
            <w:pPr>
              <w:spacing w:line="320" w:lineRule="exact"/>
              <w:jc w:val="center"/>
              <w:rPr>
                <w:rFonts w:hint="eastAsia" w:ascii="宋体" w:hAnsi="宋体" w:cs="宋体"/>
                <w:color w:val="auto"/>
                <w:kern w:val="0"/>
                <w:szCs w:val="21"/>
              </w:rPr>
            </w:pPr>
            <w:bookmarkStart w:id="1097" w:name="_Toc46332679"/>
            <w:bookmarkStart w:id="1098" w:name="_Toc4236"/>
            <w:bookmarkStart w:id="1099" w:name="_Toc42873703"/>
            <w:bookmarkStart w:id="1100" w:name="_Toc42788964"/>
            <w:bookmarkStart w:id="1101" w:name="_Toc55460717"/>
            <w:bookmarkStart w:id="1102" w:name="_Toc53997178"/>
            <w:bookmarkStart w:id="1103" w:name="_Toc44577525"/>
            <w:bookmarkStart w:id="1104" w:name="_Toc53996198"/>
            <w:bookmarkStart w:id="1105" w:name="_Toc42786655"/>
            <w:bookmarkStart w:id="1106" w:name="_Toc53994238"/>
            <w:bookmarkStart w:id="1107" w:name="_Toc45698322"/>
            <w:bookmarkStart w:id="1108" w:name="_Toc44425124"/>
            <w:bookmarkStart w:id="1109" w:name="_Toc46331698"/>
            <w:bookmarkStart w:id="1110" w:name="_Toc43215810"/>
            <w:bookmarkStart w:id="1111" w:name="_Toc53519574"/>
            <w:r>
              <w:rPr>
                <w:rFonts w:hint="eastAsia" w:ascii="宋体" w:hAnsi="宋体" w:cs="宋体"/>
                <w:color w:val="auto"/>
                <w:kern w:val="0"/>
                <w:szCs w:val="21"/>
              </w:rPr>
              <w:t>3J</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tc>
        <w:tc>
          <w:tcPr>
            <w:tcW w:w="1325" w:type="dxa"/>
            <w:vMerge w:val="continue"/>
            <w:vAlign w:val="center"/>
          </w:tcPr>
          <w:p w14:paraId="392DC47B">
            <w:pPr>
              <w:snapToGrid w:val="0"/>
              <w:spacing w:line="360" w:lineRule="exact"/>
              <w:ind w:right="17"/>
              <w:jc w:val="center"/>
              <w:rPr>
                <w:rFonts w:hint="eastAsia" w:ascii="宋体" w:hAnsi="宋体"/>
                <w:color w:val="auto"/>
                <w:sz w:val="18"/>
                <w:szCs w:val="18"/>
              </w:rPr>
            </w:pPr>
          </w:p>
        </w:tc>
      </w:tr>
      <w:tr w14:paraId="473E5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trPr>
        <w:tc>
          <w:tcPr>
            <w:tcW w:w="717" w:type="dxa"/>
            <w:vAlign w:val="center"/>
          </w:tcPr>
          <w:p w14:paraId="30EE1F26">
            <w:pPr>
              <w:spacing w:line="320" w:lineRule="exact"/>
              <w:jc w:val="center"/>
              <w:rPr>
                <w:rFonts w:hint="eastAsia" w:ascii="宋体" w:hAnsi="宋体" w:cs="宋体"/>
                <w:color w:val="auto"/>
                <w:kern w:val="0"/>
                <w:szCs w:val="21"/>
              </w:rPr>
            </w:pPr>
            <w:bookmarkStart w:id="1112" w:name="_Toc55460718"/>
            <w:bookmarkStart w:id="1113" w:name="_Toc53994239"/>
            <w:bookmarkStart w:id="1114" w:name="_Toc53996199"/>
            <w:bookmarkStart w:id="1115" w:name="_Toc16661"/>
            <w:bookmarkStart w:id="1116" w:name="_Toc53519575"/>
            <w:bookmarkStart w:id="1117" w:name="_Toc53997179"/>
            <w:r>
              <w:rPr>
                <w:rFonts w:ascii="宋体" w:hAnsi="宋体" w:cs="宋体"/>
                <w:color w:val="auto"/>
                <w:kern w:val="0"/>
                <w:szCs w:val="21"/>
              </w:rPr>
              <w:t>4</w:t>
            </w:r>
            <w:bookmarkEnd w:id="1112"/>
            <w:bookmarkEnd w:id="1113"/>
            <w:bookmarkEnd w:id="1114"/>
            <w:bookmarkEnd w:id="1115"/>
            <w:bookmarkEnd w:id="1116"/>
            <w:bookmarkEnd w:id="1117"/>
          </w:p>
        </w:tc>
        <w:tc>
          <w:tcPr>
            <w:tcW w:w="3819" w:type="dxa"/>
            <w:gridSpan w:val="3"/>
            <w:vAlign w:val="center"/>
          </w:tcPr>
          <w:p w14:paraId="10CCE4F0">
            <w:pPr>
              <w:spacing w:line="320" w:lineRule="exact"/>
              <w:jc w:val="center"/>
              <w:rPr>
                <w:rFonts w:hint="eastAsia" w:ascii="宋体" w:hAnsi="宋体" w:cs="宋体"/>
                <w:color w:val="auto"/>
                <w:kern w:val="0"/>
                <w:szCs w:val="21"/>
              </w:rPr>
            </w:pPr>
            <w:bookmarkStart w:id="1118" w:name="_Toc53996200"/>
            <w:bookmarkStart w:id="1119" w:name="_Toc53994240"/>
            <w:bookmarkStart w:id="1120" w:name="_Toc46332681"/>
            <w:bookmarkStart w:id="1121" w:name="_Toc53997180"/>
            <w:bookmarkStart w:id="1122" w:name="_Toc46331700"/>
            <w:bookmarkStart w:id="1123" w:name="_Toc53519576"/>
            <w:bookmarkStart w:id="1124" w:name="_Toc18091"/>
            <w:bookmarkStart w:id="1125" w:name="_Toc44425126"/>
            <w:bookmarkStart w:id="1126" w:name="_Toc43215812"/>
            <w:bookmarkStart w:id="1127" w:name="_Toc44577527"/>
            <w:bookmarkStart w:id="1128" w:name="_Toc42788966"/>
            <w:bookmarkStart w:id="1129" w:name="_Toc55460719"/>
            <w:bookmarkStart w:id="1130" w:name="_Toc42873705"/>
            <w:bookmarkStart w:id="1131" w:name="_Toc42786657"/>
            <w:bookmarkStart w:id="1132" w:name="_Toc45698324"/>
            <w:r>
              <w:rPr>
                <w:rFonts w:hint="eastAsia" w:ascii="宋体" w:hAnsi="宋体" w:cs="宋体"/>
                <w:color w:val="auto"/>
                <w:kern w:val="0"/>
                <w:szCs w:val="21"/>
              </w:rPr>
              <w:t>吸水量，g/m</w:t>
            </w:r>
            <w:r>
              <w:rPr>
                <w:rFonts w:hint="eastAsia" w:ascii="宋体" w:hAnsi="宋体" w:cs="宋体"/>
                <w:color w:val="auto"/>
                <w:kern w:val="0"/>
                <w:szCs w:val="21"/>
                <w:vertAlign w:val="superscript"/>
              </w:rPr>
              <w:t>2</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tc>
        <w:tc>
          <w:tcPr>
            <w:tcW w:w="2665" w:type="dxa"/>
            <w:vAlign w:val="center"/>
          </w:tcPr>
          <w:p w14:paraId="1F2B0A27">
            <w:pPr>
              <w:spacing w:line="320" w:lineRule="exact"/>
              <w:jc w:val="center"/>
              <w:rPr>
                <w:rFonts w:hint="eastAsia" w:ascii="宋体" w:hAnsi="宋体" w:cs="宋体"/>
                <w:color w:val="auto"/>
                <w:kern w:val="0"/>
                <w:szCs w:val="21"/>
              </w:rPr>
            </w:pPr>
            <w:bookmarkStart w:id="1133" w:name="_Toc42788967"/>
            <w:bookmarkStart w:id="1134" w:name="_Toc43215813"/>
            <w:bookmarkStart w:id="1135" w:name="_Toc53994241"/>
            <w:bookmarkStart w:id="1136" w:name="_Toc44425127"/>
            <w:bookmarkStart w:id="1137" w:name="_Toc45698325"/>
            <w:bookmarkStart w:id="1138" w:name="_Toc42786658"/>
            <w:bookmarkStart w:id="1139" w:name="_Toc53997181"/>
            <w:bookmarkStart w:id="1140" w:name="_Toc42873706"/>
            <w:bookmarkStart w:id="1141" w:name="_Toc53996201"/>
            <w:bookmarkStart w:id="1142" w:name="_Toc44577528"/>
            <w:bookmarkStart w:id="1143" w:name="_Toc46332682"/>
            <w:bookmarkStart w:id="1144" w:name="_Toc46331701"/>
            <w:bookmarkStart w:id="1145" w:name="_Toc3660"/>
            <w:bookmarkStart w:id="1146" w:name="_Toc55460720"/>
            <w:bookmarkStart w:id="1147" w:name="_Toc53519577"/>
            <w:r>
              <w:rPr>
                <w:rFonts w:hint="eastAsia" w:ascii="宋体" w:hAnsi="宋体" w:cs="宋体"/>
                <w:color w:val="auto"/>
                <w:kern w:val="0"/>
                <w:szCs w:val="21"/>
              </w:rPr>
              <w:t>≤500</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tc>
        <w:tc>
          <w:tcPr>
            <w:tcW w:w="1325" w:type="dxa"/>
            <w:vMerge w:val="continue"/>
            <w:vAlign w:val="center"/>
          </w:tcPr>
          <w:p w14:paraId="5BFC9400">
            <w:pPr>
              <w:snapToGrid w:val="0"/>
              <w:spacing w:line="360" w:lineRule="exact"/>
              <w:ind w:right="17"/>
              <w:jc w:val="center"/>
              <w:rPr>
                <w:rFonts w:hint="eastAsia" w:ascii="宋体" w:hAnsi="宋体"/>
                <w:color w:val="auto"/>
                <w:sz w:val="18"/>
                <w:szCs w:val="18"/>
              </w:rPr>
            </w:pPr>
          </w:p>
        </w:tc>
      </w:tr>
      <w:tr w14:paraId="1F312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717" w:type="dxa"/>
            <w:vAlign w:val="center"/>
          </w:tcPr>
          <w:p w14:paraId="44024A1D">
            <w:pPr>
              <w:spacing w:line="320" w:lineRule="exact"/>
              <w:jc w:val="center"/>
              <w:rPr>
                <w:rFonts w:hint="eastAsia" w:ascii="宋体" w:hAnsi="宋体" w:cs="宋体"/>
                <w:color w:val="auto"/>
                <w:kern w:val="0"/>
                <w:szCs w:val="21"/>
              </w:rPr>
            </w:pPr>
            <w:bookmarkStart w:id="1148" w:name="_Toc53994242"/>
            <w:bookmarkStart w:id="1149" w:name="_Toc53996202"/>
            <w:bookmarkStart w:id="1150" w:name="_Toc5230"/>
            <w:bookmarkStart w:id="1151" w:name="_Toc53519578"/>
            <w:bookmarkStart w:id="1152" w:name="_Toc55460721"/>
            <w:bookmarkStart w:id="1153" w:name="_Toc53997182"/>
            <w:r>
              <w:rPr>
                <w:rFonts w:ascii="宋体" w:hAnsi="宋体" w:cs="宋体"/>
                <w:color w:val="auto"/>
                <w:kern w:val="0"/>
                <w:szCs w:val="21"/>
              </w:rPr>
              <w:t>5</w:t>
            </w:r>
            <w:bookmarkEnd w:id="1148"/>
            <w:bookmarkEnd w:id="1149"/>
            <w:bookmarkEnd w:id="1150"/>
            <w:bookmarkEnd w:id="1151"/>
            <w:bookmarkEnd w:id="1152"/>
            <w:bookmarkEnd w:id="1153"/>
          </w:p>
        </w:tc>
        <w:tc>
          <w:tcPr>
            <w:tcW w:w="3819" w:type="dxa"/>
            <w:gridSpan w:val="3"/>
            <w:vAlign w:val="center"/>
          </w:tcPr>
          <w:p w14:paraId="4C2508D5">
            <w:pPr>
              <w:spacing w:line="320" w:lineRule="exact"/>
              <w:jc w:val="center"/>
              <w:rPr>
                <w:rFonts w:hint="eastAsia" w:ascii="宋体" w:hAnsi="宋体" w:cs="宋体"/>
                <w:color w:val="auto"/>
                <w:kern w:val="0"/>
                <w:szCs w:val="21"/>
              </w:rPr>
            </w:pPr>
            <w:bookmarkStart w:id="1154" w:name="_Toc53997183"/>
            <w:bookmarkStart w:id="1155" w:name="_Toc46331703"/>
            <w:bookmarkStart w:id="1156" w:name="_Toc42788969"/>
            <w:bookmarkStart w:id="1157" w:name="_Toc43215815"/>
            <w:bookmarkStart w:id="1158" w:name="_Toc46332684"/>
            <w:bookmarkStart w:id="1159" w:name="_Toc44425129"/>
            <w:bookmarkStart w:id="1160" w:name="_Toc55460722"/>
            <w:bookmarkStart w:id="1161" w:name="_Toc45698327"/>
            <w:bookmarkStart w:id="1162" w:name="_Toc44577530"/>
            <w:bookmarkStart w:id="1163" w:name="_Toc42786660"/>
            <w:bookmarkStart w:id="1164" w:name="_Toc53996203"/>
            <w:bookmarkStart w:id="1165" w:name="_Toc53519579"/>
            <w:bookmarkStart w:id="1166" w:name="_Toc53994243"/>
            <w:bookmarkStart w:id="1167" w:name="_Toc42873708"/>
            <w:bookmarkStart w:id="1168" w:name="_Toc30826"/>
            <w:r>
              <w:rPr>
                <w:rFonts w:hint="eastAsia" w:ascii="宋体" w:hAnsi="宋体" w:cs="宋体"/>
                <w:color w:val="auto"/>
                <w:kern w:val="0"/>
                <w:szCs w:val="21"/>
              </w:rPr>
              <w:t>不透水性</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tc>
        <w:tc>
          <w:tcPr>
            <w:tcW w:w="2665" w:type="dxa"/>
            <w:vAlign w:val="center"/>
          </w:tcPr>
          <w:p w14:paraId="42198AA5">
            <w:pPr>
              <w:spacing w:line="320" w:lineRule="exact"/>
              <w:jc w:val="center"/>
              <w:rPr>
                <w:rFonts w:hint="eastAsia" w:ascii="宋体" w:hAnsi="宋体" w:cs="宋体"/>
                <w:color w:val="auto"/>
                <w:kern w:val="0"/>
                <w:szCs w:val="21"/>
              </w:rPr>
            </w:pPr>
            <w:bookmarkStart w:id="1169" w:name="_Toc53994244"/>
            <w:bookmarkStart w:id="1170" w:name="_Toc46331704"/>
            <w:bookmarkStart w:id="1171" w:name="_Toc44425130"/>
            <w:bookmarkStart w:id="1172" w:name="_Toc53519580"/>
            <w:bookmarkStart w:id="1173" w:name="_Toc43215816"/>
            <w:bookmarkStart w:id="1174" w:name="_Toc45698328"/>
            <w:bookmarkStart w:id="1175" w:name="_Toc42873709"/>
            <w:bookmarkStart w:id="1176" w:name="_Toc46332685"/>
            <w:bookmarkStart w:id="1177" w:name="_Toc42788970"/>
            <w:bookmarkStart w:id="1178" w:name="_Toc53996204"/>
            <w:bookmarkStart w:id="1179" w:name="_Toc55460723"/>
            <w:bookmarkStart w:id="1180" w:name="_Toc44577531"/>
            <w:bookmarkStart w:id="1181" w:name="_Toc17044"/>
            <w:bookmarkStart w:id="1182" w:name="_Toc53997184"/>
            <w:bookmarkStart w:id="1183" w:name="_Toc42786661"/>
            <w:r>
              <w:rPr>
                <w:rFonts w:hint="eastAsia" w:ascii="宋体" w:hAnsi="宋体" w:cs="宋体"/>
                <w:color w:val="auto"/>
                <w:kern w:val="0"/>
                <w:szCs w:val="21"/>
              </w:rPr>
              <w:t>试样抹面层内侧无水渗透</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tc>
        <w:tc>
          <w:tcPr>
            <w:tcW w:w="1325" w:type="dxa"/>
            <w:vMerge w:val="continue"/>
            <w:vAlign w:val="center"/>
          </w:tcPr>
          <w:p w14:paraId="15B7E59E">
            <w:pPr>
              <w:snapToGrid w:val="0"/>
              <w:spacing w:line="360" w:lineRule="exact"/>
              <w:ind w:right="17"/>
              <w:jc w:val="center"/>
              <w:rPr>
                <w:rFonts w:hint="eastAsia" w:ascii="宋体" w:hAnsi="宋体"/>
                <w:color w:val="auto"/>
                <w:sz w:val="18"/>
                <w:szCs w:val="18"/>
              </w:rPr>
            </w:pPr>
          </w:p>
        </w:tc>
      </w:tr>
      <w:tr w14:paraId="76A10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717" w:type="dxa"/>
            <w:vAlign w:val="center"/>
          </w:tcPr>
          <w:p w14:paraId="4A6E5B36">
            <w:pPr>
              <w:spacing w:line="320" w:lineRule="exact"/>
              <w:jc w:val="center"/>
              <w:rPr>
                <w:rFonts w:hint="eastAsia" w:ascii="宋体" w:hAnsi="宋体" w:cs="宋体"/>
                <w:color w:val="auto"/>
                <w:kern w:val="0"/>
                <w:szCs w:val="21"/>
              </w:rPr>
            </w:pPr>
            <w:bookmarkStart w:id="1184" w:name="_Toc53997185"/>
            <w:bookmarkStart w:id="1185" w:name="_Toc53996205"/>
            <w:bookmarkStart w:id="1186" w:name="_Toc53519581"/>
            <w:bookmarkStart w:id="1187" w:name="_Toc53994245"/>
            <w:bookmarkStart w:id="1188" w:name="_Toc55460724"/>
            <w:bookmarkStart w:id="1189" w:name="_Toc16650"/>
            <w:r>
              <w:rPr>
                <w:rFonts w:ascii="宋体" w:hAnsi="宋体" w:cs="宋体"/>
                <w:color w:val="auto"/>
                <w:kern w:val="0"/>
                <w:szCs w:val="21"/>
              </w:rPr>
              <w:t>6</w:t>
            </w:r>
            <w:bookmarkEnd w:id="1184"/>
            <w:bookmarkEnd w:id="1185"/>
            <w:bookmarkEnd w:id="1186"/>
            <w:bookmarkEnd w:id="1187"/>
            <w:bookmarkEnd w:id="1188"/>
            <w:bookmarkEnd w:id="1189"/>
          </w:p>
        </w:tc>
        <w:tc>
          <w:tcPr>
            <w:tcW w:w="3819" w:type="dxa"/>
            <w:gridSpan w:val="3"/>
            <w:vAlign w:val="center"/>
          </w:tcPr>
          <w:p w14:paraId="72F52F41">
            <w:pPr>
              <w:spacing w:line="320" w:lineRule="exact"/>
              <w:jc w:val="center"/>
              <w:rPr>
                <w:rFonts w:hint="eastAsia" w:ascii="宋体" w:hAnsi="宋体" w:cs="宋体"/>
                <w:color w:val="auto"/>
                <w:kern w:val="0"/>
                <w:szCs w:val="21"/>
              </w:rPr>
            </w:pPr>
            <w:bookmarkStart w:id="1190" w:name="_Toc43215818"/>
            <w:bookmarkStart w:id="1191" w:name="_Toc53996206"/>
            <w:bookmarkStart w:id="1192" w:name="_Toc15480"/>
            <w:bookmarkStart w:id="1193" w:name="_Toc53994246"/>
            <w:bookmarkStart w:id="1194" w:name="_Toc42786663"/>
            <w:bookmarkStart w:id="1195" w:name="_Toc44577533"/>
            <w:bookmarkStart w:id="1196" w:name="_Toc55460725"/>
            <w:bookmarkStart w:id="1197" w:name="_Toc44425135"/>
            <w:bookmarkStart w:id="1198" w:name="_Toc45698330"/>
            <w:bookmarkStart w:id="1199" w:name="_Toc42873711"/>
            <w:bookmarkStart w:id="1200" w:name="_Toc46332687"/>
            <w:bookmarkStart w:id="1201" w:name="_Toc46331706"/>
            <w:bookmarkStart w:id="1202" w:name="_Toc53997186"/>
            <w:bookmarkStart w:id="1203" w:name="_Toc42788972"/>
            <w:bookmarkStart w:id="1204" w:name="_Toc53519582"/>
            <w:r>
              <w:rPr>
                <w:rFonts w:hint="eastAsia" w:ascii="宋体" w:hAnsi="宋体" w:cs="宋体"/>
                <w:color w:val="auto"/>
                <w:kern w:val="0"/>
                <w:szCs w:val="21"/>
              </w:rPr>
              <w:t>可操作时间,h</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tc>
        <w:tc>
          <w:tcPr>
            <w:tcW w:w="2665" w:type="dxa"/>
            <w:vAlign w:val="center"/>
          </w:tcPr>
          <w:p w14:paraId="0B1A8E13">
            <w:pPr>
              <w:spacing w:line="320" w:lineRule="exact"/>
              <w:jc w:val="center"/>
              <w:rPr>
                <w:rFonts w:hint="eastAsia" w:ascii="宋体" w:hAnsi="宋体" w:cs="宋体"/>
                <w:color w:val="auto"/>
                <w:kern w:val="0"/>
                <w:szCs w:val="21"/>
              </w:rPr>
            </w:pPr>
            <w:bookmarkStart w:id="1205" w:name="_Toc55460726"/>
            <w:bookmarkStart w:id="1206" w:name="_Toc44577534"/>
            <w:bookmarkStart w:id="1207" w:name="_Toc43215819"/>
            <w:bookmarkStart w:id="1208" w:name="_Toc53519583"/>
            <w:bookmarkStart w:id="1209" w:name="_Toc53996207"/>
            <w:bookmarkStart w:id="1210" w:name="_Toc42786664"/>
            <w:bookmarkStart w:id="1211" w:name="_Toc25709"/>
            <w:bookmarkStart w:id="1212" w:name="_Toc42873712"/>
            <w:bookmarkStart w:id="1213" w:name="_Toc45698331"/>
            <w:bookmarkStart w:id="1214" w:name="_Toc53997187"/>
            <w:bookmarkStart w:id="1215" w:name="_Toc44425136"/>
            <w:bookmarkStart w:id="1216" w:name="_Toc46331707"/>
            <w:bookmarkStart w:id="1217" w:name="_Toc46332688"/>
            <w:bookmarkStart w:id="1218" w:name="_Toc42788973"/>
            <w:bookmarkStart w:id="1219" w:name="_Toc53994247"/>
            <w:r>
              <w:rPr>
                <w:rFonts w:hint="eastAsia" w:ascii="宋体" w:hAnsi="宋体" w:cs="宋体"/>
                <w:color w:val="auto"/>
                <w:kern w:val="0"/>
                <w:szCs w:val="21"/>
              </w:rPr>
              <w:t>1.5～4.0</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tc>
        <w:tc>
          <w:tcPr>
            <w:tcW w:w="1325" w:type="dxa"/>
            <w:vMerge w:val="continue"/>
            <w:vAlign w:val="center"/>
          </w:tcPr>
          <w:p w14:paraId="08C9A09A">
            <w:pPr>
              <w:snapToGrid w:val="0"/>
              <w:spacing w:line="360" w:lineRule="exact"/>
              <w:ind w:right="17"/>
              <w:jc w:val="center"/>
              <w:rPr>
                <w:rFonts w:hint="eastAsia" w:ascii="宋体" w:hAnsi="宋体"/>
                <w:color w:val="auto"/>
                <w:sz w:val="18"/>
                <w:szCs w:val="18"/>
              </w:rPr>
            </w:pPr>
          </w:p>
        </w:tc>
      </w:tr>
    </w:tbl>
    <w:p w14:paraId="394BF708">
      <w:pPr>
        <w:kinsoku w:val="0"/>
        <w:overflowPunct w:val="0"/>
        <w:autoSpaceDE w:val="0"/>
        <w:autoSpaceDN w:val="0"/>
        <w:adjustRightInd w:val="0"/>
        <w:spacing w:before="8"/>
        <w:ind w:firstLine="482" w:firstLineChars="200"/>
        <w:jc w:val="left"/>
        <w:rPr>
          <w:rFonts w:hint="eastAsia" w:ascii="宋体" w:hAnsi="宋体" w:cs="黑体"/>
          <w:bCs/>
          <w:color w:val="auto"/>
          <w:kern w:val="0"/>
          <w:sz w:val="24"/>
        </w:rPr>
      </w:pPr>
      <w:r>
        <w:rPr>
          <w:rFonts w:hint="eastAsia" w:ascii="宋体" w:hAnsi="宋体" w:cstheme="minorHAnsi"/>
          <w:b/>
          <w:color w:val="auto"/>
          <w:kern w:val="0"/>
          <w:sz w:val="24"/>
        </w:rPr>
        <w:t>4.5.2</w:t>
      </w:r>
      <w:r>
        <w:rPr>
          <w:rFonts w:hint="eastAsia" w:ascii="宋体" w:hAnsi="宋体" w:cs="黑体"/>
          <w:bCs/>
          <w:color w:val="auto"/>
          <w:kern w:val="0"/>
          <w:sz w:val="24"/>
        </w:rPr>
        <w:t xml:space="preserve"> 耐碱玻纤网布的单位面积质量检验应符合现行国家标准《增强制品试验方法第3 部分: 单位面积质量的测定》 GB/T 9914.3的规定，耐碱玻纤网布的耐碱性检验应符合现行国家标准《玻璃纤维网布耐碱性试验方法氢氧化钠、溶液浸泡法》 GB/</w:t>
      </w:r>
      <w:r>
        <w:rPr>
          <w:rFonts w:ascii="宋体" w:hAnsi="宋体" w:cs="黑体"/>
          <w:bCs/>
          <w:color w:val="auto"/>
          <w:kern w:val="0"/>
          <w:sz w:val="24"/>
        </w:rPr>
        <w:t>T 20102</w:t>
      </w:r>
      <w:r>
        <w:rPr>
          <w:rFonts w:hint="eastAsia" w:ascii="宋体" w:hAnsi="宋体" w:cs="黑体"/>
          <w:bCs/>
          <w:color w:val="auto"/>
          <w:kern w:val="0"/>
          <w:sz w:val="24"/>
        </w:rPr>
        <w:t>的规定。</w:t>
      </w:r>
    </w:p>
    <w:p w14:paraId="01EAAD81">
      <w:pPr>
        <w:tabs>
          <w:tab w:val="left" w:pos="3969"/>
        </w:tabs>
        <w:snapToGrid w:val="0"/>
        <w:spacing w:line="520" w:lineRule="exact"/>
        <w:rPr>
          <w:rFonts w:hint="eastAsia" w:ascii="宋体" w:hAnsi="宋体" w:cstheme="minorHAnsi"/>
          <w:b/>
          <w:color w:val="auto"/>
          <w:kern w:val="0"/>
          <w:sz w:val="24"/>
        </w:rPr>
      </w:pPr>
      <w:r>
        <w:rPr>
          <w:rFonts w:hint="eastAsia" w:ascii="宋体" w:hAnsi="宋体" w:cstheme="minorHAnsi"/>
          <w:b/>
          <w:color w:val="auto"/>
          <w:kern w:val="0"/>
          <w:sz w:val="24"/>
        </w:rPr>
        <w:t>4.5.3</w:t>
      </w:r>
      <w:r>
        <w:rPr>
          <w:rFonts w:hint="eastAsia" w:ascii="宋体" w:hAnsi="宋体" w:cstheme="minorHAnsi"/>
          <w:color w:val="auto"/>
          <w:kern w:val="0"/>
          <w:sz w:val="24"/>
        </w:rPr>
        <w:t>普通型</w:t>
      </w:r>
      <w:r>
        <w:rPr>
          <w:rFonts w:hint="eastAsia" w:ascii="Calibri" w:hAnsi="Calibri" w:cs="黑体"/>
          <w:bCs/>
          <w:color w:val="auto"/>
          <w:kern w:val="0"/>
          <w:sz w:val="24"/>
        </w:rPr>
        <w:t>耐碱玻纤网布的主要性能</w:t>
      </w:r>
      <w:r>
        <w:rPr>
          <w:rFonts w:hint="eastAsia" w:ascii="宋体" w:hAnsi="宋体" w:cs="黑体"/>
          <w:bCs/>
          <w:color w:val="auto"/>
          <w:kern w:val="0"/>
          <w:sz w:val="24"/>
        </w:rPr>
        <w:t>应符合国家标准《外墙外保温工程技术标准》JGJ144-2019中4.0.9条规定。</w:t>
      </w:r>
      <w:r>
        <w:rPr>
          <w:rFonts w:hint="eastAsia" w:ascii="宋体" w:hAnsi="宋体" w:cstheme="minorHAnsi"/>
          <w:color w:val="auto"/>
          <w:kern w:val="0"/>
          <w:sz w:val="24"/>
        </w:rPr>
        <w:t>加强型</w:t>
      </w:r>
      <w:r>
        <w:rPr>
          <w:rFonts w:hint="eastAsia" w:ascii="Calibri" w:hAnsi="Calibri" w:cs="黑体"/>
          <w:bCs/>
          <w:color w:val="auto"/>
          <w:kern w:val="0"/>
          <w:sz w:val="24"/>
        </w:rPr>
        <w:t>耐碱玻纤网布的主要性能应符合表4.5.3的规定。</w:t>
      </w:r>
    </w:p>
    <w:p w14:paraId="245B5034">
      <w:pPr>
        <w:spacing w:before="156" w:beforeLines="50" w:after="156" w:afterLines="50" w:line="360" w:lineRule="exact"/>
        <w:jc w:val="center"/>
        <w:rPr>
          <w:b/>
          <w:bCs/>
          <w:color w:val="auto"/>
          <w:szCs w:val="21"/>
        </w:rPr>
      </w:pPr>
      <w:r>
        <w:rPr>
          <w:rFonts w:hint="eastAsia"/>
          <w:b/>
          <w:bCs/>
          <w:color w:val="auto"/>
          <w:szCs w:val="21"/>
        </w:rPr>
        <w:t>表4.5.3  加强型耐碱玻纤网布的性能指标</w:t>
      </w:r>
    </w:p>
    <w:tbl>
      <w:tblPr>
        <w:tblStyle w:val="88"/>
        <w:tblW w:w="85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3682"/>
        <w:gridCol w:w="2551"/>
        <w:gridCol w:w="1582"/>
      </w:tblGrid>
      <w:tr w14:paraId="2253C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rPr>
        <w:tc>
          <w:tcPr>
            <w:tcW w:w="708" w:type="dxa"/>
            <w:vAlign w:val="center"/>
          </w:tcPr>
          <w:p w14:paraId="2D8078B8">
            <w:pPr>
              <w:spacing w:line="320" w:lineRule="exact"/>
              <w:jc w:val="center"/>
              <w:rPr>
                <w:rFonts w:hint="eastAsia" w:ascii="宋体" w:hAnsi="宋体" w:cs="宋体"/>
                <w:color w:val="auto"/>
                <w:kern w:val="0"/>
                <w:szCs w:val="21"/>
              </w:rPr>
            </w:pPr>
            <w:bookmarkStart w:id="1220" w:name="_Toc42788984"/>
            <w:bookmarkStart w:id="1221" w:name="_Toc42873723"/>
            <w:bookmarkStart w:id="1222" w:name="_Toc53997209"/>
            <w:bookmarkStart w:id="1223" w:name="_Toc43215830"/>
            <w:bookmarkStart w:id="1224" w:name="_Toc46331727"/>
            <w:bookmarkStart w:id="1225" w:name="_Toc44577551"/>
            <w:bookmarkStart w:id="1226" w:name="_Toc20722"/>
            <w:bookmarkStart w:id="1227" w:name="_Toc55460748"/>
            <w:bookmarkStart w:id="1228" w:name="_Toc42786675"/>
            <w:bookmarkStart w:id="1229" w:name="_Toc53994269"/>
            <w:bookmarkStart w:id="1230" w:name="_Toc53519605"/>
            <w:bookmarkStart w:id="1231" w:name="_Toc45698348"/>
            <w:bookmarkStart w:id="1232" w:name="_Toc44425148"/>
            <w:bookmarkStart w:id="1233" w:name="_Toc53996229"/>
            <w:bookmarkStart w:id="1234" w:name="_Toc46332708"/>
            <w:r>
              <w:rPr>
                <w:rFonts w:hint="eastAsia" w:ascii="宋体" w:hAnsi="宋体" w:cs="宋体"/>
                <w:color w:val="auto"/>
                <w:kern w:val="0"/>
                <w:szCs w:val="21"/>
              </w:rPr>
              <w:t>序号</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tc>
        <w:tc>
          <w:tcPr>
            <w:tcW w:w="3682" w:type="dxa"/>
            <w:vAlign w:val="center"/>
          </w:tcPr>
          <w:p w14:paraId="630FD64C">
            <w:pPr>
              <w:spacing w:line="320" w:lineRule="exact"/>
              <w:jc w:val="center"/>
              <w:rPr>
                <w:rFonts w:hint="eastAsia" w:ascii="宋体" w:hAnsi="宋体" w:cs="宋体"/>
                <w:color w:val="auto"/>
                <w:kern w:val="0"/>
                <w:szCs w:val="21"/>
              </w:rPr>
            </w:pPr>
            <w:bookmarkStart w:id="1235" w:name="_Toc53997210"/>
            <w:bookmarkStart w:id="1236" w:name="_Toc44577552"/>
            <w:bookmarkStart w:id="1237" w:name="_Toc44425149"/>
            <w:bookmarkStart w:id="1238" w:name="_Toc53996230"/>
            <w:bookmarkStart w:id="1239" w:name="_Toc46331728"/>
            <w:bookmarkStart w:id="1240" w:name="_Toc46332709"/>
            <w:bookmarkStart w:id="1241" w:name="_Toc53519606"/>
            <w:bookmarkStart w:id="1242" w:name="_Toc53994270"/>
            <w:bookmarkStart w:id="1243" w:name="_Toc42786676"/>
            <w:bookmarkStart w:id="1244" w:name="_Toc45698349"/>
            <w:bookmarkStart w:id="1245" w:name="_Toc42873724"/>
            <w:bookmarkStart w:id="1246" w:name="_Toc18339"/>
            <w:bookmarkStart w:id="1247" w:name="_Toc43215831"/>
            <w:bookmarkStart w:id="1248" w:name="_Toc42788985"/>
            <w:bookmarkStart w:id="1249" w:name="_Toc55460749"/>
            <w:r>
              <w:rPr>
                <w:rFonts w:hint="eastAsia" w:ascii="宋体" w:hAnsi="宋体" w:cs="宋体"/>
                <w:color w:val="auto"/>
                <w:kern w:val="0"/>
                <w:szCs w:val="21"/>
              </w:rPr>
              <w:t>试验项目</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tc>
        <w:tc>
          <w:tcPr>
            <w:tcW w:w="2551" w:type="dxa"/>
            <w:vAlign w:val="center"/>
          </w:tcPr>
          <w:p w14:paraId="2CE935CA">
            <w:pPr>
              <w:spacing w:line="320" w:lineRule="exact"/>
              <w:jc w:val="center"/>
              <w:rPr>
                <w:rFonts w:hint="eastAsia" w:ascii="宋体" w:hAnsi="宋体" w:cs="宋体"/>
                <w:color w:val="auto"/>
                <w:kern w:val="0"/>
                <w:szCs w:val="21"/>
              </w:rPr>
            </w:pPr>
            <w:bookmarkStart w:id="1250" w:name="_Toc42873725"/>
            <w:bookmarkStart w:id="1251" w:name="_Toc53996231"/>
            <w:bookmarkStart w:id="1252" w:name="_Toc44425150"/>
            <w:bookmarkStart w:id="1253" w:name="_Toc13456"/>
            <w:bookmarkStart w:id="1254" w:name="_Toc55460750"/>
            <w:bookmarkStart w:id="1255" w:name="_Toc46331729"/>
            <w:bookmarkStart w:id="1256" w:name="_Toc42786677"/>
            <w:bookmarkStart w:id="1257" w:name="_Toc43215832"/>
            <w:bookmarkStart w:id="1258" w:name="_Toc44577553"/>
            <w:bookmarkStart w:id="1259" w:name="_Toc46332710"/>
            <w:bookmarkStart w:id="1260" w:name="_Toc42788986"/>
            <w:bookmarkStart w:id="1261" w:name="_Toc53519607"/>
            <w:bookmarkStart w:id="1262" w:name="_Toc45698350"/>
            <w:bookmarkStart w:id="1263" w:name="_Toc53994271"/>
            <w:bookmarkStart w:id="1264" w:name="_Toc53997211"/>
            <w:r>
              <w:rPr>
                <w:rFonts w:hint="eastAsia" w:ascii="宋体" w:hAnsi="宋体" w:cs="宋体"/>
                <w:color w:val="auto"/>
                <w:kern w:val="0"/>
                <w:szCs w:val="21"/>
              </w:rPr>
              <w:t>性能指标</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tc>
        <w:tc>
          <w:tcPr>
            <w:tcW w:w="1582" w:type="dxa"/>
            <w:vAlign w:val="center"/>
          </w:tcPr>
          <w:p w14:paraId="35991F50">
            <w:pPr>
              <w:spacing w:line="320" w:lineRule="exact"/>
              <w:jc w:val="center"/>
              <w:rPr>
                <w:rFonts w:hint="eastAsia" w:ascii="宋体" w:hAnsi="宋体" w:cs="宋体"/>
                <w:color w:val="auto"/>
                <w:kern w:val="0"/>
                <w:szCs w:val="21"/>
              </w:rPr>
            </w:pPr>
            <w:bookmarkStart w:id="1265" w:name="_Toc53519608"/>
            <w:bookmarkStart w:id="1266" w:name="_Toc43215833"/>
            <w:bookmarkStart w:id="1267" w:name="_Toc45698351"/>
            <w:bookmarkStart w:id="1268" w:name="_Toc30075"/>
            <w:bookmarkStart w:id="1269" w:name="_Toc42788987"/>
            <w:bookmarkStart w:id="1270" w:name="_Toc55460751"/>
            <w:bookmarkStart w:id="1271" w:name="_Toc44577554"/>
            <w:bookmarkStart w:id="1272" w:name="_Toc42873726"/>
            <w:bookmarkStart w:id="1273" w:name="_Toc42786678"/>
            <w:bookmarkStart w:id="1274" w:name="_Toc53996232"/>
            <w:bookmarkStart w:id="1275" w:name="_Toc46331730"/>
            <w:bookmarkStart w:id="1276" w:name="_Toc46332711"/>
            <w:bookmarkStart w:id="1277" w:name="_Toc44425151"/>
            <w:bookmarkStart w:id="1278" w:name="_Toc53997212"/>
            <w:bookmarkStart w:id="1279" w:name="_Toc53994272"/>
            <w:r>
              <w:rPr>
                <w:rFonts w:hint="eastAsia" w:ascii="宋体" w:hAnsi="宋体" w:cs="宋体"/>
                <w:color w:val="auto"/>
                <w:kern w:val="0"/>
                <w:szCs w:val="21"/>
              </w:rPr>
              <w:t>试验方法</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tc>
      </w:tr>
      <w:tr w14:paraId="6592D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708" w:type="dxa"/>
            <w:vAlign w:val="center"/>
          </w:tcPr>
          <w:p w14:paraId="357E420D">
            <w:pPr>
              <w:spacing w:line="320" w:lineRule="exact"/>
              <w:jc w:val="center"/>
              <w:rPr>
                <w:rFonts w:hint="eastAsia" w:ascii="宋体" w:hAnsi="宋体" w:cs="宋体"/>
                <w:color w:val="auto"/>
                <w:kern w:val="0"/>
                <w:szCs w:val="21"/>
              </w:rPr>
            </w:pPr>
            <w:bookmarkStart w:id="1280" w:name="_Toc53994275"/>
            <w:bookmarkStart w:id="1281" w:name="_Toc53996235"/>
            <w:bookmarkStart w:id="1282" w:name="_Toc17187"/>
            <w:bookmarkStart w:id="1283" w:name="_Toc42786681"/>
            <w:bookmarkStart w:id="1284" w:name="_Toc44577557"/>
            <w:bookmarkStart w:id="1285" w:name="_Toc42788990"/>
            <w:bookmarkStart w:id="1286" w:name="_Toc43215836"/>
            <w:bookmarkStart w:id="1287" w:name="_Toc53997215"/>
            <w:bookmarkStart w:id="1288" w:name="_Toc44425154"/>
            <w:bookmarkStart w:id="1289" w:name="_Toc45698354"/>
            <w:bookmarkStart w:id="1290" w:name="_Toc55460754"/>
            <w:bookmarkStart w:id="1291" w:name="_Toc46331733"/>
            <w:bookmarkStart w:id="1292" w:name="_Toc42873729"/>
            <w:bookmarkStart w:id="1293" w:name="_Toc53519611"/>
            <w:bookmarkStart w:id="1294" w:name="_Toc46332714"/>
            <w:r>
              <w:rPr>
                <w:rFonts w:hint="eastAsia" w:ascii="宋体" w:hAnsi="宋体" w:cs="宋体"/>
                <w:color w:val="auto"/>
                <w:kern w:val="0"/>
                <w:szCs w:val="21"/>
              </w:rPr>
              <w:t>1</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tc>
        <w:tc>
          <w:tcPr>
            <w:tcW w:w="3682" w:type="dxa"/>
            <w:vAlign w:val="center"/>
          </w:tcPr>
          <w:p w14:paraId="5166A424">
            <w:pPr>
              <w:spacing w:line="320" w:lineRule="exact"/>
              <w:jc w:val="left"/>
              <w:rPr>
                <w:rFonts w:hint="eastAsia" w:ascii="宋体" w:hAnsi="宋体" w:cs="宋体"/>
                <w:color w:val="auto"/>
                <w:kern w:val="0"/>
                <w:szCs w:val="21"/>
              </w:rPr>
            </w:pPr>
            <w:bookmarkStart w:id="1295" w:name="_Toc15653"/>
            <w:bookmarkStart w:id="1296" w:name="_Toc43215837"/>
            <w:bookmarkStart w:id="1297" w:name="_Toc45698355"/>
            <w:bookmarkStart w:id="1298" w:name="_Toc42873730"/>
            <w:bookmarkStart w:id="1299" w:name="_Toc53997216"/>
            <w:bookmarkStart w:id="1300" w:name="_Toc42788991"/>
            <w:bookmarkStart w:id="1301" w:name="_Toc53519612"/>
            <w:bookmarkStart w:id="1302" w:name="_Toc53994276"/>
            <w:bookmarkStart w:id="1303" w:name="_Toc53996236"/>
            <w:bookmarkStart w:id="1304" w:name="_Toc44577558"/>
            <w:bookmarkStart w:id="1305" w:name="_Toc46331734"/>
            <w:bookmarkStart w:id="1306" w:name="_Toc42786682"/>
            <w:bookmarkStart w:id="1307" w:name="_Toc55460755"/>
            <w:bookmarkStart w:id="1308" w:name="_Toc44425155"/>
            <w:bookmarkStart w:id="1309" w:name="_Toc46332715"/>
            <w:r>
              <w:rPr>
                <w:rFonts w:hint="eastAsia" w:ascii="宋体" w:hAnsi="宋体" w:cs="宋体"/>
                <w:color w:val="auto"/>
                <w:kern w:val="0"/>
                <w:szCs w:val="21"/>
              </w:rPr>
              <w:t>单位面积质量，g/m</w:t>
            </w:r>
            <w:r>
              <w:rPr>
                <w:rFonts w:hint="eastAsia" w:ascii="宋体" w:hAnsi="宋体" w:cs="宋体"/>
                <w:color w:val="auto"/>
                <w:kern w:val="0"/>
                <w:szCs w:val="21"/>
                <w:vertAlign w:val="superscript"/>
              </w:rPr>
              <w:t>2</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tc>
        <w:tc>
          <w:tcPr>
            <w:tcW w:w="2551" w:type="dxa"/>
            <w:vAlign w:val="center"/>
          </w:tcPr>
          <w:p w14:paraId="05C95227">
            <w:pPr>
              <w:spacing w:line="320" w:lineRule="exact"/>
              <w:jc w:val="center"/>
              <w:rPr>
                <w:rFonts w:hint="eastAsia" w:ascii="宋体" w:hAnsi="宋体" w:cs="宋体"/>
                <w:color w:val="auto"/>
                <w:kern w:val="0"/>
                <w:szCs w:val="21"/>
              </w:rPr>
            </w:pPr>
            <w:bookmarkStart w:id="1310" w:name="_Toc42786684"/>
            <w:bookmarkStart w:id="1311" w:name="_Toc42788993"/>
            <w:bookmarkStart w:id="1312" w:name="_Toc46332717"/>
            <w:bookmarkStart w:id="1313" w:name="_Toc53997218"/>
            <w:bookmarkStart w:id="1314" w:name="_Toc43215839"/>
            <w:bookmarkStart w:id="1315" w:name="_Toc55460757"/>
            <w:bookmarkStart w:id="1316" w:name="_Toc44577560"/>
            <w:bookmarkStart w:id="1317" w:name="_Toc53994278"/>
            <w:bookmarkStart w:id="1318" w:name="_Toc44425157"/>
            <w:bookmarkStart w:id="1319" w:name="_Toc53996238"/>
            <w:bookmarkStart w:id="1320" w:name="_Toc45698357"/>
            <w:bookmarkStart w:id="1321" w:name="_Toc12952"/>
            <w:bookmarkStart w:id="1322" w:name="_Toc46331736"/>
            <w:bookmarkStart w:id="1323" w:name="_Toc53519614"/>
            <w:bookmarkStart w:id="1324" w:name="_Toc42873732"/>
            <w:r>
              <w:rPr>
                <w:rFonts w:hint="eastAsia" w:ascii="宋体" w:hAnsi="宋体" w:cs="宋体"/>
                <w:color w:val="auto"/>
                <w:kern w:val="0"/>
                <w:szCs w:val="21"/>
              </w:rPr>
              <w:t>≥300</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tc>
        <w:tc>
          <w:tcPr>
            <w:tcW w:w="1582" w:type="dxa"/>
            <w:vAlign w:val="center"/>
          </w:tcPr>
          <w:p w14:paraId="7C33E5BB">
            <w:pPr>
              <w:spacing w:line="320" w:lineRule="exact"/>
              <w:jc w:val="center"/>
              <w:rPr>
                <w:rFonts w:hint="eastAsia" w:ascii="宋体" w:hAnsi="宋体" w:cs="宋体"/>
                <w:color w:val="auto"/>
                <w:kern w:val="0"/>
                <w:szCs w:val="21"/>
              </w:rPr>
            </w:pPr>
            <w:bookmarkStart w:id="1325" w:name="_Toc55460758"/>
            <w:bookmarkStart w:id="1326" w:name="_Toc46331737"/>
            <w:bookmarkStart w:id="1327" w:name="_Toc46332718"/>
            <w:bookmarkStart w:id="1328" w:name="_Toc42788994"/>
            <w:bookmarkStart w:id="1329" w:name="_Toc53994279"/>
            <w:bookmarkStart w:id="1330" w:name="_Toc44425158"/>
            <w:bookmarkStart w:id="1331" w:name="_Toc43215840"/>
            <w:bookmarkStart w:id="1332" w:name="_Toc53997219"/>
            <w:bookmarkStart w:id="1333" w:name="_Toc53519615"/>
            <w:bookmarkStart w:id="1334" w:name="_Toc45698358"/>
            <w:bookmarkStart w:id="1335" w:name="_Toc26553"/>
            <w:bookmarkStart w:id="1336" w:name="_Toc42786685"/>
            <w:bookmarkStart w:id="1337" w:name="_Toc53996239"/>
            <w:bookmarkStart w:id="1338" w:name="_Toc44577561"/>
            <w:bookmarkStart w:id="1339" w:name="_Toc42873733"/>
            <w:r>
              <w:rPr>
                <w:rFonts w:hint="eastAsia" w:ascii="宋体" w:hAnsi="宋体" w:cs="宋体"/>
                <w:color w:val="auto"/>
                <w:kern w:val="0"/>
                <w:szCs w:val="21"/>
              </w:rPr>
              <w:t>GB/T 9914.3</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tc>
      </w:tr>
      <w:tr w14:paraId="31719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trPr>
        <w:tc>
          <w:tcPr>
            <w:tcW w:w="708" w:type="dxa"/>
            <w:vAlign w:val="center"/>
          </w:tcPr>
          <w:p w14:paraId="6645C9E5">
            <w:pPr>
              <w:spacing w:line="320" w:lineRule="exact"/>
              <w:jc w:val="center"/>
              <w:rPr>
                <w:rFonts w:hint="eastAsia" w:ascii="宋体" w:hAnsi="宋体" w:cs="宋体"/>
                <w:color w:val="auto"/>
                <w:kern w:val="0"/>
                <w:szCs w:val="21"/>
              </w:rPr>
            </w:pPr>
            <w:bookmarkStart w:id="1340" w:name="_Toc53997220"/>
            <w:bookmarkStart w:id="1341" w:name="_Toc46332719"/>
            <w:bookmarkStart w:id="1342" w:name="_Toc53996240"/>
            <w:bookmarkStart w:id="1343" w:name="_Toc44577562"/>
            <w:bookmarkStart w:id="1344" w:name="_Toc46331738"/>
            <w:bookmarkStart w:id="1345" w:name="_Toc53994280"/>
            <w:bookmarkStart w:id="1346" w:name="_Toc45698359"/>
            <w:bookmarkStart w:id="1347" w:name="_Toc55460759"/>
            <w:bookmarkStart w:id="1348" w:name="_Toc53519616"/>
            <w:bookmarkStart w:id="1349" w:name="_Toc26219"/>
            <w:bookmarkStart w:id="1350" w:name="_Toc44425159"/>
            <w:r>
              <w:rPr>
                <w:rFonts w:hint="eastAsia" w:ascii="宋体" w:hAnsi="宋体" w:cs="宋体"/>
                <w:color w:val="auto"/>
                <w:kern w:val="0"/>
                <w:szCs w:val="21"/>
              </w:rPr>
              <w:t>2</w:t>
            </w:r>
            <w:bookmarkEnd w:id="1340"/>
            <w:bookmarkEnd w:id="1341"/>
            <w:bookmarkEnd w:id="1342"/>
            <w:bookmarkEnd w:id="1343"/>
            <w:bookmarkEnd w:id="1344"/>
            <w:bookmarkEnd w:id="1345"/>
            <w:bookmarkEnd w:id="1346"/>
            <w:bookmarkEnd w:id="1347"/>
            <w:bookmarkEnd w:id="1348"/>
            <w:bookmarkEnd w:id="1349"/>
            <w:bookmarkEnd w:id="1350"/>
          </w:p>
        </w:tc>
        <w:tc>
          <w:tcPr>
            <w:tcW w:w="3682" w:type="dxa"/>
            <w:vAlign w:val="center"/>
          </w:tcPr>
          <w:p w14:paraId="14CCE346">
            <w:pPr>
              <w:spacing w:line="320" w:lineRule="exact"/>
              <w:jc w:val="left"/>
              <w:rPr>
                <w:rFonts w:hint="eastAsia" w:ascii="宋体" w:hAnsi="宋体" w:cs="宋体"/>
                <w:color w:val="auto"/>
                <w:kern w:val="0"/>
                <w:szCs w:val="21"/>
              </w:rPr>
            </w:pPr>
            <w:bookmarkStart w:id="1351" w:name="_Toc44425160"/>
            <w:bookmarkStart w:id="1352" w:name="_Toc42789000"/>
            <w:bookmarkStart w:id="1353" w:name="_Toc53994281"/>
            <w:bookmarkStart w:id="1354" w:name="_Toc44577563"/>
            <w:bookmarkStart w:id="1355" w:name="_Toc42786691"/>
            <w:bookmarkStart w:id="1356" w:name="_Toc53996241"/>
            <w:bookmarkStart w:id="1357" w:name="_Toc42873739"/>
            <w:bookmarkStart w:id="1358" w:name="_Toc53997221"/>
            <w:bookmarkStart w:id="1359" w:name="_Toc17925"/>
            <w:bookmarkStart w:id="1360" w:name="_Toc43215846"/>
            <w:bookmarkStart w:id="1361" w:name="_Toc45698360"/>
            <w:bookmarkStart w:id="1362" w:name="_Toc53519617"/>
            <w:bookmarkStart w:id="1363" w:name="_Toc46331739"/>
            <w:bookmarkStart w:id="1364" w:name="_Toc55460760"/>
            <w:bookmarkStart w:id="1365" w:name="_Toc46332720"/>
            <w:r>
              <w:rPr>
                <w:rFonts w:hint="eastAsia" w:ascii="宋体" w:hAnsi="宋体" w:cs="宋体"/>
                <w:color w:val="auto"/>
                <w:kern w:val="0"/>
                <w:szCs w:val="21"/>
              </w:rPr>
              <w:t>耐碱断裂强力（经、纬向），N/50mm</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tc>
        <w:tc>
          <w:tcPr>
            <w:tcW w:w="2551" w:type="dxa"/>
            <w:vAlign w:val="center"/>
          </w:tcPr>
          <w:p w14:paraId="40A6F566">
            <w:pPr>
              <w:spacing w:line="320" w:lineRule="exact"/>
              <w:jc w:val="center"/>
              <w:rPr>
                <w:rFonts w:hint="eastAsia" w:ascii="宋体" w:hAnsi="宋体" w:cs="宋体"/>
                <w:color w:val="auto"/>
                <w:kern w:val="0"/>
                <w:szCs w:val="21"/>
              </w:rPr>
            </w:pPr>
            <w:bookmarkStart w:id="1366" w:name="_Toc42786693"/>
            <w:bookmarkStart w:id="1367" w:name="_Toc43215848"/>
            <w:bookmarkStart w:id="1368" w:name="_Toc55460762"/>
            <w:bookmarkStart w:id="1369" w:name="_Toc45698362"/>
            <w:bookmarkStart w:id="1370" w:name="_Toc42789002"/>
            <w:bookmarkStart w:id="1371" w:name="_Toc53519619"/>
            <w:bookmarkStart w:id="1372" w:name="_Toc53994283"/>
            <w:bookmarkStart w:id="1373" w:name="_Toc44425162"/>
            <w:bookmarkStart w:id="1374" w:name="_Toc42873741"/>
            <w:bookmarkStart w:id="1375" w:name="_Toc53997223"/>
            <w:bookmarkStart w:id="1376" w:name="_Toc12680"/>
            <w:bookmarkStart w:id="1377" w:name="_Toc44577565"/>
            <w:bookmarkStart w:id="1378" w:name="_Toc53996243"/>
            <w:bookmarkStart w:id="1379" w:name="_Toc46332722"/>
            <w:bookmarkStart w:id="1380" w:name="_Toc46331741"/>
            <w:r>
              <w:rPr>
                <w:rFonts w:hint="eastAsia" w:ascii="宋体" w:hAnsi="宋体" w:cs="宋体"/>
                <w:color w:val="auto"/>
                <w:kern w:val="0"/>
                <w:szCs w:val="21"/>
              </w:rPr>
              <w:t>≥1500</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tc>
        <w:tc>
          <w:tcPr>
            <w:tcW w:w="1582" w:type="dxa"/>
            <w:vAlign w:val="center"/>
          </w:tcPr>
          <w:p w14:paraId="316363E6">
            <w:pPr>
              <w:spacing w:line="320" w:lineRule="exact"/>
              <w:jc w:val="center"/>
              <w:rPr>
                <w:rFonts w:hint="eastAsia" w:ascii="宋体" w:hAnsi="宋体" w:cs="宋体"/>
                <w:color w:val="auto"/>
                <w:kern w:val="0"/>
                <w:szCs w:val="21"/>
              </w:rPr>
            </w:pPr>
            <w:bookmarkStart w:id="1381" w:name="_Toc43215849"/>
            <w:bookmarkStart w:id="1382" w:name="_Toc42786694"/>
            <w:bookmarkStart w:id="1383" w:name="_Toc42873742"/>
            <w:bookmarkStart w:id="1384" w:name="_Toc42789003"/>
            <w:bookmarkStart w:id="1385" w:name="_Toc44577566"/>
            <w:bookmarkStart w:id="1386" w:name="_Toc53996244"/>
            <w:bookmarkStart w:id="1387" w:name="_Toc53519620"/>
            <w:bookmarkStart w:id="1388" w:name="_Toc53997224"/>
            <w:bookmarkStart w:id="1389" w:name="_Toc46331742"/>
            <w:bookmarkStart w:id="1390" w:name="_Toc53994284"/>
            <w:bookmarkStart w:id="1391" w:name="_Toc45698363"/>
            <w:bookmarkStart w:id="1392" w:name="_Toc44425163"/>
            <w:bookmarkStart w:id="1393" w:name="_Toc30520"/>
            <w:bookmarkStart w:id="1394" w:name="_Toc46332723"/>
            <w:bookmarkStart w:id="1395" w:name="_Toc55460763"/>
            <w:r>
              <w:rPr>
                <w:rFonts w:hint="eastAsia" w:ascii="宋体" w:hAnsi="宋体" w:cs="宋体"/>
                <w:color w:val="auto"/>
                <w:kern w:val="0"/>
                <w:szCs w:val="21"/>
              </w:rPr>
              <w:t>GB/T 7689.5</w:t>
            </w:r>
            <w:bookmarkEnd w:id="1381"/>
            <w:bookmarkEnd w:id="1382"/>
            <w:bookmarkEnd w:id="1383"/>
            <w:bookmarkEnd w:id="1384"/>
            <w:r>
              <w:rPr>
                <w:rFonts w:hint="eastAsia" w:ascii="宋体" w:hAnsi="宋体" w:cs="宋体"/>
                <w:color w:val="auto"/>
                <w:kern w:val="0"/>
                <w:szCs w:val="21"/>
              </w:rPr>
              <w:t xml:space="preserve"> GB/T 20102</w:t>
            </w:r>
            <w:bookmarkEnd w:id="1385"/>
            <w:bookmarkEnd w:id="1386"/>
            <w:bookmarkEnd w:id="1387"/>
            <w:bookmarkEnd w:id="1388"/>
            <w:bookmarkEnd w:id="1389"/>
            <w:bookmarkEnd w:id="1390"/>
            <w:bookmarkEnd w:id="1391"/>
            <w:bookmarkEnd w:id="1392"/>
            <w:bookmarkEnd w:id="1393"/>
            <w:bookmarkEnd w:id="1394"/>
            <w:bookmarkEnd w:id="1395"/>
          </w:p>
        </w:tc>
      </w:tr>
      <w:tr w14:paraId="2D9BB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708" w:type="dxa"/>
            <w:vAlign w:val="center"/>
          </w:tcPr>
          <w:p w14:paraId="639C71CD">
            <w:pPr>
              <w:spacing w:line="320" w:lineRule="exact"/>
              <w:jc w:val="center"/>
              <w:rPr>
                <w:rFonts w:hint="eastAsia" w:ascii="宋体" w:hAnsi="宋体" w:cs="宋体"/>
                <w:color w:val="auto"/>
                <w:kern w:val="0"/>
                <w:szCs w:val="21"/>
              </w:rPr>
            </w:pPr>
            <w:bookmarkStart w:id="1396" w:name="_Toc53996245"/>
            <w:bookmarkStart w:id="1397" w:name="_Toc45698364"/>
            <w:bookmarkStart w:id="1398" w:name="_Toc27946"/>
            <w:bookmarkStart w:id="1399" w:name="_Toc53519621"/>
            <w:bookmarkStart w:id="1400" w:name="_Toc44577567"/>
            <w:bookmarkStart w:id="1401" w:name="_Toc55460764"/>
            <w:bookmarkStart w:id="1402" w:name="_Toc46331743"/>
            <w:bookmarkStart w:id="1403" w:name="_Toc46332724"/>
            <w:bookmarkStart w:id="1404" w:name="_Toc53994285"/>
            <w:bookmarkStart w:id="1405" w:name="_Toc53997225"/>
            <w:bookmarkStart w:id="1406" w:name="_Toc44425164"/>
            <w:r>
              <w:rPr>
                <w:rFonts w:hint="eastAsia" w:ascii="宋体" w:hAnsi="宋体" w:cs="宋体"/>
                <w:color w:val="auto"/>
                <w:kern w:val="0"/>
                <w:szCs w:val="21"/>
              </w:rPr>
              <w:t>3</w:t>
            </w:r>
            <w:bookmarkEnd w:id="1396"/>
            <w:bookmarkEnd w:id="1397"/>
            <w:bookmarkEnd w:id="1398"/>
            <w:bookmarkEnd w:id="1399"/>
            <w:bookmarkEnd w:id="1400"/>
            <w:bookmarkEnd w:id="1401"/>
            <w:bookmarkEnd w:id="1402"/>
            <w:bookmarkEnd w:id="1403"/>
            <w:bookmarkEnd w:id="1404"/>
            <w:bookmarkEnd w:id="1405"/>
            <w:bookmarkEnd w:id="1406"/>
          </w:p>
        </w:tc>
        <w:tc>
          <w:tcPr>
            <w:tcW w:w="3682" w:type="dxa"/>
            <w:vAlign w:val="center"/>
          </w:tcPr>
          <w:p w14:paraId="4679118C">
            <w:pPr>
              <w:spacing w:line="320" w:lineRule="exact"/>
              <w:jc w:val="left"/>
              <w:rPr>
                <w:rFonts w:hint="eastAsia" w:ascii="宋体" w:hAnsi="宋体" w:cs="宋体"/>
                <w:color w:val="auto"/>
                <w:kern w:val="0"/>
                <w:szCs w:val="21"/>
              </w:rPr>
            </w:pPr>
            <w:bookmarkStart w:id="1407" w:name="_Toc46332725"/>
            <w:bookmarkStart w:id="1408" w:name="_Toc42873744"/>
            <w:bookmarkStart w:id="1409" w:name="_Toc45698365"/>
            <w:bookmarkStart w:id="1410" w:name="_Toc46331744"/>
            <w:bookmarkStart w:id="1411" w:name="_Toc53997226"/>
            <w:bookmarkStart w:id="1412" w:name="_Toc55460765"/>
            <w:bookmarkStart w:id="1413" w:name="_Toc44577568"/>
            <w:bookmarkStart w:id="1414" w:name="_Toc53519622"/>
            <w:bookmarkStart w:id="1415" w:name="_Toc53996246"/>
            <w:bookmarkStart w:id="1416" w:name="_Toc43215851"/>
            <w:bookmarkStart w:id="1417" w:name="_Toc53994286"/>
            <w:bookmarkStart w:id="1418" w:name="_Toc44425165"/>
            <w:bookmarkStart w:id="1419" w:name="_Toc42789005"/>
            <w:bookmarkStart w:id="1420" w:name="_Toc17280"/>
            <w:bookmarkStart w:id="1421" w:name="_Toc42786696"/>
            <w:r>
              <w:rPr>
                <w:rFonts w:hint="eastAsia" w:ascii="宋体" w:hAnsi="宋体" w:cs="宋体"/>
                <w:color w:val="auto"/>
                <w:kern w:val="0"/>
                <w:szCs w:val="21"/>
              </w:rPr>
              <w:t>耐碱强力保留率（经、纬向），%</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tc>
        <w:tc>
          <w:tcPr>
            <w:tcW w:w="2551" w:type="dxa"/>
            <w:vAlign w:val="center"/>
          </w:tcPr>
          <w:p w14:paraId="67D6465B">
            <w:pPr>
              <w:spacing w:line="320" w:lineRule="exact"/>
              <w:jc w:val="center"/>
              <w:rPr>
                <w:rFonts w:hint="eastAsia" w:ascii="宋体" w:hAnsi="宋体" w:cs="宋体"/>
                <w:color w:val="auto"/>
                <w:kern w:val="0"/>
                <w:szCs w:val="21"/>
              </w:rPr>
            </w:pPr>
            <w:bookmarkStart w:id="1422" w:name="_Toc42786697"/>
            <w:bookmarkStart w:id="1423" w:name="_Toc42873745"/>
            <w:bookmarkStart w:id="1424" w:name="_Toc43215852"/>
            <w:bookmarkStart w:id="1425" w:name="_Toc42789006"/>
            <w:bookmarkStart w:id="1426" w:name="_Toc12397"/>
            <w:bookmarkStart w:id="1427" w:name="_Toc46332726"/>
            <w:bookmarkStart w:id="1428" w:name="_Toc53997227"/>
            <w:bookmarkStart w:id="1429" w:name="_Toc53996247"/>
            <w:bookmarkStart w:id="1430" w:name="_Toc44577569"/>
            <w:bookmarkStart w:id="1431" w:name="_Toc53519623"/>
            <w:bookmarkStart w:id="1432" w:name="_Toc53994287"/>
            <w:bookmarkStart w:id="1433" w:name="_Toc45698366"/>
            <w:bookmarkStart w:id="1434" w:name="_Toc46331745"/>
            <w:bookmarkStart w:id="1435" w:name="_Toc55460766"/>
            <w:bookmarkStart w:id="1436" w:name="_Toc44425166"/>
            <w:r>
              <w:rPr>
                <w:rFonts w:hint="eastAsia" w:ascii="宋体" w:hAnsi="宋体" w:cs="宋体"/>
                <w:color w:val="auto"/>
                <w:kern w:val="0"/>
                <w:szCs w:val="21"/>
              </w:rPr>
              <w:t>≥</w:t>
            </w:r>
            <w:bookmarkEnd w:id="1422"/>
            <w:bookmarkEnd w:id="1423"/>
            <w:bookmarkEnd w:id="1424"/>
            <w:bookmarkEnd w:id="1425"/>
            <w:r>
              <w:rPr>
                <w:rFonts w:hint="eastAsia" w:ascii="宋体" w:hAnsi="宋体" w:cs="宋体"/>
                <w:color w:val="auto"/>
                <w:kern w:val="0"/>
                <w:szCs w:val="21"/>
              </w:rPr>
              <w:t>50</w:t>
            </w:r>
            <w:bookmarkEnd w:id="1426"/>
            <w:bookmarkEnd w:id="1427"/>
            <w:bookmarkEnd w:id="1428"/>
            <w:bookmarkEnd w:id="1429"/>
            <w:bookmarkEnd w:id="1430"/>
            <w:bookmarkEnd w:id="1431"/>
            <w:bookmarkEnd w:id="1432"/>
            <w:bookmarkEnd w:id="1433"/>
            <w:bookmarkEnd w:id="1434"/>
            <w:bookmarkEnd w:id="1435"/>
            <w:bookmarkEnd w:id="1436"/>
          </w:p>
        </w:tc>
        <w:tc>
          <w:tcPr>
            <w:tcW w:w="1582" w:type="dxa"/>
            <w:vAlign w:val="center"/>
          </w:tcPr>
          <w:p w14:paraId="46B183E9">
            <w:pPr>
              <w:spacing w:line="320" w:lineRule="exact"/>
              <w:jc w:val="center"/>
              <w:rPr>
                <w:rFonts w:hint="eastAsia" w:ascii="宋体" w:hAnsi="宋体" w:cs="宋体"/>
                <w:color w:val="auto"/>
                <w:kern w:val="0"/>
                <w:szCs w:val="21"/>
              </w:rPr>
            </w:pPr>
            <w:bookmarkStart w:id="1437" w:name="_Toc42786698"/>
            <w:bookmarkStart w:id="1438" w:name="_Toc42873746"/>
            <w:bookmarkStart w:id="1439" w:name="_Toc4235"/>
            <w:bookmarkStart w:id="1440" w:name="_Toc53996248"/>
            <w:bookmarkStart w:id="1441" w:name="_Toc53997228"/>
            <w:bookmarkStart w:id="1442" w:name="_Toc46332727"/>
            <w:bookmarkStart w:id="1443" w:name="_Toc53519624"/>
            <w:bookmarkStart w:id="1444" w:name="_Toc53994288"/>
            <w:bookmarkStart w:id="1445" w:name="_Toc44425167"/>
            <w:bookmarkStart w:id="1446" w:name="_Toc44577570"/>
            <w:bookmarkStart w:id="1447" w:name="_Toc43215853"/>
            <w:bookmarkStart w:id="1448" w:name="_Toc42789007"/>
            <w:bookmarkStart w:id="1449" w:name="_Toc46331746"/>
            <w:bookmarkStart w:id="1450" w:name="_Toc55460767"/>
            <w:bookmarkStart w:id="1451" w:name="_Toc45698367"/>
            <w:r>
              <w:rPr>
                <w:rFonts w:hint="eastAsia" w:ascii="宋体" w:hAnsi="宋体" w:cs="宋体"/>
                <w:color w:val="auto"/>
                <w:kern w:val="0"/>
                <w:szCs w:val="21"/>
              </w:rPr>
              <w:t>GB/T 20102</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tc>
      </w:tr>
      <w:tr w14:paraId="6ADEF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708" w:type="dxa"/>
            <w:vAlign w:val="center"/>
          </w:tcPr>
          <w:p w14:paraId="24634577">
            <w:pPr>
              <w:spacing w:line="320" w:lineRule="exact"/>
              <w:jc w:val="center"/>
              <w:rPr>
                <w:rFonts w:hint="eastAsia" w:ascii="宋体" w:hAnsi="宋体" w:cs="宋体"/>
                <w:color w:val="auto"/>
                <w:kern w:val="0"/>
                <w:szCs w:val="21"/>
              </w:rPr>
            </w:pPr>
            <w:bookmarkStart w:id="1452" w:name="_Toc53994289"/>
            <w:bookmarkStart w:id="1453" w:name="_Toc53996249"/>
            <w:bookmarkStart w:id="1454" w:name="_Toc22384"/>
            <w:bookmarkStart w:id="1455" w:name="_Toc46332728"/>
            <w:bookmarkStart w:id="1456" w:name="_Toc46331747"/>
            <w:bookmarkStart w:id="1457" w:name="_Toc44425168"/>
            <w:bookmarkStart w:id="1458" w:name="_Toc53519625"/>
            <w:bookmarkStart w:id="1459" w:name="_Toc45698368"/>
            <w:bookmarkStart w:id="1460" w:name="_Toc55460768"/>
            <w:bookmarkStart w:id="1461" w:name="_Toc44577571"/>
            <w:bookmarkStart w:id="1462" w:name="_Toc53997229"/>
            <w:r>
              <w:rPr>
                <w:rFonts w:hint="eastAsia" w:ascii="宋体" w:hAnsi="宋体" w:cs="宋体"/>
                <w:color w:val="auto"/>
                <w:kern w:val="0"/>
                <w:szCs w:val="21"/>
              </w:rPr>
              <w:t>4</w:t>
            </w:r>
            <w:bookmarkEnd w:id="1452"/>
            <w:bookmarkEnd w:id="1453"/>
            <w:bookmarkEnd w:id="1454"/>
            <w:bookmarkEnd w:id="1455"/>
            <w:bookmarkEnd w:id="1456"/>
            <w:bookmarkEnd w:id="1457"/>
            <w:bookmarkEnd w:id="1458"/>
            <w:bookmarkEnd w:id="1459"/>
            <w:bookmarkEnd w:id="1460"/>
            <w:bookmarkEnd w:id="1461"/>
            <w:bookmarkEnd w:id="1462"/>
          </w:p>
        </w:tc>
        <w:tc>
          <w:tcPr>
            <w:tcW w:w="3682" w:type="dxa"/>
            <w:vAlign w:val="center"/>
          </w:tcPr>
          <w:p w14:paraId="2B917821">
            <w:pPr>
              <w:spacing w:line="320" w:lineRule="exact"/>
              <w:jc w:val="left"/>
              <w:rPr>
                <w:rFonts w:hint="eastAsia" w:ascii="宋体" w:hAnsi="宋体" w:cs="宋体"/>
                <w:color w:val="auto"/>
                <w:kern w:val="0"/>
                <w:szCs w:val="21"/>
              </w:rPr>
            </w:pPr>
            <w:bookmarkStart w:id="1463" w:name="_Toc44577572"/>
            <w:bookmarkStart w:id="1464" w:name="_Toc46331748"/>
            <w:bookmarkStart w:id="1465" w:name="_Toc46332729"/>
            <w:bookmarkStart w:id="1466" w:name="_Toc53994290"/>
            <w:bookmarkStart w:id="1467" w:name="_Toc42786700"/>
            <w:bookmarkStart w:id="1468" w:name="_Toc44425169"/>
            <w:bookmarkStart w:id="1469" w:name="_Toc45698369"/>
            <w:bookmarkStart w:id="1470" w:name="_Toc55460769"/>
            <w:bookmarkStart w:id="1471" w:name="_Toc42873748"/>
            <w:bookmarkStart w:id="1472" w:name="_Toc53519626"/>
            <w:bookmarkStart w:id="1473" w:name="_Toc53997230"/>
            <w:bookmarkStart w:id="1474" w:name="_Toc31031"/>
            <w:bookmarkStart w:id="1475" w:name="_Toc53996250"/>
            <w:bookmarkStart w:id="1476" w:name="_Toc43215855"/>
            <w:bookmarkStart w:id="1477" w:name="_Toc42789009"/>
            <w:r>
              <w:rPr>
                <w:rFonts w:hint="eastAsia" w:ascii="宋体" w:hAnsi="宋体" w:cs="宋体"/>
                <w:color w:val="auto"/>
                <w:kern w:val="0"/>
                <w:szCs w:val="21"/>
              </w:rPr>
              <w:t>断裂伸长率（经、纬向），%</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tc>
        <w:tc>
          <w:tcPr>
            <w:tcW w:w="2551" w:type="dxa"/>
            <w:vAlign w:val="center"/>
          </w:tcPr>
          <w:p w14:paraId="14DFD13B">
            <w:pPr>
              <w:spacing w:line="320" w:lineRule="exact"/>
              <w:jc w:val="center"/>
              <w:rPr>
                <w:rFonts w:hint="eastAsia" w:ascii="宋体" w:hAnsi="宋体" w:cs="宋体"/>
                <w:color w:val="auto"/>
                <w:kern w:val="0"/>
                <w:szCs w:val="21"/>
              </w:rPr>
            </w:pPr>
            <w:bookmarkStart w:id="1478" w:name="_Toc42786701"/>
            <w:bookmarkStart w:id="1479" w:name="_Toc43215856"/>
            <w:bookmarkStart w:id="1480" w:name="_Toc42873749"/>
            <w:bookmarkStart w:id="1481" w:name="_Toc42789010"/>
            <w:bookmarkStart w:id="1482" w:name="_Toc55460770"/>
            <w:bookmarkStart w:id="1483" w:name="_Toc53997231"/>
            <w:bookmarkStart w:id="1484" w:name="_Toc45698370"/>
            <w:bookmarkStart w:id="1485" w:name="_Toc27626"/>
            <w:bookmarkStart w:id="1486" w:name="_Toc53994291"/>
            <w:bookmarkStart w:id="1487" w:name="_Toc46332730"/>
            <w:bookmarkStart w:id="1488" w:name="_Toc53996251"/>
            <w:bookmarkStart w:id="1489" w:name="_Toc44425170"/>
            <w:bookmarkStart w:id="1490" w:name="_Toc44577573"/>
            <w:bookmarkStart w:id="1491" w:name="_Toc53519627"/>
            <w:bookmarkStart w:id="1492" w:name="_Toc46331749"/>
            <w:r>
              <w:rPr>
                <w:rFonts w:hint="eastAsia" w:ascii="宋体" w:hAnsi="宋体" w:cs="宋体"/>
                <w:color w:val="auto"/>
                <w:kern w:val="0"/>
                <w:szCs w:val="21"/>
              </w:rPr>
              <w:t>≤</w:t>
            </w:r>
            <w:bookmarkEnd w:id="1478"/>
            <w:bookmarkEnd w:id="1479"/>
            <w:bookmarkEnd w:id="1480"/>
            <w:bookmarkEnd w:id="1481"/>
            <w:r>
              <w:rPr>
                <w:rFonts w:hint="eastAsia" w:ascii="宋体" w:hAnsi="宋体" w:cs="宋体"/>
                <w:color w:val="auto"/>
                <w:kern w:val="0"/>
                <w:szCs w:val="21"/>
              </w:rPr>
              <w:t>5.0</w:t>
            </w:r>
            <w:bookmarkEnd w:id="1482"/>
            <w:bookmarkEnd w:id="1483"/>
            <w:bookmarkEnd w:id="1484"/>
            <w:bookmarkEnd w:id="1485"/>
            <w:bookmarkEnd w:id="1486"/>
            <w:bookmarkEnd w:id="1487"/>
            <w:bookmarkEnd w:id="1488"/>
            <w:bookmarkEnd w:id="1489"/>
            <w:bookmarkEnd w:id="1490"/>
            <w:bookmarkEnd w:id="1491"/>
            <w:bookmarkEnd w:id="1492"/>
          </w:p>
        </w:tc>
        <w:tc>
          <w:tcPr>
            <w:tcW w:w="1582" w:type="dxa"/>
            <w:vAlign w:val="center"/>
          </w:tcPr>
          <w:p w14:paraId="547ABBAE">
            <w:pPr>
              <w:spacing w:line="320" w:lineRule="exact"/>
              <w:jc w:val="center"/>
              <w:rPr>
                <w:rFonts w:hint="eastAsia" w:ascii="宋体" w:hAnsi="宋体" w:cs="宋体"/>
                <w:color w:val="auto"/>
                <w:kern w:val="0"/>
                <w:szCs w:val="21"/>
              </w:rPr>
            </w:pPr>
            <w:bookmarkStart w:id="1493" w:name="_Toc42786702"/>
            <w:bookmarkStart w:id="1494" w:name="_Toc6508"/>
            <w:bookmarkStart w:id="1495" w:name="_Toc46331750"/>
            <w:bookmarkStart w:id="1496" w:name="_Toc42789011"/>
            <w:bookmarkStart w:id="1497" w:name="_Toc45698371"/>
            <w:bookmarkStart w:id="1498" w:name="_Toc55460771"/>
            <w:bookmarkStart w:id="1499" w:name="_Toc53997232"/>
            <w:bookmarkStart w:id="1500" w:name="_Toc44425171"/>
            <w:bookmarkStart w:id="1501" w:name="_Toc53996252"/>
            <w:bookmarkStart w:id="1502" w:name="_Toc43215857"/>
            <w:bookmarkStart w:id="1503" w:name="_Toc44577574"/>
            <w:bookmarkStart w:id="1504" w:name="_Toc46332731"/>
            <w:bookmarkStart w:id="1505" w:name="_Toc42873750"/>
            <w:bookmarkStart w:id="1506" w:name="_Toc53519628"/>
            <w:bookmarkStart w:id="1507" w:name="_Toc53994292"/>
            <w:r>
              <w:rPr>
                <w:rFonts w:hint="eastAsia" w:ascii="宋体" w:hAnsi="宋体" w:cs="宋体"/>
                <w:color w:val="auto"/>
                <w:kern w:val="0"/>
                <w:szCs w:val="21"/>
              </w:rPr>
              <w:t>GB/T 7689.5</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tc>
      </w:tr>
      <w:tr w14:paraId="241DE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8523" w:type="dxa"/>
            <w:gridSpan w:val="4"/>
            <w:vAlign w:val="center"/>
          </w:tcPr>
          <w:p w14:paraId="0D9845DA">
            <w:pPr>
              <w:spacing w:line="320" w:lineRule="exact"/>
              <w:jc w:val="left"/>
              <w:rPr>
                <w:rFonts w:hint="eastAsia" w:ascii="宋体" w:hAnsi="宋体" w:eastAsia="宋体" w:cs="宋体"/>
                <w:color w:val="auto"/>
                <w:kern w:val="0"/>
                <w:szCs w:val="21"/>
              </w:rPr>
            </w:pPr>
            <w:bookmarkStart w:id="1508" w:name="_Toc53519629"/>
            <w:bookmarkStart w:id="1509" w:name="_Toc5898"/>
            <w:bookmarkStart w:id="1510" w:name="_Toc53994293"/>
            <w:bookmarkStart w:id="1511" w:name="_Toc53997233"/>
            <w:bookmarkStart w:id="1512" w:name="_Toc55460772"/>
            <w:bookmarkStart w:id="1513" w:name="_Toc53996253"/>
            <w:r>
              <w:rPr>
                <w:rFonts w:hint="eastAsia" w:ascii="宋体" w:hAnsi="宋体" w:cs="宋体"/>
                <w:color w:val="auto"/>
                <w:kern w:val="0"/>
                <w:szCs w:val="21"/>
              </w:rPr>
              <w:t>注：耐碱玻纤网布耐碱性快速试验方法见JGJ 144-2019附录</w:t>
            </w:r>
            <w:bookmarkEnd w:id="1508"/>
            <w:bookmarkEnd w:id="1509"/>
            <w:bookmarkEnd w:id="1510"/>
            <w:bookmarkEnd w:id="1511"/>
            <w:bookmarkEnd w:id="1512"/>
            <w:bookmarkEnd w:id="1513"/>
            <w:r>
              <w:rPr>
                <w:rFonts w:hint="eastAsia" w:ascii="宋体" w:hAnsi="宋体" w:cs="宋体"/>
                <w:color w:val="auto"/>
                <w:kern w:val="0"/>
                <w:szCs w:val="21"/>
              </w:rPr>
              <w:t>B</w:t>
            </w:r>
          </w:p>
        </w:tc>
      </w:tr>
    </w:tbl>
    <w:p w14:paraId="1F0F3B69">
      <w:pPr>
        <w:tabs>
          <w:tab w:val="left" w:pos="3969"/>
        </w:tabs>
        <w:snapToGrid w:val="0"/>
        <w:spacing w:line="520" w:lineRule="exact"/>
        <w:rPr>
          <w:rFonts w:ascii="Calibri" w:hAnsi="Calibri" w:cs="黑体"/>
          <w:bCs/>
          <w:color w:val="auto"/>
          <w:kern w:val="0"/>
          <w:sz w:val="24"/>
        </w:rPr>
      </w:pPr>
      <w:bookmarkStart w:id="1514" w:name="_Hlk45265940"/>
      <w:r>
        <w:rPr>
          <w:rFonts w:ascii="Times New Roman" w:hAnsi="Times New Roman" w:cs="Times New Roman"/>
          <w:b/>
          <w:color w:val="auto"/>
          <w:kern w:val="0"/>
          <w:sz w:val="24"/>
        </w:rPr>
        <w:t>4.5.</w:t>
      </w:r>
      <w:r>
        <w:rPr>
          <w:rFonts w:hint="eastAsia" w:ascii="Times New Roman" w:hAnsi="Times New Roman" w:cs="Times New Roman"/>
          <w:b/>
          <w:color w:val="auto"/>
          <w:kern w:val="0"/>
          <w:sz w:val="24"/>
        </w:rPr>
        <w:t>4</w:t>
      </w:r>
      <w:r>
        <w:rPr>
          <w:rFonts w:hint="eastAsia" w:ascii="Calibri" w:hAnsi="Calibri" w:cs="黑体"/>
          <w:bCs/>
          <w:color w:val="auto"/>
          <w:kern w:val="0"/>
          <w:sz w:val="24"/>
        </w:rPr>
        <w:t>保温免拆模板与混凝土墙体应采用连接锚固件连接，连接件的主要性能指标应符合表4.5.4的规定。</w:t>
      </w:r>
    </w:p>
    <w:p w14:paraId="52E28CD0">
      <w:pPr>
        <w:spacing w:before="156" w:beforeLines="50" w:after="156" w:afterLines="50" w:line="360" w:lineRule="exact"/>
        <w:jc w:val="center"/>
        <w:rPr>
          <w:b/>
          <w:bCs/>
          <w:color w:val="auto"/>
          <w:szCs w:val="21"/>
        </w:rPr>
      </w:pPr>
      <w:r>
        <w:rPr>
          <w:rFonts w:hint="eastAsia"/>
          <w:b/>
          <w:bCs/>
          <w:color w:val="auto"/>
          <w:szCs w:val="21"/>
        </w:rPr>
        <w:t xml:space="preserve">表4.5.4  </w:t>
      </w:r>
      <w:r>
        <w:rPr>
          <w:rFonts w:ascii="Times New Roman" w:hAnsi="Times New Roman" w:cs="Times New Roman"/>
          <w:b/>
          <w:bCs/>
          <w:color w:val="auto"/>
          <w:kern w:val="0"/>
          <w:szCs w:val="21"/>
        </w:rPr>
        <w:t>连接</w:t>
      </w:r>
      <w:r>
        <w:rPr>
          <w:rFonts w:hint="eastAsia"/>
          <w:b/>
          <w:bCs/>
          <w:color w:val="auto"/>
          <w:szCs w:val="21"/>
        </w:rPr>
        <w:t>锚固件的主要性能指标</w:t>
      </w:r>
    </w:p>
    <w:tbl>
      <w:tblPr>
        <w:tblStyle w:val="88"/>
        <w:tblW w:w="85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3936"/>
        <w:gridCol w:w="2694"/>
        <w:gridCol w:w="1200"/>
      </w:tblGrid>
      <w:tr w14:paraId="4BD02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708" w:type="dxa"/>
            <w:shd w:val="clear" w:color="auto" w:fill="auto"/>
            <w:vAlign w:val="center"/>
          </w:tcPr>
          <w:p w14:paraId="7C21B839">
            <w:pPr>
              <w:spacing w:line="320" w:lineRule="exact"/>
              <w:jc w:val="center"/>
              <w:rPr>
                <w:rFonts w:ascii="Times New Roman" w:hAnsi="Times New Roman" w:cs="Times New Roman"/>
                <w:color w:val="auto"/>
                <w:kern w:val="0"/>
                <w:szCs w:val="21"/>
              </w:rPr>
            </w:pPr>
            <w:r>
              <w:rPr>
                <w:rFonts w:ascii="Times New Roman" w:hAnsi="Times New Roman" w:cs="Times New Roman"/>
                <w:color w:val="auto"/>
                <w:kern w:val="0"/>
                <w:szCs w:val="21"/>
              </w:rPr>
              <w:t>序号</w:t>
            </w:r>
          </w:p>
        </w:tc>
        <w:tc>
          <w:tcPr>
            <w:tcW w:w="3936" w:type="dxa"/>
            <w:shd w:val="clear" w:color="auto" w:fill="auto"/>
            <w:vAlign w:val="center"/>
          </w:tcPr>
          <w:p w14:paraId="58C12D3A">
            <w:pPr>
              <w:spacing w:line="320" w:lineRule="exact"/>
              <w:jc w:val="center"/>
              <w:rPr>
                <w:rFonts w:ascii="Times New Roman" w:hAnsi="Times New Roman" w:cs="Times New Roman"/>
                <w:color w:val="auto"/>
                <w:kern w:val="0"/>
                <w:szCs w:val="21"/>
              </w:rPr>
            </w:pPr>
            <w:r>
              <w:rPr>
                <w:rFonts w:ascii="Times New Roman" w:hAnsi="Times New Roman" w:cs="Times New Roman"/>
                <w:color w:val="auto"/>
                <w:kern w:val="0"/>
                <w:szCs w:val="21"/>
              </w:rPr>
              <w:t>试验项目</w:t>
            </w:r>
          </w:p>
        </w:tc>
        <w:tc>
          <w:tcPr>
            <w:tcW w:w="2694" w:type="dxa"/>
            <w:shd w:val="clear" w:color="auto" w:fill="auto"/>
            <w:vAlign w:val="center"/>
          </w:tcPr>
          <w:p w14:paraId="67035907">
            <w:pPr>
              <w:spacing w:line="320" w:lineRule="exact"/>
              <w:jc w:val="center"/>
              <w:rPr>
                <w:rFonts w:ascii="Times New Roman" w:hAnsi="Times New Roman" w:cs="Times New Roman"/>
                <w:color w:val="auto"/>
                <w:kern w:val="0"/>
                <w:szCs w:val="21"/>
              </w:rPr>
            </w:pPr>
            <w:r>
              <w:rPr>
                <w:rFonts w:ascii="Times New Roman" w:hAnsi="Times New Roman" w:cs="Times New Roman"/>
                <w:color w:val="auto"/>
                <w:kern w:val="0"/>
                <w:szCs w:val="21"/>
              </w:rPr>
              <w:t>性能指标</w:t>
            </w:r>
          </w:p>
        </w:tc>
        <w:tc>
          <w:tcPr>
            <w:tcW w:w="1200" w:type="dxa"/>
            <w:shd w:val="clear" w:color="auto" w:fill="auto"/>
            <w:vAlign w:val="center"/>
          </w:tcPr>
          <w:p w14:paraId="30F49F34">
            <w:pPr>
              <w:spacing w:line="320" w:lineRule="exact"/>
              <w:jc w:val="center"/>
              <w:rPr>
                <w:rFonts w:ascii="Times New Roman" w:hAnsi="Times New Roman" w:cs="Times New Roman"/>
                <w:color w:val="auto"/>
                <w:kern w:val="0"/>
                <w:szCs w:val="21"/>
              </w:rPr>
            </w:pPr>
            <w:r>
              <w:rPr>
                <w:rFonts w:ascii="Times New Roman" w:hAnsi="Times New Roman" w:cs="Times New Roman"/>
                <w:color w:val="auto"/>
                <w:kern w:val="0"/>
                <w:szCs w:val="21"/>
              </w:rPr>
              <w:t>试验方法</w:t>
            </w:r>
          </w:p>
        </w:tc>
      </w:tr>
      <w:tr w14:paraId="2D287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trPr>
        <w:tc>
          <w:tcPr>
            <w:tcW w:w="708" w:type="dxa"/>
            <w:shd w:val="clear" w:color="auto" w:fill="auto"/>
            <w:vAlign w:val="center"/>
          </w:tcPr>
          <w:p w14:paraId="15AE0CC3">
            <w:pPr>
              <w:spacing w:line="320" w:lineRule="exact"/>
              <w:jc w:val="center"/>
              <w:rPr>
                <w:rFonts w:ascii="Times New Roman" w:hAnsi="Times New Roman" w:cs="Times New Roman"/>
                <w:color w:val="auto"/>
                <w:kern w:val="0"/>
                <w:szCs w:val="21"/>
              </w:rPr>
            </w:pPr>
            <w:r>
              <w:rPr>
                <w:rFonts w:ascii="Times New Roman" w:hAnsi="Times New Roman" w:cs="Times New Roman"/>
                <w:color w:val="auto"/>
                <w:kern w:val="0"/>
                <w:szCs w:val="21"/>
              </w:rPr>
              <w:t>1</w:t>
            </w:r>
          </w:p>
        </w:tc>
        <w:tc>
          <w:tcPr>
            <w:tcW w:w="3936" w:type="dxa"/>
            <w:shd w:val="clear" w:color="auto" w:fill="auto"/>
            <w:vAlign w:val="center"/>
          </w:tcPr>
          <w:p w14:paraId="049C8B50">
            <w:pPr>
              <w:spacing w:line="320" w:lineRule="exact"/>
              <w:jc w:val="center"/>
              <w:rPr>
                <w:rFonts w:ascii="Times New Roman" w:hAnsi="Times New Roman" w:cs="Times New Roman"/>
                <w:color w:val="auto"/>
                <w:kern w:val="0"/>
                <w:szCs w:val="21"/>
              </w:rPr>
            </w:pPr>
            <w:r>
              <w:rPr>
                <w:rFonts w:ascii="Times New Roman" w:hAnsi="Times New Roman" w:cs="Times New Roman"/>
                <w:color w:val="auto"/>
                <w:kern w:val="0"/>
                <w:szCs w:val="21"/>
              </w:rPr>
              <w:t>单个</w:t>
            </w:r>
            <w:r>
              <w:rPr>
                <w:rFonts w:ascii="Times New Roman" w:hAnsi="Times New Roman" w:cs="Times New Roman"/>
                <w:bCs/>
                <w:color w:val="auto"/>
                <w:kern w:val="0"/>
                <w:szCs w:val="21"/>
              </w:rPr>
              <w:t>连接</w:t>
            </w:r>
            <w:r>
              <w:rPr>
                <w:rFonts w:ascii="Times New Roman" w:hAnsi="Times New Roman" w:cs="Times New Roman"/>
                <w:color w:val="auto"/>
                <w:kern w:val="0"/>
                <w:szCs w:val="21"/>
              </w:rPr>
              <w:t>锚固件抗拉承载力标准值,kN</w:t>
            </w:r>
          </w:p>
        </w:tc>
        <w:tc>
          <w:tcPr>
            <w:tcW w:w="2694" w:type="dxa"/>
            <w:shd w:val="clear" w:color="auto" w:fill="auto"/>
            <w:vAlign w:val="center"/>
          </w:tcPr>
          <w:p w14:paraId="72368AB6">
            <w:pPr>
              <w:spacing w:line="320" w:lineRule="exact"/>
              <w:jc w:val="center"/>
              <w:rPr>
                <w:rFonts w:ascii="Times New Roman" w:hAnsi="Times New Roman" w:cs="Times New Roman"/>
                <w:strike/>
                <w:color w:val="auto"/>
                <w:kern w:val="0"/>
                <w:szCs w:val="21"/>
              </w:rPr>
            </w:pPr>
            <w:r>
              <w:rPr>
                <w:rFonts w:ascii="Times New Roman" w:hAnsi="Times New Roman" w:cs="Times New Roman"/>
                <w:color w:val="auto"/>
                <w:kern w:val="0"/>
                <w:szCs w:val="21"/>
              </w:rPr>
              <w:t>≥1.00</w:t>
            </w:r>
          </w:p>
        </w:tc>
        <w:tc>
          <w:tcPr>
            <w:tcW w:w="1200" w:type="dxa"/>
            <w:vMerge w:val="restart"/>
            <w:shd w:val="clear" w:color="auto" w:fill="auto"/>
            <w:vAlign w:val="center"/>
          </w:tcPr>
          <w:p w14:paraId="22782271">
            <w:pPr>
              <w:spacing w:line="320" w:lineRule="exact"/>
              <w:jc w:val="center"/>
              <w:rPr>
                <w:rFonts w:ascii="Times New Roman" w:hAnsi="Times New Roman" w:cs="Times New Roman"/>
                <w:color w:val="auto"/>
                <w:kern w:val="0"/>
                <w:szCs w:val="21"/>
              </w:rPr>
            </w:pPr>
            <w:r>
              <w:rPr>
                <w:rFonts w:ascii="Times New Roman" w:hAnsi="Times New Roman" w:cs="Times New Roman"/>
                <w:color w:val="auto"/>
                <w:kern w:val="0"/>
                <w:szCs w:val="21"/>
              </w:rPr>
              <w:t>JG/T 366</w:t>
            </w:r>
          </w:p>
        </w:tc>
      </w:tr>
      <w:tr w14:paraId="05FC6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trPr>
        <w:tc>
          <w:tcPr>
            <w:tcW w:w="708" w:type="dxa"/>
            <w:shd w:val="clear" w:color="auto" w:fill="auto"/>
            <w:vAlign w:val="center"/>
          </w:tcPr>
          <w:p w14:paraId="133107B6">
            <w:pPr>
              <w:spacing w:line="320" w:lineRule="exact"/>
              <w:jc w:val="center"/>
              <w:rPr>
                <w:rFonts w:ascii="Times New Roman" w:hAnsi="Times New Roman" w:cs="Times New Roman"/>
                <w:color w:val="auto"/>
                <w:kern w:val="0"/>
                <w:szCs w:val="21"/>
              </w:rPr>
            </w:pPr>
            <w:r>
              <w:rPr>
                <w:rFonts w:ascii="Times New Roman" w:hAnsi="Times New Roman" w:cs="Times New Roman"/>
                <w:color w:val="auto"/>
                <w:kern w:val="0"/>
                <w:szCs w:val="21"/>
              </w:rPr>
              <w:t>2</w:t>
            </w:r>
          </w:p>
        </w:tc>
        <w:tc>
          <w:tcPr>
            <w:tcW w:w="3936" w:type="dxa"/>
            <w:shd w:val="clear" w:color="auto" w:fill="auto"/>
            <w:vAlign w:val="center"/>
          </w:tcPr>
          <w:p w14:paraId="365B1574">
            <w:pPr>
              <w:spacing w:line="320" w:lineRule="exact"/>
              <w:jc w:val="center"/>
              <w:rPr>
                <w:rFonts w:ascii="Times New Roman" w:hAnsi="Times New Roman" w:cs="Times New Roman"/>
                <w:color w:val="auto"/>
                <w:kern w:val="0"/>
                <w:szCs w:val="21"/>
              </w:rPr>
            </w:pPr>
            <w:r>
              <w:rPr>
                <w:rFonts w:ascii="Times New Roman" w:hAnsi="Times New Roman" w:cs="Times New Roman"/>
                <w:bCs/>
                <w:color w:val="auto"/>
                <w:kern w:val="0"/>
                <w:szCs w:val="21"/>
              </w:rPr>
              <w:t>连接</w:t>
            </w:r>
            <w:r>
              <w:rPr>
                <w:rFonts w:ascii="Times New Roman" w:hAnsi="Times New Roman" w:cs="Times New Roman"/>
                <w:color w:val="auto"/>
                <w:kern w:val="0"/>
                <w:szCs w:val="21"/>
              </w:rPr>
              <w:t>锚固件圆盘抗拔力标准值Fn,kN</w:t>
            </w:r>
          </w:p>
        </w:tc>
        <w:tc>
          <w:tcPr>
            <w:tcW w:w="2694" w:type="dxa"/>
            <w:shd w:val="clear" w:color="auto" w:fill="auto"/>
            <w:vAlign w:val="center"/>
          </w:tcPr>
          <w:p w14:paraId="3CADEB19">
            <w:pPr>
              <w:spacing w:line="320" w:lineRule="exact"/>
              <w:jc w:val="center"/>
              <w:rPr>
                <w:rFonts w:ascii="Times New Roman" w:hAnsi="Times New Roman" w:cs="Times New Roman"/>
                <w:color w:val="auto"/>
                <w:kern w:val="0"/>
                <w:szCs w:val="21"/>
              </w:rPr>
            </w:pPr>
            <w:r>
              <w:rPr>
                <w:rFonts w:ascii="Times New Roman" w:hAnsi="Times New Roman" w:cs="Times New Roman"/>
                <w:color w:val="auto"/>
                <w:kern w:val="0"/>
                <w:szCs w:val="21"/>
              </w:rPr>
              <w:t>≥1.00</w:t>
            </w:r>
          </w:p>
        </w:tc>
        <w:tc>
          <w:tcPr>
            <w:tcW w:w="1200" w:type="dxa"/>
            <w:vMerge w:val="continue"/>
            <w:shd w:val="clear" w:color="auto" w:fill="auto"/>
            <w:vAlign w:val="center"/>
          </w:tcPr>
          <w:p w14:paraId="2AADB6AB">
            <w:pPr>
              <w:spacing w:line="320" w:lineRule="exact"/>
              <w:jc w:val="center"/>
              <w:rPr>
                <w:rFonts w:ascii="Times New Roman" w:hAnsi="Times New Roman" w:cs="Times New Roman"/>
                <w:color w:val="auto"/>
                <w:kern w:val="0"/>
                <w:szCs w:val="21"/>
              </w:rPr>
            </w:pPr>
          </w:p>
        </w:tc>
      </w:tr>
      <w:bookmarkEnd w:id="1514"/>
    </w:tbl>
    <w:p w14:paraId="41B9CA97">
      <w:pPr>
        <w:tabs>
          <w:tab w:val="left" w:pos="3969"/>
        </w:tabs>
        <w:snapToGrid w:val="0"/>
        <w:spacing w:line="520" w:lineRule="exact"/>
        <w:rPr>
          <w:rFonts w:ascii="Calibri" w:hAnsi="Calibri" w:cs="黑体"/>
          <w:bCs/>
          <w:color w:val="auto"/>
          <w:kern w:val="0"/>
          <w:sz w:val="24"/>
        </w:rPr>
      </w:pPr>
      <w:r>
        <w:rPr>
          <w:rFonts w:hint="eastAsia" w:ascii="宋体" w:hAnsi="宋体" w:cstheme="minorHAnsi"/>
          <w:b/>
          <w:color w:val="auto"/>
          <w:kern w:val="0"/>
          <w:sz w:val="24"/>
        </w:rPr>
        <w:t>4.5.</w:t>
      </w:r>
      <w:r>
        <w:rPr>
          <w:rFonts w:ascii="宋体" w:hAnsi="宋体" w:cstheme="minorHAnsi"/>
          <w:b/>
          <w:color w:val="auto"/>
          <w:kern w:val="0"/>
          <w:sz w:val="24"/>
        </w:rPr>
        <w:t>5</w:t>
      </w:r>
      <w:r>
        <w:rPr>
          <w:rFonts w:hint="eastAsia" w:ascii="Calibri" w:hAnsi="Calibri" w:cs="黑体"/>
          <w:bCs/>
          <w:color w:val="auto"/>
          <w:kern w:val="0"/>
          <w:sz w:val="24"/>
        </w:rPr>
        <w:t>保温免拆模板系统应采用柔性外墙耐水腻子，其性能应符合《建筑外墙用腻子》J</w:t>
      </w:r>
      <w:r>
        <w:rPr>
          <w:rFonts w:ascii="Calibri" w:hAnsi="Calibri" w:cs="黑体"/>
          <w:bCs/>
          <w:color w:val="auto"/>
          <w:kern w:val="0"/>
          <w:sz w:val="24"/>
        </w:rPr>
        <w:t>G/T 157</w:t>
      </w:r>
      <w:r>
        <w:rPr>
          <w:rFonts w:hint="eastAsia" w:ascii="Calibri" w:hAnsi="Calibri" w:cs="黑体"/>
          <w:bCs/>
          <w:color w:val="auto"/>
          <w:kern w:val="0"/>
          <w:sz w:val="24"/>
        </w:rPr>
        <w:t>等现行标准的相关规定。柔性耐水腻子与涂料层的相容性应符合表4.5.</w:t>
      </w:r>
      <w:r>
        <w:rPr>
          <w:rFonts w:ascii="Calibri" w:hAnsi="Calibri" w:cs="黑体"/>
          <w:bCs/>
          <w:color w:val="auto"/>
          <w:kern w:val="0"/>
          <w:sz w:val="24"/>
        </w:rPr>
        <w:t>5</w:t>
      </w:r>
      <w:r>
        <w:rPr>
          <w:rFonts w:hint="eastAsia" w:ascii="Calibri" w:hAnsi="Calibri" w:cs="黑体"/>
          <w:bCs/>
          <w:color w:val="auto"/>
          <w:kern w:val="0"/>
          <w:sz w:val="24"/>
        </w:rPr>
        <w:t>的规定。</w:t>
      </w:r>
    </w:p>
    <w:p w14:paraId="29E8F9BA">
      <w:pPr>
        <w:spacing w:before="156" w:beforeLines="50" w:after="156" w:afterLines="50" w:line="360" w:lineRule="exact"/>
        <w:ind w:firstLine="2319" w:firstLineChars="1100"/>
        <w:rPr>
          <w:b/>
          <w:bCs/>
          <w:color w:val="auto"/>
          <w:szCs w:val="21"/>
        </w:rPr>
      </w:pPr>
      <w:r>
        <w:rPr>
          <w:rFonts w:hint="eastAsia"/>
          <w:b/>
          <w:bCs/>
          <w:color w:val="auto"/>
          <w:szCs w:val="21"/>
        </w:rPr>
        <w:t>表</w:t>
      </w:r>
      <w:r>
        <w:rPr>
          <w:b/>
          <w:bCs/>
          <w:color w:val="auto"/>
          <w:szCs w:val="21"/>
        </w:rPr>
        <w:t>4.</w:t>
      </w:r>
      <w:r>
        <w:rPr>
          <w:rFonts w:hint="eastAsia"/>
          <w:b/>
          <w:bCs/>
          <w:color w:val="auto"/>
          <w:szCs w:val="21"/>
        </w:rPr>
        <w:t>5</w:t>
      </w:r>
      <w:r>
        <w:rPr>
          <w:b/>
          <w:bCs/>
          <w:color w:val="auto"/>
          <w:szCs w:val="21"/>
        </w:rPr>
        <w:t>.5</w:t>
      </w:r>
      <w:r>
        <w:rPr>
          <w:rFonts w:hint="eastAsia"/>
          <w:b/>
          <w:bCs/>
          <w:color w:val="auto"/>
          <w:szCs w:val="21"/>
        </w:rPr>
        <w:t>柔性耐水腻子与涂料层的相容性</w:t>
      </w:r>
    </w:p>
    <w:tbl>
      <w:tblPr>
        <w:tblStyle w:val="88"/>
        <w:tblW w:w="85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2790"/>
        <w:gridCol w:w="3765"/>
        <w:gridCol w:w="1275"/>
      </w:tblGrid>
      <w:tr w14:paraId="7C55B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708" w:type="dxa"/>
            <w:shd w:val="clear" w:color="auto" w:fill="auto"/>
          </w:tcPr>
          <w:p w14:paraId="4160CA95">
            <w:pPr>
              <w:spacing w:line="320" w:lineRule="exact"/>
              <w:jc w:val="center"/>
              <w:rPr>
                <w:rFonts w:hint="eastAsia" w:ascii="宋体" w:hAnsi="宋体" w:cs="宋体"/>
                <w:color w:val="auto"/>
                <w:kern w:val="0"/>
                <w:sz w:val="18"/>
                <w:szCs w:val="18"/>
              </w:rPr>
            </w:pPr>
            <w:bookmarkStart w:id="1515" w:name="_Toc44577638"/>
            <w:bookmarkStart w:id="1516" w:name="_Toc44425218"/>
            <w:bookmarkStart w:id="1517" w:name="_Toc53994366"/>
            <w:bookmarkStart w:id="1518" w:name="_Toc43215976"/>
            <w:bookmarkStart w:id="1519" w:name="_Toc22012"/>
            <w:bookmarkStart w:id="1520" w:name="_Toc42789130"/>
            <w:bookmarkStart w:id="1521" w:name="_Toc45698435"/>
            <w:bookmarkStart w:id="1522" w:name="_Toc46332795"/>
            <w:bookmarkStart w:id="1523" w:name="_Toc42786821"/>
            <w:bookmarkStart w:id="1524" w:name="_Toc55460845"/>
            <w:bookmarkStart w:id="1525" w:name="_Toc53997306"/>
            <w:bookmarkStart w:id="1526" w:name="_Toc46331814"/>
            <w:bookmarkStart w:id="1527" w:name="_Toc42873869"/>
            <w:bookmarkStart w:id="1528" w:name="_Toc53519702"/>
            <w:bookmarkStart w:id="1529" w:name="_Toc53996326"/>
            <w:r>
              <w:rPr>
                <w:rFonts w:hint="eastAsia" w:ascii="宋体" w:hAnsi="宋体" w:cs="宋体"/>
                <w:color w:val="auto"/>
                <w:kern w:val="0"/>
                <w:sz w:val="18"/>
                <w:szCs w:val="18"/>
              </w:rPr>
              <w:t>序号</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tc>
        <w:tc>
          <w:tcPr>
            <w:tcW w:w="2790" w:type="dxa"/>
            <w:shd w:val="clear" w:color="auto" w:fill="auto"/>
          </w:tcPr>
          <w:p w14:paraId="07C308B1">
            <w:pPr>
              <w:spacing w:line="320" w:lineRule="exact"/>
              <w:jc w:val="center"/>
              <w:rPr>
                <w:rFonts w:hint="eastAsia" w:ascii="宋体" w:hAnsi="宋体" w:cs="宋体"/>
                <w:color w:val="auto"/>
                <w:kern w:val="0"/>
                <w:sz w:val="18"/>
                <w:szCs w:val="18"/>
              </w:rPr>
            </w:pPr>
            <w:bookmarkStart w:id="1530" w:name="_Toc53996327"/>
            <w:bookmarkStart w:id="1531" w:name="_Toc53994367"/>
            <w:bookmarkStart w:id="1532" w:name="_Toc53997307"/>
            <w:bookmarkStart w:id="1533" w:name="_Toc43215977"/>
            <w:bookmarkStart w:id="1534" w:name="_Toc44425219"/>
            <w:bookmarkStart w:id="1535" w:name="_Toc53519703"/>
            <w:bookmarkStart w:id="1536" w:name="_Toc46331815"/>
            <w:bookmarkStart w:id="1537" w:name="_Toc45698436"/>
            <w:bookmarkStart w:id="1538" w:name="_Toc30529"/>
            <w:bookmarkStart w:id="1539" w:name="_Toc42873870"/>
            <w:bookmarkStart w:id="1540" w:name="_Toc55460846"/>
            <w:bookmarkStart w:id="1541" w:name="_Toc46332796"/>
            <w:bookmarkStart w:id="1542" w:name="_Toc42786822"/>
            <w:bookmarkStart w:id="1543" w:name="_Toc44577639"/>
            <w:bookmarkStart w:id="1544" w:name="_Toc42789131"/>
            <w:r>
              <w:rPr>
                <w:rFonts w:hint="eastAsia" w:ascii="宋体" w:hAnsi="宋体" w:cs="宋体"/>
                <w:color w:val="auto"/>
                <w:kern w:val="0"/>
                <w:sz w:val="18"/>
                <w:szCs w:val="18"/>
              </w:rPr>
              <w:t>试验项目</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tc>
        <w:tc>
          <w:tcPr>
            <w:tcW w:w="3765" w:type="dxa"/>
            <w:shd w:val="clear" w:color="auto" w:fill="auto"/>
          </w:tcPr>
          <w:p w14:paraId="037FCB97">
            <w:pPr>
              <w:spacing w:line="320" w:lineRule="exact"/>
              <w:jc w:val="center"/>
              <w:rPr>
                <w:rFonts w:hint="eastAsia" w:ascii="宋体" w:hAnsi="宋体" w:cs="宋体"/>
                <w:color w:val="auto"/>
                <w:kern w:val="0"/>
                <w:sz w:val="18"/>
                <w:szCs w:val="18"/>
              </w:rPr>
            </w:pPr>
            <w:bookmarkStart w:id="1545" w:name="_Toc43215978"/>
            <w:bookmarkStart w:id="1546" w:name="_Toc42789132"/>
            <w:bookmarkStart w:id="1547" w:name="_Toc45698437"/>
            <w:bookmarkStart w:id="1548" w:name="_Toc53996328"/>
            <w:bookmarkStart w:id="1549" w:name="_Toc53997308"/>
            <w:bookmarkStart w:id="1550" w:name="_Toc42873871"/>
            <w:bookmarkStart w:id="1551" w:name="_Toc30220"/>
            <w:bookmarkStart w:id="1552" w:name="_Toc42786823"/>
            <w:bookmarkStart w:id="1553" w:name="_Toc46332797"/>
            <w:bookmarkStart w:id="1554" w:name="_Toc53994368"/>
            <w:bookmarkStart w:id="1555" w:name="_Toc53519704"/>
            <w:bookmarkStart w:id="1556" w:name="_Toc44577640"/>
            <w:bookmarkStart w:id="1557" w:name="_Toc44425220"/>
            <w:bookmarkStart w:id="1558" w:name="_Toc55460847"/>
            <w:bookmarkStart w:id="1559" w:name="_Toc46331816"/>
            <w:r>
              <w:rPr>
                <w:rFonts w:hint="eastAsia" w:ascii="宋体" w:hAnsi="宋体" w:cs="宋体"/>
                <w:color w:val="auto"/>
                <w:kern w:val="0"/>
                <w:sz w:val="18"/>
                <w:szCs w:val="18"/>
              </w:rPr>
              <w:t>性能指标</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tc>
        <w:tc>
          <w:tcPr>
            <w:tcW w:w="1275" w:type="dxa"/>
            <w:shd w:val="clear" w:color="auto" w:fill="auto"/>
          </w:tcPr>
          <w:p w14:paraId="34292AED">
            <w:pPr>
              <w:spacing w:line="320" w:lineRule="exact"/>
              <w:jc w:val="center"/>
              <w:rPr>
                <w:rFonts w:hint="eastAsia" w:ascii="宋体" w:hAnsi="宋体" w:cs="宋体"/>
                <w:color w:val="auto"/>
                <w:kern w:val="0"/>
                <w:sz w:val="18"/>
                <w:szCs w:val="18"/>
              </w:rPr>
            </w:pPr>
            <w:bookmarkStart w:id="1560" w:name="_Toc43215979"/>
            <w:bookmarkStart w:id="1561" w:name="_Toc45698438"/>
            <w:bookmarkStart w:id="1562" w:name="_Toc53997309"/>
            <w:bookmarkStart w:id="1563" w:name="_Toc53994369"/>
            <w:bookmarkStart w:id="1564" w:name="_Toc42873872"/>
            <w:bookmarkStart w:id="1565" w:name="_Toc46332798"/>
            <w:bookmarkStart w:id="1566" w:name="_Toc44425221"/>
            <w:bookmarkStart w:id="1567" w:name="_Toc6796"/>
            <w:bookmarkStart w:id="1568" w:name="_Toc46331817"/>
            <w:bookmarkStart w:id="1569" w:name="_Toc53996329"/>
            <w:bookmarkStart w:id="1570" w:name="_Toc44577641"/>
            <w:bookmarkStart w:id="1571" w:name="_Toc53519705"/>
            <w:bookmarkStart w:id="1572" w:name="_Toc55460848"/>
            <w:bookmarkStart w:id="1573" w:name="_Toc42786824"/>
            <w:bookmarkStart w:id="1574" w:name="_Toc42789133"/>
            <w:r>
              <w:rPr>
                <w:rFonts w:hint="eastAsia" w:ascii="宋体" w:hAnsi="宋体" w:cs="宋体"/>
                <w:color w:val="auto"/>
                <w:kern w:val="0"/>
                <w:sz w:val="18"/>
                <w:szCs w:val="18"/>
              </w:rPr>
              <w:t>试验方法</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tc>
      </w:tr>
      <w:tr w14:paraId="49B23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shd w:val="clear" w:color="auto" w:fill="auto"/>
            <w:vAlign w:val="center"/>
          </w:tcPr>
          <w:p w14:paraId="65E99C7A">
            <w:pPr>
              <w:spacing w:line="320" w:lineRule="exact"/>
              <w:jc w:val="center"/>
              <w:rPr>
                <w:rFonts w:hint="eastAsia" w:ascii="宋体" w:hAnsi="宋体" w:cs="宋体"/>
                <w:color w:val="auto"/>
                <w:kern w:val="0"/>
                <w:sz w:val="18"/>
                <w:szCs w:val="18"/>
              </w:rPr>
            </w:pPr>
            <w:bookmarkStart w:id="1575" w:name="_Toc44577642"/>
            <w:bookmarkStart w:id="1576" w:name="_Toc42789134"/>
            <w:bookmarkStart w:id="1577" w:name="_Toc12377"/>
            <w:bookmarkStart w:id="1578" w:name="_Toc46332799"/>
            <w:bookmarkStart w:id="1579" w:name="_Toc43215980"/>
            <w:bookmarkStart w:id="1580" w:name="_Toc46331818"/>
            <w:bookmarkStart w:id="1581" w:name="_Toc45698439"/>
            <w:bookmarkStart w:id="1582" w:name="_Toc53519706"/>
            <w:bookmarkStart w:id="1583" w:name="_Toc53997310"/>
            <w:bookmarkStart w:id="1584" w:name="_Toc53994370"/>
            <w:bookmarkStart w:id="1585" w:name="_Toc42786825"/>
            <w:bookmarkStart w:id="1586" w:name="_Toc42873873"/>
            <w:bookmarkStart w:id="1587" w:name="_Toc44425222"/>
            <w:bookmarkStart w:id="1588" w:name="_Toc53996330"/>
            <w:bookmarkStart w:id="1589" w:name="_Toc55460849"/>
            <w:r>
              <w:rPr>
                <w:rFonts w:hint="eastAsia" w:ascii="宋体" w:hAnsi="宋体" w:cs="宋体"/>
                <w:color w:val="auto"/>
                <w:kern w:val="0"/>
                <w:sz w:val="18"/>
                <w:szCs w:val="18"/>
              </w:rPr>
              <w:t>1</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tc>
        <w:tc>
          <w:tcPr>
            <w:tcW w:w="2790" w:type="dxa"/>
            <w:shd w:val="clear" w:color="auto" w:fill="auto"/>
            <w:vAlign w:val="center"/>
          </w:tcPr>
          <w:p w14:paraId="12A7ABAC">
            <w:pPr>
              <w:spacing w:line="320" w:lineRule="exact"/>
              <w:jc w:val="center"/>
              <w:rPr>
                <w:rFonts w:hint="eastAsia" w:ascii="宋体" w:hAnsi="宋体" w:cs="宋体"/>
                <w:color w:val="auto"/>
                <w:kern w:val="0"/>
                <w:sz w:val="18"/>
                <w:szCs w:val="18"/>
              </w:rPr>
            </w:pPr>
            <w:bookmarkStart w:id="1590" w:name="_Toc45698440"/>
            <w:bookmarkStart w:id="1591" w:name="_Toc53996331"/>
            <w:bookmarkStart w:id="1592" w:name="_Toc46331819"/>
            <w:bookmarkStart w:id="1593" w:name="_Toc29495"/>
            <w:bookmarkStart w:id="1594" w:name="_Toc55460850"/>
            <w:bookmarkStart w:id="1595" w:name="_Toc53519707"/>
            <w:bookmarkStart w:id="1596" w:name="_Toc53997311"/>
            <w:bookmarkStart w:id="1597" w:name="_Toc42873874"/>
            <w:bookmarkStart w:id="1598" w:name="_Toc44577643"/>
            <w:bookmarkStart w:id="1599" w:name="_Toc53994371"/>
            <w:bookmarkStart w:id="1600" w:name="_Toc46332800"/>
            <w:bookmarkStart w:id="1601" w:name="_Toc42786826"/>
            <w:bookmarkStart w:id="1602" w:name="_Toc44425223"/>
            <w:bookmarkStart w:id="1603" w:name="_Toc42789135"/>
            <w:bookmarkStart w:id="1604" w:name="_Toc43215981"/>
            <w:r>
              <w:rPr>
                <w:rFonts w:hint="eastAsia" w:ascii="宋体" w:hAnsi="宋体" w:cs="宋体"/>
                <w:color w:val="auto"/>
                <w:kern w:val="0"/>
                <w:sz w:val="18"/>
                <w:szCs w:val="18"/>
              </w:rPr>
              <w:t>柔性腻子复合上涂料层后的耐水性（96h）</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tc>
        <w:tc>
          <w:tcPr>
            <w:tcW w:w="3765" w:type="dxa"/>
            <w:shd w:val="clear" w:color="auto" w:fill="auto"/>
            <w:vAlign w:val="center"/>
          </w:tcPr>
          <w:p w14:paraId="5D4F48B8">
            <w:pPr>
              <w:spacing w:line="320" w:lineRule="exact"/>
              <w:jc w:val="center"/>
              <w:rPr>
                <w:rFonts w:hint="eastAsia" w:ascii="宋体" w:hAnsi="宋体" w:cs="宋体"/>
                <w:color w:val="auto"/>
                <w:kern w:val="0"/>
                <w:sz w:val="18"/>
                <w:szCs w:val="18"/>
              </w:rPr>
            </w:pPr>
            <w:bookmarkStart w:id="1605" w:name="_Toc53996332"/>
            <w:bookmarkStart w:id="1606" w:name="_Toc42873875"/>
            <w:bookmarkStart w:id="1607" w:name="_Toc42786827"/>
            <w:bookmarkStart w:id="1608" w:name="_Toc44577644"/>
            <w:bookmarkStart w:id="1609" w:name="_Toc42789136"/>
            <w:bookmarkStart w:id="1610" w:name="_Toc45698441"/>
            <w:bookmarkStart w:id="1611" w:name="_Toc53994372"/>
            <w:bookmarkStart w:id="1612" w:name="_Toc53519708"/>
            <w:bookmarkStart w:id="1613" w:name="_Toc43215982"/>
            <w:bookmarkStart w:id="1614" w:name="_Toc13115"/>
            <w:bookmarkStart w:id="1615" w:name="_Toc46331820"/>
            <w:bookmarkStart w:id="1616" w:name="_Toc46332801"/>
            <w:bookmarkStart w:id="1617" w:name="_Toc55460851"/>
            <w:bookmarkStart w:id="1618" w:name="_Toc53997312"/>
            <w:bookmarkStart w:id="1619" w:name="_Toc44425224"/>
            <w:r>
              <w:rPr>
                <w:rFonts w:hint="eastAsia" w:ascii="宋体" w:hAnsi="宋体" w:cs="宋体"/>
                <w:color w:val="auto"/>
                <w:kern w:val="0"/>
                <w:sz w:val="18"/>
                <w:szCs w:val="18"/>
              </w:rPr>
              <w:t>无起泡、无起皱、无开裂、无掉粉、无脱落、无明显变色</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tc>
        <w:tc>
          <w:tcPr>
            <w:tcW w:w="1275" w:type="dxa"/>
            <w:vMerge w:val="restart"/>
            <w:shd w:val="clear" w:color="auto" w:fill="auto"/>
            <w:vAlign w:val="center"/>
          </w:tcPr>
          <w:p w14:paraId="46DABD17">
            <w:pPr>
              <w:spacing w:line="320" w:lineRule="exact"/>
              <w:jc w:val="center"/>
              <w:rPr>
                <w:rFonts w:hint="eastAsia" w:ascii="宋体" w:hAnsi="宋体" w:cs="宋体"/>
                <w:color w:val="auto"/>
                <w:kern w:val="0"/>
                <w:sz w:val="18"/>
                <w:szCs w:val="18"/>
              </w:rPr>
            </w:pPr>
            <w:bookmarkStart w:id="1620" w:name="_Toc42786828"/>
            <w:bookmarkStart w:id="1621" w:name="_Toc45698442"/>
            <w:bookmarkStart w:id="1622" w:name="_Toc42789137"/>
            <w:bookmarkStart w:id="1623" w:name="_Toc53994373"/>
            <w:bookmarkStart w:id="1624" w:name="_Toc22793"/>
            <w:bookmarkStart w:id="1625" w:name="_Toc44425225"/>
            <w:bookmarkStart w:id="1626" w:name="_Toc55460852"/>
            <w:bookmarkStart w:id="1627" w:name="_Toc43215983"/>
            <w:bookmarkStart w:id="1628" w:name="_Toc46332802"/>
            <w:bookmarkStart w:id="1629" w:name="_Toc42873876"/>
            <w:bookmarkStart w:id="1630" w:name="_Toc53996333"/>
            <w:bookmarkStart w:id="1631" w:name="_Toc44577645"/>
            <w:bookmarkStart w:id="1632" w:name="_Toc53519709"/>
            <w:bookmarkStart w:id="1633" w:name="_Toc46331821"/>
            <w:bookmarkStart w:id="1634" w:name="_Toc53997313"/>
            <w:r>
              <w:rPr>
                <w:rFonts w:hint="eastAsia" w:ascii="宋体" w:hAnsi="宋体" w:cs="宋体"/>
                <w:color w:val="auto"/>
                <w:kern w:val="0"/>
                <w:sz w:val="18"/>
                <w:szCs w:val="18"/>
              </w:rPr>
              <w:t>JG/T 158</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tc>
      </w:tr>
      <w:tr w14:paraId="0FC99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shd w:val="clear" w:color="auto" w:fill="auto"/>
            <w:vAlign w:val="center"/>
          </w:tcPr>
          <w:p w14:paraId="3EBBF21C">
            <w:pPr>
              <w:spacing w:line="320" w:lineRule="exact"/>
              <w:jc w:val="center"/>
              <w:rPr>
                <w:rFonts w:hint="eastAsia" w:ascii="宋体" w:hAnsi="宋体" w:cs="宋体"/>
                <w:color w:val="auto"/>
                <w:kern w:val="0"/>
                <w:sz w:val="18"/>
                <w:szCs w:val="18"/>
              </w:rPr>
            </w:pPr>
            <w:bookmarkStart w:id="1635" w:name="_Toc45698443"/>
            <w:bookmarkStart w:id="1636" w:name="_Toc44577646"/>
            <w:bookmarkStart w:id="1637" w:name="_Toc43215984"/>
            <w:bookmarkStart w:id="1638" w:name="_Toc53996334"/>
            <w:bookmarkStart w:id="1639" w:name="_Toc46331822"/>
            <w:bookmarkStart w:id="1640" w:name="_Toc42786829"/>
            <w:bookmarkStart w:id="1641" w:name="_Toc55460853"/>
            <w:bookmarkStart w:id="1642" w:name="_Toc53519710"/>
            <w:bookmarkStart w:id="1643" w:name="_Toc53994374"/>
            <w:bookmarkStart w:id="1644" w:name="_Toc30460"/>
            <w:bookmarkStart w:id="1645" w:name="_Toc42873877"/>
            <w:bookmarkStart w:id="1646" w:name="_Toc42789138"/>
            <w:bookmarkStart w:id="1647" w:name="_Toc44425226"/>
            <w:bookmarkStart w:id="1648" w:name="_Toc46332803"/>
            <w:bookmarkStart w:id="1649" w:name="_Toc53997314"/>
            <w:r>
              <w:rPr>
                <w:rFonts w:hint="eastAsia" w:ascii="宋体" w:hAnsi="宋体" w:cs="宋体"/>
                <w:color w:val="auto"/>
                <w:kern w:val="0"/>
                <w:sz w:val="18"/>
                <w:szCs w:val="18"/>
              </w:rPr>
              <w:t>2</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tc>
        <w:tc>
          <w:tcPr>
            <w:tcW w:w="2790" w:type="dxa"/>
            <w:shd w:val="clear" w:color="auto" w:fill="auto"/>
            <w:vAlign w:val="center"/>
          </w:tcPr>
          <w:p w14:paraId="1AAEFCBD">
            <w:pPr>
              <w:spacing w:line="320" w:lineRule="exact"/>
              <w:jc w:val="center"/>
              <w:rPr>
                <w:rFonts w:hint="eastAsia" w:ascii="宋体" w:hAnsi="宋体" w:cs="宋体"/>
                <w:color w:val="auto"/>
                <w:kern w:val="0"/>
                <w:sz w:val="18"/>
                <w:szCs w:val="18"/>
              </w:rPr>
            </w:pPr>
            <w:bookmarkStart w:id="1650" w:name="_Toc44425227"/>
            <w:bookmarkStart w:id="1651" w:name="_Toc42786830"/>
            <w:bookmarkStart w:id="1652" w:name="_Toc46331823"/>
            <w:bookmarkStart w:id="1653" w:name="_Toc55460854"/>
            <w:bookmarkStart w:id="1654" w:name="_Toc53996335"/>
            <w:bookmarkStart w:id="1655" w:name="_Toc42789139"/>
            <w:bookmarkStart w:id="1656" w:name="_Toc45698444"/>
            <w:bookmarkStart w:id="1657" w:name="_Toc53994375"/>
            <w:bookmarkStart w:id="1658" w:name="_Toc42873878"/>
            <w:bookmarkStart w:id="1659" w:name="_Toc46332804"/>
            <w:bookmarkStart w:id="1660" w:name="_Toc44577647"/>
            <w:bookmarkStart w:id="1661" w:name="_Toc43215985"/>
            <w:bookmarkStart w:id="1662" w:name="_Toc53519711"/>
            <w:bookmarkStart w:id="1663" w:name="_Toc27707"/>
            <w:bookmarkStart w:id="1664" w:name="_Toc53997315"/>
            <w:r>
              <w:rPr>
                <w:rFonts w:hint="eastAsia" w:ascii="宋体" w:hAnsi="宋体" w:cs="宋体"/>
                <w:color w:val="auto"/>
                <w:kern w:val="0"/>
                <w:sz w:val="18"/>
                <w:szCs w:val="18"/>
              </w:rPr>
              <w:t>柔性腻子复合上涂料层后的耐冻融性（5次）</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tc>
        <w:tc>
          <w:tcPr>
            <w:tcW w:w="3765" w:type="dxa"/>
            <w:shd w:val="clear" w:color="auto" w:fill="auto"/>
            <w:vAlign w:val="center"/>
          </w:tcPr>
          <w:p w14:paraId="4D40CBD3">
            <w:pPr>
              <w:spacing w:line="320" w:lineRule="exact"/>
              <w:jc w:val="center"/>
              <w:rPr>
                <w:rFonts w:hint="eastAsia" w:ascii="宋体" w:hAnsi="宋体" w:cs="宋体"/>
                <w:color w:val="auto"/>
                <w:kern w:val="0"/>
                <w:sz w:val="18"/>
                <w:szCs w:val="18"/>
              </w:rPr>
            </w:pPr>
            <w:bookmarkStart w:id="1665" w:name="_Toc26536"/>
            <w:bookmarkStart w:id="1666" w:name="_Toc42789140"/>
            <w:bookmarkStart w:id="1667" w:name="_Toc53997316"/>
            <w:bookmarkStart w:id="1668" w:name="_Toc53994376"/>
            <w:bookmarkStart w:id="1669" w:name="_Toc55460855"/>
            <w:bookmarkStart w:id="1670" w:name="_Toc46331824"/>
            <w:bookmarkStart w:id="1671" w:name="_Toc43215986"/>
            <w:bookmarkStart w:id="1672" w:name="_Toc42786831"/>
            <w:bookmarkStart w:id="1673" w:name="_Toc46332805"/>
            <w:bookmarkStart w:id="1674" w:name="_Toc45698445"/>
            <w:bookmarkStart w:id="1675" w:name="_Toc44425228"/>
            <w:bookmarkStart w:id="1676" w:name="_Toc42873879"/>
            <w:bookmarkStart w:id="1677" w:name="_Toc53519712"/>
            <w:bookmarkStart w:id="1678" w:name="_Toc53996336"/>
            <w:bookmarkStart w:id="1679" w:name="_Toc44577648"/>
            <w:r>
              <w:rPr>
                <w:rFonts w:hint="eastAsia" w:ascii="宋体" w:hAnsi="宋体" w:cs="宋体"/>
                <w:color w:val="auto"/>
                <w:kern w:val="0"/>
                <w:sz w:val="18"/>
                <w:szCs w:val="18"/>
              </w:rPr>
              <w:t>无起泡、无起皱、无开裂、无掉粉、无脱落、无明显变色</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tc>
        <w:tc>
          <w:tcPr>
            <w:tcW w:w="1275" w:type="dxa"/>
            <w:vMerge w:val="continue"/>
            <w:shd w:val="clear" w:color="auto" w:fill="auto"/>
            <w:vAlign w:val="center"/>
          </w:tcPr>
          <w:p w14:paraId="10B98DA4">
            <w:pPr>
              <w:spacing w:line="320" w:lineRule="exact"/>
              <w:jc w:val="center"/>
              <w:rPr>
                <w:rFonts w:hint="eastAsia" w:ascii="宋体" w:hAnsi="宋体" w:cs="宋体"/>
                <w:color w:val="auto"/>
                <w:kern w:val="0"/>
                <w:sz w:val="18"/>
                <w:szCs w:val="18"/>
              </w:rPr>
            </w:pPr>
          </w:p>
        </w:tc>
      </w:tr>
    </w:tbl>
    <w:p w14:paraId="5ED98E37">
      <w:pPr>
        <w:tabs>
          <w:tab w:val="left" w:pos="3969"/>
        </w:tabs>
        <w:snapToGrid w:val="0"/>
        <w:spacing w:line="520" w:lineRule="exact"/>
        <w:rPr>
          <w:rFonts w:ascii="Calibri" w:hAnsi="Calibri" w:cs="黑体"/>
          <w:bCs/>
          <w:color w:val="auto"/>
          <w:kern w:val="0"/>
          <w:sz w:val="24"/>
        </w:rPr>
      </w:pPr>
      <w:r>
        <w:rPr>
          <w:rFonts w:hint="eastAsia" w:ascii="宋体" w:hAnsi="宋体" w:cstheme="minorHAnsi"/>
          <w:b/>
          <w:color w:val="auto"/>
          <w:kern w:val="0"/>
          <w:sz w:val="24"/>
        </w:rPr>
        <w:t>4.5.</w:t>
      </w:r>
      <w:r>
        <w:rPr>
          <w:rFonts w:ascii="宋体" w:hAnsi="宋体" w:cstheme="minorHAnsi"/>
          <w:b/>
          <w:color w:val="auto"/>
          <w:kern w:val="0"/>
          <w:sz w:val="24"/>
        </w:rPr>
        <w:t>6</w:t>
      </w:r>
      <w:r>
        <w:rPr>
          <w:rFonts w:hint="eastAsia" w:ascii="Calibri" w:hAnsi="Calibri" w:cs="黑体"/>
          <w:bCs/>
          <w:color w:val="auto"/>
          <w:kern w:val="0"/>
          <w:sz w:val="24"/>
        </w:rPr>
        <w:t>保温免拆模板系统</w:t>
      </w:r>
      <w:r>
        <w:rPr>
          <w:rFonts w:hint="eastAsia" w:ascii="宋体" w:hAnsi="宋体"/>
          <w:color w:val="auto"/>
          <w:sz w:val="24"/>
        </w:rPr>
        <w:t>外</w:t>
      </w:r>
      <w:r>
        <w:rPr>
          <w:rFonts w:hint="eastAsia" w:ascii="Calibri" w:hAnsi="Calibri" w:cs="黑体"/>
          <w:bCs/>
          <w:color w:val="auto"/>
          <w:kern w:val="0"/>
          <w:sz w:val="24"/>
        </w:rPr>
        <w:t>饰面材料的性能应符合下列规定：</w:t>
      </w:r>
    </w:p>
    <w:p w14:paraId="28125BDE">
      <w:pPr>
        <w:spacing w:line="520" w:lineRule="exact"/>
        <w:ind w:firstLine="482" w:firstLineChars="200"/>
        <w:rPr>
          <w:b/>
          <w:bCs/>
          <w:color w:val="auto"/>
          <w:sz w:val="24"/>
        </w:rPr>
      </w:pPr>
      <w:r>
        <w:rPr>
          <w:rFonts w:hint="eastAsia" w:ascii="宋体" w:hAnsi="宋体"/>
          <w:b/>
          <w:bCs/>
          <w:color w:val="auto"/>
          <w:sz w:val="24"/>
        </w:rPr>
        <w:t>1</w:t>
      </w:r>
      <w:r>
        <w:rPr>
          <w:rFonts w:hint="eastAsia" w:ascii="宋体" w:hAnsi="宋体"/>
          <w:color w:val="auto"/>
          <w:sz w:val="24"/>
        </w:rPr>
        <w:t xml:space="preserve"> 系统用涂料应为水性弹性外墙涂料，其性能指标应符合《建筑外墙涂料通用技术要求》J</w:t>
      </w:r>
      <w:r>
        <w:rPr>
          <w:rFonts w:ascii="宋体" w:hAnsi="宋体"/>
          <w:color w:val="auto"/>
          <w:sz w:val="24"/>
        </w:rPr>
        <w:t>G/T 512</w:t>
      </w:r>
      <w:r>
        <w:rPr>
          <w:rFonts w:hint="eastAsia" w:ascii="宋体" w:hAnsi="宋体"/>
          <w:color w:val="auto"/>
          <w:sz w:val="24"/>
        </w:rPr>
        <w:t xml:space="preserve">等现行标准的相关规定； </w:t>
      </w:r>
    </w:p>
    <w:p w14:paraId="0C72F9E0">
      <w:pPr>
        <w:spacing w:line="520" w:lineRule="exact"/>
        <w:ind w:firstLine="482" w:firstLineChars="200"/>
        <w:rPr>
          <w:b/>
          <w:bCs/>
          <w:color w:val="auto"/>
          <w:sz w:val="24"/>
        </w:rPr>
      </w:pPr>
      <w:r>
        <w:rPr>
          <w:rFonts w:hint="eastAsia" w:ascii="宋体" w:hAnsi="宋体"/>
          <w:b/>
          <w:bCs/>
          <w:color w:val="auto"/>
          <w:sz w:val="24"/>
        </w:rPr>
        <w:t>2</w:t>
      </w:r>
      <w:r>
        <w:rPr>
          <w:rFonts w:hint="eastAsia" w:ascii="宋体" w:hAnsi="宋体"/>
          <w:color w:val="auto"/>
          <w:sz w:val="24"/>
        </w:rPr>
        <w:t xml:space="preserve"> 系统用饰面砂浆应为水泥基外墙饰面砂浆，其性能应满足《墙体饰面砂浆》JC/T 1024等现行标准的相关规定；</w:t>
      </w:r>
    </w:p>
    <w:p w14:paraId="173DEC99">
      <w:pPr>
        <w:spacing w:line="520" w:lineRule="exact"/>
        <w:ind w:firstLine="482" w:firstLineChars="200"/>
        <w:rPr>
          <w:rFonts w:hint="eastAsia" w:ascii="宋体" w:hAnsi="宋体"/>
          <w:color w:val="auto"/>
          <w:sz w:val="24"/>
        </w:rPr>
      </w:pPr>
      <w:r>
        <w:rPr>
          <w:rFonts w:hint="eastAsia" w:ascii="宋体" w:hAnsi="宋体"/>
          <w:b/>
          <w:bCs/>
          <w:color w:val="auto"/>
          <w:sz w:val="24"/>
        </w:rPr>
        <w:t>3</w:t>
      </w:r>
      <w:r>
        <w:rPr>
          <w:rFonts w:hint="eastAsia" w:ascii="宋体" w:hAnsi="宋体"/>
          <w:color w:val="auto"/>
          <w:sz w:val="24"/>
        </w:rPr>
        <w:t xml:space="preserve"> 系统用柔性饰面砖性能应符合《柔性饰面砖》JG/T 311等现行标准的相关规定，</w:t>
      </w:r>
      <w:r>
        <w:rPr>
          <w:rFonts w:ascii="宋体" w:hAnsi="宋体"/>
          <w:color w:val="auto"/>
          <w:sz w:val="24"/>
        </w:rPr>
        <w:t>其</w:t>
      </w:r>
      <w:r>
        <w:rPr>
          <w:rFonts w:hint="eastAsia" w:ascii="宋体" w:hAnsi="宋体"/>
          <w:color w:val="auto"/>
          <w:sz w:val="24"/>
        </w:rPr>
        <w:t>配套的柔性饰面砖胶粘剂、柔性饰面砖填缝材料的</w:t>
      </w:r>
      <w:r>
        <w:rPr>
          <w:rFonts w:ascii="宋体" w:hAnsi="宋体"/>
          <w:color w:val="auto"/>
          <w:sz w:val="24"/>
        </w:rPr>
        <w:t>性能</w:t>
      </w:r>
      <w:r>
        <w:rPr>
          <w:rFonts w:hint="eastAsia" w:ascii="宋体" w:hAnsi="宋体"/>
          <w:color w:val="auto"/>
          <w:sz w:val="24"/>
        </w:rPr>
        <w:t>指标应符合</w:t>
      </w:r>
      <w:bookmarkStart w:id="1680" w:name="_Hlk44251450"/>
      <w:r>
        <w:rPr>
          <w:rFonts w:hint="eastAsia" w:ascii="宋体" w:hAnsi="宋体"/>
          <w:color w:val="auto"/>
          <w:sz w:val="24"/>
        </w:rPr>
        <w:t>表4.5.</w:t>
      </w:r>
      <w:r>
        <w:rPr>
          <w:rFonts w:ascii="宋体" w:hAnsi="宋体"/>
          <w:color w:val="auto"/>
          <w:sz w:val="24"/>
        </w:rPr>
        <w:t>6</w:t>
      </w:r>
      <w:r>
        <w:rPr>
          <w:rFonts w:hint="eastAsia" w:ascii="宋体" w:hAnsi="宋体"/>
          <w:color w:val="auto"/>
          <w:sz w:val="24"/>
        </w:rPr>
        <w:t>-</w:t>
      </w:r>
      <w:bookmarkEnd w:id="1680"/>
      <w:r>
        <w:rPr>
          <w:rFonts w:hint="eastAsia" w:ascii="宋体" w:hAnsi="宋体"/>
          <w:color w:val="auto"/>
          <w:sz w:val="24"/>
        </w:rPr>
        <w:t>1、表4.5.</w:t>
      </w:r>
      <w:r>
        <w:rPr>
          <w:rFonts w:ascii="宋体" w:hAnsi="宋体"/>
          <w:color w:val="auto"/>
          <w:sz w:val="24"/>
        </w:rPr>
        <w:t>6</w:t>
      </w:r>
      <w:r>
        <w:rPr>
          <w:rFonts w:hint="eastAsia" w:ascii="宋体" w:hAnsi="宋体"/>
          <w:color w:val="auto"/>
          <w:sz w:val="24"/>
        </w:rPr>
        <w:t>-2 的要求。</w:t>
      </w:r>
    </w:p>
    <w:p w14:paraId="3F665D47">
      <w:pPr>
        <w:spacing w:line="360" w:lineRule="auto"/>
        <w:jc w:val="center"/>
        <w:rPr>
          <w:rFonts w:hint="eastAsia" w:ascii="宋体" w:hAnsi="宋体"/>
          <w:color w:val="auto"/>
          <w:sz w:val="24"/>
        </w:rPr>
      </w:pPr>
      <w:r>
        <w:rPr>
          <w:rFonts w:hint="eastAsia" w:ascii="宋体" w:hAnsi="宋体"/>
          <w:b/>
          <w:bCs/>
          <w:color w:val="auto"/>
          <w:szCs w:val="21"/>
        </w:rPr>
        <w:t>表4.5.</w:t>
      </w:r>
      <w:r>
        <w:rPr>
          <w:rFonts w:ascii="宋体" w:hAnsi="宋体"/>
          <w:b/>
          <w:bCs/>
          <w:color w:val="auto"/>
          <w:szCs w:val="21"/>
        </w:rPr>
        <w:t>6</w:t>
      </w:r>
      <w:r>
        <w:rPr>
          <w:rFonts w:hint="eastAsia" w:ascii="宋体" w:hAnsi="宋体"/>
          <w:b/>
          <w:bCs/>
          <w:color w:val="auto"/>
          <w:szCs w:val="21"/>
        </w:rPr>
        <w:t>-1 柔性饰面砖胶粘剂性能要求</w:t>
      </w:r>
    </w:p>
    <w:tbl>
      <w:tblPr>
        <w:tblStyle w:val="89"/>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4253"/>
        <w:gridCol w:w="1417"/>
        <w:gridCol w:w="1922"/>
      </w:tblGrid>
      <w:tr w14:paraId="59751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14:paraId="1629DF8E">
            <w:pPr>
              <w:spacing w:line="360" w:lineRule="auto"/>
              <w:jc w:val="center"/>
              <w:rPr>
                <w:rFonts w:hint="eastAsia" w:ascii="宋体" w:hAnsi="宋体"/>
                <w:color w:val="auto"/>
                <w:szCs w:val="21"/>
              </w:rPr>
            </w:pPr>
            <w:r>
              <w:rPr>
                <w:rFonts w:hint="eastAsia" w:ascii="宋体" w:hAnsi="宋体"/>
                <w:color w:val="auto"/>
                <w:szCs w:val="21"/>
              </w:rPr>
              <w:t>序号</w:t>
            </w:r>
          </w:p>
        </w:tc>
        <w:tc>
          <w:tcPr>
            <w:tcW w:w="4253" w:type="dxa"/>
            <w:vAlign w:val="center"/>
          </w:tcPr>
          <w:p w14:paraId="1EF815F3">
            <w:pPr>
              <w:spacing w:line="360" w:lineRule="auto"/>
              <w:jc w:val="center"/>
              <w:rPr>
                <w:rFonts w:hint="eastAsia" w:ascii="宋体" w:hAnsi="宋体"/>
                <w:color w:val="auto"/>
                <w:szCs w:val="21"/>
              </w:rPr>
            </w:pPr>
            <w:r>
              <w:rPr>
                <w:rFonts w:hint="eastAsia" w:ascii="宋体" w:hAnsi="宋体"/>
                <w:color w:val="auto"/>
                <w:szCs w:val="21"/>
              </w:rPr>
              <w:t>试验项目</w:t>
            </w:r>
          </w:p>
        </w:tc>
        <w:tc>
          <w:tcPr>
            <w:tcW w:w="1417" w:type="dxa"/>
            <w:vAlign w:val="center"/>
          </w:tcPr>
          <w:p w14:paraId="5D978B53">
            <w:pPr>
              <w:spacing w:line="360" w:lineRule="auto"/>
              <w:jc w:val="center"/>
              <w:rPr>
                <w:rFonts w:hint="eastAsia" w:ascii="宋体" w:hAnsi="宋体"/>
                <w:color w:val="auto"/>
                <w:szCs w:val="21"/>
              </w:rPr>
            </w:pPr>
            <w:r>
              <w:rPr>
                <w:rFonts w:hint="eastAsia" w:ascii="宋体" w:hAnsi="宋体"/>
                <w:color w:val="auto"/>
                <w:szCs w:val="21"/>
              </w:rPr>
              <w:t>性能指标</w:t>
            </w:r>
          </w:p>
        </w:tc>
        <w:tc>
          <w:tcPr>
            <w:tcW w:w="1922" w:type="dxa"/>
            <w:vAlign w:val="center"/>
          </w:tcPr>
          <w:p w14:paraId="46904563">
            <w:pPr>
              <w:spacing w:line="360" w:lineRule="auto"/>
              <w:jc w:val="center"/>
              <w:rPr>
                <w:rFonts w:hint="eastAsia" w:ascii="宋体" w:hAnsi="宋体"/>
                <w:color w:val="auto"/>
                <w:szCs w:val="21"/>
              </w:rPr>
            </w:pPr>
            <w:r>
              <w:rPr>
                <w:rFonts w:hint="eastAsia" w:ascii="宋体" w:hAnsi="宋体"/>
                <w:color w:val="auto"/>
                <w:szCs w:val="21"/>
              </w:rPr>
              <w:t>试验方法</w:t>
            </w:r>
          </w:p>
        </w:tc>
      </w:tr>
      <w:tr w14:paraId="219B8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14:paraId="6E2DA634">
            <w:pPr>
              <w:spacing w:line="360" w:lineRule="auto"/>
              <w:jc w:val="center"/>
              <w:rPr>
                <w:rFonts w:hint="eastAsia" w:ascii="宋体" w:hAnsi="宋体"/>
                <w:color w:val="auto"/>
                <w:szCs w:val="21"/>
              </w:rPr>
            </w:pPr>
            <w:r>
              <w:rPr>
                <w:rFonts w:hint="eastAsia" w:ascii="宋体" w:hAnsi="宋体"/>
                <w:bCs/>
                <w:color w:val="auto"/>
                <w:szCs w:val="21"/>
              </w:rPr>
              <w:t>1</w:t>
            </w:r>
          </w:p>
        </w:tc>
        <w:tc>
          <w:tcPr>
            <w:tcW w:w="4253" w:type="dxa"/>
            <w:vAlign w:val="center"/>
          </w:tcPr>
          <w:p w14:paraId="3BB95F45">
            <w:pPr>
              <w:spacing w:line="360" w:lineRule="auto"/>
              <w:jc w:val="left"/>
              <w:rPr>
                <w:rFonts w:hint="eastAsia" w:ascii="宋体" w:hAnsi="宋体"/>
                <w:color w:val="auto"/>
                <w:szCs w:val="21"/>
              </w:rPr>
            </w:pPr>
            <w:r>
              <w:rPr>
                <w:rFonts w:hint="eastAsia" w:ascii="宋体" w:hAnsi="宋体"/>
                <w:bCs/>
                <w:color w:val="auto"/>
                <w:szCs w:val="21"/>
              </w:rPr>
              <w:t>拉伸粘结强度，M</w:t>
            </w:r>
            <w:r>
              <w:rPr>
                <w:rFonts w:ascii="宋体" w:hAnsi="宋体"/>
                <w:bCs/>
                <w:color w:val="auto"/>
                <w:szCs w:val="21"/>
              </w:rPr>
              <w:t>Pa</w:t>
            </w:r>
          </w:p>
        </w:tc>
        <w:tc>
          <w:tcPr>
            <w:tcW w:w="1417" w:type="dxa"/>
            <w:vAlign w:val="center"/>
          </w:tcPr>
          <w:p w14:paraId="77FBC522">
            <w:pPr>
              <w:spacing w:line="360" w:lineRule="auto"/>
              <w:jc w:val="center"/>
              <w:rPr>
                <w:rFonts w:hint="eastAsia" w:ascii="宋体" w:hAnsi="宋体"/>
                <w:color w:val="auto"/>
                <w:szCs w:val="21"/>
              </w:rPr>
            </w:pPr>
            <w:r>
              <w:rPr>
                <w:rFonts w:hint="eastAsia" w:ascii="宋体" w:hAnsi="宋体" w:cs="宋体"/>
                <w:color w:val="auto"/>
                <w:kern w:val="0"/>
                <w:sz w:val="18"/>
                <w:szCs w:val="18"/>
              </w:rPr>
              <w:t>≥0.5</w:t>
            </w:r>
          </w:p>
        </w:tc>
        <w:tc>
          <w:tcPr>
            <w:tcW w:w="1922" w:type="dxa"/>
            <w:vMerge w:val="restart"/>
            <w:vAlign w:val="center"/>
          </w:tcPr>
          <w:p w14:paraId="1BAFA2A3">
            <w:pPr>
              <w:spacing w:line="360" w:lineRule="auto"/>
              <w:jc w:val="center"/>
              <w:rPr>
                <w:rFonts w:hint="eastAsia" w:ascii="宋体" w:hAnsi="宋体"/>
                <w:color w:val="auto"/>
                <w:szCs w:val="21"/>
              </w:rPr>
            </w:pPr>
            <w:r>
              <w:rPr>
                <w:rFonts w:hint="eastAsia" w:ascii="宋体" w:hAnsi="宋体" w:cs="宋体"/>
                <w:color w:val="auto"/>
                <w:kern w:val="0"/>
                <w:sz w:val="18"/>
                <w:szCs w:val="18"/>
              </w:rPr>
              <w:t>JC/T 547</w:t>
            </w:r>
            <w:r>
              <w:rPr>
                <w:rFonts w:ascii="宋体" w:hAnsi="宋体" w:cs="宋体"/>
                <w:color w:val="auto"/>
                <w:kern w:val="0"/>
                <w:sz w:val="18"/>
                <w:szCs w:val="18"/>
              </w:rPr>
              <w:t>-2017</w:t>
            </w:r>
          </w:p>
        </w:tc>
      </w:tr>
      <w:tr w14:paraId="63C2A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14:paraId="607F1373">
            <w:pPr>
              <w:spacing w:line="360" w:lineRule="auto"/>
              <w:jc w:val="center"/>
              <w:rPr>
                <w:rFonts w:hint="eastAsia" w:ascii="宋体" w:hAnsi="宋体"/>
                <w:color w:val="auto"/>
                <w:szCs w:val="21"/>
              </w:rPr>
            </w:pPr>
            <w:r>
              <w:rPr>
                <w:rFonts w:hint="eastAsia" w:ascii="宋体" w:hAnsi="宋体"/>
                <w:bCs/>
                <w:color w:val="auto"/>
                <w:szCs w:val="21"/>
              </w:rPr>
              <w:t>2</w:t>
            </w:r>
          </w:p>
        </w:tc>
        <w:tc>
          <w:tcPr>
            <w:tcW w:w="4253" w:type="dxa"/>
            <w:vAlign w:val="center"/>
          </w:tcPr>
          <w:p w14:paraId="7DB91AC3">
            <w:pPr>
              <w:spacing w:line="360" w:lineRule="auto"/>
              <w:jc w:val="left"/>
              <w:rPr>
                <w:rFonts w:hint="eastAsia" w:ascii="宋体" w:hAnsi="宋体"/>
                <w:color w:val="auto"/>
                <w:szCs w:val="21"/>
              </w:rPr>
            </w:pPr>
            <w:r>
              <w:rPr>
                <w:rFonts w:hint="eastAsia" w:ascii="宋体" w:hAnsi="宋体"/>
                <w:bCs/>
                <w:color w:val="auto"/>
                <w:szCs w:val="21"/>
              </w:rPr>
              <w:t>浸水后拉伸粘结强度，M</w:t>
            </w:r>
            <w:r>
              <w:rPr>
                <w:rFonts w:ascii="宋体" w:hAnsi="宋体"/>
                <w:bCs/>
                <w:color w:val="auto"/>
                <w:szCs w:val="21"/>
              </w:rPr>
              <w:t>Pa</w:t>
            </w:r>
          </w:p>
        </w:tc>
        <w:tc>
          <w:tcPr>
            <w:tcW w:w="1417" w:type="dxa"/>
            <w:vAlign w:val="center"/>
          </w:tcPr>
          <w:p w14:paraId="24FE3959">
            <w:pPr>
              <w:spacing w:line="360" w:lineRule="auto"/>
              <w:jc w:val="center"/>
              <w:rPr>
                <w:rFonts w:hint="eastAsia" w:ascii="宋体" w:hAnsi="宋体"/>
                <w:color w:val="auto"/>
                <w:szCs w:val="21"/>
              </w:rPr>
            </w:pPr>
            <w:r>
              <w:rPr>
                <w:rFonts w:hint="eastAsia" w:ascii="宋体" w:hAnsi="宋体" w:cs="宋体"/>
                <w:color w:val="auto"/>
                <w:kern w:val="0"/>
                <w:sz w:val="18"/>
                <w:szCs w:val="18"/>
              </w:rPr>
              <w:t>≥0.5</w:t>
            </w:r>
          </w:p>
        </w:tc>
        <w:tc>
          <w:tcPr>
            <w:tcW w:w="1922" w:type="dxa"/>
            <w:vMerge w:val="continue"/>
            <w:vAlign w:val="center"/>
          </w:tcPr>
          <w:p w14:paraId="5FA79A76">
            <w:pPr>
              <w:spacing w:line="360" w:lineRule="auto"/>
              <w:jc w:val="center"/>
              <w:rPr>
                <w:rFonts w:hint="eastAsia" w:ascii="宋体" w:hAnsi="宋体"/>
                <w:color w:val="auto"/>
                <w:szCs w:val="21"/>
              </w:rPr>
            </w:pPr>
          </w:p>
        </w:tc>
      </w:tr>
      <w:tr w14:paraId="0551D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14:paraId="21493D9E">
            <w:pPr>
              <w:spacing w:line="360" w:lineRule="auto"/>
              <w:jc w:val="center"/>
              <w:rPr>
                <w:rFonts w:hint="eastAsia" w:ascii="宋体" w:hAnsi="宋体"/>
                <w:color w:val="auto"/>
                <w:szCs w:val="21"/>
              </w:rPr>
            </w:pPr>
            <w:r>
              <w:rPr>
                <w:rFonts w:hint="eastAsia" w:ascii="宋体" w:hAnsi="宋体"/>
                <w:bCs/>
                <w:color w:val="auto"/>
                <w:szCs w:val="21"/>
              </w:rPr>
              <w:t>3</w:t>
            </w:r>
          </w:p>
        </w:tc>
        <w:tc>
          <w:tcPr>
            <w:tcW w:w="4253" w:type="dxa"/>
            <w:vAlign w:val="center"/>
          </w:tcPr>
          <w:p w14:paraId="55D568C0">
            <w:pPr>
              <w:spacing w:line="360" w:lineRule="auto"/>
              <w:jc w:val="left"/>
              <w:rPr>
                <w:rFonts w:hint="eastAsia" w:ascii="宋体" w:hAnsi="宋体"/>
                <w:color w:val="auto"/>
                <w:szCs w:val="21"/>
              </w:rPr>
            </w:pPr>
            <w:r>
              <w:rPr>
                <w:rFonts w:hint="eastAsia" w:ascii="宋体" w:hAnsi="宋体"/>
                <w:bCs/>
                <w:color w:val="auto"/>
                <w:szCs w:val="21"/>
              </w:rPr>
              <w:t>热老化后拉伸粘结强度，M</w:t>
            </w:r>
            <w:r>
              <w:rPr>
                <w:rFonts w:ascii="宋体" w:hAnsi="宋体"/>
                <w:bCs/>
                <w:color w:val="auto"/>
                <w:szCs w:val="21"/>
              </w:rPr>
              <w:t>Pa</w:t>
            </w:r>
          </w:p>
        </w:tc>
        <w:tc>
          <w:tcPr>
            <w:tcW w:w="1417" w:type="dxa"/>
            <w:vAlign w:val="center"/>
          </w:tcPr>
          <w:p w14:paraId="1ABA42DA">
            <w:pPr>
              <w:spacing w:line="360" w:lineRule="auto"/>
              <w:jc w:val="center"/>
              <w:rPr>
                <w:rFonts w:hint="eastAsia" w:ascii="宋体" w:hAnsi="宋体"/>
                <w:color w:val="auto"/>
                <w:szCs w:val="21"/>
              </w:rPr>
            </w:pPr>
            <w:r>
              <w:rPr>
                <w:rFonts w:hint="eastAsia" w:ascii="宋体" w:hAnsi="宋体" w:cs="宋体"/>
                <w:color w:val="auto"/>
                <w:kern w:val="0"/>
                <w:sz w:val="18"/>
                <w:szCs w:val="18"/>
              </w:rPr>
              <w:t>≥0.5</w:t>
            </w:r>
          </w:p>
        </w:tc>
        <w:tc>
          <w:tcPr>
            <w:tcW w:w="1922" w:type="dxa"/>
            <w:vMerge w:val="continue"/>
            <w:vAlign w:val="center"/>
          </w:tcPr>
          <w:p w14:paraId="3EFD20AE">
            <w:pPr>
              <w:spacing w:line="360" w:lineRule="auto"/>
              <w:jc w:val="center"/>
              <w:rPr>
                <w:rFonts w:hint="eastAsia" w:ascii="宋体" w:hAnsi="宋体"/>
                <w:color w:val="auto"/>
                <w:szCs w:val="21"/>
              </w:rPr>
            </w:pPr>
          </w:p>
        </w:tc>
      </w:tr>
      <w:tr w14:paraId="7257B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14:paraId="7F59FAF5">
            <w:pPr>
              <w:spacing w:line="360" w:lineRule="auto"/>
              <w:jc w:val="center"/>
              <w:rPr>
                <w:rFonts w:hint="eastAsia" w:ascii="宋体" w:hAnsi="宋体"/>
                <w:color w:val="auto"/>
                <w:szCs w:val="21"/>
              </w:rPr>
            </w:pPr>
            <w:r>
              <w:rPr>
                <w:rFonts w:hint="eastAsia" w:ascii="宋体" w:hAnsi="宋体"/>
                <w:bCs/>
                <w:color w:val="auto"/>
                <w:szCs w:val="21"/>
              </w:rPr>
              <w:t>4</w:t>
            </w:r>
          </w:p>
        </w:tc>
        <w:tc>
          <w:tcPr>
            <w:tcW w:w="4253" w:type="dxa"/>
            <w:vAlign w:val="center"/>
          </w:tcPr>
          <w:p w14:paraId="1D77670E">
            <w:pPr>
              <w:spacing w:line="360" w:lineRule="auto"/>
              <w:jc w:val="left"/>
              <w:rPr>
                <w:rFonts w:hint="eastAsia" w:ascii="宋体" w:hAnsi="宋体"/>
                <w:color w:val="auto"/>
                <w:szCs w:val="21"/>
              </w:rPr>
            </w:pPr>
            <w:r>
              <w:rPr>
                <w:rFonts w:hint="eastAsia" w:ascii="宋体" w:hAnsi="宋体"/>
                <w:bCs/>
                <w:color w:val="auto"/>
                <w:szCs w:val="21"/>
              </w:rPr>
              <w:t>冻融循环后拉伸粘结强度，M</w:t>
            </w:r>
            <w:r>
              <w:rPr>
                <w:rFonts w:ascii="宋体" w:hAnsi="宋体"/>
                <w:bCs/>
                <w:color w:val="auto"/>
                <w:szCs w:val="21"/>
              </w:rPr>
              <w:t>Pa</w:t>
            </w:r>
          </w:p>
        </w:tc>
        <w:tc>
          <w:tcPr>
            <w:tcW w:w="1417" w:type="dxa"/>
            <w:vAlign w:val="center"/>
          </w:tcPr>
          <w:p w14:paraId="21B5B89F">
            <w:pPr>
              <w:spacing w:line="360" w:lineRule="auto"/>
              <w:jc w:val="center"/>
              <w:rPr>
                <w:rFonts w:hint="eastAsia" w:ascii="宋体" w:hAnsi="宋体"/>
                <w:color w:val="auto"/>
                <w:szCs w:val="21"/>
              </w:rPr>
            </w:pPr>
            <w:r>
              <w:rPr>
                <w:rFonts w:hint="eastAsia" w:ascii="宋体" w:hAnsi="宋体" w:cs="宋体"/>
                <w:color w:val="auto"/>
                <w:kern w:val="0"/>
                <w:sz w:val="18"/>
                <w:szCs w:val="18"/>
              </w:rPr>
              <w:t>≥0.5</w:t>
            </w:r>
          </w:p>
        </w:tc>
        <w:tc>
          <w:tcPr>
            <w:tcW w:w="1922" w:type="dxa"/>
            <w:vMerge w:val="continue"/>
            <w:vAlign w:val="center"/>
          </w:tcPr>
          <w:p w14:paraId="226A4F05">
            <w:pPr>
              <w:spacing w:line="360" w:lineRule="auto"/>
              <w:jc w:val="center"/>
              <w:rPr>
                <w:rFonts w:hint="eastAsia" w:ascii="宋体" w:hAnsi="宋体"/>
                <w:color w:val="auto"/>
                <w:szCs w:val="21"/>
              </w:rPr>
            </w:pPr>
          </w:p>
        </w:tc>
      </w:tr>
      <w:tr w14:paraId="0FC31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14:paraId="284E4184">
            <w:pPr>
              <w:spacing w:line="360" w:lineRule="auto"/>
              <w:jc w:val="center"/>
              <w:rPr>
                <w:rFonts w:hint="eastAsia" w:ascii="宋体" w:hAnsi="宋体"/>
                <w:color w:val="auto"/>
                <w:szCs w:val="21"/>
              </w:rPr>
            </w:pPr>
            <w:r>
              <w:rPr>
                <w:rFonts w:hint="eastAsia" w:ascii="宋体" w:hAnsi="宋体"/>
                <w:bCs/>
                <w:color w:val="auto"/>
                <w:szCs w:val="21"/>
              </w:rPr>
              <w:t>5</w:t>
            </w:r>
          </w:p>
        </w:tc>
        <w:tc>
          <w:tcPr>
            <w:tcW w:w="4253" w:type="dxa"/>
            <w:vAlign w:val="center"/>
          </w:tcPr>
          <w:p w14:paraId="1558BD8F">
            <w:pPr>
              <w:spacing w:line="360" w:lineRule="auto"/>
              <w:jc w:val="left"/>
              <w:rPr>
                <w:rFonts w:hint="eastAsia" w:ascii="宋体" w:hAnsi="宋体"/>
                <w:color w:val="auto"/>
                <w:szCs w:val="21"/>
              </w:rPr>
            </w:pPr>
            <w:r>
              <w:rPr>
                <w:rFonts w:hint="eastAsia" w:ascii="宋体" w:hAnsi="宋体"/>
                <w:bCs/>
                <w:color w:val="auto"/>
                <w:szCs w:val="21"/>
              </w:rPr>
              <w:t>晾置时间</w:t>
            </w:r>
            <w:r>
              <w:rPr>
                <w:rFonts w:hint="eastAsia" w:ascii="宋体" w:hAnsi="宋体" w:cs="宋体"/>
                <w:color w:val="auto"/>
                <w:kern w:val="0"/>
                <w:szCs w:val="21"/>
              </w:rPr>
              <w:t>≥20</w:t>
            </w:r>
            <w:r>
              <w:rPr>
                <w:rFonts w:ascii="宋体" w:hAnsi="宋体" w:cs="宋体"/>
                <w:color w:val="auto"/>
                <w:kern w:val="0"/>
                <w:szCs w:val="21"/>
              </w:rPr>
              <w:t>min</w:t>
            </w:r>
            <w:r>
              <w:rPr>
                <w:rFonts w:hint="eastAsia" w:ascii="宋体" w:hAnsi="宋体" w:cs="宋体"/>
                <w:color w:val="auto"/>
                <w:kern w:val="0"/>
                <w:szCs w:val="21"/>
              </w:rPr>
              <w:t>，拉伸粘结强度</w:t>
            </w:r>
            <w:r>
              <w:rPr>
                <w:rFonts w:hint="eastAsia" w:ascii="宋体" w:hAnsi="宋体"/>
                <w:bCs/>
                <w:color w:val="auto"/>
                <w:szCs w:val="21"/>
              </w:rPr>
              <w:t>，M</w:t>
            </w:r>
            <w:r>
              <w:rPr>
                <w:rFonts w:ascii="宋体" w:hAnsi="宋体"/>
                <w:bCs/>
                <w:color w:val="auto"/>
                <w:szCs w:val="21"/>
              </w:rPr>
              <w:t>Pa</w:t>
            </w:r>
          </w:p>
        </w:tc>
        <w:tc>
          <w:tcPr>
            <w:tcW w:w="1417" w:type="dxa"/>
            <w:vAlign w:val="center"/>
          </w:tcPr>
          <w:p w14:paraId="38789364">
            <w:pPr>
              <w:spacing w:line="360" w:lineRule="auto"/>
              <w:jc w:val="center"/>
              <w:rPr>
                <w:rFonts w:hint="eastAsia" w:ascii="宋体" w:hAnsi="宋体"/>
                <w:color w:val="auto"/>
                <w:szCs w:val="21"/>
              </w:rPr>
            </w:pPr>
            <w:r>
              <w:rPr>
                <w:rFonts w:hint="eastAsia" w:ascii="宋体" w:hAnsi="宋体" w:cs="宋体"/>
                <w:color w:val="auto"/>
                <w:kern w:val="0"/>
                <w:sz w:val="18"/>
                <w:szCs w:val="18"/>
              </w:rPr>
              <w:t>≥0.5</w:t>
            </w:r>
          </w:p>
        </w:tc>
        <w:tc>
          <w:tcPr>
            <w:tcW w:w="1922" w:type="dxa"/>
            <w:vMerge w:val="continue"/>
            <w:vAlign w:val="center"/>
          </w:tcPr>
          <w:p w14:paraId="5975C0FF">
            <w:pPr>
              <w:spacing w:line="360" w:lineRule="auto"/>
              <w:jc w:val="center"/>
              <w:rPr>
                <w:rFonts w:hint="eastAsia" w:ascii="宋体" w:hAnsi="宋体"/>
                <w:color w:val="auto"/>
                <w:szCs w:val="21"/>
              </w:rPr>
            </w:pPr>
          </w:p>
        </w:tc>
      </w:tr>
    </w:tbl>
    <w:p w14:paraId="5EC466CF">
      <w:pPr>
        <w:spacing w:line="520" w:lineRule="exact"/>
        <w:jc w:val="center"/>
        <w:rPr>
          <w:rFonts w:hint="eastAsia" w:ascii="宋体" w:hAnsi="宋体"/>
          <w:color w:val="auto"/>
          <w:sz w:val="24"/>
        </w:rPr>
      </w:pPr>
      <w:r>
        <w:rPr>
          <w:rFonts w:hint="eastAsia" w:ascii="宋体" w:hAnsi="宋体"/>
          <w:b/>
          <w:bCs/>
          <w:color w:val="auto"/>
          <w:szCs w:val="21"/>
        </w:rPr>
        <w:t>表</w:t>
      </w:r>
      <w:r>
        <w:rPr>
          <w:rFonts w:ascii="宋体" w:hAnsi="宋体"/>
          <w:b/>
          <w:bCs/>
          <w:color w:val="auto"/>
          <w:szCs w:val="21"/>
        </w:rPr>
        <w:t>4.</w:t>
      </w:r>
      <w:r>
        <w:rPr>
          <w:rFonts w:hint="eastAsia" w:ascii="宋体" w:hAnsi="宋体"/>
          <w:b/>
          <w:bCs/>
          <w:color w:val="auto"/>
          <w:szCs w:val="21"/>
        </w:rPr>
        <w:t>5</w:t>
      </w:r>
      <w:r>
        <w:rPr>
          <w:rFonts w:ascii="宋体" w:hAnsi="宋体"/>
          <w:b/>
          <w:bCs/>
          <w:color w:val="auto"/>
          <w:szCs w:val="21"/>
        </w:rPr>
        <w:t>.6</w:t>
      </w:r>
      <w:r>
        <w:rPr>
          <w:rFonts w:hint="eastAsia" w:ascii="宋体" w:hAnsi="宋体"/>
          <w:b/>
          <w:bCs/>
          <w:color w:val="auto"/>
          <w:szCs w:val="21"/>
        </w:rPr>
        <w:t>-2 柔性饰面砖填缝剂性能要求</w:t>
      </w:r>
    </w:p>
    <w:tbl>
      <w:tblPr>
        <w:tblStyle w:val="89"/>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559"/>
        <w:gridCol w:w="2714"/>
        <w:gridCol w:w="1659"/>
        <w:gridCol w:w="1660"/>
      </w:tblGrid>
      <w:tr w14:paraId="2F9AF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4" w:type="dxa"/>
            <w:vAlign w:val="center"/>
          </w:tcPr>
          <w:p w14:paraId="077B549A">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序号</w:t>
            </w:r>
          </w:p>
        </w:tc>
        <w:tc>
          <w:tcPr>
            <w:tcW w:w="4273" w:type="dxa"/>
            <w:gridSpan w:val="2"/>
            <w:vAlign w:val="center"/>
          </w:tcPr>
          <w:p w14:paraId="6A3147B9">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试验项目</w:t>
            </w:r>
          </w:p>
        </w:tc>
        <w:tc>
          <w:tcPr>
            <w:tcW w:w="1659" w:type="dxa"/>
            <w:vAlign w:val="center"/>
          </w:tcPr>
          <w:p w14:paraId="701F2BBD">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性能指标</w:t>
            </w:r>
          </w:p>
        </w:tc>
        <w:tc>
          <w:tcPr>
            <w:tcW w:w="1660" w:type="dxa"/>
            <w:vAlign w:val="center"/>
          </w:tcPr>
          <w:p w14:paraId="1D5CAE51">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试验方法</w:t>
            </w:r>
          </w:p>
        </w:tc>
      </w:tr>
      <w:tr w14:paraId="77D33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4" w:type="dxa"/>
            <w:vAlign w:val="center"/>
          </w:tcPr>
          <w:p w14:paraId="142E625F">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1</w:t>
            </w:r>
          </w:p>
        </w:tc>
        <w:tc>
          <w:tcPr>
            <w:tcW w:w="4273" w:type="dxa"/>
            <w:gridSpan w:val="2"/>
            <w:vAlign w:val="center"/>
          </w:tcPr>
          <w:p w14:paraId="19105C3B">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耐磨性，mm</w:t>
            </w:r>
            <w:r>
              <w:rPr>
                <w:rFonts w:ascii="Times New Roman" w:hAnsi="Times New Roman" w:cs="Times New Roman"/>
                <w:color w:val="auto"/>
                <w:szCs w:val="21"/>
                <w:vertAlign w:val="superscript"/>
              </w:rPr>
              <w:t>3</w:t>
            </w:r>
          </w:p>
        </w:tc>
        <w:tc>
          <w:tcPr>
            <w:tcW w:w="1659" w:type="dxa"/>
            <w:vAlign w:val="center"/>
          </w:tcPr>
          <w:p w14:paraId="432D450D">
            <w:pPr>
              <w:spacing w:line="360" w:lineRule="auto"/>
              <w:jc w:val="center"/>
              <w:rPr>
                <w:rFonts w:ascii="Times New Roman" w:hAnsi="Times New Roman" w:cs="Times New Roman"/>
                <w:color w:val="auto"/>
                <w:szCs w:val="21"/>
              </w:rPr>
            </w:pPr>
            <w:r>
              <w:rPr>
                <w:rFonts w:ascii="Times New Roman" w:hAnsi="Times New Roman" w:cs="Times New Roman"/>
                <w:color w:val="auto"/>
                <w:kern w:val="0"/>
                <w:sz w:val="18"/>
                <w:szCs w:val="18"/>
              </w:rPr>
              <w:t>≤2000</w:t>
            </w:r>
          </w:p>
        </w:tc>
        <w:tc>
          <w:tcPr>
            <w:tcW w:w="1660" w:type="dxa"/>
            <w:vMerge w:val="restart"/>
            <w:vAlign w:val="center"/>
          </w:tcPr>
          <w:p w14:paraId="5018613E">
            <w:pPr>
              <w:spacing w:line="360" w:lineRule="auto"/>
              <w:jc w:val="center"/>
              <w:rPr>
                <w:rFonts w:ascii="Times New Roman" w:hAnsi="Times New Roman" w:cs="Times New Roman"/>
                <w:color w:val="auto"/>
                <w:szCs w:val="21"/>
              </w:rPr>
            </w:pPr>
            <w:r>
              <w:rPr>
                <w:rFonts w:ascii="Times New Roman" w:hAnsi="Times New Roman" w:cs="Times New Roman"/>
                <w:color w:val="auto"/>
                <w:kern w:val="0"/>
                <w:sz w:val="18"/>
                <w:szCs w:val="18"/>
              </w:rPr>
              <w:t>JC/T 1004-2017</w:t>
            </w:r>
          </w:p>
        </w:tc>
      </w:tr>
      <w:tr w14:paraId="173CB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4" w:type="dxa"/>
            <w:vMerge w:val="restart"/>
            <w:vAlign w:val="center"/>
          </w:tcPr>
          <w:p w14:paraId="08450F7D">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2</w:t>
            </w:r>
          </w:p>
        </w:tc>
        <w:tc>
          <w:tcPr>
            <w:tcW w:w="1559" w:type="dxa"/>
            <w:vMerge w:val="restart"/>
            <w:vAlign w:val="center"/>
          </w:tcPr>
          <w:p w14:paraId="5F132FA5">
            <w:pPr>
              <w:spacing w:line="320" w:lineRule="exact"/>
              <w:jc w:val="center"/>
              <w:rPr>
                <w:rFonts w:ascii="Times New Roman" w:hAnsi="Times New Roman" w:cs="Times New Roman"/>
                <w:color w:val="auto"/>
                <w:szCs w:val="21"/>
              </w:rPr>
            </w:pPr>
            <w:r>
              <w:rPr>
                <w:rFonts w:ascii="Times New Roman" w:hAnsi="Times New Roman" w:cs="Times New Roman"/>
                <w:color w:val="auto"/>
                <w:szCs w:val="21"/>
              </w:rPr>
              <w:t>抗折强度，MPa</w:t>
            </w:r>
          </w:p>
        </w:tc>
        <w:tc>
          <w:tcPr>
            <w:tcW w:w="2714" w:type="dxa"/>
            <w:vAlign w:val="center"/>
          </w:tcPr>
          <w:p w14:paraId="495435EF">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标准试验条件下</w:t>
            </w:r>
          </w:p>
        </w:tc>
        <w:tc>
          <w:tcPr>
            <w:tcW w:w="1659" w:type="dxa"/>
            <w:vMerge w:val="restart"/>
            <w:vAlign w:val="center"/>
          </w:tcPr>
          <w:p w14:paraId="7145D16D">
            <w:pPr>
              <w:spacing w:line="360" w:lineRule="auto"/>
              <w:jc w:val="center"/>
              <w:rPr>
                <w:rFonts w:ascii="Times New Roman" w:hAnsi="Times New Roman" w:cs="Times New Roman"/>
                <w:color w:val="auto"/>
                <w:szCs w:val="21"/>
              </w:rPr>
            </w:pPr>
            <w:r>
              <w:rPr>
                <w:rFonts w:ascii="Times New Roman" w:hAnsi="Times New Roman" w:cs="Times New Roman"/>
                <w:color w:val="auto"/>
                <w:kern w:val="0"/>
                <w:sz w:val="18"/>
                <w:szCs w:val="18"/>
              </w:rPr>
              <w:t>≥2.50</w:t>
            </w:r>
          </w:p>
        </w:tc>
        <w:tc>
          <w:tcPr>
            <w:tcW w:w="1660" w:type="dxa"/>
            <w:vMerge w:val="continue"/>
            <w:vAlign w:val="center"/>
          </w:tcPr>
          <w:p w14:paraId="45424532">
            <w:pPr>
              <w:spacing w:line="360" w:lineRule="auto"/>
              <w:jc w:val="center"/>
              <w:rPr>
                <w:rFonts w:ascii="Times New Roman" w:hAnsi="Times New Roman" w:cs="Times New Roman"/>
                <w:color w:val="auto"/>
                <w:szCs w:val="21"/>
              </w:rPr>
            </w:pPr>
          </w:p>
        </w:tc>
      </w:tr>
      <w:tr w14:paraId="6DC01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4" w:type="dxa"/>
            <w:vMerge w:val="continue"/>
            <w:vAlign w:val="center"/>
          </w:tcPr>
          <w:p w14:paraId="20343661">
            <w:pPr>
              <w:spacing w:line="360" w:lineRule="auto"/>
              <w:jc w:val="center"/>
              <w:rPr>
                <w:rFonts w:ascii="Times New Roman" w:hAnsi="Times New Roman" w:cs="Times New Roman"/>
                <w:color w:val="auto"/>
                <w:szCs w:val="21"/>
              </w:rPr>
            </w:pPr>
          </w:p>
        </w:tc>
        <w:tc>
          <w:tcPr>
            <w:tcW w:w="1559" w:type="dxa"/>
            <w:vMerge w:val="continue"/>
            <w:vAlign w:val="center"/>
          </w:tcPr>
          <w:p w14:paraId="1330F82D">
            <w:pPr>
              <w:spacing w:line="360" w:lineRule="auto"/>
              <w:jc w:val="center"/>
              <w:rPr>
                <w:rFonts w:ascii="Times New Roman" w:hAnsi="Times New Roman" w:cs="Times New Roman"/>
                <w:color w:val="auto"/>
                <w:szCs w:val="21"/>
              </w:rPr>
            </w:pPr>
          </w:p>
        </w:tc>
        <w:tc>
          <w:tcPr>
            <w:tcW w:w="2714" w:type="dxa"/>
            <w:vAlign w:val="center"/>
          </w:tcPr>
          <w:p w14:paraId="3773CAD5">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冻融循环后</w:t>
            </w:r>
          </w:p>
        </w:tc>
        <w:tc>
          <w:tcPr>
            <w:tcW w:w="1659" w:type="dxa"/>
            <w:vMerge w:val="continue"/>
            <w:vAlign w:val="center"/>
          </w:tcPr>
          <w:p w14:paraId="24571C0E">
            <w:pPr>
              <w:spacing w:line="360" w:lineRule="auto"/>
              <w:jc w:val="center"/>
              <w:rPr>
                <w:rFonts w:ascii="Times New Roman" w:hAnsi="Times New Roman" w:cs="Times New Roman"/>
                <w:color w:val="auto"/>
                <w:szCs w:val="21"/>
              </w:rPr>
            </w:pPr>
          </w:p>
        </w:tc>
        <w:tc>
          <w:tcPr>
            <w:tcW w:w="1660" w:type="dxa"/>
            <w:vMerge w:val="continue"/>
            <w:vAlign w:val="center"/>
          </w:tcPr>
          <w:p w14:paraId="2A8E5731">
            <w:pPr>
              <w:spacing w:line="360" w:lineRule="auto"/>
              <w:jc w:val="center"/>
              <w:rPr>
                <w:rFonts w:ascii="Times New Roman" w:hAnsi="Times New Roman" w:cs="Times New Roman"/>
                <w:color w:val="auto"/>
                <w:szCs w:val="21"/>
              </w:rPr>
            </w:pPr>
          </w:p>
        </w:tc>
      </w:tr>
      <w:tr w14:paraId="3D9C2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4" w:type="dxa"/>
            <w:vMerge w:val="restart"/>
            <w:vAlign w:val="center"/>
          </w:tcPr>
          <w:p w14:paraId="3E0A2FD9">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3</w:t>
            </w:r>
          </w:p>
        </w:tc>
        <w:tc>
          <w:tcPr>
            <w:tcW w:w="1559" w:type="dxa"/>
            <w:vMerge w:val="restart"/>
            <w:vAlign w:val="center"/>
          </w:tcPr>
          <w:p w14:paraId="4D24A0A8">
            <w:pPr>
              <w:spacing w:line="320" w:lineRule="exact"/>
              <w:jc w:val="center"/>
              <w:rPr>
                <w:rFonts w:ascii="Times New Roman" w:hAnsi="Times New Roman" w:cs="Times New Roman"/>
                <w:color w:val="auto"/>
                <w:szCs w:val="21"/>
              </w:rPr>
            </w:pPr>
            <w:r>
              <w:rPr>
                <w:rFonts w:ascii="Times New Roman" w:hAnsi="Times New Roman" w:cs="Times New Roman"/>
                <w:color w:val="auto"/>
                <w:szCs w:val="21"/>
              </w:rPr>
              <w:t>抗压强度，MPa</w:t>
            </w:r>
          </w:p>
        </w:tc>
        <w:tc>
          <w:tcPr>
            <w:tcW w:w="2714" w:type="dxa"/>
            <w:vAlign w:val="center"/>
          </w:tcPr>
          <w:p w14:paraId="0CE334CA">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标准试验条件下</w:t>
            </w:r>
          </w:p>
        </w:tc>
        <w:tc>
          <w:tcPr>
            <w:tcW w:w="1659" w:type="dxa"/>
            <w:vMerge w:val="restart"/>
            <w:vAlign w:val="center"/>
          </w:tcPr>
          <w:p w14:paraId="245454FD">
            <w:pPr>
              <w:spacing w:line="360" w:lineRule="auto"/>
              <w:jc w:val="center"/>
              <w:rPr>
                <w:rFonts w:ascii="Times New Roman" w:hAnsi="Times New Roman" w:cs="Times New Roman"/>
                <w:color w:val="auto"/>
                <w:szCs w:val="21"/>
              </w:rPr>
            </w:pPr>
            <w:r>
              <w:rPr>
                <w:rFonts w:ascii="Times New Roman" w:hAnsi="Times New Roman" w:cs="Times New Roman"/>
                <w:color w:val="auto"/>
                <w:kern w:val="0"/>
                <w:sz w:val="18"/>
                <w:szCs w:val="18"/>
              </w:rPr>
              <w:t>≥15.0</w:t>
            </w:r>
          </w:p>
        </w:tc>
        <w:tc>
          <w:tcPr>
            <w:tcW w:w="1660" w:type="dxa"/>
            <w:vMerge w:val="continue"/>
            <w:vAlign w:val="center"/>
          </w:tcPr>
          <w:p w14:paraId="5E346960">
            <w:pPr>
              <w:spacing w:line="360" w:lineRule="auto"/>
              <w:jc w:val="center"/>
              <w:rPr>
                <w:rFonts w:ascii="Times New Roman" w:hAnsi="Times New Roman" w:cs="Times New Roman"/>
                <w:color w:val="auto"/>
                <w:szCs w:val="21"/>
              </w:rPr>
            </w:pPr>
          </w:p>
        </w:tc>
      </w:tr>
      <w:tr w14:paraId="735A9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4" w:type="dxa"/>
            <w:vMerge w:val="continue"/>
            <w:vAlign w:val="center"/>
          </w:tcPr>
          <w:p w14:paraId="428D1EE3">
            <w:pPr>
              <w:spacing w:line="360" w:lineRule="auto"/>
              <w:jc w:val="center"/>
              <w:rPr>
                <w:rFonts w:ascii="Times New Roman" w:hAnsi="Times New Roman" w:cs="Times New Roman"/>
                <w:color w:val="auto"/>
                <w:szCs w:val="21"/>
              </w:rPr>
            </w:pPr>
          </w:p>
        </w:tc>
        <w:tc>
          <w:tcPr>
            <w:tcW w:w="1559" w:type="dxa"/>
            <w:vMerge w:val="continue"/>
            <w:vAlign w:val="center"/>
          </w:tcPr>
          <w:p w14:paraId="69CC0D2A">
            <w:pPr>
              <w:spacing w:line="360" w:lineRule="auto"/>
              <w:jc w:val="center"/>
              <w:rPr>
                <w:rFonts w:ascii="Times New Roman" w:hAnsi="Times New Roman" w:cs="Times New Roman"/>
                <w:color w:val="auto"/>
                <w:szCs w:val="21"/>
              </w:rPr>
            </w:pPr>
          </w:p>
        </w:tc>
        <w:tc>
          <w:tcPr>
            <w:tcW w:w="2714" w:type="dxa"/>
            <w:vAlign w:val="center"/>
          </w:tcPr>
          <w:p w14:paraId="22E0418A">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冻融循环后</w:t>
            </w:r>
          </w:p>
        </w:tc>
        <w:tc>
          <w:tcPr>
            <w:tcW w:w="1659" w:type="dxa"/>
            <w:vMerge w:val="continue"/>
            <w:vAlign w:val="center"/>
          </w:tcPr>
          <w:p w14:paraId="5EDE4745">
            <w:pPr>
              <w:spacing w:line="360" w:lineRule="auto"/>
              <w:jc w:val="center"/>
              <w:rPr>
                <w:rFonts w:ascii="Times New Roman" w:hAnsi="Times New Roman" w:cs="Times New Roman"/>
                <w:color w:val="auto"/>
                <w:szCs w:val="21"/>
              </w:rPr>
            </w:pPr>
          </w:p>
        </w:tc>
        <w:tc>
          <w:tcPr>
            <w:tcW w:w="1660" w:type="dxa"/>
            <w:vMerge w:val="continue"/>
            <w:vAlign w:val="center"/>
          </w:tcPr>
          <w:p w14:paraId="2526F3FC">
            <w:pPr>
              <w:spacing w:line="360" w:lineRule="auto"/>
              <w:jc w:val="center"/>
              <w:rPr>
                <w:rFonts w:ascii="Times New Roman" w:hAnsi="Times New Roman" w:cs="Times New Roman"/>
                <w:color w:val="auto"/>
                <w:szCs w:val="21"/>
              </w:rPr>
            </w:pPr>
          </w:p>
        </w:tc>
      </w:tr>
      <w:tr w14:paraId="63BB1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4" w:type="dxa"/>
            <w:vAlign w:val="center"/>
          </w:tcPr>
          <w:p w14:paraId="4D1FBD9B">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4</w:t>
            </w:r>
          </w:p>
        </w:tc>
        <w:tc>
          <w:tcPr>
            <w:tcW w:w="4273" w:type="dxa"/>
            <w:gridSpan w:val="2"/>
            <w:vAlign w:val="center"/>
          </w:tcPr>
          <w:p w14:paraId="1BEE6F5B">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收缩值，mm/m</w:t>
            </w:r>
          </w:p>
        </w:tc>
        <w:tc>
          <w:tcPr>
            <w:tcW w:w="1659" w:type="dxa"/>
            <w:vAlign w:val="center"/>
          </w:tcPr>
          <w:p w14:paraId="77C74A93">
            <w:pPr>
              <w:spacing w:line="360" w:lineRule="auto"/>
              <w:jc w:val="center"/>
              <w:rPr>
                <w:rFonts w:ascii="Times New Roman" w:hAnsi="Times New Roman" w:cs="Times New Roman"/>
                <w:color w:val="auto"/>
                <w:szCs w:val="21"/>
              </w:rPr>
            </w:pPr>
            <w:r>
              <w:rPr>
                <w:rFonts w:ascii="Times New Roman" w:hAnsi="Times New Roman" w:cs="Times New Roman"/>
                <w:color w:val="auto"/>
                <w:kern w:val="0"/>
                <w:sz w:val="18"/>
                <w:szCs w:val="18"/>
              </w:rPr>
              <w:t>≤3.0</w:t>
            </w:r>
          </w:p>
        </w:tc>
        <w:tc>
          <w:tcPr>
            <w:tcW w:w="1660" w:type="dxa"/>
            <w:vMerge w:val="continue"/>
            <w:vAlign w:val="center"/>
          </w:tcPr>
          <w:p w14:paraId="07D713DA">
            <w:pPr>
              <w:spacing w:line="360" w:lineRule="auto"/>
              <w:jc w:val="center"/>
              <w:rPr>
                <w:rFonts w:ascii="Times New Roman" w:hAnsi="Times New Roman" w:cs="Times New Roman"/>
                <w:color w:val="auto"/>
                <w:szCs w:val="21"/>
              </w:rPr>
            </w:pPr>
          </w:p>
        </w:tc>
      </w:tr>
      <w:tr w14:paraId="738D9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4" w:type="dxa"/>
            <w:vMerge w:val="restart"/>
            <w:vAlign w:val="center"/>
          </w:tcPr>
          <w:p w14:paraId="327FFF87">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5</w:t>
            </w:r>
          </w:p>
        </w:tc>
        <w:tc>
          <w:tcPr>
            <w:tcW w:w="1559" w:type="dxa"/>
            <w:vMerge w:val="restart"/>
            <w:vAlign w:val="center"/>
          </w:tcPr>
          <w:p w14:paraId="0E3ED992">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吸水量，g</w:t>
            </w:r>
          </w:p>
        </w:tc>
        <w:tc>
          <w:tcPr>
            <w:tcW w:w="2714" w:type="dxa"/>
            <w:vAlign w:val="center"/>
          </w:tcPr>
          <w:p w14:paraId="1A7B00D8">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30min</w:t>
            </w:r>
          </w:p>
        </w:tc>
        <w:tc>
          <w:tcPr>
            <w:tcW w:w="1659" w:type="dxa"/>
            <w:vAlign w:val="center"/>
          </w:tcPr>
          <w:p w14:paraId="7976D1B8">
            <w:pPr>
              <w:spacing w:line="360" w:lineRule="auto"/>
              <w:jc w:val="center"/>
              <w:rPr>
                <w:rFonts w:ascii="Times New Roman" w:hAnsi="Times New Roman" w:cs="Times New Roman"/>
                <w:color w:val="auto"/>
                <w:szCs w:val="21"/>
              </w:rPr>
            </w:pPr>
            <w:r>
              <w:rPr>
                <w:rFonts w:ascii="Times New Roman" w:hAnsi="Times New Roman" w:cs="Times New Roman"/>
                <w:color w:val="auto"/>
                <w:kern w:val="0"/>
                <w:sz w:val="18"/>
                <w:szCs w:val="18"/>
              </w:rPr>
              <w:t>≤2.0</w:t>
            </w:r>
          </w:p>
        </w:tc>
        <w:tc>
          <w:tcPr>
            <w:tcW w:w="1660" w:type="dxa"/>
            <w:vMerge w:val="continue"/>
            <w:vAlign w:val="center"/>
          </w:tcPr>
          <w:p w14:paraId="5655270E">
            <w:pPr>
              <w:spacing w:line="360" w:lineRule="auto"/>
              <w:jc w:val="center"/>
              <w:rPr>
                <w:rFonts w:ascii="Times New Roman" w:hAnsi="Times New Roman" w:cs="Times New Roman"/>
                <w:color w:val="auto"/>
                <w:szCs w:val="21"/>
              </w:rPr>
            </w:pPr>
          </w:p>
        </w:tc>
      </w:tr>
      <w:tr w14:paraId="14372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4" w:type="dxa"/>
            <w:vMerge w:val="continue"/>
            <w:vAlign w:val="center"/>
          </w:tcPr>
          <w:p w14:paraId="5D16966B">
            <w:pPr>
              <w:spacing w:line="360" w:lineRule="auto"/>
              <w:jc w:val="center"/>
              <w:rPr>
                <w:rFonts w:ascii="Times New Roman" w:hAnsi="Times New Roman" w:cs="Times New Roman"/>
                <w:color w:val="auto"/>
                <w:szCs w:val="21"/>
              </w:rPr>
            </w:pPr>
          </w:p>
        </w:tc>
        <w:tc>
          <w:tcPr>
            <w:tcW w:w="1559" w:type="dxa"/>
            <w:vMerge w:val="continue"/>
            <w:vAlign w:val="center"/>
          </w:tcPr>
          <w:p w14:paraId="70188A69">
            <w:pPr>
              <w:spacing w:line="360" w:lineRule="auto"/>
              <w:jc w:val="center"/>
              <w:rPr>
                <w:rFonts w:ascii="Times New Roman" w:hAnsi="Times New Roman" w:cs="Times New Roman"/>
                <w:color w:val="auto"/>
                <w:szCs w:val="21"/>
              </w:rPr>
            </w:pPr>
          </w:p>
        </w:tc>
        <w:tc>
          <w:tcPr>
            <w:tcW w:w="2714" w:type="dxa"/>
            <w:vAlign w:val="center"/>
          </w:tcPr>
          <w:p w14:paraId="75DBA0F3">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240mm</w:t>
            </w:r>
          </w:p>
        </w:tc>
        <w:tc>
          <w:tcPr>
            <w:tcW w:w="1659" w:type="dxa"/>
            <w:vAlign w:val="center"/>
          </w:tcPr>
          <w:p w14:paraId="4675BC9A">
            <w:pPr>
              <w:spacing w:line="360" w:lineRule="auto"/>
              <w:jc w:val="center"/>
              <w:rPr>
                <w:rFonts w:ascii="Times New Roman" w:hAnsi="Times New Roman" w:cs="Times New Roman"/>
                <w:color w:val="auto"/>
                <w:szCs w:val="21"/>
              </w:rPr>
            </w:pPr>
            <w:r>
              <w:rPr>
                <w:rFonts w:ascii="Times New Roman" w:hAnsi="Times New Roman" w:cs="Times New Roman"/>
                <w:color w:val="auto"/>
                <w:kern w:val="0"/>
                <w:sz w:val="18"/>
                <w:szCs w:val="18"/>
              </w:rPr>
              <w:t>≤5.0</w:t>
            </w:r>
          </w:p>
        </w:tc>
        <w:tc>
          <w:tcPr>
            <w:tcW w:w="1660" w:type="dxa"/>
            <w:vMerge w:val="continue"/>
            <w:vAlign w:val="center"/>
          </w:tcPr>
          <w:p w14:paraId="105934AB">
            <w:pPr>
              <w:spacing w:line="360" w:lineRule="auto"/>
              <w:jc w:val="center"/>
              <w:rPr>
                <w:rFonts w:ascii="Times New Roman" w:hAnsi="Times New Roman" w:cs="Times New Roman"/>
                <w:color w:val="auto"/>
                <w:szCs w:val="21"/>
              </w:rPr>
            </w:pPr>
          </w:p>
        </w:tc>
      </w:tr>
      <w:tr w14:paraId="0E40A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04" w:type="dxa"/>
            <w:vAlign w:val="center"/>
          </w:tcPr>
          <w:p w14:paraId="0EF26E7F">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6</w:t>
            </w:r>
          </w:p>
        </w:tc>
        <w:tc>
          <w:tcPr>
            <w:tcW w:w="4273" w:type="dxa"/>
            <w:gridSpan w:val="2"/>
            <w:vAlign w:val="center"/>
          </w:tcPr>
          <w:p w14:paraId="618FFDD5">
            <w:pPr>
              <w:spacing w:line="360" w:lineRule="auto"/>
              <w:jc w:val="center"/>
              <w:rPr>
                <w:rFonts w:ascii="Times New Roman" w:hAnsi="Times New Roman" w:cs="Times New Roman"/>
                <w:color w:val="auto"/>
                <w:szCs w:val="21"/>
              </w:rPr>
            </w:pPr>
            <w:r>
              <w:rPr>
                <w:rFonts w:ascii="Times New Roman" w:hAnsi="Times New Roman" w:cs="Times New Roman"/>
                <w:color w:val="auto"/>
                <w:szCs w:val="21"/>
              </w:rPr>
              <w:t>横向变形，mm</w:t>
            </w:r>
          </w:p>
        </w:tc>
        <w:tc>
          <w:tcPr>
            <w:tcW w:w="1659" w:type="dxa"/>
            <w:vAlign w:val="center"/>
          </w:tcPr>
          <w:p w14:paraId="660C0311">
            <w:pPr>
              <w:spacing w:line="360" w:lineRule="auto"/>
              <w:jc w:val="center"/>
              <w:rPr>
                <w:rFonts w:ascii="Times New Roman" w:hAnsi="Times New Roman" w:cs="Times New Roman"/>
                <w:color w:val="auto"/>
                <w:szCs w:val="21"/>
              </w:rPr>
            </w:pPr>
            <w:r>
              <w:rPr>
                <w:rFonts w:ascii="Times New Roman" w:hAnsi="Times New Roman" w:cs="Times New Roman"/>
                <w:color w:val="auto"/>
                <w:kern w:val="0"/>
                <w:sz w:val="18"/>
                <w:szCs w:val="18"/>
              </w:rPr>
              <w:t>≥2.0</w:t>
            </w:r>
          </w:p>
        </w:tc>
        <w:tc>
          <w:tcPr>
            <w:tcW w:w="1660" w:type="dxa"/>
            <w:vMerge w:val="continue"/>
            <w:vAlign w:val="center"/>
          </w:tcPr>
          <w:p w14:paraId="04C1DCC5">
            <w:pPr>
              <w:spacing w:line="360" w:lineRule="auto"/>
              <w:jc w:val="center"/>
              <w:rPr>
                <w:rFonts w:ascii="Times New Roman" w:hAnsi="Times New Roman" w:cs="Times New Roman"/>
                <w:color w:val="auto"/>
                <w:szCs w:val="21"/>
              </w:rPr>
            </w:pPr>
          </w:p>
        </w:tc>
      </w:tr>
    </w:tbl>
    <w:p w14:paraId="6CFCDF4D">
      <w:pPr>
        <w:tabs>
          <w:tab w:val="left" w:pos="3969"/>
        </w:tabs>
        <w:snapToGrid w:val="0"/>
        <w:spacing w:line="520" w:lineRule="exact"/>
        <w:rPr>
          <w:rFonts w:ascii="Times New Roman" w:hAnsi="Times New Roman" w:cs="Times New Roman"/>
          <w:b/>
          <w:color w:val="auto"/>
          <w:kern w:val="0"/>
          <w:sz w:val="24"/>
        </w:rPr>
      </w:pPr>
      <w:r>
        <w:rPr>
          <w:rFonts w:ascii="Times New Roman" w:hAnsi="Times New Roman" w:cs="Times New Roman"/>
          <w:b/>
          <w:color w:val="auto"/>
          <w:kern w:val="0"/>
          <w:sz w:val="24"/>
        </w:rPr>
        <w:t>4.5.7</w:t>
      </w:r>
      <w:r>
        <w:rPr>
          <w:rFonts w:ascii="Times New Roman" w:hAnsi="Times New Roman" w:cs="Times New Roman"/>
          <w:bCs/>
          <w:color w:val="auto"/>
          <w:kern w:val="0"/>
          <w:sz w:val="24"/>
        </w:rPr>
        <w:t>密封胶应采用硅酮或聚氨酯类建筑密封胶，其技术性能和试验方法应分别符合国家、行业现行标准《硅酮和改性硅酮建筑密封胶》GB/T 14683和《聚氨酯建筑密封胶》JC/T 482的规定。</w:t>
      </w:r>
    </w:p>
    <w:p w14:paraId="48A6A195">
      <w:pPr>
        <w:tabs>
          <w:tab w:val="left" w:pos="3969"/>
        </w:tabs>
        <w:snapToGrid w:val="0"/>
        <w:spacing w:line="520" w:lineRule="exact"/>
        <w:rPr>
          <w:rFonts w:ascii="Times New Roman" w:hAnsi="Times New Roman" w:cs="Times New Roman"/>
          <w:bCs/>
          <w:color w:val="auto"/>
          <w:kern w:val="0"/>
          <w:sz w:val="24"/>
        </w:rPr>
        <w:sectPr>
          <w:pgSz w:w="11906" w:h="16838"/>
          <w:pgMar w:top="1440" w:right="1800" w:bottom="1440" w:left="1800" w:header="851" w:footer="992" w:gutter="0"/>
          <w:cols w:space="425" w:num="1"/>
          <w:docGrid w:type="lines" w:linePitch="312" w:charSpace="0"/>
        </w:sectPr>
      </w:pPr>
      <w:r>
        <w:rPr>
          <w:rFonts w:ascii="Times New Roman" w:hAnsi="Times New Roman" w:cs="Times New Roman"/>
          <w:bCs/>
          <w:color w:val="auto"/>
          <w:kern w:val="0"/>
          <w:sz w:val="24"/>
        </w:rPr>
        <w:t>4.5.8保温免拆模板系统用的滴水线条、密封条、盖口条、护角条等</w:t>
      </w:r>
      <w:r>
        <w:rPr>
          <w:rFonts w:hint="eastAsia" w:ascii="Times New Roman" w:hAnsi="Times New Roman" w:cs="Times New Roman"/>
          <w:bCs/>
          <w:color w:val="auto"/>
          <w:kern w:val="0"/>
          <w:sz w:val="24"/>
        </w:rPr>
        <w:t>其他材料均应</w:t>
      </w:r>
      <w:r>
        <w:rPr>
          <w:rFonts w:ascii="Times New Roman" w:hAnsi="Times New Roman" w:cs="Times New Roman"/>
          <w:bCs/>
          <w:color w:val="auto"/>
          <w:kern w:val="0"/>
          <w:sz w:val="24"/>
        </w:rPr>
        <w:t>符合相应的产品标准要求。</w:t>
      </w:r>
    </w:p>
    <w:p w14:paraId="7B0F1F7B">
      <w:pPr>
        <w:tabs>
          <w:tab w:val="left" w:pos="3969"/>
        </w:tabs>
        <w:snapToGrid w:val="0"/>
        <w:spacing w:line="520" w:lineRule="exact"/>
        <w:rPr>
          <w:rFonts w:ascii="Times New Roman" w:hAnsi="Times New Roman" w:cs="Times New Roman"/>
          <w:bCs/>
          <w:color w:val="auto"/>
          <w:kern w:val="0"/>
          <w:sz w:val="24"/>
        </w:rPr>
      </w:pPr>
    </w:p>
    <w:p w14:paraId="6FD63916">
      <w:pPr>
        <w:tabs>
          <w:tab w:val="left" w:pos="3969"/>
        </w:tabs>
        <w:snapToGrid w:val="0"/>
        <w:spacing w:line="520" w:lineRule="exact"/>
        <w:jc w:val="center"/>
        <w:rPr>
          <w:rFonts w:ascii="Times New Roman" w:hAnsi="Times New Roman" w:eastAsia="宋体" w:cs="Times New Roman"/>
          <w:b/>
          <w:bCs/>
          <w:color w:val="auto"/>
          <w:sz w:val="28"/>
        </w:rPr>
      </w:pPr>
      <w:bookmarkStart w:id="1681" w:name="_Toc187858716"/>
      <w:r>
        <w:rPr>
          <w:rFonts w:hint="eastAsia" w:ascii="Times New Roman" w:hAnsi="Times New Roman" w:cs="Times New Roman"/>
          <w:b/>
          <w:bCs/>
          <w:color w:val="auto"/>
          <w:sz w:val="28"/>
        </w:rPr>
        <w:t>5 设计</w:t>
      </w:r>
      <w:bookmarkEnd w:id="1681"/>
    </w:p>
    <w:p w14:paraId="395FC28E">
      <w:pPr>
        <w:pStyle w:val="144"/>
        <w:tabs>
          <w:tab w:val="clear" w:pos="1620"/>
        </w:tabs>
        <w:spacing w:before="312" w:after="312"/>
        <w:rPr>
          <w:color w:val="auto"/>
        </w:rPr>
      </w:pPr>
      <w:bookmarkStart w:id="1682" w:name="_Toc187858717"/>
      <w:bookmarkStart w:id="1683" w:name="_Toc5706"/>
      <w:r>
        <w:rPr>
          <w:rFonts w:hint="eastAsia"/>
          <w:color w:val="auto"/>
        </w:rPr>
        <w:t>5.1一般规定</w:t>
      </w:r>
      <w:bookmarkEnd w:id="1682"/>
      <w:bookmarkEnd w:id="1683"/>
    </w:p>
    <w:p w14:paraId="33339D65">
      <w:pPr>
        <w:spacing w:line="360" w:lineRule="auto"/>
        <w:rPr>
          <w:color w:val="auto"/>
        </w:rPr>
      </w:pPr>
      <w:r>
        <w:rPr>
          <w:rFonts w:hint="eastAsia" w:ascii="Times New Roman" w:hAnsi="Times New Roman" w:eastAsia="宋体"/>
          <w:b/>
          <w:bCs/>
          <w:color w:val="auto"/>
          <w:sz w:val="24"/>
          <w:szCs w:val="24"/>
        </w:rPr>
        <w:t>5.1.1</w:t>
      </w:r>
      <w:r>
        <w:rPr>
          <w:rFonts w:hint="eastAsia" w:ascii="Times New Roman" w:hAnsi="Times New Roman" w:eastAsia="宋体"/>
          <w:color w:val="auto"/>
          <w:sz w:val="24"/>
          <w:szCs w:val="24"/>
        </w:rPr>
        <w:t xml:space="preserve">采用保温免拆模板系统的建筑工程，其设计及构造措施应符合国家和安徽省地方现行标准的有关规定。 </w:t>
      </w:r>
      <w:r>
        <w:rPr>
          <w:rFonts w:hint="eastAsia" w:ascii="Times New Roman" w:hAnsi="Times New Roman" w:eastAsia="宋体"/>
          <w:b/>
          <w:bCs/>
          <w:color w:val="auto"/>
          <w:sz w:val="24"/>
          <w:szCs w:val="24"/>
        </w:rPr>
        <w:t xml:space="preserve"> </w:t>
      </w:r>
      <w:r>
        <w:rPr>
          <w:rFonts w:hint="eastAsia"/>
          <w:color w:val="auto"/>
        </w:rPr>
        <w:t xml:space="preserve">  </w:t>
      </w:r>
    </w:p>
    <w:p w14:paraId="37F99B41">
      <w:pPr>
        <w:spacing w:line="360" w:lineRule="auto"/>
        <w:rPr>
          <w:rFonts w:ascii="Times New Roman" w:hAnsi="Times New Roman" w:eastAsia="宋体"/>
          <w:b/>
          <w:bCs/>
          <w:color w:val="auto"/>
          <w:sz w:val="24"/>
          <w:szCs w:val="24"/>
        </w:rPr>
      </w:pPr>
      <w:r>
        <w:rPr>
          <w:rFonts w:hint="eastAsia" w:ascii="Times New Roman" w:hAnsi="Times New Roman" w:eastAsia="宋体"/>
          <w:b/>
          <w:bCs/>
          <w:color w:val="auto"/>
          <w:sz w:val="24"/>
          <w:szCs w:val="24"/>
        </w:rPr>
        <w:t>5.1.2</w:t>
      </w:r>
      <w:r>
        <w:rPr>
          <w:rFonts w:hint="eastAsia" w:ascii="Times New Roman" w:hAnsi="Times New Roman" w:eastAsia="宋体"/>
          <w:color w:val="auto"/>
          <w:sz w:val="24"/>
          <w:szCs w:val="24"/>
        </w:rPr>
        <w:t>保温免拆模板厚度应通过热工计算确定，计算方法应符合现行国家标准《民用建筑热工设计规范》GB 50176的规定。</w:t>
      </w:r>
    </w:p>
    <w:p w14:paraId="5C7AC266">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5.1.3</w:t>
      </w:r>
      <w:r>
        <w:rPr>
          <w:rFonts w:hint="eastAsia" w:ascii="Times New Roman" w:hAnsi="Times New Roman" w:eastAsia="宋体"/>
          <w:color w:val="auto"/>
          <w:sz w:val="24"/>
          <w:szCs w:val="24"/>
        </w:rPr>
        <w:t>保温免拆模板系统工程应进行密封和防水的构造设计，应符合《建筑与市政工程防水通用规范》</w:t>
      </w:r>
      <w:r>
        <w:rPr>
          <w:rFonts w:ascii="Times New Roman" w:hAnsi="Times New Roman" w:eastAsia="宋体"/>
          <w:color w:val="auto"/>
          <w:sz w:val="24"/>
          <w:szCs w:val="24"/>
        </w:rPr>
        <w:t>GB 55030</w:t>
      </w:r>
      <w:r>
        <w:rPr>
          <w:rFonts w:hint="eastAsia" w:ascii="Times New Roman" w:hAnsi="Times New Roman" w:eastAsia="宋体"/>
          <w:color w:val="auto"/>
          <w:sz w:val="24"/>
          <w:szCs w:val="24"/>
        </w:rPr>
        <w:t xml:space="preserve">的规定。 </w:t>
      </w:r>
      <w:r>
        <w:rPr>
          <w:rFonts w:hint="eastAsia"/>
          <w:color w:val="auto"/>
        </w:rPr>
        <w:t xml:space="preserve">                   </w:t>
      </w:r>
    </w:p>
    <w:p w14:paraId="3EB2F3D8">
      <w:pPr>
        <w:spacing w:line="360" w:lineRule="auto"/>
        <w:rPr>
          <w:rFonts w:ascii="Times New Roman" w:hAnsi="Times New Roman" w:eastAsia="宋体"/>
          <w:b/>
          <w:bCs/>
          <w:color w:val="auto"/>
          <w:sz w:val="24"/>
          <w:szCs w:val="24"/>
        </w:rPr>
      </w:pPr>
      <w:r>
        <w:rPr>
          <w:rFonts w:hint="eastAsia" w:ascii="Times New Roman" w:hAnsi="Times New Roman" w:eastAsia="宋体"/>
          <w:b/>
          <w:bCs/>
          <w:color w:val="auto"/>
          <w:sz w:val="24"/>
          <w:szCs w:val="24"/>
        </w:rPr>
        <w:t>5.1.4</w:t>
      </w:r>
      <w:r>
        <w:rPr>
          <w:rFonts w:hint="eastAsia" w:ascii="Times New Roman" w:hAnsi="Times New Roman" w:eastAsia="宋体"/>
          <w:color w:val="auto"/>
          <w:sz w:val="24"/>
          <w:szCs w:val="24"/>
        </w:rPr>
        <w:t>保温免拆模板系统的防潮、防结露等设计应符合现行国家标准《民用建筑热工设计规范》GB50176的有关规定。</w:t>
      </w:r>
    </w:p>
    <w:p w14:paraId="207912EB">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5.1.5</w:t>
      </w:r>
      <w:r>
        <w:rPr>
          <w:rFonts w:hint="eastAsia" w:ascii="Times New Roman" w:hAnsi="Times New Roman" w:eastAsia="宋体"/>
          <w:color w:val="auto"/>
          <w:sz w:val="24"/>
          <w:szCs w:val="24"/>
        </w:rPr>
        <w:t>保温免拆模板系统的防火设计应符合现行国家标准《建筑防火通用规范》GB 55037规定。</w:t>
      </w:r>
    </w:p>
    <w:p w14:paraId="0DFB9006">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5.1.6</w:t>
      </w:r>
      <w:r>
        <w:rPr>
          <w:rFonts w:hint="eastAsia" w:ascii="Times New Roman" w:hAnsi="Times New Roman" w:eastAsia="宋体"/>
          <w:color w:val="auto"/>
          <w:sz w:val="24"/>
          <w:szCs w:val="24"/>
        </w:rPr>
        <w:t>采用保温免拆模板系统的施工图应有建筑节能设计专篇，包括下列内容：</w:t>
      </w:r>
    </w:p>
    <w:p w14:paraId="659ECCFF">
      <w:pPr>
        <w:autoSpaceDE w:val="0"/>
        <w:autoSpaceDN w:val="0"/>
        <w:adjustRightInd w:val="0"/>
        <w:snapToGrid w:val="0"/>
        <w:spacing w:line="360" w:lineRule="auto"/>
        <w:ind w:firstLine="480" w:firstLineChars="200"/>
        <w:jc w:val="left"/>
        <w:rPr>
          <w:rFonts w:hint="eastAsia" w:cs="宋体" w:asciiTheme="minorEastAsia" w:hAnsiTheme="minorEastAsia"/>
          <w:bCs/>
          <w:color w:val="auto"/>
          <w:sz w:val="24"/>
        </w:rPr>
      </w:pPr>
      <w:r>
        <w:rPr>
          <w:rFonts w:hint="eastAsia" w:cs="宋体" w:asciiTheme="minorEastAsia" w:hAnsiTheme="minorEastAsia"/>
          <w:bCs/>
          <w:color w:val="auto"/>
          <w:sz w:val="24"/>
        </w:rPr>
        <w:t>1 执行标准；</w:t>
      </w:r>
    </w:p>
    <w:p w14:paraId="39BB0989">
      <w:pPr>
        <w:autoSpaceDE w:val="0"/>
        <w:autoSpaceDN w:val="0"/>
        <w:adjustRightInd w:val="0"/>
        <w:snapToGrid w:val="0"/>
        <w:spacing w:line="360" w:lineRule="auto"/>
        <w:ind w:firstLine="480" w:firstLineChars="200"/>
        <w:jc w:val="left"/>
        <w:rPr>
          <w:rFonts w:hint="eastAsia" w:cs="宋体" w:asciiTheme="minorEastAsia" w:hAnsiTheme="minorEastAsia"/>
          <w:bCs/>
          <w:color w:val="auto"/>
          <w:sz w:val="24"/>
        </w:rPr>
      </w:pPr>
      <w:r>
        <w:rPr>
          <w:rFonts w:hint="eastAsia" w:cs="宋体" w:asciiTheme="minorEastAsia" w:hAnsiTheme="minorEastAsia"/>
          <w:bCs/>
          <w:color w:val="auto"/>
          <w:sz w:val="24"/>
        </w:rPr>
        <w:t>2 外保温系统及主要组成材料的性能指标；</w:t>
      </w:r>
    </w:p>
    <w:p w14:paraId="0525ACD6">
      <w:pPr>
        <w:autoSpaceDE w:val="0"/>
        <w:autoSpaceDN w:val="0"/>
        <w:adjustRightInd w:val="0"/>
        <w:snapToGrid w:val="0"/>
        <w:spacing w:line="360" w:lineRule="auto"/>
        <w:ind w:firstLine="480" w:firstLineChars="200"/>
        <w:jc w:val="left"/>
        <w:rPr>
          <w:rFonts w:hint="eastAsia" w:cs="宋体" w:asciiTheme="minorEastAsia" w:hAnsiTheme="minorEastAsia"/>
          <w:bCs/>
          <w:color w:val="auto"/>
          <w:sz w:val="24"/>
        </w:rPr>
      </w:pPr>
      <w:r>
        <w:rPr>
          <w:rFonts w:hint="eastAsia" w:cs="宋体" w:asciiTheme="minorEastAsia" w:hAnsiTheme="minorEastAsia"/>
          <w:bCs/>
          <w:color w:val="auto"/>
          <w:sz w:val="24"/>
        </w:rPr>
        <w:t>3 系统构造、系统防脱落安全措施、系统防开裂技术措施、系统防火技术措施、系统防水技术措施、系统热桥部位保温技术措施；</w:t>
      </w:r>
    </w:p>
    <w:p w14:paraId="12D70387">
      <w:pPr>
        <w:autoSpaceDE w:val="0"/>
        <w:autoSpaceDN w:val="0"/>
        <w:adjustRightInd w:val="0"/>
        <w:snapToGrid w:val="0"/>
        <w:spacing w:line="360" w:lineRule="auto"/>
        <w:ind w:firstLine="480" w:firstLineChars="200"/>
        <w:jc w:val="left"/>
        <w:rPr>
          <w:rFonts w:hint="eastAsia" w:cs="宋体" w:asciiTheme="minorEastAsia" w:hAnsiTheme="minorEastAsia"/>
          <w:bCs/>
          <w:color w:val="auto"/>
          <w:sz w:val="24"/>
        </w:rPr>
      </w:pPr>
      <w:r>
        <w:rPr>
          <w:rFonts w:hint="eastAsia" w:cs="宋体" w:asciiTheme="minorEastAsia" w:hAnsiTheme="minorEastAsia"/>
          <w:bCs/>
          <w:color w:val="auto"/>
          <w:sz w:val="24"/>
        </w:rPr>
        <w:t>4 细部节点构造详图等。</w:t>
      </w:r>
    </w:p>
    <w:p w14:paraId="38B1F001">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5.1.7</w:t>
      </w:r>
      <w:r>
        <w:rPr>
          <w:rFonts w:hint="eastAsia" w:ascii="Times New Roman" w:hAnsi="Times New Roman" w:eastAsia="宋体"/>
          <w:color w:val="auto"/>
          <w:sz w:val="24"/>
          <w:szCs w:val="24"/>
        </w:rPr>
        <w:t>当遇到下列情况时，应对免拆模板外保温系统的安全性、适用性和耐久性进行专项设计并专题论证：</w:t>
      </w:r>
    </w:p>
    <w:p w14:paraId="0104F540">
      <w:pPr>
        <w:spacing w:line="360" w:lineRule="auto"/>
        <w:rPr>
          <w:rFonts w:ascii="Times New Roman" w:hAnsi="Times New Roman" w:eastAsia="宋体"/>
          <w:color w:val="auto"/>
          <w:sz w:val="24"/>
          <w:szCs w:val="24"/>
        </w:rPr>
      </w:pPr>
      <w:r>
        <w:rPr>
          <w:rFonts w:hint="eastAsia" w:ascii="Times New Roman" w:hAnsi="Times New Roman" w:eastAsia="宋体"/>
          <w:color w:val="auto"/>
          <w:sz w:val="24"/>
          <w:szCs w:val="24"/>
        </w:rPr>
        <w:t xml:space="preserve">   1 工程项目抗震设防烈度为8度；</w:t>
      </w:r>
    </w:p>
    <w:p w14:paraId="57DDC206">
      <w:pPr>
        <w:spacing w:line="360" w:lineRule="auto"/>
        <w:rPr>
          <w:rFonts w:ascii="Times New Roman" w:hAnsi="Times New Roman" w:eastAsia="宋体"/>
          <w:color w:val="auto"/>
          <w:sz w:val="24"/>
          <w:szCs w:val="24"/>
        </w:rPr>
      </w:pPr>
      <w:r>
        <w:rPr>
          <w:rFonts w:hint="eastAsia" w:ascii="Times New Roman" w:hAnsi="Times New Roman" w:eastAsia="宋体"/>
          <w:color w:val="auto"/>
          <w:sz w:val="24"/>
          <w:szCs w:val="24"/>
        </w:rPr>
        <w:t xml:space="preserve">   2 外保温系统应用高度超过100m；</w:t>
      </w:r>
    </w:p>
    <w:p w14:paraId="60439CD3">
      <w:pPr>
        <w:spacing w:line="360" w:lineRule="auto"/>
        <w:rPr>
          <w:color w:val="auto"/>
        </w:rPr>
      </w:pPr>
      <w:r>
        <w:rPr>
          <w:rFonts w:hint="eastAsia" w:ascii="Times New Roman" w:hAnsi="Times New Roman" w:eastAsia="宋体"/>
          <w:color w:val="auto"/>
          <w:sz w:val="24"/>
          <w:szCs w:val="24"/>
        </w:rPr>
        <w:t xml:space="preserve">   3 采用新的饰面材料等其他特殊情况。</w:t>
      </w:r>
    </w:p>
    <w:p w14:paraId="56D5864D">
      <w:pPr>
        <w:adjustRightInd w:val="0"/>
        <w:snapToGrid w:val="0"/>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5.1.8</w:t>
      </w:r>
      <w:r>
        <w:rPr>
          <w:rFonts w:hint="eastAsia" w:ascii="Times New Roman" w:hAnsi="Times New Roman" w:eastAsia="宋体"/>
          <w:color w:val="auto"/>
          <w:sz w:val="24"/>
          <w:szCs w:val="24"/>
        </w:rPr>
        <w:t xml:space="preserve"> 严禁以保温免拆模板为基层安装</w:t>
      </w:r>
      <w:bookmarkStart w:id="1684" w:name="_Hlk176162629"/>
      <w:r>
        <w:rPr>
          <w:rFonts w:hint="eastAsia" w:ascii="Times New Roman" w:hAnsi="Times New Roman" w:eastAsia="宋体"/>
          <w:color w:val="auto"/>
          <w:sz w:val="24"/>
          <w:szCs w:val="24"/>
        </w:rPr>
        <w:t>锚固件</w:t>
      </w:r>
      <w:bookmarkEnd w:id="1684"/>
      <w:r>
        <w:rPr>
          <w:rFonts w:hint="eastAsia" w:ascii="Times New Roman" w:hAnsi="Times New Roman" w:eastAsia="宋体"/>
          <w:color w:val="auto"/>
          <w:sz w:val="24"/>
          <w:szCs w:val="24"/>
        </w:rPr>
        <w:t>。需锚固时锚固件应穿透保温免拆模板，锚固于钢筋混凝土墙、柱、梁、楼板上，并对保温免拆模板的开孔部位进行防水密封。</w:t>
      </w:r>
    </w:p>
    <w:p w14:paraId="55213F9A">
      <w:pPr>
        <w:pStyle w:val="144"/>
        <w:tabs>
          <w:tab w:val="clear" w:pos="1620"/>
        </w:tabs>
        <w:spacing w:before="312" w:after="312"/>
        <w:rPr>
          <w:color w:val="auto"/>
        </w:rPr>
      </w:pPr>
      <w:bookmarkStart w:id="1685" w:name="_Toc187858718"/>
    </w:p>
    <w:p w14:paraId="4C36E04F">
      <w:pPr>
        <w:pStyle w:val="144"/>
        <w:tabs>
          <w:tab w:val="clear" w:pos="1620"/>
        </w:tabs>
        <w:spacing w:before="312" w:after="312"/>
        <w:rPr>
          <w:rFonts w:eastAsia="楷体" w:cs="楷体"/>
          <w:bCs/>
          <w:i/>
          <w:iCs/>
          <w:color w:val="auto"/>
          <w:u w:val="single"/>
        </w:rPr>
      </w:pPr>
      <w:bookmarkStart w:id="1686" w:name="_Toc15523"/>
      <w:r>
        <w:rPr>
          <w:rFonts w:hint="eastAsia"/>
          <w:color w:val="auto"/>
        </w:rPr>
        <w:t>5.2热工设计</w:t>
      </w:r>
      <w:bookmarkEnd w:id="1685"/>
      <w:bookmarkEnd w:id="1686"/>
    </w:p>
    <w:p w14:paraId="528E9B97">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5.2.1</w:t>
      </w:r>
      <w:r>
        <w:rPr>
          <w:rFonts w:hint="eastAsia" w:ascii="Times New Roman" w:hAnsi="Times New Roman" w:eastAsia="宋体"/>
          <w:color w:val="auto"/>
          <w:sz w:val="24"/>
          <w:szCs w:val="24"/>
        </w:rPr>
        <w:t>保温免拆模板系统的热工设计应符合《民用建筑热工设计规范》GB 50176、《工业建筑节能设计统一标准》GB 51245以及安徽省现行公共建筑、居住建筑节能设计标准的要求，并应符合下列规定:</w:t>
      </w:r>
    </w:p>
    <w:p w14:paraId="14BF6382">
      <w:pPr>
        <w:spacing w:line="360" w:lineRule="auto"/>
        <w:ind w:firstLine="480" w:firstLineChars="200"/>
        <w:rPr>
          <w:rFonts w:ascii="Times New Roman" w:hAnsi="Times New Roman" w:eastAsia="宋体"/>
          <w:color w:val="auto"/>
          <w:sz w:val="24"/>
          <w:szCs w:val="24"/>
        </w:rPr>
      </w:pPr>
      <w:bookmarkStart w:id="1687" w:name="_Hlk176253150"/>
      <w:r>
        <w:rPr>
          <w:rFonts w:hint="eastAsia" w:ascii="Times New Roman" w:hAnsi="Times New Roman" w:eastAsia="宋体"/>
          <w:color w:val="auto"/>
          <w:sz w:val="24"/>
          <w:szCs w:val="24"/>
        </w:rPr>
        <w:t>1</w:t>
      </w:r>
      <w:bookmarkEnd w:id="1687"/>
      <w:r>
        <w:rPr>
          <w:rFonts w:hint="eastAsia" w:ascii="Times New Roman" w:hAnsi="Times New Roman" w:eastAsia="宋体"/>
          <w:color w:val="auto"/>
          <w:sz w:val="24"/>
          <w:szCs w:val="24"/>
        </w:rPr>
        <w:t>热桥部位应进行表面结露验算，围护结构及热桥部位的内表面温度不应低于室内空气设计温、湿度条件下的露点温度，且应高于0℃；</w:t>
      </w:r>
    </w:p>
    <w:p w14:paraId="420BD4D1">
      <w:pPr>
        <w:spacing w:line="360" w:lineRule="auto"/>
        <w:ind w:firstLine="480" w:firstLineChars="200"/>
        <w:rPr>
          <w:rFonts w:ascii="Times New Roman" w:hAnsi="Times New Roman" w:eastAsia="宋体"/>
          <w:color w:val="auto"/>
          <w:sz w:val="24"/>
          <w:szCs w:val="24"/>
        </w:rPr>
      </w:pPr>
      <w:r>
        <w:rPr>
          <w:rFonts w:ascii="Times New Roman" w:hAnsi="Times New Roman" w:eastAsia="宋体"/>
          <w:color w:val="auto"/>
          <w:sz w:val="24"/>
          <w:szCs w:val="24"/>
        </w:rPr>
        <w:t>2</w:t>
      </w:r>
      <w:r>
        <w:rPr>
          <w:rFonts w:hint="eastAsia" w:ascii="Times New Roman" w:hAnsi="Times New Roman" w:eastAsia="宋体"/>
          <w:color w:val="auto"/>
          <w:sz w:val="24"/>
          <w:szCs w:val="24"/>
        </w:rPr>
        <w:t>门窗框外侧洞口、女儿墙、封闭阳台以及出挑构件等热桥部位宜采用抹灰型轻质砂浆处理；</w:t>
      </w:r>
    </w:p>
    <w:p w14:paraId="399D974F">
      <w:pPr>
        <w:spacing w:line="360" w:lineRule="auto"/>
        <w:ind w:firstLine="480" w:firstLineChars="200"/>
        <w:rPr>
          <w:rFonts w:ascii="Times New Roman" w:hAnsi="Times New Roman" w:eastAsia="宋体"/>
          <w:color w:val="auto"/>
          <w:sz w:val="24"/>
          <w:szCs w:val="24"/>
        </w:rPr>
      </w:pPr>
      <w:r>
        <w:rPr>
          <w:rFonts w:ascii="Times New Roman" w:hAnsi="Times New Roman" w:eastAsia="宋体"/>
          <w:color w:val="auto"/>
          <w:sz w:val="24"/>
          <w:szCs w:val="24"/>
        </w:rPr>
        <w:t>3</w:t>
      </w:r>
      <w:r>
        <w:rPr>
          <w:rFonts w:hint="eastAsia" w:ascii="Times New Roman" w:hAnsi="Times New Roman" w:eastAsia="宋体"/>
          <w:color w:val="auto"/>
          <w:sz w:val="24"/>
          <w:szCs w:val="24"/>
        </w:rPr>
        <w:t>保温免拆模板系统的热阻应按各构造层厚度计算确定。</w:t>
      </w:r>
    </w:p>
    <w:p w14:paraId="35ADF4CB">
      <w:pPr>
        <w:spacing w:line="360" w:lineRule="auto"/>
        <w:rPr>
          <w:rFonts w:ascii="Times New Roman" w:hAnsi="Times New Roman" w:eastAsia="宋体"/>
          <w:color w:val="auto"/>
          <w:sz w:val="24"/>
          <w:szCs w:val="24"/>
        </w:rPr>
      </w:pPr>
      <w:r>
        <w:rPr>
          <w:rFonts w:hint="eastAsia" w:ascii="Times New Roman" w:hAnsi="Times New Roman" w:eastAsia="宋体"/>
          <w:b/>
          <w:color w:val="auto"/>
          <w:sz w:val="24"/>
          <w:szCs w:val="24"/>
        </w:rPr>
        <w:t>5.2.2</w:t>
      </w:r>
      <w:r>
        <w:rPr>
          <w:rFonts w:hint="eastAsia" w:ascii="Times New Roman" w:hAnsi="Times New Roman" w:eastAsia="宋体"/>
          <w:color w:val="auto"/>
          <w:sz w:val="24"/>
          <w:szCs w:val="24"/>
        </w:rPr>
        <w:t>保温免拆模板主要组成材料导热系数应按下式进行修正:</w:t>
      </w:r>
    </w:p>
    <w:p w14:paraId="7CCA1681">
      <w:pPr>
        <w:spacing w:line="360" w:lineRule="auto"/>
        <w:ind w:firstLine="1680" w:firstLineChars="700"/>
        <w:rPr>
          <w:rFonts w:ascii="Times New Roman" w:hAnsi="Times New Roman" w:eastAsia="宋体"/>
          <w:color w:val="auto"/>
          <w:sz w:val="24"/>
          <w:szCs w:val="24"/>
        </w:rPr>
      </w:pPr>
      <w:r>
        <w:rPr>
          <w:rFonts w:hint="eastAsia" w:ascii="Times New Roman" w:hAnsi="Times New Roman" w:eastAsia="宋体"/>
          <w:color w:val="auto"/>
          <w:sz w:val="24"/>
          <w:szCs w:val="24"/>
        </w:rPr>
        <w:t>λ</w:t>
      </w:r>
      <w:r>
        <w:rPr>
          <w:rFonts w:hint="eastAsia" w:ascii="Times New Roman" w:hAnsi="Times New Roman" w:eastAsia="宋体"/>
          <w:color w:val="auto"/>
          <w:sz w:val="24"/>
          <w:szCs w:val="24"/>
          <w:vertAlign w:val="subscript"/>
        </w:rPr>
        <w:t>C</w:t>
      </w:r>
      <w:r>
        <w:rPr>
          <w:rFonts w:hint="eastAsia" w:ascii="Times New Roman" w:hAnsi="Times New Roman" w:eastAsia="宋体"/>
          <w:color w:val="auto"/>
          <w:sz w:val="24"/>
          <w:szCs w:val="24"/>
        </w:rPr>
        <w:t>=α</w:t>
      </w:r>
      <w:r>
        <w:rPr>
          <w:rFonts w:hint="eastAsia" w:ascii="Times New Roman" w:hAnsi="Times New Roman" w:eastAsia="宋体"/>
          <w:color w:val="auto"/>
          <w:sz w:val="24"/>
          <w:szCs w:val="24"/>
          <w:vertAlign w:val="subscript"/>
        </w:rPr>
        <w:t>1</w:t>
      </w:r>
      <w:r>
        <w:rPr>
          <w:rFonts w:hint="eastAsia" w:ascii="Times New Roman" w:hAnsi="Times New Roman" w:eastAsia="宋体"/>
          <w:color w:val="auto"/>
          <w:sz w:val="24"/>
          <w:szCs w:val="24"/>
        </w:rPr>
        <w:t>α</w:t>
      </w:r>
      <w:r>
        <w:rPr>
          <w:rFonts w:hint="eastAsia" w:ascii="Times New Roman" w:hAnsi="Times New Roman" w:eastAsia="宋体"/>
          <w:color w:val="auto"/>
          <w:sz w:val="24"/>
          <w:szCs w:val="24"/>
          <w:vertAlign w:val="subscript"/>
        </w:rPr>
        <w:t>2</w:t>
      </w:r>
      <w:r>
        <w:rPr>
          <w:rFonts w:hint="eastAsia" w:ascii="Times New Roman" w:hAnsi="Times New Roman" w:eastAsia="宋体"/>
          <w:color w:val="auto"/>
          <w:sz w:val="24"/>
          <w:szCs w:val="24"/>
        </w:rPr>
        <w:t>λ                                 (5.2.2)</w:t>
      </w:r>
    </w:p>
    <w:p w14:paraId="50FD9A48">
      <w:pPr>
        <w:spacing w:line="360" w:lineRule="auto"/>
        <w:rPr>
          <w:rFonts w:ascii="Times New Roman" w:hAnsi="Times New Roman" w:eastAsia="宋体"/>
          <w:color w:val="auto"/>
          <w:sz w:val="24"/>
          <w:szCs w:val="24"/>
        </w:rPr>
      </w:pPr>
      <w:r>
        <w:rPr>
          <w:rFonts w:hint="eastAsia" w:ascii="Times New Roman" w:hAnsi="Times New Roman" w:eastAsia="宋体"/>
          <w:color w:val="auto"/>
          <w:sz w:val="24"/>
          <w:szCs w:val="24"/>
        </w:rPr>
        <w:t>式中  λ</w:t>
      </w:r>
      <w:r>
        <w:rPr>
          <w:rFonts w:hint="eastAsia" w:ascii="Times New Roman" w:hAnsi="Times New Roman" w:eastAsia="宋体"/>
          <w:color w:val="auto"/>
          <w:sz w:val="24"/>
          <w:szCs w:val="24"/>
          <w:vertAlign w:val="subscript"/>
        </w:rPr>
        <w:t>C</w:t>
      </w:r>
      <w:r>
        <w:rPr>
          <w:rFonts w:hint="eastAsia" w:ascii="Times New Roman" w:hAnsi="Times New Roman" w:eastAsia="宋体"/>
          <w:color w:val="auto"/>
          <w:sz w:val="24"/>
          <w:szCs w:val="24"/>
        </w:rPr>
        <w:t>——保温免拆模板主要组成材料导热系数修正值[W/(m·K)]；</w:t>
      </w:r>
    </w:p>
    <w:p w14:paraId="36FB5728">
      <w:pPr>
        <w:spacing w:line="360" w:lineRule="auto"/>
        <w:rPr>
          <w:rFonts w:ascii="Times New Roman" w:hAnsi="Times New Roman" w:eastAsia="宋体"/>
          <w:color w:val="auto"/>
          <w:sz w:val="24"/>
          <w:szCs w:val="24"/>
        </w:rPr>
      </w:pPr>
      <w:r>
        <w:rPr>
          <w:rFonts w:hint="eastAsia" w:ascii="Times New Roman" w:hAnsi="Times New Roman" w:eastAsia="宋体"/>
          <w:color w:val="auto"/>
          <w:sz w:val="24"/>
          <w:szCs w:val="24"/>
        </w:rPr>
        <w:t xml:space="preserve">      α</w:t>
      </w:r>
      <w:r>
        <w:rPr>
          <w:rFonts w:hint="eastAsia" w:ascii="Times New Roman" w:hAnsi="Times New Roman" w:eastAsia="宋体"/>
          <w:color w:val="auto"/>
          <w:sz w:val="24"/>
          <w:szCs w:val="24"/>
          <w:vertAlign w:val="subscript"/>
        </w:rPr>
        <w:t>1</w:t>
      </w:r>
      <w:r>
        <w:rPr>
          <w:rFonts w:hint="eastAsia" w:ascii="Times New Roman" w:hAnsi="Times New Roman" w:eastAsia="宋体"/>
          <w:color w:val="auto"/>
          <w:sz w:val="24"/>
          <w:szCs w:val="24"/>
        </w:rPr>
        <w:t>——环境修正系数，保温免拆模板主要组成材料环境修正系数，可按表5.2.2取值；</w:t>
      </w:r>
    </w:p>
    <w:p w14:paraId="06F05CCD">
      <w:pPr>
        <w:spacing w:line="360" w:lineRule="auto"/>
        <w:ind w:firstLine="720" w:firstLineChars="300"/>
        <w:rPr>
          <w:rFonts w:ascii="Times New Roman" w:hAnsi="Times New Roman" w:eastAsia="宋体"/>
          <w:color w:val="auto"/>
          <w:sz w:val="24"/>
          <w:szCs w:val="24"/>
        </w:rPr>
      </w:pPr>
      <w:r>
        <w:rPr>
          <w:rFonts w:hint="eastAsia" w:ascii="Times New Roman" w:hAnsi="Times New Roman" w:eastAsia="宋体"/>
          <w:color w:val="auto"/>
          <w:sz w:val="24"/>
          <w:szCs w:val="24"/>
        </w:rPr>
        <w:t>α</w:t>
      </w:r>
      <w:r>
        <w:rPr>
          <w:rFonts w:hint="eastAsia" w:ascii="Times New Roman" w:hAnsi="Times New Roman" w:eastAsia="宋体"/>
          <w:color w:val="auto"/>
          <w:sz w:val="24"/>
          <w:szCs w:val="24"/>
          <w:vertAlign w:val="subscript"/>
        </w:rPr>
        <w:t>2</w:t>
      </w:r>
      <w:r>
        <w:rPr>
          <w:rFonts w:hint="eastAsia" w:ascii="Times New Roman" w:hAnsi="Times New Roman" w:eastAsia="宋体"/>
          <w:color w:val="auto"/>
          <w:sz w:val="24"/>
          <w:szCs w:val="24"/>
        </w:rPr>
        <w:t>——连接锚固件热桥修正系数。表面有隔热措施取1.1，无隔热措施取 1.3；</w:t>
      </w:r>
    </w:p>
    <w:p w14:paraId="25B6351A">
      <w:pPr>
        <w:spacing w:line="360" w:lineRule="auto"/>
        <w:ind w:firstLine="720" w:firstLineChars="300"/>
        <w:rPr>
          <w:rFonts w:ascii="Times New Roman" w:hAnsi="Times New Roman" w:eastAsia="宋体"/>
          <w:color w:val="auto"/>
          <w:sz w:val="24"/>
          <w:szCs w:val="24"/>
        </w:rPr>
      </w:pPr>
      <w:r>
        <w:rPr>
          <w:rFonts w:hint="eastAsia" w:ascii="Times New Roman" w:hAnsi="Times New Roman" w:eastAsia="宋体"/>
          <w:color w:val="auto"/>
          <w:sz w:val="24"/>
          <w:szCs w:val="24"/>
        </w:rPr>
        <w:t>λ——保温免拆模板主要组成材料导热系数[W/(m·K)]，可按表5.2.2取值。</w:t>
      </w:r>
    </w:p>
    <w:p w14:paraId="5F076958">
      <w:pPr>
        <w:jc w:val="center"/>
        <w:rPr>
          <w:b/>
          <w:bCs/>
          <w:color w:val="auto"/>
        </w:rPr>
      </w:pPr>
    </w:p>
    <w:p w14:paraId="49555D3A">
      <w:pPr>
        <w:jc w:val="center"/>
        <w:rPr>
          <w:b/>
          <w:bCs/>
          <w:color w:val="auto"/>
          <w:vertAlign w:val="subscript"/>
        </w:rPr>
      </w:pPr>
      <w:r>
        <w:rPr>
          <w:rFonts w:hint="eastAsia"/>
          <w:b/>
          <w:bCs/>
          <w:color w:val="auto"/>
        </w:rPr>
        <w:t>表5.2.2 保温免拆模板保温芯材导热系数λ及环境修正系数α</w:t>
      </w:r>
      <w:r>
        <w:rPr>
          <w:rFonts w:hint="eastAsia"/>
          <w:b/>
          <w:bCs/>
          <w:color w:val="auto"/>
          <w:vertAlign w:val="subscript"/>
        </w:rPr>
        <w:t>1</w:t>
      </w:r>
    </w:p>
    <w:tbl>
      <w:tblPr>
        <w:tblStyle w:val="88"/>
        <w:tblpPr w:leftFromText="180" w:rightFromText="180" w:vertAnchor="text" w:horzAnchor="page" w:tblpX="1867" w:tblpY="246"/>
        <w:tblOverlap w:val="never"/>
        <w:tblW w:w="8294" w:type="dxa"/>
        <w:tblInd w:w="0" w:type="dxa"/>
        <w:tblLayout w:type="fixed"/>
        <w:tblCellMar>
          <w:top w:w="0" w:type="dxa"/>
          <w:left w:w="0" w:type="dxa"/>
          <w:bottom w:w="0" w:type="dxa"/>
          <w:right w:w="0" w:type="dxa"/>
        </w:tblCellMar>
      </w:tblPr>
      <w:tblGrid>
        <w:gridCol w:w="4434"/>
        <w:gridCol w:w="2025"/>
        <w:gridCol w:w="1835"/>
      </w:tblGrid>
      <w:tr w14:paraId="246CC9BA">
        <w:tblPrEx>
          <w:tblCellMar>
            <w:top w:w="0" w:type="dxa"/>
            <w:left w:w="0" w:type="dxa"/>
            <w:bottom w:w="0" w:type="dxa"/>
            <w:right w:w="0" w:type="dxa"/>
          </w:tblCellMar>
        </w:tblPrEx>
        <w:trPr>
          <w:trHeight w:val="270" w:hRule="atLeast"/>
        </w:trPr>
        <w:tc>
          <w:tcPr>
            <w:tcW w:w="4434" w:type="dxa"/>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A315DEF">
            <w:pPr>
              <w:widowControl/>
              <w:jc w:val="center"/>
              <w:textAlignment w:val="center"/>
              <w:rPr>
                <w:rFonts w:ascii="Times New Roman" w:hAnsi="Times New Roman" w:eastAsia="宋体" w:cs="Times New Roman"/>
                <w:color w:val="auto"/>
                <w:sz w:val="22"/>
              </w:rPr>
            </w:pPr>
            <w:r>
              <w:rPr>
                <w:rFonts w:ascii="Times New Roman" w:hAnsi="Times New Roman" w:eastAsia="宋体" w:cs="Times New Roman"/>
                <w:color w:val="auto"/>
                <w:kern w:val="0"/>
                <w:sz w:val="22"/>
                <w:lang w:bidi="ar"/>
              </w:rPr>
              <w:t>材料名称</w:t>
            </w:r>
          </w:p>
        </w:tc>
        <w:tc>
          <w:tcPr>
            <w:tcW w:w="2025" w:type="dxa"/>
            <w:vMerge w:val="restar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E8A360E">
            <w:pPr>
              <w:widowControl/>
              <w:jc w:val="center"/>
              <w:textAlignment w:val="center"/>
              <w:rPr>
                <w:rFonts w:ascii="Times New Roman" w:hAnsi="Times New Roman" w:eastAsia="宋体" w:cs="Times New Roman"/>
                <w:color w:val="auto"/>
                <w:kern w:val="0"/>
                <w:sz w:val="22"/>
                <w:lang w:bidi="ar"/>
              </w:rPr>
            </w:pPr>
            <w:r>
              <w:rPr>
                <w:rFonts w:ascii="Times New Roman" w:hAnsi="Times New Roman" w:eastAsia="宋体" w:cs="Times New Roman"/>
                <w:color w:val="auto"/>
                <w:kern w:val="0"/>
                <w:sz w:val="22"/>
                <w:lang w:bidi="ar"/>
              </w:rPr>
              <w:t>导热系数（</w:t>
            </w:r>
            <w:r>
              <w:rPr>
                <w:rFonts w:ascii="Times New Roman" w:hAnsi="Times New Roman" w:cs="Times New Roman"/>
                <w:b/>
                <w:bCs/>
                <w:color w:val="auto"/>
              </w:rPr>
              <w:t>λ</w:t>
            </w:r>
            <w:r>
              <w:rPr>
                <w:rFonts w:ascii="Times New Roman" w:hAnsi="Times New Roman" w:eastAsia="宋体" w:cs="Times New Roman"/>
                <w:color w:val="auto"/>
                <w:kern w:val="0"/>
                <w:sz w:val="22"/>
                <w:lang w:bidi="ar"/>
              </w:rPr>
              <w:t>）</w:t>
            </w:r>
          </w:p>
          <w:p w14:paraId="39E6FA37">
            <w:pPr>
              <w:widowControl/>
              <w:jc w:val="center"/>
              <w:textAlignment w:val="center"/>
              <w:rPr>
                <w:rFonts w:ascii="Times New Roman" w:hAnsi="Times New Roman" w:eastAsia="宋体" w:cs="Times New Roman"/>
                <w:color w:val="auto"/>
                <w:sz w:val="22"/>
              </w:rPr>
            </w:pPr>
            <w:r>
              <w:rPr>
                <w:rFonts w:ascii="Times New Roman" w:hAnsi="Times New Roman" w:eastAsia="宋体" w:cs="Times New Roman"/>
                <w:color w:val="auto"/>
                <w:kern w:val="0"/>
                <w:sz w:val="22"/>
                <w:lang w:bidi="ar"/>
              </w:rPr>
              <w:t>W/(m·K)</w:t>
            </w:r>
          </w:p>
        </w:tc>
        <w:tc>
          <w:tcPr>
            <w:tcW w:w="183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57470ED">
            <w:pPr>
              <w:widowControl/>
              <w:jc w:val="center"/>
              <w:textAlignment w:val="center"/>
              <w:rPr>
                <w:rFonts w:ascii="Times New Roman" w:hAnsi="Times New Roman" w:eastAsia="宋体" w:cs="Times New Roman"/>
                <w:color w:val="auto"/>
                <w:sz w:val="22"/>
              </w:rPr>
            </w:pPr>
            <w:r>
              <w:rPr>
                <w:rFonts w:ascii="Times New Roman" w:hAnsi="Times New Roman" w:eastAsia="宋体" w:cs="Times New Roman"/>
                <w:color w:val="auto"/>
                <w:kern w:val="0"/>
                <w:sz w:val="22"/>
                <w:lang w:bidi="ar"/>
              </w:rPr>
              <w:t>修正系数（</w:t>
            </w:r>
            <w:r>
              <w:rPr>
                <w:rFonts w:ascii="Times New Roman" w:hAnsi="Times New Roman" w:cs="Times New Roman"/>
                <w:b/>
                <w:bCs/>
                <w:color w:val="auto"/>
              </w:rPr>
              <w:t>α</w:t>
            </w:r>
            <w:r>
              <w:rPr>
                <w:rFonts w:ascii="Times New Roman" w:hAnsi="Times New Roman" w:cs="Times New Roman"/>
                <w:b/>
                <w:bCs/>
                <w:color w:val="auto"/>
                <w:vertAlign w:val="subscript"/>
              </w:rPr>
              <w:t>1</w:t>
            </w:r>
            <w:r>
              <w:rPr>
                <w:rFonts w:ascii="Times New Roman" w:hAnsi="Times New Roman" w:eastAsia="宋体" w:cs="Times New Roman"/>
                <w:color w:val="auto"/>
                <w:kern w:val="0"/>
                <w:sz w:val="22"/>
                <w:lang w:bidi="ar"/>
              </w:rPr>
              <w:t>)</w:t>
            </w:r>
          </w:p>
        </w:tc>
      </w:tr>
      <w:tr w14:paraId="5D26DA5B">
        <w:tblPrEx>
          <w:tblCellMar>
            <w:top w:w="0" w:type="dxa"/>
            <w:left w:w="0" w:type="dxa"/>
            <w:bottom w:w="0" w:type="dxa"/>
            <w:right w:w="0" w:type="dxa"/>
          </w:tblCellMar>
        </w:tblPrEx>
        <w:trPr>
          <w:trHeight w:val="270" w:hRule="atLeast"/>
        </w:trPr>
        <w:tc>
          <w:tcPr>
            <w:tcW w:w="4434"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636DB3F">
            <w:pPr>
              <w:jc w:val="center"/>
              <w:rPr>
                <w:rFonts w:ascii="Times New Roman" w:hAnsi="Times New Roman" w:eastAsia="宋体" w:cs="Times New Roman"/>
                <w:color w:val="auto"/>
                <w:sz w:val="22"/>
              </w:rPr>
            </w:pPr>
          </w:p>
        </w:tc>
        <w:tc>
          <w:tcPr>
            <w:tcW w:w="2025" w:type="dxa"/>
            <w:vMerge w:val="continue"/>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532AC94">
            <w:pPr>
              <w:jc w:val="center"/>
              <w:rPr>
                <w:rFonts w:ascii="Times New Roman" w:hAnsi="Times New Roman" w:eastAsia="宋体" w:cs="Times New Roman"/>
                <w:color w:val="auto"/>
                <w:sz w:val="22"/>
              </w:rPr>
            </w:pPr>
          </w:p>
        </w:tc>
        <w:tc>
          <w:tcPr>
            <w:tcW w:w="183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169E6FE">
            <w:pPr>
              <w:widowControl/>
              <w:jc w:val="center"/>
              <w:textAlignment w:val="center"/>
              <w:rPr>
                <w:rFonts w:ascii="Times New Roman" w:hAnsi="Times New Roman" w:eastAsia="宋体" w:cs="Times New Roman"/>
                <w:color w:val="auto"/>
                <w:sz w:val="22"/>
              </w:rPr>
            </w:pPr>
            <w:r>
              <w:rPr>
                <w:rFonts w:ascii="Times New Roman" w:hAnsi="Times New Roman" w:eastAsia="宋体" w:cs="Times New Roman"/>
                <w:color w:val="auto"/>
                <w:kern w:val="0"/>
                <w:sz w:val="22"/>
                <w:lang w:bidi="ar"/>
              </w:rPr>
              <w:t>室外</w:t>
            </w:r>
          </w:p>
        </w:tc>
      </w:tr>
      <w:tr w14:paraId="711F62B6">
        <w:tblPrEx>
          <w:tblCellMar>
            <w:top w:w="0" w:type="dxa"/>
            <w:left w:w="0" w:type="dxa"/>
            <w:bottom w:w="0" w:type="dxa"/>
            <w:right w:w="0" w:type="dxa"/>
          </w:tblCellMar>
        </w:tblPrEx>
        <w:trPr>
          <w:trHeight w:val="270" w:hRule="atLeast"/>
        </w:trPr>
        <w:tc>
          <w:tcPr>
            <w:tcW w:w="443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4A5BA84">
            <w:pPr>
              <w:widowControl/>
              <w:jc w:val="center"/>
              <w:textAlignment w:val="center"/>
              <w:rPr>
                <w:rFonts w:ascii="Times New Roman" w:hAnsi="Times New Roman" w:eastAsia="宋体" w:cs="Times New Roman"/>
                <w:color w:val="auto"/>
                <w:kern w:val="0"/>
                <w:sz w:val="22"/>
                <w:lang w:bidi="ar"/>
              </w:rPr>
            </w:pPr>
            <w:r>
              <w:rPr>
                <w:rFonts w:hint="eastAsia" w:ascii="宋体" w:hAnsi="宋体" w:cstheme="minorHAnsi"/>
                <w:color w:val="auto"/>
                <w:kern w:val="0"/>
                <w:sz w:val="24"/>
                <w:szCs w:val="24"/>
              </w:rPr>
              <w:t>复合Ⅰ型保温免拆模板保温芯材</w:t>
            </w:r>
          </w:p>
        </w:tc>
        <w:tc>
          <w:tcPr>
            <w:tcW w:w="20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B533731">
            <w:pPr>
              <w:widowControl/>
              <w:jc w:val="center"/>
              <w:textAlignment w:val="center"/>
              <w:rPr>
                <w:rFonts w:ascii="Times New Roman" w:hAnsi="Times New Roman" w:eastAsia="宋体" w:cs="Times New Roman"/>
                <w:color w:val="auto"/>
                <w:kern w:val="0"/>
                <w:sz w:val="22"/>
                <w:lang w:bidi="ar"/>
              </w:rPr>
            </w:pPr>
            <w:r>
              <w:rPr>
                <w:rFonts w:ascii="Times New Roman" w:hAnsi="Times New Roman" w:eastAsia="宋体" w:cs="Times New Roman"/>
                <w:color w:val="auto"/>
                <w:kern w:val="0"/>
                <w:sz w:val="22"/>
                <w:lang w:bidi="ar"/>
              </w:rPr>
              <w:t>0.05</w:t>
            </w:r>
            <w:r>
              <w:rPr>
                <w:rFonts w:hint="eastAsia" w:ascii="Times New Roman" w:hAnsi="Times New Roman" w:eastAsia="宋体" w:cs="Times New Roman"/>
                <w:color w:val="auto"/>
                <w:kern w:val="0"/>
                <w:sz w:val="22"/>
                <w:lang w:bidi="ar"/>
              </w:rPr>
              <w:t>5</w:t>
            </w:r>
          </w:p>
        </w:tc>
        <w:tc>
          <w:tcPr>
            <w:tcW w:w="183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31F5997">
            <w:pPr>
              <w:widowControl/>
              <w:jc w:val="center"/>
              <w:textAlignment w:val="center"/>
              <w:rPr>
                <w:rFonts w:ascii="Times New Roman" w:hAnsi="Times New Roman" w:eastAsia="宋体" w:cs="Times New Roman"/>
                <w:color w:val="auto"/>
                <w:kern w:val="0"/>
                <w:sz w:val="22"/>
                <w:lang w:bidi="ar"/>
              </w:rPr>
            </w:pPr>
            <w:r>
              <w:rPr>
                <w:rFonts w:ascii="Times New Roman" w:hAnsi="Times New Roman" w:eastAsia="宋体" w:cs="Times New Roman"/>
                <w:color w:val="auto"/>
                <w:kern w:val="0"/>
                <w:sz w:val="22"/>
                <w:lang w:bidi="ar"/>
              </w:rPr>
              <w:t>1.10</w:t>
            </w:r>
          </w:p>
        </w:tc>
      </w:tr>
      <w:tr w14:paraId="764C4518">
        <w:tblPrEx>
          <w:tblCellMar>
            <w:top w:w="0" w:type="dxa"/>
            <w:left w:w="0" w:type="dxa"/>
            <w:bottom w:w="0" w:type="dxa"/>
            <w:right w:w="0" w:type="dxa"/>
          </w:tblCellMar>
        </w:tblPrEx>
        <w:trPr>
          <w:trHeight w:val="270" w:hRule="atLeast"/>
        </w:trPr>
        <w:tc>
          <w:tcPr>
            <w:tcW w:w="443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063C247">
            <w:pPr>
              <w:widowControl/>
              <w:jc w:val="center"/>
              <w:textAlignment w:val="center"/>
              <w:rPr>
                <w:rFonts w:hint="eastAsia" w:ascii="宋体" w:hAnsi="宋体" w:cstheme="minorHAnsi"/>
                <w:color w:val="auto"/>
                <w:kern w:val="0"/>
                <w:sz w:val="24"/>
                <w:szCs w:val="24"/>
              </w:rPr>
            </w:pPr>
            <w:r>
              <w:rPr>
                <w:rFonts w:hint="eastAsia" w:ascii="宋体" w:hAnsi="宋体" w:cstheme="minorHAnsi"/>
                <w:color w:val="auto"/>
                <w:kern w:val="0"/>
                <w:sz w:val="24"/>
                <w:szCs w:val="24"/>
              </w:rPr>
              <w:t>复合Ⅱ型保温免拆模板保温芯材</w:t>
            </w:r>
          </w:p>
        </w:tc>
        <w:tc>
          <w:tcPr>
            <w:tcW w:w="20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5616253">
            <w:pPr>
              <w:widowControl/>
              <w:jc w:val="center"/>
              <w:textAlignment w:val="center"/>
              <w:rPr>
                <w:rFonts w:ascii="Times New Roman" w:hAnsi="Times New Roman" w:eastAsia="宋体" w:cs="Times New Roman"/>
                <w:color w:val="auto"/>
                <w:sz w:val="22"/>
              </w:rPr>
            </w:pPr>
            <w:r>
              <w:rPr>
                <w:rFonts w:ascii="Times New Roman" w:hAnsi="Times New Roman" w:eastAsia="宋体" w:cs="Times New Roman"/>
                <w:color w:val="auto"/>
                <w:kern w:val="0"/>
                <w:sz w:val="22"/>
                <w:lang w:bidi="ar"/>
              </w:rPr>
              <w:t>0.054</w:t>
            </w:r>
          </w:p>
        </w:tc>
        <w:tc>
          <w:tcPr>
            <w:tcW w:w="183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575BC9B">
            <w:pPr>
              <w:widowControl/>
              <w:jc w:val="center"/>
              <w:textAlignment w:val="center"/>
              <w:rPr>
                <w:rFonts w:ascii="Times New Roman" w:hAnsi="Times New Roman" w:eastAsia="宋体" w:cs="Times New Roman"/>
                <w:color w:val="auto"/>
                <w:sz w:val="22"/>
              </w:rPr>
            </w:pPr>
            <w:r>
              <w:rPr>
                <w:rFonts w:ascii="Times New Roman" w:hAnsi="Times New Roman" w:eastAsia="宋体" w:cs="Times New Roman"/>
                <w:color w:val="auto"/>
                <w:kern w:val="0"/>
                <w:sz w:val="22"/>
                <w:lang w:bidi="ar"/>
              </w:rPr>
              <w:t>1.1</w:t>
            </w:r>
            <w:r>
              <w:rPr>
                <w:rFonts w:hint="eastAsia" w:ascii="Times New Roman" w:hAnsi="Times New Roman" w:eastAsia="宋体" w:cs="Times New Roman"/>
                <w:color w:val="auto"/>
                <w:kern w:val="0"/>
                <w:sz w:val="22"/>
                <w:lang w:bidi="ar"/>
              </w:rPr>
              <w:t>5</w:t>
            </w:r>
          </w:p>
        </w:tc>
      </w:tr>
      <w:tr w14:paraId="06911966">
        <w:tblPrEx>
          <w:tblCellMar>
            <w:top w:w="0" w:type="dxa"/>
            <w:left w:w="0" w:type="dxa"/>
            <w:bottom w:w="0" w:type="dxa"/>
            <w:right w:w="0" w:type="dxa"/>
          </w:tblCellMar>
        </w:tblPrEx>
        <w:trPr>
          <w:trHeight w:val="270" w:hRule="atLeast"/>
        </w:trPr>
        <w:tc>
          <w:tcPr>
            <w:tcW w:w="443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250DFD4">
            <w:pPr>
              <w:widowControl/>
              <w:jc w:val="center"/>
              <w:textAlignment w:val="center"/>
              <w:rPr>
                <w:rFonts w:hint="eastAsia" w:ascii="宋体" w:hAnsi="宋体" w:cstheme="minorHAnsi"/>
                <w:color w:val="auto"/>
                <w:kern w:val="0"/>
                <w:sz w:val="24"/>
                <w:szCs w:val="24"/>
              </w:rPr>
            </w:pPr>
            <w:r>
              <w:rPr>
                <w:rFonts w:hint="eastAsia" w:ascii="宋体" w:hAnsi="宋体" w:cstheme="minorHAnsi"/>
                <w:color w:val="auto"/>
                <w:kern w:val="0"/>
                <w:sz w:val="24"/>
                <w:szCs w:val="24"/>
              </w:rPr>
              <w:t>叠合型保温免拆模板保温芯材</w:t>
            </w:r>
          </w:p>
        </w:tc>
        <w:tc>
          <w:tcPr>
            <w:tcW w:w="20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3251493">
            <w:pPr>
              <w:widowControl/>
              <w:jc w:val="center"/>
              <w:textAlignment w:val="center"/>
              <w:rPr>
                <w:rFonts w:ascii="Times New Roman" w:hAnsi="Times New Roman" w:eastAsia="宋体" w:cs="Times New Roman"/>
                <w:color w:val="auto"/>
                <w:sz w:val="22"/>
              </w:rPr>
            </w:pPr>
            <w:r>
              <w:rPr>
                <w:rFonts w:ascii="Times New Roman" w:hAnsi="Times New Roman" w:eastAsia="宋体" w:cs="Times New Roman"/>
                <w:color w:val="auto"/>
                <w:kern w:val="0"/>
                <w:sz w:val="22"/>
                <w:lang w:bidi="ar"/>
              </w:rPr>
              <w:t>0.0</w:t>
            </w:r>
            <w:r>
              <w:rPr>
                <w:rFonts w:hint="eastAsia" w:ascii="Times New Roman" w:hAnsi="Times New Roman" w:eastAsia="宋体" w:cs="Times New Roman"/>
                <w:color w:val="auto"/>
                <w:kern w:val="0"/>
                <w:sz w:val="22"/>
                <w:lang w:bidi="ar"/>
              </w:rPr>
              <w:t>3</w:t>
            </w:r>
            <w:r>
              <w:rPr>
                <w:rFonts w:ascii="Times New Roman" w:hAnsi="Times New Roman" w:eastAsia="宋体" w:cs="Times New Roman"/>
                <w:color w:val="auto"/>
                <w:kern w:val="0"/>
                <w:sz w:val="22"/>
                <w:lang w:bidi="ar"/>
              </w:rPr>
              <w:t>4</w:t>
            </w:r>
          </w:p>
        </w:tc>
        <w:tc>
          <w:tcPr>
            <w:tcW w:w="183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07493E7">
            <w:pPr>
              <w:widowControl/>
              <w:jc w:val="center"/>
              <w:textAlignment w:val="center"/>
              <w:rPr>
                <w:rFonts w:ascii="Times New Roman" w:hAnsi="Times New Roman" w:eastAsia="宋体" w:cs="Times New Roman"/>
                <w:color w:val="auto"/>
                <w:sz w:val="22"/>
              </w:rPr>
            </w:pPr>
            <w:r>
              <w:rPr>
                <w:rFonts w:ascii="Times New Roman" w:hAnsi="Times New Roman" w:eastAsia="宋体" w:cs="Times New Roman"/>
                <w:color w:val="auto"/>
                <w:kern w:val="0"/>
                <w:sz w:val="22"/>
                <w:lang w:bidi="ar"/>
              </w:rPr>
              <w:t>1.10</w:t>
            </w:r>
          </w:p>
        </w:tc>
      </w:tr>
    </w:tbl>
    <w:p w14:paraId="1A585629">
      <w:pPr>
        <w:pStyle w:val="144"/>
        <w:tabs>
          <w:tab w:val="clear" w:pos="1620"/>
        </w:tabs>
        <w:spacing w:before="312" w:after="312"/>
        <w:rPr>
          <w:rFonts w:cs="楷体"/>
          <w:bCs/>
          <w:i/>
          <w:iCs/>
          <w:color w:val="auto"/>
          <w:u w:val="single"/>
        </w:rPr>
      </w:pPr>
      <w:bookmarkStart w:id="1688" w:name="_Toc5792"/>
      <w:bookmarkStart w:id="1689" w:name="_Toc187858719"/>
      <w:r>
        <w:rPr>
          <w:rFonts w:hint="eastAsia"/>
          <w:color w:val="auto"/>
        </w:rPr>
        <w:t>5.3设计与构造</w:t>
      </w:r>
      <w:bookmarkEnd w:id="1688"/>
      <w:bookmarkEnd w:id="1689"/>
    </w:p>
    <w:p w14:paraId="6291B1B4">
      <w:pPr>
        <w:spacing w:line="360" w:lineRule="auto"/>
        <w:rPr>
          <w:rFonts w:ascii="Times New Roman" w:hAnsi="Times New Roman" w:eastAsia="宋体"/>
          <w:color w:val="auto"/>
          <w:sz w:val="24"/>
          <w:szCs w:val="24"/>
        </w:rPr>
      </w:pPr>
      <w:r>
        <w:rPr>
          <w:rFonts w:hint="eastAsia" w:ascii="Times New Roman" w:hAnsi="Times New Roman" w:eastAsia="宋体"/>
          <w:b/>
          <w:color w:val="auto"/>
          <w:sz w:val="24"/>
          <w:szCs w:val="24"/>
        </w:rPr>
        <w:t>5.3.1</w:t>
      </w:r>
      <w:r>
        <w:rPr>
          <w:rFonts w:hint="eastAsia" w:ascii="Times New Roman" w:hAnsi="Times New Roman" w:eastAsia="宋体"/>
          <w:color w:val="auto"/>
          <w:sz w:val="24"/>
          <w:szCs w:val="24"/>
        </w:rPr>
        <w:t>建筑立面设计宜结合保温免拆模板系统的模数尺寸，并与建筑立面上其他外墙保温系统有机衔接。</w:t>
      </w:r>
    </w:p>
    <w:p w14:paraId="7DA0A88B">
      <w:pPr>
        <w:spacing w:line="360" w:lineRule="auto"/>
        <w:rPr>
          <w:rFonts w:ascii="Times New Roman" w:hAnsi="Times New Roman" w:eastAsia="宋体"/>
          <w:bCs/>
          <w:color w:val="auto"/>
          <w:sz w:val="24"/>
          <w:szCs w:val="24"/>
        </w:rPr>
      </w:pPr>
      <w:r>
        <w:rPr>
          <w:rFonts w:hint="eastAsia" w:ascii="Times New Roman" w:hAnsi="Times New Roman" w:eastAsia="宋体"/>
          <w:b/>
          <w:bCs/>
          <w:color w:val="auto"/>
          <w:sz w:val="24"/>
          <w:szCs w:val="24"/>
        </w:rPr>
        <w:t>5.3.2</w:t>
      </w:r>
      <w:r>
        <w:rPr>
          <w:rFonts w:hint="eastAsia" w:ascii="Times New Roman" w:hAnsi="Times New Roman" w:eastAsia="宋体"/>
          <w:color w:val="auto"/>
          <w:sz w:val="24"/>
          <w:szCs w:val="24"/>
        </w:rPr>
        <w:t xml:space="preserve"> </w:t>
      </w:r>
      <w:r>
        <w:rPr>
          <w:rFonts w:hint="eastAsia" w:ascii="Times New Roman" w:hAnsi="Times New Roman" w:eastAsia="宋体"/>
          <w:bCs/>
          <w:color w:val="auto"/>
          <w:sz w:val="24"/>
          <w:szCs w:val="24"/>
        </w:rPr>
        <w:t>保温免拆模板系统的基本构造应符合表5.3.2-1，表5.3.2-2的规定。</w:t>
      </w:r>
    </w:p>
    <w:p w14:paraId="05A4366E">
      <w:pPr>
        <w:spacing w:line="360" w:lineRule="auto"/>
        <w:rPr>
          <w:rFonts w:ascii="Times New Roman" w:hAnsi="Times New Roman" w:eastAsia="黑体" w:cs="Times New Roman"/>
          <w:color w:val="auto"/>
          <w:szCs w:val="21"/>
        </w:rPr>
      </w:pPr>
      <w:r>
        <w:rPr>
          <w:rFonts w:hint="eastAsia" w:ascii="Times New Roman" w:hAnsi="Times New Roman" w:eastAsia="黑体" w:cs="Times New Roman"/>
          <w:color w:val="auto"/>
          <w:szCs w:val="21"/>
        </w:rPr>
        <w:t>表5.3.2-1 涂装饰面保温免拆模板系统基本构造</w:t>
      </w:r>
    </w:p>
    <w:p w14:paraId="452F0ED6">
      <w:pPr>
        <w:spacing w:line="360" w:lineRule="auto"/>
        <w:jc w:val="center"/>
        <w:rPr>
          <w:rFonts w:ascii="Times New Roman" w:hAnsi="Times New Roman" w:eastAsia="黑体" w:cs="Times New Roman"/>
          <w:color w:val="auto"/>
          <w:szCs w:val="21"/>
        </w:rPr>
      </w:pPr>
      <w:r>
        <w:rPr>
          <w:rFonts w:hint="eastAsia" w:ascii="Times New Roman" w:hAnsi="Times New Roman" w:eastAsia="黑体" w:cs="Times New Roman"/>
          <w:color w:val="auto"/>
          <w:szCs w:val="21"/>
        </w:rPr>
        <w:drawing>
          <wp:inline distT="0" distB="0" distL="114300" distR="114300">
            <wp:extent cx="2064385" cy="5222240"/>
            <wp:effectExtent l="0" t="0" r="16510" b="12065"/>
            <wp:docPr id="7" name="图片 7" descr="保温节能与结构一体化系统构造——复合轻集料匀质保温免拆模板系统（报批稿）0109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保温节能与结构一体化系统构造——复合轻集料匀质保温免拆模板系统（报批稿）0109_页面_1"/>
                    <pic:cNvPicPr>
                      <a:picLocks noChangeAspect="1"/>
                    </pic:cNvPicPr>
                  </pic:nvPicPr>
                  <pic:blipFill>
                    <a:blip r:embed="rId8"/>
                    <a:srcRect l="29605" t="12941" r="27568" b="10538"/>
                    <a:stretch>
                      <a:fillRect/>
                    </a:stretch>
                  </pic:blipFill>
                  <pic:spPr>
                    <a:xfrm rot="16200000">
                      <a:off x="0" y="0"/>
                      <a:ext cx="2064385" cy="5222240"/>
                    </a:xfrm>
                    <a:prstGeom prst="rect">
                      <a:avLst/>
                    </a:prstGeom>
                  </pic:spPr>
                </pic:pic>
              </a:graphicData>
            </a:graphic>
          </wp:inline>
        </w:drawing>
      </w:r>
    </w:p>
    <w:p w14:paraId="5B1E3CCC">
      <w:pPr>
        <w:spacing w:line="360" w:lineRule="auto"/>
        <w:rPr>
          <w:rFonts w:ascii="Times New Roman" w:hAnsi="Times New Roman" w:eastAsia="黑体" w:cs="Times New Roman"/>
          <w:color w:val="auto"/>
          <w:szCs w:val="21"/>
        </w:rPr>
      </w:pPr>
    </w:p>
    <w:p w14:paraId="682FC994">
      <w:pPr>
        <w:spacing w:line="360" w:lineRule="auto"/>
        <w:jc w:val="center"/>
        <w:rPr>
          <w:color w:val="auto"/>
        </w:rPr>
      </w:pPr>
    </w:p>
    <w:p w14:paraId="78A84ABD">
      <w:pPr>
        <w:spacing w:line="360" w:lineRule="auto"/>
        <w:rPr>
          <w:rFonts w:eastAsia="宋体"/>
          <w:color w:val="auto"/>
        </w:rPr>
      </w:pPr>
      <w:r>
        <w:rPr>
          <w:rFonts w:hint="eastAsia" w:ascii="Times New Roman" w:hAnsi="Times New Roman" w:eastAsia="黑体" w:cs="Times New Roman"/>
          <w:color w:val="auto"/>
          <w:szCs w:val="21"/>
        </w:rPr>
        <w:t>表5.3.2-2 幕墙饰面保温免拆模板系统基本构造</w:t>
      </w:r>
    </w:p>
    <w:p w14:paraId="7FBDF705">
      <w:pPr>
        <w:spacing w:line="360" w:lineRule="auto"/>
        <w:rPr>
          <w:rFonts w:eastAsia="宋体"/>
          <w:color w:val="auto"/>
        </w:rPr>
      </w:pPr>
      <w:r>
        <w:rPr>
          <w:rFonts w:hint="eastAsia" w:eastAsia="宋体"/>
          <w:color w:val="auto"/>
        </w:rPr>
        <w:drawing>
          <wp:inline distT="0" distB="0" distL="114300" distR="114300">
            <wp:extent cx="2929255" cy="5369560"/>
            <wp:effectExtent l="0" t="0" r="2540" b="4445"/>
            <wp:docPr id="10" name="图片 10" descr="保温节能与结构一体化系统构造——复合轻集料匀质保温免拆模板系统（报批稿）0109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保温节能与结构一体化系统构造——复合轻集料匀质保温免拆模板系统（报批稿）0109_页面_2"/>
                    <pic:cNvPicPr>
                      <a:picLocks noChangeAspect="1"/>
                    </pic:cNvPicPr>
                  </pic:nvPicPr>
                  <pic:blipFill>
                    <a:blip r:embed="rId9"/>
                    <a:srcRect l="19660" t="11663" r="21022" b="11501"/>
                    <a:stretch>
                      <a:fillRect/>
                    </a:stretch>
                  </pic:blipFill>
                  <pic:spPr>
                    <a:xfrm rot="16200000">
                      <a:off x="0" y="0"/>
                      <a:ext cx="2929255" cy="5369560"/>
                    </a:xfrm>
                    <a:prstGeom prst="rect">
                      <a:avLst/>
                    </a:prstGeom>
                  </pic:spPr>
                </pic:pic>
              </a:graphicData>
            </a:graphic>
          </wp:inline>
        </w:drawing>
      </w:r>
    </w:p>
    <w:p w14:paraId="654E74E9">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5.3.3</w:t>
      </w:r>
      <w:r>
        <w:rPr>
          <w:rFonts w:hint="eastAsia" w:ascii="Times New Roman" w:hAnsi="Times New Roman" w:eastAsia="宋体"/>
          <w:color w:val="auto"/>
          <w:sz w:val="24"/>
          <w:szCs w:val="24"/>
        </w:rPr>
        <w:t xml:space="preserve"> 外墙</w:t>
      </w:r>
      <w:r>
        <w:rPr>
          <w:rFonts w:hint="eastAsia" w:ascii="Times New Roman" w:hAnsi="Times New Roman" w:eastAsia="宋体"/>
          <w:bCs/>
          <w:color w:val="auto"/>
          <w:sz w:val="24"/>
          <w:szCs w:val="24"/>
        </w:rPr>
        <w:t>保温免拆</w:t>
      </w:r>
      <w:r>
        <w:rPr>
          <w:rFonts w:hint="eastAsia" w:ascii="Times New Roman" w:hAnsi="Times New Roman" w:eastAsia="宋体"/>
          <w:color w:val="auto"/>
          <w:sz w:val="24"/>
          <w:szCs w:val="24"/>
        </w:rPr>
        <w:t>模板厚度不应小于50mm，不宜大于150mm。</w:t>
      </w:r>
    </w:p>
    <w:p w14:paraId="287F2368">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5.3.4</w:t>
      </w:r>
      <w:r>
        <w:rPr>
          <w:rFonts w:hint="eastAsia" w:ascii="Times New Roman" w:hAnsi="Times New Roman" w:eastAsia="宋体"/>
          <w:color w:val="auto"/>
          <w:sz w:val="24"/>
          <w:szCs w:val="24"/>
        </w:rPr>
        <w:t>主体结构设有变形缝时，保温免拆模板应在外墙变形缝处断开，外墙变形缝部位构造应符合下列规定:</w:t>
      </w:r>
    </w:p>
    <w:p w14:paraId="45244EC8">
      <w:pPr>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1 变形缝的防护措施应满足防水、防火、保温、防虫害等要求，并应使其在主体结构产生位移和变形时不被破坏。变形缝内填充材料应采用不燃材料，填塞深度应大于缝宽的3倍；</w:t>
      </w:r>
    </w:p>
    <w:p w14:paraId="1D7C1200">
      <w:pPr>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2变形缝外侧应设置金属盖板，金属盖板宜采用铝合金板或不锈钢板，并与主体结构可靠连接。</w:t>
      </w:r>
    </w:p>
    <w:p w14:paraId="6DE12BAB">
      <w:pPr>
        <w:spacing w:line="360" w:lineRule="auto"/>
        <w:jc w:val="center"/>
        <w:rPr>
          <w:color w:val="auto"/>
        </w:rPr>
      </w:pPr>
      <w:r>
        <w:rPr>
          <w:rFonts w:hint="eastAsia" w:ascii="Times New Roman" w:hAnsi="Times New Roman" w:eastAsia="宋体"/>
          <w:color w:val="auto"/>
          <w:sz w:val="24"/>
          <w:szCs w:val="24"/>
        </w:rPr>
        <w:drawing>
          <wp:inline distT="0" distB="0" distL="114300" distR="114300">
            <wp:extent cx="2538095" cy="5317490"/>
            <wp:effectExtent l="0" t="0" r="16510" b="14605"/>
            <wp:docPr id="26" name="图片 26" descr="保温节能与结构一体化系统构造——复合轻集料匀质保温免拆模板系统（报批稿）0109_页面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保温节能与结构一体化系统构造——复合轻集料匀质保温免拆模板系统（报批稿）0109_页面_03"/>
                    <pic:cNvPicPr>
                      <a:picLocks noChangeAspect="1"/>
                    </pic:cNvPicPr>
                  </pic:nvPicPr>
                  <pic:blipFill>
                    <a:blip r:embed="rId10"/>
                    <a:srcRect l="31413" t="11816" r="15815" b="10073"/>
                    <a:stretch>
                      <a:fillRect/>
                    </a:stretch>
                  </pic:blipFill>
                  <pic:spPr>
                    <a:xfrm rot="16200000">
                      <a:off x="0" y="0"/>
                      <a:ext cx="2538095" cy="5317490"/>
                    </a:xfrm>
                    <a:prstGeom prst="rect">
                      <a:avLst/>
                    </a:prstGeom>
                  </pic:spPr>
                </pic:pic>
              </a:graphicData>
            </a:graphic>
          </wp:inline>
        </w:drawing>
      </w:r>
    </w:p>
    <w:p w14:paraId="4C73BB8F">
      <w:pPr>
        <w:spacing w:line="360" w:lineRule="auto"/>
        <w:jc w:val="center"/>
        <w:rPr>
          <w:color w:val="auto"/>
        </w:rPr>
      </w:pPr>
      <w:r>
        <w:rPr>
          <w:rFonts w:hint="eastAsia"/>
          <w:color w:val="auto"/>
        </w:rPr>
        <w:t>1-现浇混凝土墙体；2-保温模板；3-变形缝装置；4-保温材料；5防水卷材</w:t>
      </w:r>
    </w:p>
    <w:p w14:paraId="478DC79F">
      <w:pPr>
        <w:spacing w:line="360" w:lineRule="auto"/>
        <w:jc w:val="center"/>
        <w:rPr>
          <w:rFonts w:ascii="Times New Roman" w:hAnsi="Times New Roman" w:eastAsia="宋体"/>
          <w:b/>
          <w:bCs/>
          <w:color w:val="auto"/>
          <w:sz w:val="24"/>
          <w:szCs w:val="24"/>
        </w:rPr>
      </w:pPr>
      <w:r>
        <w:rPr>
          <w:rFonts w:hint="eastAsia" w:ascii="Times New Roman" w:hAnsi="Times New Roman" w:eastAsia="黑体" w:cs="Times New Roman"/>
          <w:b/>
          <w:bCs/>
          <w:color w:val="auto"/>
          <w:szCs w:val="21"/>
        </w:rPr>
        <w:t>图5.3.4  变形缝构造示意</w:t>
      </w:r>
    </w:p>
    <w:p w14:paraId="1C9D3DF7">
      <w:pPr>
        <w:adjustRightInd w:val="0"/>
        <w:snapToGrid w:val="0"/>
        <w:spacing w:line="360" w:lineRule="auto"/>
        <w:ind w:firstLine="723" w:firstLineChars="300"/>
        <w:rPr>
          <w:rFonts w:ascii="Times New Roman" w:hAnsi="Times New Roman" w:eastAsia="宋体"/>
          <w:b/>
          <w:i/>
          <w:iCs/>
          <w:color w:val="auto"/>
          <w:sz w:val="24"/>
          <w:szCs w:val="24"/>
        </w:rPr>
      </w:pPr>
    </w:p>
    <w:p w14:paraId="79DD74A6">
      <w:pPr>
        <w:adjustRightInd w:val="0"/>
        <w:snapToGrid w:val="0"/>
        <w:spacing w:line="360" w:lineRule="auto"/>
        <w:rPr>
          <w:rFonts w:ascii="Times New Roman" w:hAnsi="Times New Roman" w:eastAsia="宋体"/>
          <w:bCs/>
          <w:color w:val="auto"/>
          <w:sz w:val="24"/>
          <w:szCs w:val="24"/>
        </w:rPr>
      </w:pPr>
      <w:r>
        <w:rPr>
          <w:rFonts w:hint="eastAsia" w:ascii="Times New Roman" w:hAnsi="Times New Roman" w:eastAsia="宋体"/>
          <w:b/>
          <w:color w:val="auto"/>
          <w:sz w:val="24"/>
          <w:szCs w:val="24"/>
        </w:rPr>
        <w:t>5.3.5</w:t>
      </w:r>
      <w:r>
        <w:rPr>
          <w:rFonts w:hint="eastAsia" w:ascii="Times New Roman" w:hAnsi="Times New Roman" w:eastAsia="宋体"/>
          <w:bCs/>
          <w:color w:val="auto"/>
          <w:sz w:val="24"/>
          <w:szCs w:val="24"/>
        </w:rPr>
        <w:t>建筑外墙饰面层的分格缝设置应符合下列要求</w:t>
      </w:r>
    </w:p>
    <w:p w14:paraId="7C99EE2F">
      <w:pPr>
        <w:adjustRightInd w:val="0"/>
        <w:snapToGrid w:val="0"/>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建筑外墙饰面层应根据立面设计在保温免拆模板外侧设置水平和垂直分格缝；水平分格缝宜按楼层设置，且不大于2个楼层，竖向分格缝宜按分格缝间的面积不大于36m</w:t>
      </w:r>
      <w:r>
        <w:rPr>
          <w:rFonts w:ascii="Times New Roman" w:hAnsi="Times New Roman" w:eastAsia="宋体"/>
          <w:bCs/>
          <w:color w:val="auto"/>
          <w:sz w:val="24"/>
          <w:szCs w:val="24"/>
          <w:vertAlign w:val="superscript"/>
        </w:rPr>
        <w:t>2</w:t>
      </w:r>
      <w:r>
        <w:rPr>
          <w:rFonts w:hint="eastAsia" w:ascii="Times New Roman" w:hAnsi="Times New Roman" w:eastAsia="宋体"/>
          <w:bCs/>
          <w:color w:val="auto"/>
          <w:sz w:val="24"/>
          <w:szCs w:val="24"/>
        </w:rPr>
        <w:t>设置；缝宽宜为20mm，缝深宜为饰面层厚度，不应破坏防水层；缝内应采用密封材料嵌缝。</w:t>
      </w:r>
    </w:p>
    <w:p w14:paraId="0703151F">
      <w:pPr>
        <w:adjustRightInd w:val="0"/>
        <w:snapToGrid w:val="0"/>
        <w:spacing w:line="360" w:lineRule="auto"/>
        <w:rPr>
          <w:rFonts w:ascii="Times New Roman" w:hAnsi="Times New Roman" w:eastAsia="宋体"/>
          <w:bCs/>
          <w:color w:val="auto"/>
          <w:sz w:val="24"/>
          <w:szCs w:val="24"/>
        </w:rPr>
      </w:pPr>
      <w:r>
        <w:rPr>
          <w:rFonts w:hint="eastAsia" w:ascii="Times New Roman" w:hAnsi="Times New Roman" w:eastAsia="宋体"/>
          <w:bCs/>
          <w:color w:val="auto"/>
          <w:sz w:val="24"/>
          <w:szCs w:val="24"/>
        </w:rPr>
        <w:drawing>
          <wp:inline distT="0" distB="0" distL="114300" distR="114300">
            <wp:extent cx="3246755" cy="5307330"/>
            <wp:effectExtent l="0" t="0" r="7620" b="10795"/>
            <wp:docPr id="15" name="图片 15" descr="保温节能与结构一体化系统构造——复合轻集料匀质保温免拆模板系统（报批稿）0109_页面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保温节能与结构一体化系统构造——复合轻集料匀质保温免拆模板系统（报批稿）0109_页面_04"/>
                    <pic:cNvPicPr>
                      <a:picLocks noChangeAspect="1"/>
                    </pic:cNvPicPr>
                  </pic:nvPicPr>
                  <pic:blipFill>
                    <a:blip r:embed="rId11"/>
                    <a:srcRect l="17864" t="11663" r="14236" b="9899"/>
                    <a:stretch>
                      <a:fillRect/>
                    </a:stretch>
                  </pic:blipFill>
                  <pic:spPr>
                    <a:xfrm rot="16200000">
                      <a:off x="0" y="0"/>
                      <a:ext cx="3246755" cy="5307330"/>
                    </a:xfrm>
                    <a:prstGeom prst="rect">
                      <a:avLst/>
                    </a:prstGeom>
                  </pic:spPr>
                </pic:pic>
              </a:graphicData>
            </a:graphic>
          </wp:inline>
        </w:drawing>
      </w:r>
    </w:p>
    <w:p w14:paraId="4D45C47D">
      <w:pPr>
        <w:numPr>
          <w:ilvl w:val="0"/>
          <w:numId w:val="11"/>
        </w:numPr>
        <w:spacing w:after="160" w:line="360" w:lineRule="auto"/>
        <w:jc w:val="center"/>
        <w:rPr>
          <w:color w:val="auto"/>
        </w:rPr>
      </w:pPr>
      <w:r>
        <w:rPr>
          <w:rFonts w:hint="eastAsia"/>
          <w:color w:val="auto"/>
        </w:rPr>
        <w:t>现浇混凝土墙体；2-保温免拆模板；3-耐碱网格布；4-抹面胶浆；5-防水层；</w:t>
      </w:r>
    </w:p>
    <w:p w14:paraId="6F0FAEBC">
      <w:pPr>
        <w:spacing w:line="360" w:lineRule="auto"/>
        <w:jc w:val="center"/>
        <w:rPr>
          <w:color w:val="auto"/>
        </w:rPr>
      </w:pPr>
      <w:r>
        <w:rPr>
          <w:rFonts w:hint="eastAsia"/>
          <w:color w:val="auto"/>
        </w:rPr>
        <w:t>6-饰面层；7-分格缝</w:t>
      </w:r>
    </w:p>
    <w:p w14:paraId="17B32161">
      <w:pPr>
        <w:spacing w:line="360" w:lineRule="auto"/>
        <w:jc w:val="center"/>
        <w:rPr>
          <w:rFonts w:ascii="Times New Roman" w:hAnsi="Times New Roman" w:eastAsia="宋体"/>
          <w:bCs/>
          <w:color w:val="auto"/>
          <w:sz w:val="24"/>
          <w:szCs w:val="24"/>
        </w:rPr>
      </w:pPr>
      <w:r>
        <w:rPr>
          <w:rFonts w:hint="eastAsia" w:ascii="Times New Roman" w:hAnsi="Times New Roman" w:eastAsia="黑体" w:cs="Times New Roman"/>
          <w:b/>
          <w:bCs/>
          <w:color w:val="auto"/>
          <w:szCs w:val="21"/>
        </w:rPr>
        <w:t>图5.3.5  分格缝构造示意</w:t>
      </w:r>
    </w:p>
    <w:p w14:paraId="13E1BC4B">
      <w:pPr>
        <w:adjustRightInd w:val="0"/>
        <w:snapToGrid w:val="0"/>
        <w:spacing w:line="360" w:lineRule="auto"/>
        <w:rPr>
          <w:rFonts w:ascii="Times New Roman" w:hAnsi="Times New Roman" w:eastAsia="宋体"/>
          <w:bCs/>
          <w:color w:val="auto"/>
          <w:sz w:val="24"/>
          <w:szCs w:val="24"/>
        </w:rPr>
      </w:pPr>
      <w:r>
        <w:rPr>
          <w:rFonts w:hint="eastAsia" w:ascii="Times New Roman" w:hAnsi="Times New Roman" w:eastAsia="宋体"/>
          <w:b/>
          <w:bCs/>
          <w:color w:val="auto"/>
          <w:sz w:val="24"/>
          <w:szCs w:val="24"/>
        </w:rPr>
        <w:t>5.3.</w:t>
      </w:r>
      <w:r>
        <w:rPr>
          <w:rFonts w:hint="eastAsia" w:ascii="Times New Roman" w:hAnsi="Times New Roman" w:eastAsia="宋体"/>
          <w:b/>
          <w:color w:val="auto"/>
          <w:sz w:val="24"/>
          <w:szCs w:val="24"/>
        </w:rPr>
        <w:t>6</w:t>
      </w:r>
      <w:r>
        <w:rPr>
          <w:rFonts w:hint="eastAsia" w:ascii="Times New Roman" w:hAnsi="Times New Roman" w:eastAsia="宋体"/>
          <w:bCs/>
          <w:color w:val="auto"/>
          <w:sz w:val="24"/>
          <w:szCs w:val="24"/>
        </w:rPr>
        <w:t>抹面层中玻纤网的铺设应符合下列规定:</w:t>
      </w:r>
    </w:p>
    <w:p w14:paraId="00728494">
      <w:pPr>
        <w:adjustRightInd w:val="0"/>
        <w:snapToGrid w:val="0"/>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1应连续铺设玻纤网，搭接长度不应小于100 mm。</w:t>
      </w:r>
    </w:p>
    <w:p w14:paraId="5C127428">
      <w:pPr>
        <w:adjustRightInd w:val="0"/>
        <w:snapToGrid w:val="0"/>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2首层外墙等易受碰撞的部位应铺设加强型和普通型耐碱网格布各1层。</w:t>
      </w:r>
    </w:p>
    <w:p w14:paraId="3C833BD8">
      <w:pPr>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3外墙阴阳角处玻纤网应交错搭接，搭接宽度不应小于200mm，构造示意见图5.3.6-1。</w:t>
      </w:r>
    </w:p>
    <w:p w14:paraId="68697162">
      <w:pPr>
        <w:spacing w:line="360" w:lineRule="auto"/>
        <w:jc w:val="center"/>
        <w:rPr>
          <w:rFonts w:ascii="Times New Roman" w:hAnsi="Times New Roman" w:eastAsia="宋体"/>
          <w:bCs/>
          <w:color w:val="auto"/>
          <w:sz w:val="24"/>
          <w:szCs w:val="24"/>
        </w:rPr>
      </w:pPr>
      <w:r>
        <w:rPr>
          <w:rFonts w:hint="eastAsia" w:ascii="Times New Roman" w:hAnsi="Times New Roman" w:eastAsia="宋体"/>
          <w:bCs/>
          <w:color w:val="auto"/>
          <w:sz w:val="24"/>
          <w:szCs w:val="24"/>
        </w:rPr>
        <w:drawing>
          <wp:inline distT="0" distB="0" distL="114300" distR="114300">
            <wp:extent cx="3072130" cy="5299075"/>
            <wp:effectExtent l="0" t="0" r="15875" b="13970"/>
            <wp:docPr id="16" name="图片 16" descr="保温节能与结构一体化系统构造——复合轻集料匀质保温免拆模板系统（报批稿）0109_页面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保温节能与结构一体化系统构造——复合轻集料匀质保温免拆模板系统（报批稿）0109_页面_05"/>
                    <pic:cNvPicPr>
                      <a:picLocks noChangeAspect="1"/>
                    </pic:cNvPicPr>
                  </pic:nvPicPr>
                  <pic:blipFill>
                    <a:blip r:embed="rId12"/>
                    <a:srcRect l="18756" t="11177" r="18081" b="11825"/>
                    <a:stretch>
                      <a:fillRect/>
                    </a:stretch>
                  </pic:blipFill>
                  <pic:spPr>
                    <a:xfrm rot="16200000">
                      <a:off x="0" y="0"/>
                      <a:ext cx="3072130" cy="5299075"/>
                    </a:xfrm>
                    <a:prstGeom prst="rect">
                      <a:avLst/>
                    </a:prstGeom>
                  </pic:spPr>
                </pic:pic>
              </a:graphicData>
            </a:graphic>
          </wp:inline>
        </w:drawing>
      </w:r>
    </w:p>
    <w:p w14:paraId="7E3700DB">
      <w:pPr>
        <w:spacing w:after="160" w:line="360" w:lineRule="auto"/>
        <w:rPr>
          <w:color w:val="auto"/>
        </w:rPr>
      </w:pPr>
      <w:r>
        <w:rPr>
          <w:rFonts w:hint="eastAsia"/>
          <w:color w:val="auto"/>
        </w:rPr>
        <w:t>1-现浇混凝土墙体；2-保温免拆模板；3-耐碱网格布；4-抹面胶浆；5-防水层；6-饰面层；</w:t>
      </w:r>
    </w:p>
    <w:p w14:paraId="316CA85A">
      <w:pPr>
        <w:spacing w:line="360" w:lineRule="auto"/>
        <w:jc w:val="center"/>
        <w:rPr>
          <w:rFonts w:ascii="Times New Roman" w:hAnsi="Times New Roman" w:eastAsia="黑体" w:cs="Times New Roman"/>
          <w:b/>
          <w:bCs/>
          <w:color w:val="auto"/>
          <w:szCs w:val="21"/>
        </w:rPr>
      </w:pPr>
      <w:r>
        <w:rPr>
          <w:rFonts w:hint="eastAsia" w:ascii="Times New Roman" w:hAnsi="Times New Roman" w:eastAsia="黑体" w:cs="Times New Roman"/>
          <w:b/>
          <w:bCs/>
          <w:color w:val="auto"/>
          <w:szCs w:val="21"/>
        </w:rPr>
        <w:t>图5.3.6-1 阴阳角处玻纤网设置示意</w:t>
      </w:r>
    </w:p>
    <w:p w14:paraId="37978C2F">
      <w:pPr>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color w:val="auto"/>
          <w:sz w:val="24"/>
          <w:szCs w:val="24"/>
        </w:rPr>
        <w:t>4</w:t>
      </w:r>
      <w:bookmarkStart w:id="1690" w:name="_Hlk176339541"/>
      <w:r>
        <w:rPr>
          <w:rFonts w:hint="eastAsia" w:ascii="Times New Roman" w:hAnsi="Times New Roman" w:eastAsia="宋体"/>
          <w:color w:val="auto"/>
          <w:sz w:val="24"/>
          <w:szCs w:val="24"/>
        </w:rPr>
        <w:t>保温免拆模板</w:t>
      </w:r>
      <w:bookmarkEnd w:id="1690"/>
      <w:r>
        <w:rPr>
          <w:rFonts w:hint="eastAsia" w:ascii="Times New Roman" w:hAnsi="Times New Roman" w:eastAsia="宋体"/>
          <w:color w:val="auto"/>
          <w:sz w:val="24"/>
          <w:szCs w:val="24"/>
        </w:rPr>
        <w:t>拼缝处应设置一道耐碱玻璃纤维网布，且两侧与保温免拆模板搭接长度不应小于100mm。</w:t>
      </w:r>
    </w:p>
    <w:p w14:paraId="5F79ADB6">
      <w:pPr>
        <w:adjustRightInd w:val="0"/>
        <w:snapToGrid w:val="0"/>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5门窗洞口周边应附加1层玻纤网，玻纤网的搭接宽度不应小于200mm；门窗洞口角部45°方向应加贴小块玻纤网，尺寸不应小于300 mmx400 mm，构造示意见图 5.3.6-2。</w:t>
      </w:r>
    </w:p>
    <w:p w14:paraId="2A5CFABD">
      <w:pPr>
        <w:adjustRightInd w:val="0"/>
        <w:snapToGrid w:val="0"/>
        <w:spacing w:line="360" w:lineRule="auto"/>
        <w:jc w:val="center"/>
        <w:rPr>
          <w:rFonts w:ascii="Times New Roman" w:hAnsi="Times New Roman" w:eastAsia="宋体"/>
          <w:bCs/>
          <w:color w:val="auto"/>
          <w:sz w:val="24"/>
          <w:szCs w:val="24"/>
        </w:rPr>
      </w:pPr>
      <w:r>
        <w:rPr>
          <w:rFonts w:hint="eastAsia" w:ascii="Times New Roman" w:hAnsi="Times New Roman" w:eastAsia="宋体"/>
          <w:bCs/>
          <w:color w:val="auto"/>
          <w:sz w:val="24"/>
          <w:szCs w:val="24"/>
        </w:rPr>
        <w:drawing>
          <wp:inline distT="0" distB="0" distL="114300" distR="114300">
            <wp:extent cx="2244725" cy="2849880"/>
            <wp:effectExtent l="0" t="0" r="7620" b="3175"/>
            <wp:docPr id="17" name="图片 17" descr="保温节能与结构一体化系统构造——复合轻集料匀质保温免拆模板系统（报批稿）0109_页面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保温节能与结构一体化系统构造——复合轻集料匀质保温免拆模板系统（报批稿）0109_页面_06"/>
                    <pic:cNvPicPr>
                      <a:picLocks noChangeAspect="1"/>
                    </pic:cNvPicPr>
                  </pic:nvPicPr>
                  <pic:blipFill>
                    <a:blip r:embed="rId13"/>
                    <a:srcRect l="11970" t="12779" r="11078" b="18214"/>
                    <a:stretch>
                      <a:fillRect/>
                    </a:stretch>
                  </pic:blipFill>
                  <pic:spPr>
                    <a:xfrm rot="16200000">
                      <a:off x="0" y="0"/>
                      <a:ext cx="2244725" cy="2849880"/>
                    </a:xfrm>
                    <a:prstGeom prst="rect">
                      <a:avLst/>
                    </a:prstGeom>
                  </pic:spPr>
                </pic:pic>
              </a:graphicData>
            </a:graphic>
          </wp:inline>
        </w:drawing>
      </w:r>
    </w:p>
    <w:p w14:paraId="392B8EC5">
      <w:pPr>
        <w:spacing w:line="360" w:lineRule="auto"/>
        <w:jc w:val="center"/>
        <w:rPr>
          <w:rFonts w:ascii="Times New Roman" w:hAnsi="Times New Roman" w:eastAsia="黑体" w:cs="Times New Roman"/>
          <w:b/>
          <w:bCs/>
          <w:color w:val="auto"/>
          <w:szCs w:val="21"/>
        </w:rPr>
      </w:pPr>
      <w:r>
        <w:rPr>
          <w:rFonts w:hint="eastAsia" w:ascii="Times New Roman" w:hAnsi="Times New Roman" w:eastAsia="黑体" w:cs="Times New Roman"/>
          <w:b/>
          <w:bCs/>
          <w:color w:val="auto"/>
          <w:szCs w:val="21"/>
        </w:rPr>
        <w:t>图5.3.6-2 门窗洞口网布增强构造示意</w:t>
      </w:r>
    </w:p>
    <w:p w14:paraId="4D560F51">
      <w:pPr>
        <w:spacing w:line="360" w:lineRule="auto"/>
        <w:ind w:firstLine="482" w:firstLineChars="200"/>
        <w:rPr>
          <w:rFonts w:ascii="Times New Roman" w:hAnsi="Times New Roman" w:eastAsia="宋体" w:cs="Times New Roman"/>
          <w:bCs/>
          <w:color w:val="auto"/>
          <w:sz w:val="24"/>
        </w:rPr>
      </w:pPr>
      <w:r>
        <w:rPr>
          <w:rFonts w:hint="eastAsia" w:ascii="Times New Roman" w:hAnsi="Times New Roman" w:eastAsia="宋体"/>
          <w:b/>
          <w:bCs/>
          <w:color w:val="auto"/>
          <w:sz w:val="24"/>
          <w:szCs w:val="24"/>
        </w:rPr>
        <w:t>6</w:t>
      </w:r>
      <w:r>
        <w:rPr>
          <w:rFonts w:hint="eastAsia" w:ascii="Times New Roman" w:hAnsi="Times New Roman" w:eastAsia="宋体"/>
          <w:color w:val="auto"/>
          <w:sz w:val="24"/>
          <w:szCs w:val="24"/>
        </w:rPr>
        <w:t>楼板采用保温免拆模板时，饰</w:t>
      </w:r>
      <w:r>
        <w:rPr>
          <w:rFonts w:hint="eastAsia" w:ascii="Times New Roman" w:hAnsi="Times New Roman" w:eastAsia="宋体"/>
          <w:color w:val="auto"/>
          <w:sz w:val="24"/>
          <w:szCs w:val="24"/>
          <w:lang w:val="en-US" w:eastAsia="zh-CN"/>
        </w:rPr>
        <w:t>面</w:t>
      </w:r>
      <w:r>
        <w:rPr>
          <w:rFonts w:hint="eastAsia" w:ascii="Times New Roman" w:hAnsi="Times New Roman" w:eastAsia="宋体"/>
          <w:color w:val="auto"/>
          <w:sz w:val="24"/>
          <w:szCs w:val="24"/>
        </w:rPr>
        <w:t>层内耐碱玻璃纤维网布与梁侧面搭接长度不应小于150mm。</w:t>
      </w:r>
    </w:p>
    <w:p w14:paraId="58388BE0">
      <w:pPr>
        <w:spacing w:line="360" w:lineRule="auto"/>
        <w:rPr>
          <w:color w:val="auto"/>
        </w:rPr>
      </w:pPr>
      <w:r>
        <w:rPr>
          <w:rFonts w:hint="eastAsia" w:ascii="Times New Roman" w:hAnsi="Times New Roman" w:eastAsia="宋体"/>
          <w:b/>
          <w:bCs/>
          <w:color w:val="auto"/>
          <w:sz w:val="24"/>
          <w:szCs w:val="24"/>
        </w:rPr>
        <w:t>5.3.</w:t>
      </w:r>
      <w:r>
        <w:rPr>
          <w:rFonts w:ascii="Times New Roman" w:hAnsi="Times New Roman" w:eastAsia="宋体"/>
          <w:b/>
          <w:bCs/>
          <w:color w:val="auto"/>
          <w:sz w:val="24"/>
          <w:szCs w:val="24"/>
        </w:rPr>
        <w:t>7</w:t>
      </w:r>
      <w:r>
        <w:rPr>
          <w:rFonts w:hint="eastAsia" w:ascii="Times New Roman" w:hAnsi="Times New Roman" w:eastAsia="宋体"/>
          <w:color w:val="auto"/>
          <w:sz w:val="24"/>
          <w:szCs w:val="24"/>
        </w:rPr>
        <w:t>建筑室外散水以下部位不宜采用保温免拆模板，勒脚部位室外地面以上不小于600mm范围内的应增设防水层</w:t>
      </w:r>
      <w:r>
        <w:rPr>
          <w:rFonts w:hint="eastAsia"/>
          <w:color w:val="auto"/>
        </w:rPr>
        <w:t>。</w:t>
      </w:r>
      <w:r>
        <w:rPr>
          <w:rFonts w:hint="eastAsia" w:ascii="Times New Roman" w:hAnsi="Times New Roman" w:eastAsia="宋体"/>
          <w:color w:val="auto"/>
          <w:sz w:val="24"/>
          <w:szCs w:val="24"/>
        </w:rPr>
        <w:t>室外散水与外墙保温免拆模板之间宜预留20mm 宽缝隙，缝隙内应采用背衬材料、建筑密封胶填充，并做好防水处理。</w:t>
      </w:r>
    </w:p>
    <w:p w14:paraId="46BE2389">
      <w:pPr>
        <w:spacing w:line="360" w:lineRule="auto"/>
        <w:jc w:val="center"/>
        <w:rPr>
          <w:rFonts w:ascii="Times New Roman" w:hAnsi="Times New Roman"/>
          <w:color w:val="auto"/>
          <w:sz w:val="24"/>
          <w:szCs w:val="24"/>
        </w:rPr>
      </w:pPr>
      <w:r>
        <w:rPr>
          <w:color w:val="auto"/>
        </w:rPr>
        <w:drawing>
          <wp:inline distT="0" distB="0" distL="114300" distR="114300">
            <wp:extent cx="3045460" cy="5179695"/>
            <wp:effectExtent l="0" t="0" r="1905" b="2540"/>
            <wp:docPr id="18" name="图片 18" descr="保温节能与结构一体化系统构造——复合轻集料匀质保温免拆模板系统（报批稿）0109_页面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保温节能与结构一体化系统构造——复合轻集料匀质保温免拆模板系统（报批稿）0109_页面_07"/>
                    <pic:cNvPicPr>
                      <a:picLocks noChangeAspect="1"/>
                    </pic:cNvPicPr>
                  </pic:nvPicPr>
                  <pic:blipFill>
                    <a:blip r:embed="rId14"/>
                    <a:srcRect l="18756" t="10547" r="17852" b="13256"/>
                    <a:stretch>
                      <a:fillRect/>
                    </a:stretch>
                  </pic:blipFill>
                  <pic:spPr>
                    <a:xfrm rot="16200000">
                      <a:off x="0" y="0"/>
                      <a:ext cx="3045460" cy="5179695"/>
                    </a:xfrm>
                    <a:prstGeom prst="rect">
                      <a:avLst/>
                    </a:prstGeom>
                  </pic:spPr>
                </pic:pic>
              </a:graphicData>
            </a:graphic>
          </wp:inline>
        </w:drawing>
      </w:r>
      <w:r>
        <w:rPr>
          <w:color w:val="auto"/>
        </w:rPr>
        <mc:AlternateContent>
          <mc:Choice Requires="wps">
            <w:drawing>
              <wp:anchor distT="0" distB="0" distL="114300" distR="114300" simplePos="0" relativeHeight="251661312" behindDoc="0" locked="0" layoutInCell="1" allowOverlap="1">
                <wp:simplePos x="0" y="0"/>
                <wp:positionH relativeFrom="column">
                  <wp:posOffset>4618990</wp:posOffset>
                </wp:positionH>
                <wp:positionV relativeFrom="paragraph">
                  <wp:posOffset>1538605</wp:posOffset>
                </wp:positionV>
                <wp:extent cx="3175" cy="5715"/>
                <wp:effectExtent l="57150" t="57150" r="35560" b="51435"/>
                <wp:wrapNone/>
                <wp:docPr id="874429906" name="墨迹 4"/>
                <wp:cNvGraphicFramePr/>
                <a:graphic xmlns:a="http://schemas.openxmlformats.org/drawingml/2006/main">
                  <a:graphicData uri="http://schemas.microsoft.com/office/word/2010/wordprocessingInk">
                    <mc:AlternateContent xmlns:a14="http://schemas.microsoft.com/office/drawing/2010/main">
                      <mc:Choice Requires="a14">
                        <w14:contentPart bwMode="auto" r:id="rId15">
                          <w14:nvContentPartPr>
                            <w14:cNvPr id="874429906" name="墨迹 4"/>
                            <w14:cNvContentPartPr/>
                          </w14:nvContentPartPr>
                          <w14:xfrm>
                            <a:off x="0" y="0"/>
                            <a:ext cx="2880" cy="5760"/>
                          </w14:xfrm>
                        </w14:contentPart>
                      </mc:Choice>
                    </mc:AlternateContent>
                  </a:graphicData>
                </a:graphic>
              </wp:anchor>
            </w:drawing>
          </mc:Choice>
          <mc:Fallback>
            <w:pict>
              <v:shape id="墨迹 4" o:spid="_x0000_s1026" o:spt="75" style="position:absolute;left:0pt;margin-left:363.7pt;margin-top:121.15pt;height:0.45pt;width:0.25pt;z-index:251661312;mso-width-relative:page;mso-height-relative:page;" coordsize="21600,21600" o:gfxdata="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">
                <v:imagedata r:id="rId16" o:title=""/>
                <o:lock v:ext="edit"/>
              </v:shape>
            </w:pict>
          </mc:Fallback>
        </mc:AlternateContent>
      </w:r>
    </w:p>
    <w:p w14:paraId="68A5095D">
      <w:pPr>
        <w:adjustRightInd w:val="0"/>
        <w:snapToGrid w:val="0"/>
        <w:spacing w:line="360" w:lineRule="auto"/>
        <w:jc w:val="center"/>
        <w:rPr>
          <w:color w:val="auto"/>
        </w:rPr>
      </w:pPr>
      <w:r>
        <w:rPr>
          <w:rFonts w:hint="eastAsia"/>
          <w:color w:val="auto"/>
        </w:rPr>
        <w:t>1-现浇混凝土墙体;2-保温模板;3-抹面层;4-饰面层;5-勒脚部位防水层;6-密封胶;7-密封胶背衬材料;8-散水;9-地下室外墙防水层;10-地下室防水层护墙；11-防水防火性能好的保温材料</w:t>
      </w:r>
    </w:p>
    <w:p w14:paraId="45E30029">
      <w:pPr>
        <w:spacing w:line="360" w:lineRule="auto"/>
        <w:jc w:val="center"/>
        <w:rPr>
          <w:rFonts w:ascii="Times New Roman" w:hAnsi="Times New Roman" w:eastAsia="黑体" w:cs="Times New Roman"/>
          <w:b/>
          <w:bCs/>
          <w:color w:val="auto"/>
          <w:szCs w:val="21"/>
        </w:rPr>
      </w:pPr>
      <w:r>
        <w:rPr>
          <w:rFonts w:hint="eastAsia" w:ascii="Times New Roman" w:hAnsi="Times New Roman" w:eastAsia="黑体" w:cs="Times New Roman"/>
          <w:b/>
          <w:bCs/>
          <w:color w:val="auto"/>
          <w:szCs w:val="21"/>
        </w:rPr>
        <w:t>图5.3.</w:t>
      </w:r>
      <w:r>
        <w:rPr>
          <w:rFonts w:ascii="Times New Roman" w:hAnsi="Times New Roman" w:eastAsia="黑体" w:cs="Times New Roman"/>
          <w:b/>
          <w:bCs/>
          <w:color w:val="auto"/>
          <w:szCs w:val="21"/>
        </w:rPr>
        <w:t>7</w:t>
      </w:r>
      <w:r>
        <w:rPr>
          <w:rFonts w:hint="eastAsia" w:ascii="Times New Roman" w:hAnsi="Times New Roman" w:eastAsia="黑体" w:cs="Times New Roman"/>
          <w:b/>
          <w:bCs/>
          <w:color w:val="auto"/>
          <w:szCs w:val="21"/>
        </w:rPr>
        <w:t xml:space="preserve"> 勒脚部位示意</w:t>
      </w:r>
    </w:p>
    <w:p w14:paraId="3D5D0A4C">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5.3.</w:t>
      </w:r>
      <w:r>
        <w:rPr>
          <w:rFonts w:ascii="Times New Roman" w:hAnsi="Times New Roman" w:eastAsia="宋体"/>
          <w:b/>
          <w:bCs/>
          <w:color w:val="auto"/>
          <w:sz w:val="24"/>
          <w:szCs w:val="24"/>
        </w:rPr>
        <w:t>8</w:t>
      </w:r>
      <w:r>
        <w:rPr>
          <w:rFonts w:hint="eastAsia" w:ascii="Times New Roman" w:hAnsi="Times New Roman" w:eastAsia="宋体"/>
          <w:color w:val="auto"/>
          <w:sz w:val="24"/>
          <w:szCs w:val="24"/>
        </w:rPr>
        <w:t>保温免拆模板外墙的外窗构造见示意5.3.8，并应符合下列规定：</w:t>
      </w:r>
    </w:p>
    <w:p w14:paraId="5D06CFA1">
      <w:pPr>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1外窗宜采用预埋附框的安装形式，附框与现浇混凝土墙体及窗框应可靠连接，并应进行有效的保温及防水处理，其技术要求应符合现行国家标准《建筑门窗附框技术要求》GB/T39866的相关规定。</w:t>
      </w:r>
    </w:p>
    <w:p w14:paraId="35578F62">
      <w:pPr>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2外窗台宜采用成品披水板并设置不小于5%的外排水坡度，其上防水层沿外墙面下翻不应小于100 mm高，门窗上楣外口应做滴水线。</w:t>
      </w:r>
    </w:p>
    <w:p w14:paraId="0DCE26E9">
      <w:pPr>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3门窗外侧洞口四周墙体的保温层厚度不应小于20mm。</w:t>
      </w:r>
    </w:p>
    <w:p w14:paraId="438E4069">
      <w:pPr>
        <w:spacing w:line="360" w:lineRule="auto"/>
        <w:jc w:val="center"/>
        <w:rPr>
          <w:rFonts w:ascii="Times New Roman" w:hAnsi="Times New Roman" w:eastAsia="宋体"/>
          <w:color w:val="auto"/>
          <w:sz w:val="24"/>
          <w:szCs w:val="24"/>
        </w:rPr>
      </w:pPr>
    </w:p>
    <w:p w14:paraId="0C282DD3">
      <w:pPr>
        <w:spacing w:line="360" w:lineRule="auto"/>
        <w:rPr>
          <w:rFonts w:ascii="Times New Roman" w:hAnsi="Times New Roman" w:eastAsia="宋体"/>
          <w:color w:val="auto"/>
          <w:sz w:val="24"/>
          <w:szCs w:val="24"/>
        </w:rPr>
      </w:pPr>
      <w:r>
        <w:rPr>
          <w:rFonts w:ascii="Times New Roman" w:hAnsi="Times New Roman" w:eastAsia="宋体"/>
          <w:color w:val="auto"/>
          <w:sz w:val="24"/>
          <w:szCs w:val="24"/>
        </w:rPr>
        <w:drawing>
          <wp:inline distT="0" distB="0" distL="114300" distR="114300">
            <wp:extent cx="3270250" cy="5310505"/>
            <wp:effectExtent l="0" t="0" r="4445" b="6350"/>
            <wp:docPr id="20" name="图片 20" descr="保温节能与结构一体化系统构造——复合轻集料匀质保温免拆模板系统（报批稿）0109_页面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保温节能与结构一体化系统构造——复合轻集料匀质保温免拆模板系统（报批稿）0109_页面_08"/>
                    <pic:cNvPicPr>
                      <a:picLocks noChangeAspect="1"/>
                    </pic:cNvPicPr>
                  </pic:nvPicPr>
                  <pic:blipFill>
                    <a:blip r:embed="rId17"/>
                    <a:srcRect l="15369" t="10862" r="15598" b="9908"/>
                    <a:stretch>
                      <a:fillRect/>
                    </a:stretch>
                  </pic:blipFill>
                  <pic:spPr>
                    <a:xfrm rot="16200000">
                      <a:off x="0" y="0"/>
                      <a:ext cx="3270250" cy="5310505"/>
                    </a:xfrm>
                    <a:prstGeom prst="rect">
                      <a:avLst/>
                    </a:prstGeom>
                  </pic:spPr>
                </pic:pic>
              </a:graphicData>
            </a:graphic>
          </wp:inline>
        </w:drawing>
      </w:r>
    </w:p>
    <w:p w14:paraId="73630B4D">
      <w:pPr>
        <w:adjustRightInd w:val="0"/>
        <w:snapToGrid w:val="0"/>
        <w:spacing w:line="360" w:lineRule="auto"/>
        <w:jc w:val="center"/>
        <w:rPr>
          <w:color w:val="auto"/>
        </w:rPr>
      </w:pPr>
      <w:r>
        <w:rPr>
          <w:rFonts w:hint="eastAsia"/>
          <w:color w:val="auto"/>
        </w:rPr>
        <w:t>1-现浇混凝土墙体;2-保温模板;3-抹面层;4-窗框;5-附框;6-抹面层;7-轻质保温砂浆；8-密封胶;9成品披水板;10-滴水线;</w:t>
      </w:r>
    </w:p>
    <w:p w14:paraId="6EE694EA">
      <w:pPr>
        <w:spacing w:line="360" w:lineRule="auto"/>
        <w:jc w:val="center"/>
        <w:rPr>
          <w:rFonts w:ascii="Times New Roman" w:hAnsi="Times New Roman" w:eastAsia="黑体" w:cs="Times New Roman"/>
          <w:b/>
          <w:bCs/>
          <w:color w:val="auto"/>
          <w:szCs w:val="21"/>
        </w:rPr>
      </w:pPr>
      <w:r>
        <w:rPr>
          <w:rFonts w:hint="eastAsia" w:ascii="Times New Roman" w:hAnsi="Times New Roman" w:eastAsia="黑体" w:cs="Times New Roman"/>
          <w:b/>
          <w:bCs/>
          <w:color w:val="auto"/>
          <w:szCs w:val="21"/>
        </w:rPr>
        <w:t>图5.3.8 外窗节点构造示意</w:t>
      </w:r>
    </w:p>
    <w:p w14:paraId="3A39CF17">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5.3.</w:t>
      </w:r>
      <w:r>
        <w:rPr>
          <w:rFonts w:ascii="Times New Roman" w:hAnsi="Times New Roman" w:eastAsia="宋体"/>
          <w:b/>
          <w:bCs/>
          <w:color w:val="auto"/>
          <w:sz w:val="24"/>
          <w:szCs w:val="24"/>
        </w:rPr>
        <w:t>9</w:t>
      </w:r>
      <w:r>
        <w:rPr>
          <w:rFonts w:hint="eastAsia" w:ascii="Times New Roman" w:hAnsi="Times New Roman" w:eastAsia="宋体"/>
          <w:color w:val="auto"/>
          <w:sz w:val="24"/>
          <w:szCs w:val="24"/>
        </w:rPr>
        <w:t xml:space="preserve"> 架空层楼板保温免拆模板可用于有节能设计要求的房间楼板，不宜用于卫生间、厨房等潮湿房间楼板。</w:t>
      </w:r>
    </w:p>
    <w:p w14:paraId="4CEE6AC4">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5.3.1</w:t>
      </w:r>
      <w:r>
        <w:rPr>
          <w:rFonts w:ascii="Times New Roman" w:hAnsi="Times New Roman" w:eastAsia="宋体"/>
          <w:b/>
          <w:bCs/>
          <w:color w:val="auto"/>
          <w:sz w:val="24"/>
          <w:szCs w:val="24"/>
        </w:rPr>
        <w:t>0</w:t>
      </w:r>
      <w:r>
        <w:rPr>
          <w:rFonts w:hint="eastAsia" w:ascii="Times New Roman" w:hAnsi="Times New Roman" w:eastAsia="宋体"/>
          <w:color w:val="auto"/>
          <w:sz w:val="24"/>
          <w:szCs w:val="24"/>
        </w:rPr>
        <w:t xml:space="preserve"> 架空层楼板保温免拆模板厚度不应小于30mm，不宜大于50mm。</w:t>
      </w:r>
    </w:p>
    <w:p w14:paraId="3EA23B64">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5.3.1</w:t>
      </w:r>
      <w:bookmarkStart w:id="1691" w:name="_Hlk176337502"/>
      <w:r>
        <w:rPr>
          <w:rFonts w:hint="eastAsia" w:ascii="Times New Roman" w:hAnsi="Times New Roman" w:eastAsia="宋体"/>
          <w:b/>
          <w:bCs/>
          <w:color w:val="auto"/>
          <w:sz w:val="24"/>
          <w:szCs w:val="24"/>
        </w:rPr>
        <w:t>1</w:t>
      </w:r>
      <w:r>
        <w:rPr>
          <w:rFonts w:hint="eastAsia" w:ascii="Times New Roman" w:hAnsi="Times New Roman" w:eastAsia="宋体"/>
          <w:bCs/>
          <w:color w:val="auto"/>
          <w:sz w:val="24"/>
          <w:szCs w:val="24"/>
        </w:rPr>
        <w:t>保温免拆模板系统</w:t>
      </w:r>
      <w:bookmarkEnd w:id="1691"/>
      <w:r>
        <w:rPr>
          <w:rFonts w:hint="eastAsia" w:ascii="Times New Roman" w:hAnsi="Times New Roman" w:eastAsia="宋体"/>
          <w:bCs/>
          <w:color w:val="auto"/>
          <w:sz w:val="24"/>
          <w:szCs w:val="24"/>
        </w:rPr>
        <w:t>应做好密封和防水构造设计，</w:t>
      </w:r>
      <w:r>
        <w:rPr>
          <w:rFonts w:hint="eastAsia" w:ascii="Times New Roman" w:hAnsi="Times New Roman" w:eastAsia="宋体"/>
          <w:color w:val="auto"/>
          <w:sz w:val="24"/>
          <w:szCs w:val="24"/>
        </w:rPr>
        <w:t>并应符合下列规定:</w:t>
      </w:r>
    </w:p>
    <w:p w14:paraId="64399FAA">
      <w:pPr>
        <w:spacing w:line="360" w:lineRule="auto"/>
        <w:ind w:firstLine="480" w:firstLineChars="200"/>
        <w:rPr>
          <w:color w:val="auto"/>
        </w:rPr>
      </w:pPr>
      <w:r>
        <w:rPr>
          <w:rFonts w:hint="eastAsia" w:ascii="Times New Roman" w:hAnsi="Times New Roman"/>
          <w:bCs/>
          <w:color w:val="auto"/>
          <w:sz w:val="24"/>
          <w:szCs w:val="24"/>
        </w:rPr>
        <w:t>1</w:t>
      </w:r>
      <w:r>
        <w:rPr>
          <w:rFonts w:ascii="Times New Roman" w:hAnsi="Times New Roman" w:eastAsia="宋体"/>
          <w:bCs/>
          <w:color w:val="auto"/>
          <w:sz w:val="24"/>
          <w:szCs w:val="24"/>
        </w:rPr>
        <w:t xml:space="preserve"> </w:t>
      </w:r>
      <w:r>
        <w:rPr>
          <w:rFonts w:hint="eastAsia" w:ascii="Times New Roman" w:hAnsi="Times New Roman" w:eastAsia="宋体"/>
          <w:bCs/>
          <w:color w:val="auto"/>
          <w:sz w:val="24"/>
          <w:szCs w:val="24"/>
        </w:rPr>
        <w:t>水平或倾斜的出挑部位应做好防水处理，竖向收口部位应采用盖板等封堵措施，在檐口和线脚等处应做好包边处理；</w:t>
      </w:r>
    </w:p>
    <w:p w14:paraId="353437AE">
      <w:pPr>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2穿墙管道应预留套管，管道与套管之间的缝隙应选用低吸水率的弹性保温材料封堵密实，内外两侧应采取密封胶封堵等防水密封措施，构造示意见图5.3.11</w:t>
      </w:r>
      <w:r>
        <w:rPr>
          <w:rFonts w:hint="eastAsia" w:ascii="Times New Roman" w:hAnsi="Times New Roman"/>
          <w:color w:val="auto"/>
          <w:sz w:val="24"/>
          <w:szCs w:val="24"/>
        </w:rPr>
        <w:t>-1</w:t>
      </w:r>
      <w:r>
        <w:rPr>
          <w:rFonts w:hint="eastAsia" w:ascii="Times New Roman" w:hAnsi="Times New Roman" w:eastAsia="宋体"/>
          <w:color w:val="auto"/>
          <w:sz w:val="24"/>
          <w:szCs w:val="24"/>
        </w:rPr>
        <w:t>。</w:t>
      </w:r>
    </w:p>
    <w:p w14:paraId="2F2CDCFC">
      <w:pPr>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3电气线路应采用金属套管，金属管与墙体缝隙应采用不燃材料进行防火封堵。</w:t>
      </w:r>
    </w:p>
    <w:p w14:paraId="58644EA4">
      <w:pPr>
        <w:spacing w:line="360" w:lineRule="auto"/>
        <w:ind w:firstLine="480" w:firstLineChars="200"/>
        <w:jc w:val="center"/>
        <w:rPr>
          <w:rFonts w:ascii="Times New Roman" w:hAnsi="Times New Roman" w:eastAsia="宋体"/>
          <w:color w:val="auto"/>
          <w:sz w:val="24"/>
          <w:szCs w:val="24"/>
        </w:rPr>
      </w:pPr>
      <w:r>
        <w:rPr>
          <w:rFonts w:hint="eastAsia" w:ascii="Times New Roman" w:hAnsi="Times New Roman" w:eastAsia="宋体"/>
          <w:color w:val="auto"/>
          <w:sz w:val="24"/>
          <w:szCs w:val="24"/>
        </w:rPr>
        <w:drawing>
          <wp:inline distT="0" distB="0" distL="114300" distR="114300">
            <wp:extent cx="3517900" cy="2809875"/>
            <wp:effectExtent l="0" t="0" r="9525" b="6350"/>
            <wp:docPr id="21" name="图片 21" descr="保温节能与结构一体化系统构造——复合轻集料匀质保温免拆模板系统（报批稿）0109_页面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保温节能与结构一体化系统构造——复合轻集料匀质保温免拆模板系统（报批稿）0109_页面_09"/>
                    <pic:cNvPicPr>
                      <a:picLocks noChangeAspect="1"/>
                    </pic:cNvPicPr>
                  </pic:nvPicPr>
                  <pic:blipFill>
                    <a:blip r:embed="rId18"/>
                    <a:srcRect l="17635" t="16297" r="15586" b="46004"/>
                    <a:stretch>
                      <a:fillRect/>
                    </a:stretch>
                  </pic:blipFill>
                  <pic:spPr>
                    <a:xfrm rot="16200000">
                      <a:off x="0" y="0"/>
                      <a:ext cx="3517900" cy="2809875"/>
                    </a:xfrm>
                    <a:prstGeom prst="rect">
                      <a:avLst/>
                    </a:prstGeom>
                  </pic:spPr>
                </pic:pic>
              </a:graphicData>
            </a:graphic>
          </wp:inline>
        </w:drawing>
      </w:r>
    </w:p>
    <w:p w14:paraId="6A2F1A3F">
      <w:pPr>
        <w:adjustRightInd w:val="0"/>
        <w:snapToGrid w:val="0"/>
        <w:spacing w:line="360" w:lineRule="auto"/>
        <w:jc w:val="center"/>
        <w:rPr>
          <w:color w:val="auto"/>
        </w:rPr>
      </w:pPr>
      <w:r>
        <w:rPr>
          <w:rFonts w:hint="eastAsia"/>
          <w:color w:val="auto"/>
        </w:rPr>
        <w:t>1-现浇混凝土墙体;2-保温免拆模板;3-抹面层;4-饰面层;5-密封胶;6-保温材料;7-套管;8-管道</w:t>
      </w:r>
    </w:p>
    <w:p w14:paraId="35B04594">
      <w:pPr>
        <w:spacing w:line="360" w:lineRule="auto"/>
        <w:jc w:val="center"/>
        <w:rPr>
          <w:rFonts w:ascii="Times New Roman" w:hAnsi="Times New Roman" w:eastAsia="黑体" w:cs="Times New Roman"/>
          <w:b/>
          <w:bCs/>
          <w:color w:val="auto"/>
          <w:szCs w:val="21"/>
        </w:rPr>
      </w:pPr>
      <w:r>
        <w:rPr>
          <w:rFonts w:hint="eastAsia" w:ascii="Times New Roman" w:hAnsi="Times New Roman" w:eastAsia="黑体" w:cs="Times New Roman"/>
          <w:b/>
          <w:bCs/>
          <w:color w:val="auto"/>
          <w:szCs w:val="21"/>
        </w:rPr>
        <w:t>图5.3.11-1 孔洞密封示意</w:t>
      </w:r>
    </w:p>
    <w:p w14:paraId="02D71285">
      <w:pPr>
        <w:adjustRightInd w:val="0"/>
        <w:snapToGrid w:val="0"/>
        <w:spacing w:line="360" w:lineRule="auto"/>
        <w:ind w:firstLine="480" w:firstLineChars="200"/>
        <w:rPr>
          <w:rFonts w:ascii="Times New Roman" w:hAnsi="Times New Roman" w:eastAsia="宋体"/>
          <w:bCs/>
          <w:color w:val="auto"/>
          <w:sz w:val="24"/>
          <w:szCs w:val="24"/>
        </w:rPr>
      </w:pPr>
      <w:r>
        <w:rPr>
          <w:rFonts w:hint="eastAsia" w:ascii="Times New Roman" w:hAnsi="Times New Roman"/>
          <w:bCs/>
          <w:color w:val="auto"/>
          <w:sz w:val="24"/>
          <w:szCs w:val="24"/>
        </w:rPr>
        <w:t>4</w:t>
      </w:r>
      <w:r>
        <w:rPr>
          <w:rFonts w:hint="eastAsia" w:ascii="Times New Roman" w:hAnsi="Times New Roman" w:eastAsia="宋体"/>
          <w:bCs/>
          <w:color w:val="auto"/>
          <w:sz w:val="24"/>
          <w:szCs w:val="24"/>
        </w:rPr>
        <w:t xml:space="preserve">  墙体上对拉螺栓孔应采取必要的防水措施；</w:t>
      </w:r>
    </w:p>
    <w:p w14:paraId="4AE81285">
      <w:pPr>
        <w:adjustRightInd w:val="0"/>
        <w:snapToGrid w:val="0"/>
        <w:spacing w:line="360" w:lineRule="auto"/>
        <w:ind w:firstLine="480" w:firstLineChars="200"/>
        <w:rPr>
          <w:rFonts w:ascii="Times New Roman" w:hAnsi="Times New Roman" w:eastAsia="宋体"/>
          <w:bCs/>
          <w:color w:val="auto"/>
          <w:sz w:val="24"/>
          <w:szCs w:val="24"/>
        </w:rPr>
      </w:pPr>
      <w:r>
        <w:rPr>
          <w:rFonts w:hint="eastAsia" w:ascii="Times New Roman" w:hAnsi="Times New Roman"/>
          <w:bCs/>
          <w:color w:val="auto"/>
          <w:sz w:val="24"/>
          <w:szCs w:val="24"/>
        </w:rPr>
        <w:t>5</w:t>
      </w:r>
      <w:r>
        <w:rPr>
          <w:rFonts w:ascii="Times New Roman" w:hAnsi="Times New Roman" w:eastAsia="宋体"/>
          <w:bCs/>
          <w:color w:val="auto"/>
          <w:sz w:val="24"/>
          <w:szCs w:val="24"/>
        </w:rPr>
        <w:t xml:space="preserve">  </w:t>
      </w:r>
      <w:r>
        <w:rPr>
          <w:rFonts w:hint="eastAsia" w:ascii="Times New Roman" w:hAnsi="Times New Roman" w:eastAsia="宋体"/>
          <w:color w:val="auto"/>
          <w:sz w:val="24"/>
          <w:szCs w:val="24"/>
        </w:rPr>
        <w:t>保温免拆模板</w:t>
      </w:r>
      <w:r>
        <w:rPr>
          <w:rFonts w:hint="eastAsia" w:ascii="Times New Roman" w:hAnsi="Times New Roman" w:eastAsia="宋体"/>
          <w:bCs/>
          <w:color w:val="auto"/>
          <w:sz w:val="24"/>
          <w:szCs w:val="24"/>
        </w:rPr>
        <w:t>系统外墙上安装的设备或管道，应固定于混凝土基层上，并做好密封和防水设计，构造示意见图5.3.12-2；</w:t>
      </w:r>
    </w:p>
    <w:p w14:paraId="18F1E169">
      <w:pPr>
        <w:adjustRightInd w:val="0"/>
        <w:snapToGrid w:val="0"/>
        <w:spacing w:line="360" w:lineRule="auto"/>
        <w:rPr>
          <w:color w:val="auto"/>
        </w:rPr>
      </w:pPr>
      <w:r>
        <w:rPr>
          <w:rFonts w:hint="eastAsia" w:ascii="Times New Roman" w:hAnsi="Times New Roman" w:eastAsia="宋体"/>
          <w:bCs/>
          <w:color w:val="auto"/>
          <w:sz w:val="24"/>
          <w:szCs w:val="24"/>
        </w:rPr>
        <w:drawing>
          <wp:inline distT="0" distB="0" distL="114300" distR="114300">
            <wp:extent cx="2308225" cy="5466080"/>
            <wp:effectExtent l="0" t="0" r="1270" b="15875"/>
            <wp:docPr id="23" name="图片 23" descr="保温节能与结构一体化系统构造——复合轻集料匀质保温免拆模板系统（报批稿）0109_页面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保温节能与结构一体化系统构造——复合轻集料匀质保温免拆模板系统（报批稿）0109_页面_10"/>
                    <pic:cNvPicPr>
                      <a:picLocks noChangeAspect="1"/>
                    </pic:cNvPicPr>
                  </pic:nvPicPr>
                  <pic:blipFill>
                    <a:blip r:embed="rId19"/>
                    <a:srcRect l="26446" t="12464" r="27351" b="10223"/>
                    <a:stretch>
                      <a:fillRect/>
                    </a:stretch>
                  </pic:blipFill>
                  <pic:spPr>
                    <a:xfrm rot="16200000">
                      <a:off x="0" y="0"/>
                      <a:ext cx="2308225" cy="5466080"/>
                    </a:xfrm>
                    <a:prstGeom prst="rect">
                      <a:avLst/>
                    </a:prstGeom>
                  </pic:spPr>
                </pic:pic>
              </a:graphicData>
            </a:graphic>
          </wp:inline>
        </w:drawing>
      </w:r>
    </w:p>
    <w:p w14:paraId="603674DE">
      <w:pPr>
        <w:numPr>
          <w:ilvl w:val="0"/>
          <w:numId w:val="12"/>
        </w:numPr>
        <w:adjustRightInd w:val="0"/>
        <w:snapToGrid w:val="0"/>
        <w:spacing w:line="360" w:lineRule="auto"/>
        <w:jc w:val="center"/>
        <w:rPr>
          <w:color w:val="auto"/>
        </w:rPr>
      </w:pPr>
      <w:r>
        <w:rPr>
          <w:rFonts w:hint="eastAsia"/>
          <w:color w:val="auto"/>
        </w:rPr>
        <w:t>现浇混凝土墙体;2-保温免拆模板;3-抹面层;4-饰面层;5-密封胶;6-弹性材料;7-雨水管支杆;</w:t>
      </w:r>
    </w:p>
    <w:p w14:paraId="03A70009">
      <w:pPr>
        <w:adjustRightInd w:val="0"/>
        <w:snapToGrid w:val="0"/>
        <w:spacing w:line="360" w:lineRule="auto"/>
        <w:jc w:val="center"/>
        <w:rPr>
          <w:rFonts w:ascii="Times New Roman" w:hAnsi="Times New Roman" w:cs="Times New Roman"/>
          <w:color w:val="auto"/>
          <w:szCs w:val="21"/>
        </w:rPr>
      </w:pPr>
      <w:r>
        <w:rPr>
          <w:rFonts w:hint="eastAsia"/>
          <w:color w:val="auto"/>
        </w:rPr>
        <w:t>8-落水管；9-成品管箍</w:t>
      </w:r>
    </w:p>
    <w:p w14:paraId="5AEFD170">
      <w:pPr>
        <w:spacing w:line="360" w:lineRule="auto"/>
        <w:jc w:val="center"/>
        <w:rPr>
          <w:rFonts w:hint="eastAsia" w:ascii="Times New Roman" w:hAnsi="Times New Roman" w:eastAsia="黑体" w:cs="Times New Roman"/>
          <w:b/>
          <w:bCs/>
          <w:color w:val="auto"/>
          <w:szCs w:val="21"/>
          <w:lang w:val="en-US" w:eastAsia="zh-CN"/>
        </w:rPr>
      </w:pPr>
      <w:r>
        <w:rPr>
          <w:rFonts w:hint="eastAsia" w:ascii="Times New Roman" w:hAnsi="Times New Roman" w:eastAsia="黑体" w:cs="Times New Roman"/>
          <w:b/>
          <w:bCs/>
          <w:color w:val="auto"/>
          <w:szCs w:val="21"/>
        </w:rPr>
        <w:t>图5.3.11-2 外墙管道安装构造</w:t>
      </w:r>
      <w:r>
        <w:rPr>
          <w:rFonts w:hint="eastAsia" w:ascii="Times New Roman" w:hAnsi="Times New Roman" w:eastAsia="黑体" w:cs="Times New Roman"/>
          <w:b/>
          <w:bCs/>
          <w:color w:val="auto"/>
          <w:szCs w:val="21"/>
          <w:lang w:val="en-US" w:eastAsia="zh-CN"/>
        </w:rPr>
        <w:t>示意</w:t>
      </w:r>
    </w:p>
    <w:p w14:paraId="56DB2340">
      <w:pPr>
        <w:spacing w:line="360" w:lineRule="auto"/>
        <w:rPr>
          <w:rFonts w:ascii="Times New Roman" w:hAnsi="Times New Roman" w:eastAsia="宋体"/>
          <w:bCs/>
          <w:color w:val="auto"/>
          <w:sz w:val="24"/>
          <w:szCs w:val="24"/>
        </w:rPr>
      </w:pPr>
      <w:r>
        <w:rPr>
          <w:rFonts w:hint="eastAsia" w:ascii="Times New Roman" w:hAnsi="Times New Roman" w:eastAsia="宋体"/>
          <w:b/>
          <w:bCs/>
          <w:color w:val="auto"/>
          <w:sz w:val="24"/>
          <w:szCs w:val="24"/>
        </w:rPr>
        <w:t xml:space="preserve">5.3.12 </w:t>
      </w:r>
      <w:r>
        <w:rPr>
          <w:rFonts w:hint="eastAsia" w:ascii="Times New Roman" w:hAnsi="Times New Roman" w:eastAsia="宋体"/>
          <w:bCs/>
          <w:color w:val="auto"/>
          <w:sz w:val="24"/>
          <w:szCs w:val="24"/>
        </w:rPr>
        <w:t>女儿墙宜设置混凝土压顶或金属压顶，压顶应向内找坡，坡度不应小于2%。当采用混凝土压顶时，压顶上方应做防水层并应延续至压顶内外两侧滴水线部位，构造示意见图5.3.12(a)；当采用金属压顶时，金属压顶应采用专用金属配件固定，构造示意见图 5.3.12(b)。</w:t>
      </w:r>
    </w:p>
    <w:p w14:paraId="609EF867">
      <w:pPr>
        <w:spacing w:line="360" w:lineRule="auto"/>
        <w:rPr>
          <w:rFonts w:ascii="Times New Roman" w:hAnsi="Times New Roman" w:eastAsia="宋体"/>
          <w:color w:val="auto"/>
          <w:sz w:val="24"/>
          <w:szCs w:val="24"/>
        </w:rPr>
      </w:pPr>
      <w:r>
        <w:rPr>
          <w:rFonts w:hint="eastAsia" w:ascii="Times New Roman" w:hAnsi="Times New Roman" w:eastAsia="宋体"/>
          <w:bCs/>
          <w:color w:val="auto"/>
          <w:sz w:val="24"/>
          <w:szCs w:val="24"/>
        </w:rPr>
        <w:drawing>
          <wp:inline distT="0" distB="0" distL="114300" distR="114300">
            <wp:extent cx="3218815" cy="5085715"/>
            <wp:effectExtent l="0" t="0" r="635" b="635"/>
            <wp:docPr id="24" name="图片 24" descr="保温节能与结构一体化系统构造——复合轻集料匀质保温免拆模板系统（报批稿）0109_页面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保温节能与结构一体化系统构造——复合轻集料匀质保温免拆模板系统（报批稿）0109_页面_11"/>
                    <pic:cNvPicPr>
                      <a:picLocks noChangeAspect="1"/>
                    </pic:cNvPicPr>
                  </pic:nvPicPr>
                  <pic:blipFill>
                    <a:blip r:embed="rId20"/>
                    <a:srcRect l="20106" t="11331" r="13790" b="14858"/>
                    <a:stretch>
                      <a:fillRect/>
                    </a:stretch>
                  </pic:blipFill>
                  <pic:spPr>
                    <a:xfrm rot="16200000">
                      <a:off x="0" y="0"/>
                      <a:ext cx="3218815" cy="5085715"/>
                    </a:xfrm>
                    <a:prstGeom prst="rect">
                      <a:avLst/>
                    </a:prstGeom>
                  </pic:spPr>
                </pic:pic>
              </a:graphicData>
            </a:graphic>
          </wp:inline>
        </w:drawing>
      </w:r>
    </w:p>
    <w:p w14:paraId="7125BD0E">
      <w:pPr>
        <w:numPr>
          <w:ilvl w:val="0"/>
          <w:numId w:val="13"/>
        </w:numPr>
        <w:adjustRightInd w:val="0"/>
        <w:snapToGrid w:val="0"/>
        <w:spacing w:line="360" w:lineRule="auto"/>
        <w:jc w:val="center"/>
        <w:rPr>
          <w:color w:val="auto"/>
        </w:rPr>
      </w:pPr>
      <w:r>
        <w:rPr>
          <w:rFonts w:hint="eastAsia"/>
          <w:color w:val="auto"/>
        </w:rPr>
        <w:t>女儿墙;2-保温免拆模板;3-混凝土压顶;4-防水层;5-金属压顶;6-金属配件；</w:t>
      </w:r>
    </w:p>
    <w:p w14:paraId="551382B9">
      <w:pPr>
        <w:adjustRightInd w:val="0"/>
        <w:snapToGrid w:val="0"/>
        <w:spacing w:line="360" w:lineRule="auto"/>
        <w:jc w:val="center"/>
        <w:rPr>
          <w:color w:val="auto"/>
        </w:rPr>
      </w:pPr>
      <w:r>
        <w:rPr>
          <w:rFonts w:hint="eastAsia"/>
          <w:color w:val="auto"/>
        </w:rPr>
        <w:t>7-具有防水性能保温材料</w:t>
      </w:r>
    </w:p>
    <w:p w14:paraId="57309AF2">
      <w:pPr>
        <w:spacing w:line="360" w:lineRule="auto"/>
        <w:jc w:val="center"/>
        <w:rPr>
          <w:rFonts w:ascii="Times New Roman" w:hAnsi="Times New Roman" w:eastAsia="黑体" w:cs="Times New Roman"/>
          <w:b/>
          <w:bCs/>
          <w:color w:val="auto"/>
          <w:szCs w:val="21"/>
        </w:rPr>
      </w:pPr>
      <w:r>
        <w:rPr>
          <w:rFonts w:hint="eastAsia" w:ascii="Times New Roman" w:hAnsi="Times New Roman" w:eastAsia="黑体" w:cs="Times New Roman"/>
          <w:b/>
          <w:bCs/>
          <w:color w:val="auto"/>
          <w:szCs w:val="21"/>
        </w:rPr>
        <w:t>图5.3.12 女儿墙混凝土压顶示意</w:t>
      </w:r>
    </w:p>
    <w:p w14:paraId="1DDF952F">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5.3.13</w:t>
      </w:r>
      <w:r>
        <w:rPr>
          <w:rFonts w:hint="eastAsia" w:ascii="Times New Roman" w:hAnsi="Times New Roman" w:eastAsia="宋体"/>
          <w:bCs/>
          <w:color w:val="auto"/>
          <w:sz w:val="24"/>
          <w:szCs w:val="24"/>
        </w:rPr>
        <w:t>保温免拆模板系统的</w:t>
      </w:r>
      <w:r>
        <w:rPr>
          <w:rFonts w:hint="eastAsia" w:ascii="Times New Roman" w:hAnsi="Times New Roman" w:eastAsia="宋体"/>
          <w:color w:val="auto"/>
          <w:sz w:val="24"/>
          <w:szCs w:val="24"/>
        </w:rPr>
        <w:t>外墙与其他外围护保温系统接缝处宜采用密封胶嵌缝，嵌缝深度不应小于缝宽的1/2且不应小于10mm。</w:t>
      </w:r>
    </w:p>
    <w:p w14:paraId="20C75B5E">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5.3.13</w:t>
      </w:r>
      <w:r>
        <w:rPr>
          <w:rFonts w:hint="eastAsia" w:ascii="Times New Roman" w:hAnsi="Times New Roman" w:eastAsia="宋体"/>
          <w:color w:val="auto"/>
          <w:sz w:val="24"/>
          <w:szCs w:val="24"/>
        </w:rPr>
        <w:t>保温免拆模板建筑填充外墙宜采用自保温砌块。并符合下列规定：</w:t>
      </w:r>
    </w:p>
    <w:p w14:paraId="051A90C2">
      <w:pPr>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1填充外墙外表面宜与保温免拆模板外侧平齐，砌筑时按要求设置拉结筋；</w:t>
      </w:r>
    </w:p>
    <w:p w14:paraId="0DA46A38">
      <w:pPr>
        <w:spacing w:line="360" w:lineRule="auto"/>
        <w:ind w:firstLine="480" w:firstLineChars="200"/>
        <w:rPr>
          <w:rFonts w:eastAsia="宋体"/>
          <w:color w:val="auto"/>
        </w:rPr>
      </w:pPr>
      <w:r>
        <w:rPr>
          <w:rFonts w:hint="eastAsia" w:ascii="Times New Roman" w:hAnsi="Times New Roman" w:eastAsia="宋体"/>
          <w:color w:val="auto"/>
          <w:sz w:val="24"/>
          <w:szCs w:val="24"/>
        </w:rPr>
        <w:t>2自保温砌块填充外墙与保温免拆模板交接处应增设耐碱玻璃纤维网布，</w:t>
      </w:r>
      <w:r>
        <w:rPr>
          <w:rFonts w:hint="eastAsia"/>
          <w:color w:val="auto"/>
        </w:rPr>
        <w:t>交</w:t>
      </w:r>
      <w:r>
        <w:rPr>
          <w:rFonts w:hint="eastAsia" w:ascii="Times New Roman" w:hAnsi="Times New Roman" w:eastAsia="宋体"/>
          <w:color w:val="auto"/>
          <w:sz w:val="24"/>
          <w:szCs w:val="24"/>
        </w:rPr>
        <w:t>接处缝两侧耐碱玻璃纤维网布宽度均不应小于100mm，总宽度不小于200mm。</w:t>
      </w:r>
      <w:r>
        <w:rPr>
          <w:rFonts w:hint="eastAsia" w:eastAsia="宋体"/>
          <w:color w:val="auto"/>
        </w:rPr>
        <w:t xml:space="preserve"> </w:t>
      </w:r>
    </w:p>
    <w:p w14:paraId="24FFCD71">
      <w:pPr>
        <w:jc w:val="center"/>
        <w:rPr>
          <w:rFonts w:eastAsia="宋体"/>
          <w:color w:val="auto"/>
        </w:rPr>
      </w:pPr>
    </w:p>
    <w:p w14:paraId="71612E4D">
      <w:pPr>
        <w:jc w:val="center"/>
        <w:rPr>
          <w:rFonts w:eastAsia="宋体"/>
          <w:color w:val="auto"/>
        </w:rPr>
      </w:pPr>
      <w:r>
        <w:rPr>
          <w:rFonts w:hint="eastAsia" w:eastAsia="宋体"/>
          <w:color w:val="auto"/>
        </w:rPr>
        <w:drawing>
          <wp:inline distT="0" distB="0" distL="114300" distR="114300">
            <wp:extent cx="5279390" cy="5240020"/>
            <wp:effectExtent l="0" t="0" r="17780" b="16510"/>
            <wp:docPr id="27" name="图片 27" descr="1保温节能与结构一体化系统构造——复合轻集料匀质保温免拆模板系统（报批稿）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保温节能与结构一体化系统构造——复合轻集料匀质保温免拆模板系统（报批稿）0109"/>
                    <pic:cNvPicPr>
                      <a:picLocks noChangeAspect="1"/>
                    </pic:cNvPicPr>
                  </pic:nvPicPr>
                  <pic:blipFill>
                    <a:blip r:embed="rId21"/>
                    <a:srcRect l="12657" t="18530" r="13790" b="29877"/>
                    <a:stretch>
                      <a:fillRect/>
                    </a:stretch>
                  </pic:blipFill>
                  <pic:spPr>
                    <a:xfrm rot="16200000">
                      <a:off x="0" y="0"/>
                      <a:ext cx="5279390" cy="5240020"/>
                    </a:xfrm>
                    <a:prstGeom prst="rect">
                      <a:avLst/>
                    </a:prstGeom>
                  </pic:spPr>
                </pic:pic>
              </a:graphicData>
            </a:graphic>
          </wp:inline>
        </w:drawing>
      </w:r>
    </w:p>
    <w:p w14:paraId="1CEA489F">
      <w:pPr>
        <w:jc w:val="center"/>
        <w:rPr>
          <w:rFonts w:eastAsia="宋体"/>
          <w:color w:val="auto"/>
        </w:rPr>
      </w:pPr>
    </w:p>
    <w:p w14:paraId="26207ADB">
      <w:pPr>
        <w:numPr>
          <w:ilvl w:val="0"/>
          <w:numId w:val="14"/>
        </w:numPr>
        <w:adjustRightInd w:val="0"/>
        <w:snapToGrid w:val="0"/>
        <w:spacing w:after="160" w:line="360" w:lineRule="auto"/>
        <w:jc w:val="center"/>
        <w:rPr>
          <w:color w:val="auto"/>
        </w:rPr>
      </w:pPr>
      <w:r>
        <w:rPr>
          <w:rFonts w:hint="eastAsia"/>
          <w:color w:val="auto"/>
        </w:rPr>
        <w:t>-现浇混凝土外墙；2--连接锚固件；3--外墙保温免拆模板；4--自保温砌块填充外墙；5--饰面层；6--耐玻璃纤维网布</w:t>
      </w:r>
    </w:p>
    <w:p w14:paraId="23808D8A">
      <w:pPr>
        <w:adjustRightInd w:val="0"/>
        <w:snapToGrid w:val="0"/>
        <w:spacing w:after="160" w:line="360" w:lineRule="auto"/>
        <w:jc w:val="center"/>
        <w:rPr>
          <w:color w:val="auto"/>
        </w:rPr>
      </w:pPr>
      <w:r>
        <w:rPr>
          <w:rFonts w:hint="eastAsia" w:ascii="Times New Roman" w:hAnsi="Times New Roman" w:eastAsia="黑体" w:cs="Times New Roman"/>
          <w:b/>
          <w:bCs/>
          <w:color w:val="auto"/>
          <w:szCs w:val="21"/>
        </w:rPr>
        <w:t>图5.3.14 自保温砌块填充墙示意</w:t>
      </w:r>
    </w:p>
    <w:p w14:paraId="5D6DE6F8">
      <w:pPr>
        <w:rPr>
          <w:rFonts w:ascii="Times New Roman" w:hAnsi="Times New Roman" w:eastAsia="宋体"/>
          <w:bCs/>
          <w:color w:val="auto"/>
          <w:sz w:val="24"/>
          <w:szCs w:val="24"/>
        </w:rPr>
      </w:pPr>
    </w:p>
    <w:p w14:paraId="0C8B2B47">
      <w:pPr>
        <w:pStyle w:val="4"/>
        <w:jc w:val="center"/>
        <w:rPr>
          <w:rFonts w:ascii="Times New Roman" w:hAnsi="Times New Roman" w:cs="Times New Roman"/>
          <w:color w:val="auto"/>
          <w:sz w:val="28"/>
        </w:rPr>
        <w:sectPr>
          <w:pgSz w:w="11906" w:h="16838"/>
          <w:pgMar w:top="1440" w:right="1800" w:bottom="1440" w:left="1800" w:header="851" w:footer="992" w:gutter="0"/>
          <w:cols w:space="425" w:num="1"/>
          <w:docGrid w:type="lines" w:linePitch="312" w:charSpace="0"/>
        </w:sectPr>
      </w:pPr>
    </w:p>
    <w:p w14:paraId="7571D0CF">
      <w:pPr>
        <w:pStyle w:val="4"/>
        <w:jc w:val="center"/>
        <w:rPr>
          <w:rFonts w:ascii="Times New Roman" w:hAnsi="Times New Roman" w:cs="Times New Roman"/>
          <w:color w:val="auto"/>
          <w:sz w:val="28"/>
        </w:rPr>
      </w:pPr>
      <w:bookmarkStart w:id="1692" w:name="_Toc187858720"/>
      <w:bookmarkStart w:id="1693" w:name="_Toc23486"/>
      <w:r>
        <w:rPr>
          <w:rFonts w:hint="eastAsia" w:ascii="Times New Roman" w:hAnsi="Times New Roman" w:cs="Times New Roman"/>
          <w:color w:val="auto"/>
          <w:sz w:val="28"/>
        </w:rPr>
        <w:t>6 模板设计与计算</w:t>
      </w:r>
      <w:bookmarkEnd w:id="1692"/>
      <w:bookmarkEnd w:id="1693"/>
    </w:p>
    <w:p w14:paraId="681AAF3E">
      <w:pPr>
        <w:pStyle w:val="144"/>
        <w:tabs>
          <w:tab w:val="clear" w:pos="1620"/>
        </w:tabs>
        <w:spacing w:before="312" w:after="312"/>
        <w:rPr>
          <w:color w:val="auto"/>
        </w:rPr>
      </w:pPr>
      <w:bookmarkStart w:id="1694" w:name="_Toc187858721"/>
      <w:bookmarkStart w:id="1695" w:name="_Toc9363"/>
      <w:r>
        <w:rPr>
          <w:rFonts w:hint="eastAsia"/>
          <w:color w:val="auto"/>
        </w:rPr>
        <w:t>6.1模板设计</w:t>
      </w:r>
      <w:bookmarkEnd w:id="1694"/>
      <w:bookmarkEnd w:id="1695"/>
    </w:p>
    <w:p w14:paraId="0B46832F">
      <w:pPr>
        <w:rPr>
          <w:color w:val="auto"/>
        </w:rPr>
      </w:pPr>
    </w:p>
    <w:p w14:paraId="0549962B">
      <w:pPr>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6.1.</w:t>
      </w:r>
      <w:r>
        <w:rPr>
          <w:rFonts w:ascii="Times New Roman" w:hAnsi="Times New Roman" w:eastAsia="宋体"/>
          <w:b/>
          <w:bCs/>
          <w:color w:val="auto"/>
          <w:sz w:val="24"/>
          <w:szCs w:val="24"/>
        </w:rPr>
        <w:t>1</w:t>
      </w:r>
      <w:r>
        <w:rPr>
          <w:rFonts w:hint="eastAsia" w:ascii="Times New Roman" w:hAnsi="Times New Roman" w:eastAsia="宋体"/>
          <w:color w:val="auto"/>
          <w:sz w:val="24"/>
          <w:szCs w:val="24"/>
        </w:rPr>
        <w:t>保温免拆模板系统及其支架的设计应符合下列规定，其安装示意图见图6.1.1。</w:t>
      </w:r>
    </w:p>
    <w:p w14:paraId="6090AC34">
      <w:pPr>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 xml:space="preserve">1  应具有足够的强度、刚度和稳定性，应能可靠地承受新浇混凝土的自重、侧压力、施工荷载及风荷载。 </w:t>
      </w:r>
    </w:p>
    <w:p w14:paraId="12B4BE89">
      <w:pPr>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 xml:space="preserve">2  构造应简单，装拆方便，便于钢筋绑扎、安装和混凝土浇筑。 </w:t>
      </w:r>
    </w:p>
    <w:p w14:paraId="765814B0">
      <w:pPr>
        <w:spacing w:line="360" w:lineRule="auto"/>
        <w:ind w:firstLine="480" w:firstLineChars="200"/>
        <w:jc w:val="left"/>
        <w:rPr>
          <w:rFonts w:ascii="Times New Roman" w:hAnsi="Times New Roman" w:eastAsia="宋体"/>
          <w:color w:val="auto"/>
          <w:sz w:val="24"/>
          <w:szCs w:val="24"/>
        </w:rPr>
      </w:pPr>
      <w:r>
        <w:rPr>
          <w:rFonts w:hint="eastAsia" w:ascii="Times New Roman" w:hAnsi="Times New Roman" w:eastAsia="宋体"/>
          <w:color w:val="auto"/>
          <w:sz w:val="24"/>
          <w:szCs w:val="24"/>
        </w:rPr>
        <w:t>3  当验算保温免拆模板及其支架的抗倾覆稳定性时，应符合相应设计规范的规定。</w:t>
      </w:r>
      <w:r>
        <w:rPr>
          <w:rFonts w:hint="eastAsia"/>
          <w:color w:val="auto"/>
        </w:rPr>
        <w:t xml:space="preserve">          </w:t>
      </w:r>
      <w:r>
        <w:rPr>
          <w:rFonts w:hint="eastAsia" w:ascii="Times New Roman" w:hAnsi="Times New Roman" w:eastAsia="宋体"/>
          <w:color w:val="auto"/>
          <w:sz w:val="24"/>
          <w:szCs w:val="24"/>
        </w:rPr>
        <w:drawing>
          <wp:inline distT="0" distB="0" distL="114300" distR="114300">
            <wp:extent cx="4779645" cy="4971415"/>
            <wp:effectExtent l="0" t="0" r="8255" b="6985"/>
            <wp:docPr id="9" name="图片 13" descr="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descr="插图"/>
                    <pic:cNvPicPr>
                      <a:picLocks noChangeAspect="1"/>
                    </pic:cNvPicPr>
                  </pic:nvPicPr>
                  <pic:blipFill>
                    <a:blip r:embed="rId22"/>
                    <a:stretch>
                      <a:fillRect/>
                    </a:stretch>
                  </pic:blipFill>
                  <pic:spPr>
                    <a:xfrm>
                      <a:off x="0" y="0"/>
                      <a:ext cx="4779645" cy="4971415"/>
                    </a:xfrm>
                    <a:prstGeom prst="rect">
                      <a:avLst/>
                    </a:prstGeom>
                    <a:noFill/>
                    <a:ln>
                      <a:noFill/>
                    </a:ln>
                  </pic:spPr>
                </pic:pic>
              </a:graphicData>
            </a:graphic>
          </wp:inline>
        </w:drawing>
      </w:r>
    </w:p>
    <w:p w14:paraId="1BE1A37D">
      <w:pPr>
        <w:spacing w:line="360" w:lineRule="auto"/>
        <w:ind w:firstLine="2520" w:firstLineChars="1200"/>
        <w:rPr>
          <w:rFonts w:ascii="Times New Roman" w:hAnsi="Times New Roman" w:eastAsia="宋体"/>
          <w:b/>
          <w:color w:val="auto"/>
          <w:sz w:val="24"/>
          <w:szCs w:val="24"/>
        </w:rPr>
      </w:pPr>
      <w:r>
        <w:rPr>
          <w:rFonts w:hint="eastAsia" w:ascii="Times New Roman" w:hAnsi="Times New Roman" w:eastAsia="黑体" w:cs="Times New Roman"/>
          <w:color w:val="auto"/>
          <w:szCs w:val="21"/>
        </w:rPr>
        <w:t>图6.1.1 保温免拆模板安装轴侧示意</w:t>
      </w:r>
    </w:p>
    <w:p w14:paraId="3E99EBAF">
      <w:pPr>
        <w:spacing w:line="360" w:lineRule="auto"/>
        <w:rPr>
          <w:rFonts w:ascii="Times New Roman" w:hAnsi="Times New Roman" w:eastAsia="宋体"/>
          <w:bCs/>
          <w:color w:val="auto"/>
          <w:sz w:val="24"/>
          <w:szCs w:val="24"/>
        </w:rPr>
      </w:pPr>
      <w:r>
        <w:rPr>
          <w:rFonts w:hint="eastAsia" w:ascii="Times New Roman" w:hAnsi="Times New Roman" w:eastAsia="宋体"/>
          <w:b/>
          <w:color w:val="auto"/>
          <w:sz w:val="24"/>
          <w:szCs w:val="24"/>
        </w:rPr>
        <w:t>6.1</w:t>
      </w:r>
      <w:r>
        <w:rPr>
          <w:rFonts w:ascii="Times New Roman" w:hAnsi="Times New Roman" w:eastAsia="宋体"/>
          <w:b/>
          <w:color w:val="auto"/>
          <w:sz w:val="24"/>
          <w:szCs w:val="24"/>
        </w:rPr>
        <w:t>.</w:t>
      </w:r>
      <w:r>
        <w:rPr>
          <w:rFonts w:hint="eastAsia" w:ascii="Times New Roman" w:hAnsi="Times New Roman" w:eastAsia="宋体"/>
          <w:b/>
          <w:color w:val="auto"/>
          <w:sz w:val="24"/>
          <w:szCs w:val="24"/>
        </w:rPr>
        <w:t>2</w:t>
      </w:r>
      <w:r>
        <w:rPr>
          <w:rFonts w:hint="eastAsia" w:ascii="Times New Roman" w:hAnsi="Times New Roman" w:eastAsia="宋体"/>
          <w:bCs/>
          <w:color w:val="auto"/>
          <w:sz w:val="24"/>
          <w:szCs w:val="24"/>
        </w:rPr>
        <w:t xml:space="preserve">保温免拆模板设计应包括下列内容： </w:t>
      </w:r>
    </w:p>
    <w:p w14:paraId="2123AE90">
      <w:pPr>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1  根据施工工艺及工况确定其所承受的荷载；</w:t>
      </w:r>
    </w:p>
    <w:p w14:paraId="3A96A998">
      <w:pPr>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2  绘制配板设计图、支撑设计布置图、细部构造和异形模板大样图；</w:t>
      </w:r>
    </w:p>
    <w:p w14:paraId="0CC90DC6">
      <w:pPr>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color w:val="auto"/>
          <w:sz w:val="24"/>
          <w:szCs w:val="24"/>
        </w:rPr>
        <w:t xml:space="preserve">3  </w:t>
      </w:r>
      <w:r>
        <w:rPr>
          <w:rFonts w:hint="eastAsia" w:ascii="Times New Roman" w:hAnsi="Times New Roman" w:eastAsia="宋体"/>
          <w:bCs/>
          <w:color w:val="auto"/>
          <w:sz w:val="24"/>
          <w:szCs w:val="24"/>
        </w:rPr>
        <w:t>按模板承受荷载的最不利组合对模板进行验算；</w:t>
      </w:r>
    </w:p>
    <w:p w14:paraId="0330C2CF">
      <w:pPr>
        <w:spacing w:line="360" w:lineRule="auto"/>
        <w:ind w:firstLine="480" w:firstLineChars="200"/>
        <w:rPr>
          <w:rFonts w:ascii="Times New Roman" w:hAnsi="Times New Roman" w:eastAsia="宋体"/>
          <w:bCs/>
          <w:color w:val="auto"/>
          <w:sz w:val="24"/>
          <w:szCs w:val="24"/>
        </w:rPr>
      </w:pPr>
      <w:r>
        <w:rPr>
          <w:rFonts w:ascii="Times New Roman" w:hAnsi="Times New Roman" w:eastAsia="宋体"/>
          <w:bCs/>
          <w:color w:val="auto"/>
          <w:sz w:val="24"/>
          <w:szCs w:val="24"/>
        </w:rPr>
        <w:t>4</w:t>
      </w:r>
      <w:r>
        <w:rPr>
          <w:rFonts w:hint="eastAsia" w:ascii="Times New Roman" w:hAnsi="Times New Roman" w:eastAsia="宋体"/>
          <w:bCs/>
          <w:color w:val="auto"/>
          <w:sz w:val="24"/>
          <w:szCs w:val="24"/>
        </w:rPr>
        <w:t xml:space="preserve">  制定模板安装及拆除的程序和方法；</w:t>
      </w:r>
    </w:p>
    <w:p w14:paraId="3F7FBBC7">
      <w:pPr>
        <w:spacing w:line="360" w:lineRule="auto"/>
        <w:ind w:firstLine="480" w:firstLineChars="200"/>
        <w:rPr>
          <w:rFonts w:ascii="Times New Roman" w:hAnsi="Times New Roman" w:eastAsia="宋体"/>
          <w:bCs/>
          <w:color w:val="auto"/>
          <w:sz w:val="24"/>
          <w:szCs w:val="24"/>
        </w:rPr>
      </w:pPr>
      <w:r>
        <w:rPr>
          <w:rFonts w:ascii="Times New Roman" w:hAnsi="Times New Roman" w:eastAsia="宋体"/>
          <w:bCs/>
          <w:color w:val="auto"/>
          <w:sz w:val="24"/>
          <w:szCs w:val="24"/>
        </w:rPr>
        <w:t>5</w:t>
      </w:r>
      <w:r>
        <w:rPr>
          <w:rFonts w:hint="eastAsia" w:ascii="Times New Roman" w:hAnsi="Times New Roman" w:eastAsia="宋体"/>
          <w:bCs/>
          <w:color w:val="auto"/>
          <w:sz w:val="24"/>
          <w:szCs w:val="24"/>
        </w:rPr>
        <w:t xml:space="preserve">  编制模板及配件的规格、数量汇总表和周转使用计划；</w:t>
      </w:r>
    </w:p>
    <w:p w14:paraId="71724F44">
      <w:pPr>
        <w:spacing w:line="360" w:lineRule="auto"/>
        <w:ind w:firstLine="480" w:firstLineChars="200"/>
        <w:rPr>
          <w:rFonts w:ascii="Times New Roman" w:hAnsi="Times New Roman" w:eastAsia="宋体"/>
          <w:bCs/>
          <w:color w:val="auto"/>
          <w:sz w:val="24"/>
          <w:szCs w:val="24"/>
        </w:rPr>
      </w:pPr>
      <w:r>
        <w:rPr>
          <w:rFonts w:ascii="Times New Roman" w:hAnsi="Times New Roman" w:eastAsia="宋体"/>
          <w:bCs/>
          <w:color w:val="auto"/>
          <w:sz w:val="24"/>
          <w:szCs w:val="24"/>
        </w:rPr>
        <w:t>6</w:t>
      </w:r>
      <w:r>
        <w:rPr>
          <w:rFonts w:hint="eastAsia" w:ascii="Times New Roman" w:hAnsi="Times New Roman" w:eastAsia="宋体"/>
          <w:bCs/>
          <w:color w:val="auto"/>
          <w:sz w:val="24"/>
          <w:szCs w:val="24"/>
        </w:rPr>
        <w:t xml:space="preserve">  编制模板施工安全、防火技术措施及设计、施工说明书。</w:t>
      </w:r>
    </w:p>
    <w:p w14:paraId="113134EA">
      <w:pPr>
        <w:adjustRightInd w:val="0"/>
        <w:snapToGrid w:val="0"/>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6.1.3</w:t>
      </w:r>
      <w:r>
        <w:rPr>
          <w:rFonts w:hint="eastAsia" w:ascii="Times New Roman" w:hAnsi="Times New Roman" w:eastAsia="宋体"/>
          <w:color w:val="auto"/>
          <w:sz w:val="24"/>
          <w:szCs w:val="24"/>
        </w:rPr>
        <w:t>保温免拆模板系统工程受力计算时，应考虑下列荷载效应的组合：</w:t>
      </w:r>
    </w:p>
    <w:p w14:paraId="12C78327">
      <w:pPr>
        <w:adjustRightInd w:val="0"/>
        <w:snapToGrid w:val="0"/>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1自重及其他竖向荷载效应；</w:t>
      </w:r>
    </w:p>
    <w:p w14:paraId="6D687E31">
      <w:pPr>
        <w:adjustRightInd w:val="0"/>
        <w:snapToGrid w:val="0"/>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2风荷载效应；</w:t>
      </w:r>
    </w:p>
    <w:p w14:paraId="6AEBDCB5">
      <w:pPr>
        <w:adjustRightInd w:val="0"/>
        <w:snapToGrid w:val="0"/>
        <w:spacing w:line="360" w:lineRule="auto"/>
        <w:ind w:firstLine="480" w:firstLineChars="200"/>
        <w:rPr>
          <w:rFonts w:ascii="Times New Roman" w:hAnsi="Times New Roman" w:eastAsia="宋体"/>
          <w:color w:val="auto"/>
          <w:sz w:val="24"/>
          <w:szCs w:val="24"/>
        </w:rPr>
      </w:pPr>
      <w:r>
        <w:rPr>
          <w:rFonts w:hint="eastAsia" w:ascii="Times New Roman" w:hAnsi="Times New Roman" w:eastAsia="宋体"/>
          <w:color w:val="auto"/>
          <w:sz w:val="24"/>
          <w:szCs w:val="24"/>
        </w:rPr>
        <w:t>3地震作用效应。</w:t>
      </w:r>
    </w:p>
    <w:p w14:paraId="08A30639">
      <w:pPr>
        <w:adjustRightInd w:val="0"/>
        <w:snapToGrid w:val="0"/>
        <w:spacing w:line="360" w:lineRule="auto"/>
        <w:rPr>
          <w:rFonts w:ascii="Times New Roman" w:hAnsi="Times New Roman" w:eastAsia="宋体"/>
          <w:color w:val="auto"/>
          <w:sz w:val="24"/>
        </w:rPr>
      </w:pPr>
      <w:r>
        <w:rPr>
          <w:rFonts w:hint="eastAsia" w:ascii="Times New Roman" w:hAnsi="Times New Roman" w:eastAsia="宋体"/>
          <w:b/>
          <w:bCs/>
          <w:color w:val="auto"/>
          <w:sz w:val="24"/>
        </w:rPr>
        <w:t>6.1.</w:t>
      </w:r>
      <w:r>
        <w:rPr>
          <w:rFonts w:ascii="Times New Roman" w:hAnsi="Times New Roman" w:eastAsia="宋体"/>
          <w:b/>
          <w:bCs/>
          <w:color w:val="auto"/>
          <w:sz w:val="24"/>
        </w:rPr>
        <w:t>4</w:t>
      </w:r>
      <w:r>
        <w:rPr>
          <w:rFonts w:hint="eastAsia" w:ascii="Times New Roman" w:hAnsi="Times New Roman" w:eastAsia="宋体"/>
          <w:color w:val="auto"/>
          <w:sz w:val="24"/>
        </w:rPr>
        <w:t>保温免拆模板的抗弯强度设计值依据本规程4.3.1条取值，或根据试验检测所得的可靠数据采用。当试验检测数据值大于本规程4.3.1条中数据的1.5倍时，按本规程4.3.1条中数据的1.5倍采用。</w:t>
      </w:r>
    </w:p>
    <w:p w14:paraId="296D3B6B">
      <w:pPr>
        <w:adjustRightInd w:val="0"/>
        <w:snapToGrid w:val="0"/>
        <w:spacing w:line="360" w:lineRule="auto"/>
        <w:rPr>
          <w:rFonts w:ascii="Times New Roman" w:hAnsi="Times New Roman" w:eastAsia="宋体"/>
          <w:color w:val="auto"/>
          <w:sz w:val="24"/>
          <w:szCs w:val="24"/>
          <w:highlight w:val="yellow"/>
        </w:rPr>
      </w:pPr>
      <w:r>
        <w:rPr>
          <w:rFonts w:hint="eastAsia" w:ascii="Times New Roman" w:hAnsi="Times New Roman" w:eastAsia="宋体"/>
          <w:b/>
          <w:bCs/>
          <w:color w:val="auto"/>
          <w:sz w:val="24"/>
          <w:szCs w:val="24"/>
        </w:rPr>
        <w:t>6.1.</w:t>
      </w:r>
      <w:r>
        <w:rPr>
          <w:rFonts w:ascii="Times New Roman" w:hAnsi="Times New Roman" w:eastAsia="宋体"/>
          <w:b/>
          <w:bCs/>
          <w:color w:val="auto"/>
          <w:sz w:val="24"/>
          <w:szCs w:val="24"/>
        </w:rPr>
        <w:t>5</w:t>
      </w:r>
      <w:r>
        <w:rPr>
          <w:rFonts w:hint="eastAsia" w:ascii="Times New Roman" w:hAnsi="Times New Roman" w:eastAsia="宋体"/>
          <w:color w:val="auto"/>
          <w:sz w:val="24"/>
          <w:szCs w:val="24"/>
        </w:rPr>
        <w:t xml:space="preserve"> </w:t>
      </w:r>
      <w:r>
        <w:rPr>
          <w:rFonts w:hint="eastAsia" w:ascii="宋体" w:hAnsi="宋体" w:eastAsia="宋体" w:cs="宋体"/>
          <w:iCs/>
          <w:color w:val="auto"/>
          <w:kern w:val="0"/>
          <w:sz w:val="24"/>
          <w:szCs w:val="24"/>
        </w:rPr>
        <w:t>保温免拆模板应采用连接锚固件与现浇混凝土墙、板可靠连接，连接锚固件的布置间距和数量应满足设计要求。保温免拆模板用于涂料、饰面砂浆、柔性饰面砖及幕墙时，使用高度60m及以下，连接件数量5～7个/m2；使用高度60m～100m，连接件数量 8～10个/m2。</w:t>
      </w:r>
      <w:r>
        <w:rPr>
          <w:rFonts w:hint="eastAsia" w:ascii="Times New Roman" w:hAnsi="Times New Roman" w:eastAsia="宋体"/>
          <w:color w:val="auto"/>
          <w:sz w:val="24"/>
          <w:szCs w:val="24"/>
        </w:rPr>
        <w:t>每块板上不少于2个，单个连接件进入基层混凝土墙体有效锚固深度不应小于</w:t>
      </w:r>
      <w:r>
        <w:rPr>
          <w:rFonts w:hint="eastAsia" w:ascii="Times New Roman" w:hAnsi="Times New Roman" w:eastAsia="宋体"/>
          <w:bCs/>
          <w:color w:val="auto"/>
          <w:sz w:val="24"/>
          <w:szCs w:val="24"/>
        </w:rPr>
        <w:t>50mm</w:t>
      </w:r>
      <w:r>
        <w:rPr>
          <w:rFonts w:hint="eastAsia" w:ascii="Times New Roman" w:hAnsi="Times New Roman" w:eastAsia="宋体"/>
          <w:color w:val="auto"/>
          <w:sz w:val="24"/>
          <w:szCs w:val="24"/>
        </w:rPr>
        <w:t>。连接件布置形状为梅花状（见图6.1.5）。</w:t>
      </w:r>
    </w:p>
    <w:p w14:paraId="4E437EDE">
      <w:pPr>
        <w:spacing w:line="360" w:lineRule="auto"/>
        <w:jc w:val="center"/>
        <w:rPr>
          <w:rFonts w:ascii="Times New Roman" w:hAnsi="Times New Roman" w:eastAsia="宋体" w:cs="Times New Roman"/>
          <w:color w:val="auto"/>
          <w:sz w:val="24"/>
        </w:rPr>
      </w:pPr>
      <w:r>
        <w:rPr>
          <w:rFonts w:hint="eastAsia" w:ascii="Times New Roman" w:hAnsi="Times New Roman" w:eastAsia="宋体" w:cs="Times New Roman"/>
          <w:color w:val="auto"/>
          <w:sz w:val="24"/>
        </w:rPr>
        <w:drawing>
          <wp:inline distT="0" distB="0" distL="114300" distR="114300">
            <wp:extent cx="3534410" cy="5770245"/>
            <wp:effectExtent l="0" t="0" r="8890" b="8255"/>
            <wp:docPr id="22" name="图片 14" descr="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descr="插图"/>
                    <pic:cNvPicPr>
                      <a:picLocks noChangeAspect="1"/>
                    </pic:cNvPicPr>
                  </pic:nvPicPr>
                  <pic:blipFill>
                    <a:blip r:embed="rId23"/>
                    <a:srcRect l="12222" t="9016" b="7455"/>
                    <a:stretch>
                      <a:fillRect/>
                    </a:stretch>
                  </pic:blipFill>
                  <pic:spPr>
                    <a:xfrm>
                      <a:off x="0" y="0"/>
                      <a:ext cx="3534410" cy="5770245"/>
                    </a:xfrm>
                    <a:prstGeom prst="rect">
                      <a:avLst/>
                    </a:prstGeom>
                    <a:noFill/>
                    <a:ln>
                      <a:noFill/>
                    </a:ln>
                  </pic:spPr>
                </pic:pic>
              </a:graphicData>
            </a:graphic>
          </wp:inline>
        </w:drawing>
      </w:r>
    </w:p>
    <w:p w14:paraId="44D5FB67">
      <w:pPr>
        <w:pStyle w:val="145"/>
        <w:rPr>
          <w:color w:val="auto"/>
        </w:rPr>
      </w:pPr>
      <w:r>
        <w:rPr>
          <w:rFonts w:hint="eastAsia"/>
          <w:color w:val="auto"/>
        </w:rPr>
        <w:t>图6.1.5 保温免拆模板连接件布置示意</w:t>
      </w:r>
    </w:p>
    <w:p w14:paraId="5BAA03E9">
      <w:pPr>
        <w:pStyle w:val="145"/>
        <w:rPr>
          <w:color w:val="auto"/>
        </w:rPr>
      </w:pPr>
    </w:p>
    <w:p w14:paraId="5DC12186">
      <w:pPr>
        <w:spacing w:line="360" w:lineRule="auto"/>
        <w:rPr>
          <w:rFonts w:ascii="Times New Roman" w:hAnsi="Times New Roman" w:eastAsia="宋体"/>
          <w:color w:val="auto"/>
          <w:sz w:val="24"/>
        </w:rPr>
      </w:pPr>
      <w:r>
        <w:rPr>
          <w:rFonts w:hint="eastAsia" w:ascii="Times New Roman" w:hAnsi="Times New Roman" w:eastAsia="宋体"/>
          <w:b/>
          <w:bCs/>
          <w:color w:val="auto"/>
          <w:sz w:val="24"/>
        </w:rPr>
        <w:t>6.1.</w:t>
      </w:r>
      <w:r>
        <w:rPr>
          <w:rFonts w:ascii="Times New Roman" w:hAnsi="Times New Roman" w:eastAsia="宋体"/>
          <w:b/>
          <w:bCs/>
          <w:color w:val="auto"/>
          <w:sz w:val="24"/>
        </w:rPr>
        <w:t>6</w:t>
      </w:r>
      <w:r>
        <w:rPr>
          <w:rFonts w:hint="eastAsia" w:ascii="Times New Roman" w:hAnsi="Times New Roman" w:eastAsia="宋体"/>
          <w:bCs/>
          <w:color w:val="auto"/>
          <w:sz w:val="24"/>
        </w:rPr>
        <w:t>保温免拆模板</w:t>
      </w:r>
      <w:r>
        <w:rPr>
          <w:rFonts w:hint="eastAsia" w:ascii="Times New Roman" w:eastAsia="宋体" w:cs="Times New Roman"/>
          <w:color w:val="auto"/>
          <w:sz w:val="24"/>
        </w:rPr>
        <w:t>系统的</w:t>
      </w:r>
      <w:r>
        <w:rPr>
          <w:rFonts w:hint="eastAsia" w:ascii="Times New Roman" w:hAnsi="Times New Roman" w:eastAsia="宋体"/>
          <w:color w:val="auto"/>
          <w:sz w:val="24"/>
        </w:rPr>
        <w:t>次楞间距不得大于200mm，</w:t>
      </w:r>
      <w:r>
        <w:rPr>
          <w:rFonts w:ascii="Times New Roman" w:hAnsi="Times New Roman" w:eastAsia="宋体"/>
          <w:color w:val="auto"/>
          <w:sz w:val="24"/>
        </w:rPr>
        <w:t>主楞的间距不宜大于</w:t>
      </w:r>
      <w:r>
        <w:rPr>
          <w:rFonts w:hint="eastAsia" w:ascii="Times New Roman" w:hAnsi="Times New Roman" w:eastAsia="宋体"/>
          <w:color w:val="auto"/>
          <w:sz w:val="24"/>
        </w:rPr>
        <w:t>500mm。</w:t>
      </w:r>
    </w:p>
    <w:p w14:paraId="1B0F71CF">
      <w:pPr>
        <w:adjustRightInd w:val="0"/>
        <w:snapToGrid w:val="0"/>
        <w:spacing w:line="360" w:lineRule="auto"/>
        <w:rPr>
          <w:rFonts w:ascii="Times New Roman" w:hAnsi="Times New Roman" w:eastAsia="宋体"/>
          <w:color w:val="auto"/>
          <w:sz w:val="24"/>
          <w:szCs w:val="24"/>
        </w:rPr>
      </w:pPr>
      <w:r>
        <w:rPr>
          <w:rFonts w:hint="eastAsia" w:ascii="Times New Roman" w:hAnsi="Times New Roman" w:eastAsia="宋体"/>
          <w:b/>
          <w:bCs/>
          <w:color w:val="auto"/>
          <w:sz w:val="24"/>
          <w:szCs w:val="24"/>
        </w:rPr>
        <w:t>6.1.</w:t>
      </w:r>
      <w:r>
        <w:rPr>
          <w:rFonts w:ascii="Times New Roman" w:hAnsi="Times New Roman" w:eastAsia="宋体"/>
          <w:b/>
          <w:bCs/>
          <w:color w:val="auto"/>
          <w:sz w:val="24"/>
          <w:szCs w:val="24"/>
        </w:rPr>
        <w:t>7</w:t>
      </w:r>
      <w:r>
        <w:rPr>
          <w:rFonts w:hint="eastAsia" w:ascii="Times New Roman" w:hAnsi="Times New Roman" w:eastAsia="宋体"/>
          <w:color w:val="auto"/>
          <w:sz w:val="24"/>
          <w:szCs w:val="24"/>
        </w:rPr>
        <w:t>保温免拆模板系统的对拉螺栓设计应符合下列要求：</w:t>
      </w:r>
    </w:p>
    <w:p w14:paraId="352E28A0">
      <w:pPr>
        <w:adjustRightInd w:val="0"/>
        <w:snapToGrid w:val="0"/>
        <w:spacing w:line="360" w:lineRule="auto"/>
        <w:ind w:firstLine="480" w:firstLineChars="200"/>
        <w:rPr>
          <w:rFonts w:ascii="Times New Roman" w:hAnsi="Times New Roman" w:eastAsia="宋体"/>
          <w:color w:val="auto"/>
          <w:sz w:val="24"/>
          <w:szCs w:val="24"/>
        </w:rPr>
      </w:pPr>
      <w:r>
        <w:rPr>
          <w:rFonts w:ascii="Times New Roman" w:hAnsi="Times New Roman" w:eastAsia="宋体"/>
          <w:color w:val="auto"/>
          <w:sz w:val="24"/>
          <w:szCs w:val="24"/>
        </w:rPr>
        <w:t xml:space="preserve">1 </w:t>
      </w:r>
      <w:r>
        <w:rPr>
          <w:rFonts w:hint="eastAsia" w:ascii="Times New Roman" w:hAnsi="Times New Roman" w:eastAsia="宋体"/>
          <w:color w:val="auto"/>
          <w:sz w:val="24"/>
          <w:szCs w:val="24"/>
        </w:rPr>
        <w:t>应根据每层墙、柱、梁高度按常规模板设计施工方法，综合考虑内外侧模板力学性能确定对拉螺栓间距；在保证模板承载力和模板系统整体稳定性的情况下尽量少设置对拉螺栓。</w:t>
      </w:r>
    </w:p>
    <w:p w14:paraId="7AC2110D">
      <w:pPr>
        <w:adjustRightInd w:val="0"/>
        <w:snapToGrid w:val="0"/>
        <w:spacing w:line="360" w:lineRule="auto"/>
        <w:ind w:firstLine="480" w:firstLineChars="200"/>
        <w:rPr>
          <w:rFonts w:ascii="Times New Roman" w:hAnsi="Times New Roman" w:eastAsia="宋体"/>
          <w:color w:val="auto"/>
          <w:sz w:val="24"/>
          <w:szCs w:val="24"/>
        </w:rPr>
      </w:pPr>
      <w:r>
        <w:rPr>
          <w:rFonts w:ascii="Times New Roman" w:hAnsi="Times New Roman" w:eastAsia="宋体"/>
          <w:color w:val="auto"/>
          <w:sz w:val="24"/>
          <w:szCs w:val="24"/>
        </w:rPr>
        <w:t>2</w:t>
      </w:r>
      <w:r>
        <w:rPr>
          <w:rFonts w:hint="eastAsia" w:ascii="Times New Roman" w:hAnsi="Times New Roman" w:eastAsia="宋体"/>
          <w:color w:val="auto"/>
          <w:sz w:val="24"/>
          <w:szCs w:val="24"/>
        </w:rPr>
        <w:t>模板施工时应严格按设计指定位置开对拉螺栓孔，需对螺栓孔做好防水密封措施。</w:t>
      </w:r>
    </w:p>
    <w:p w14:paraId="51378F1A">
      <w:pPr>
        <w:pStyle w:val="144"/>
        <w:tabs>
          <w:tab w:val="clear" w:pos="1620"/>
        </w:tabs>
        <w:spacing w:before="312" w:after="312"/>
        <w:rPr>
          <w:color w:val="auto"/>
        </w:rPr>
      </w:pPr>
      <w:bookmarkStart w:id="1696" w:name="_Toc3382"/>
      <w:bookmarkStart w:id="1697" w:name="_Toc187858722"/>
      <w:r>
        <w:rPr>
          <w:rFonts w:hint="eastAsia"/>
          <w:color w:val="auto"/>
        </w:rPr>
        <w:t>6.2 模板计算</w:t>
      </w:r>
      <w:bookmarkEnd w:id="1696"/>
      <w:bookmarkEnd w:id="1697"/>
    </w:p>
    <w:p w14:paraId="262A1273">
      <w:pPr>
        <w:spacing w:line="360" w:lineRule="auto"/>
        <w:rPr>
          <w:rFonts w:ascii="Times New Roman" w:hAnsi="Times New Roman" w:eastAsia="宋体"/>
          <w:bCs/>
          <w:color w:val="auto"/>
          <w:sz w:val="24"/>
          <w:szCs w:val="24"/>
        </w:rPr>
      </w:pPr>
      <w:r>
        <w:rPr>
          <w:rFonts w:hint="eastAsia" w:ascii="Times New Roman" w:hAnsi="Times New Roman" w:eastAsia="宋体"/>
          <w:b/>
          <w:color w:val="auto"/>
          <w:sz w:val="24"/>
          <w:szCs w:val="24"/>
        </w:rPr>
        <w:t>6.2.1</w:t>
      </w:r>
      <w:r>
        <w:rPr>
          <w:rFonts w:hint="eastAsia" w:ascii="Times New Roman" w:hAnsi="Times New Roman" w:eastAsia="宋体"/>
          <w:bCs/>
          <w:color w:val="auto"/>
          <w:sz w:val="24"/>
          <w:szCs w:val="24"/>
        </w:rPr>
        <w:t>保温免拆模板支设示意图（墙板、顶板）如下：</w:t>
      </w:r>
    </w:p>
    <w:p w14:paraId="5A64CC8B">
      <w:pPr>
        <w:spacing w:line="360" w:lineRule="auto"/>
        <w:jc w:val="center"/>
        <w:rPr>
          <w:rFonts w:ascii="Times New Roman" w:hAnsi="Times New Roman" w:eastAsia="宋体"/>
          <w:bCs/>
          <w:color w:val="auto"/>
          <w:sz w:val="24"/>
          <w:szCs w:val="24"/>
        </w:rPr>
      </w:pPr>
      <w:r>
        <w:rPr>
          <w:rFonts w:hint="eastAsia"/>
          <w:color w:val="auto"/>
        </w:rPr>
        <w:object>
          <v:shape id="_x0000_i1025" o:spt="75" type="#_x0000_t75" style="height:422.85pt;width:415.7pt;" o:ole="t" filled="f" coordsize="21600,21600">
            <v:path/>
            <v:fill on="f" focussize="0,0"/>
            <v:stroke/>
            <v:imagedata r:id="rId25" o:title=""/>
            <o:lock v:ext="edit" aspectratio="t"/>
            <w10:wrap type="none"/>
            <w10:anchorlock/>
          </v:shape>
          <o:OLEObject Type="Embed" ProgID="Visio.Drawing.11" ShapeID="_x0000_i1025" DrawAspect="Content" ObjectID="_1468075725" r:id="rId24">
            <o:LockedField>false</o:LockedField>
          </o:OLEObject>
        </w:object>
      </w:r>
    </w:p>
    <w:p w14:paraId="65468747">
      <w:pPr>
        <w:spacing w:line="360" w:lineRule="auto"/>
        <w:rPr>
          <w:rFonts w:ascii="Times New Roman" w:hAnsi="Times New Roman" w:eastAsia="宋体"/>
          <w:bCs/>
          <w:color w:val="auto"/>
          <w:sz w:val="24"/>
          <w:szCs w:val="24"/>
        </w:rPr>
      </w:pPr>
      <w:r>
        <w:rPr>
          <w:rFonts w:hint="eastAsia" w:ascii="Times New Roman" w:hAnsi="Times New Roman" w:eastAsia="宋体"/>
          <w:bCs/>
          <w:color w:val="auto"/>
          <w:sz w:val="24"/>
          <w:szCs w:val="24"/>
        </w:rPr>
        <w:t>注：①主楞；②次楞；③对拉螺栓；④连接锚固件；⑤保温免拆模板；⑥钢筋。</w:t>
      </w:r>
    </w:p>
    <w:p w14:paraId="7A396D06">
      <w:pPr>
        <w:spacing w:line="360" w:lineRule="auto"/>
        <w:jc w:val="center"/>
        <w:rPr>
          <w:rFonts w:ascii="Times New Roman" w:hAnsi="Times New Roman" w:eastAsia="宋体"/>
          <w:bCs/>
          <w:color w:val="auto"/>
          <w:sz w:val="24"/>
          <w:szCs w:val="24"/>
        </w:rPr>
      </w:pPr>
      <w:r>
        <w:rPr>
          <w:rFonts w:hint="eastAsia" w:ascii="Times New Roman" w:hAnsi="Times New Roman" w:eastAsia="宋体"/>
          <w:bCs/>
          <w:color w:val="auto"/>
          <w:sz w:val="24"/>
          <w:szCs w:val="24"/>
        </w:rPr>
        <w:t>图6.2.1-1墙板保温免拆模板支设示意</w:t>
      </w:r>
    </w:p>
    <w:p w14:paraId="56814472">
      <w:pPr>
        <w:spacing w:line="360" w:lineRule="auto"/>
        <w:rPr>
          <w:rFonts w:ascii="Times New Roman" w:hAnsi="Times New Roman" w:eastAsia="宋体"/>
          <w:bCs/>
          <w:color w:val="auto"/>
          <w:sz w:val="24"/>
          <w:szCs w:val="24"/>
        </w:rPr>
      </w:pPr>
    </w:p>
    <w:p w14:paraId="586C65E8">
      <w:pPr>
        <w:spacing w:line="360" w:lineRule="auto"/>
        <w:jc w:val="center"/>
        <w:rPr>
          <w:rFonts w:ascii="Times New Roman" w:hAnsi="Times New Roman" w:eastAsia="宋体"/>
          <w:bCs/>
          <w:color w:val="auto"/>
          <w:sz w:val="24"/>
          <w:szCs w:val="24"/>
        </w:rPr>
      </w:pPr>
      <w:r>
        <w:rPr>
          <w:rFonts w:hint="eastAsia" w:ascii="Times New Roman" w:hAnsi="Times New Roman" w:eastAsia="宋体"/>
          <w:bCs/>
          <w:color w:val="auto"/>
          <w:sz w:val="24"/>
          <w:szCs w:val="24"/>
        </w:rPr>
        <w:drawing>
          <wp:inline distT="0" distB="0" distL="114300" distR="114300">
            <wp:extent cx="5144770" cy="4103370"/>
            <wp:effectExtent l="0" t="0" r="8255" b="1905"/>
            <wp:docPr id="19" name="图片 19" descr="支撑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支撑图"/>
                    <pic:cNvPicPr>
                      <a:picLocks noChangeAspect="1"/>
                    </pic:cNvPicPr>
                  </pic:nvPicPr>
                  <pic:blipFill>
                    <a:blip r:embed="rId26"/>
                    <a:stretch>
                      <a:fillRect/>
                    </a:stretch>
                  </pic:blipFill>
                  <pic:spPr>
                    <a:xfrm>
                      <a:off x="0" y="0"/>
                      <a:ext cx="5144770" cy="4103370"/>
                    </a:xfrm>
                    <a:prstGeom prst="rect">
                      <a:avLst/>
                    </a:prstGeom>
                  </pic:spPr>
                </pic:pic>
              </a:graphicData>
            </a:graphic>
          </wp:inline>
        </w:drawing>
      </w:r>
    </w:p>
    <w:p w14:paraId="33677F11">
      <w:pPr>
        <w:spacing w:line="360" w:lineRule="auto"/>
        <w:jc w:val="center"/>
        <w:rPr>
          <w:rFonts w:ascii="Times New Roman" w:hAnsi="Times New Roman" w:eastAsia="宋体"/>
          <w:bCs/>
          <w:color w:val="auto"/>
          <w:sz w:val="24"/>
          <w:szCs w:val="24"/>
        </w:rPr>
      </w:pPr>
      <w:r>
        <w:rPr>
          <w:rFonts w:hint="eastAsia" w:ascii="Times New Roman" w:hAnsi="Times New Roman" w:eastAsia="宋体"/>
          <w:bCs/>
          <w:color w:val="auto"/>
          <w:sz w:val="24"/>
          <w:szCs w:val="24"/>
        </w:rPr>
        <w:t>顶板支撑示意图</w:t>
      </w:r>
    </w:p>
    <w:p w14:paraId="1686E869">
      <w:pPr>
        <w:spacing w:line="360" w:lineRule="auto"/>
        <w:rPr>
          <w:rFonts w:ascii="Times New Roman" w:hAnsi="Times New Roman" w:eastAsia="宋体"/>
          <w:bCs/>
          <w:color w:val="auto"/>
          <w:sz w:val="24"/>
          <w:szCs w:val="24"/>
        </w:rPr>
      </w:pPr>
      <w:r>
        <w:rPr>
          <w:rFonts w:hint="eastAsia" w:ascii="Times New Roman" w:hAnsi="Times New Roman" w:eastAsia="宋体"/>
          <w:bCs/>
          <w:color w:val="auto"/>
          <w:sz w:val="24"/>
          <w:szCs w:val="24"/>
        </w:rPr>
        <w:t>注：①垫板；②扫地杆；③立杆；④横杆；⑤斜杆；⑥顶托；⑦次楞；⑧主楞；⑨连接锚固件；⑩保温免拆模板；</w:t>
      </w:r>
      <w:r>
        <w:rPr>
          <w:rFonts w:hint="eastAsia" w:ascii="Times New Roman" w:hAnsi="Times New Roman" w:eastAsia="宋体"/>
          <w:bCs/>
          <w:color w:val="auto"/>
          <w:sz w:val="24"/>
          <w:szCs w:val="24"/>
        </w:rPr>
        <w:fldChar w:fldCharType="begin"/>
      </w:r>
      <w:r>
        <w:rPr>
          <w:rFonts w:hint="eastAsia" w:ascii="Times New Roman" w:hAnsi="Times New Roman" w:eastAsia="宋体"/>
          <w:bCs/>
          <w:color w:val="auto"/>
          <w:sz w:val="24"/>
          <w:szCs w:val="24"/>
        </w:rPr>
        <w:instrText xml:space="preserve"> EQ \o\ac(○,</w:instrText>
      </w:r>
      <w:r>
        <w:rPr>
          <w:rFonts w:hint="eastAsia" w:ascii="Times New Roman" w:hAnsi="Times New Roman" w:eastAsia="宋体"/>
          <w:bCs/>
          <w:color w:val="auto"/>
          <w:position w:val="3"/>
          <w:sz w:val="16"/>
          <w:szCs w:val="24"/>
        </w:rPr>
        <w:instrText xml:space="preserve">11</w:instrText>
      </w:r>
      <w:r>
        <w:rPr>
          <w:rFonts w:hint="eastAsia" w:ascii="Times New Roman" w:hAnsi="Times New Roman" w:eastAsia="宋体"/>
          <w:bCs/>
          <w:color w:val="auto"/>
          <w:sz w:val="24"/>
          <w:szCs w:val="24"/>
        </w:rPr>
        <w:instrText xml:space="preserve">)</w:instrText>
      </w:r>
      <w:r>
        <w:rPr>
          <w:rFonts w:hint="eastAsia" w:ascii="Times New Roman" w:hAnsi="Times New Roman" w:eastAsia="宋体"/>
          <w:bCs/>
          <w:color w:val="auto"/>
          <w:sz w:val="24"/>
          <w:szCs w:val="24"/>
        </w:rPr>
        <w:fldChar w:fldCharType="end"/>
      </w:r>
      <w:r>
        <w:rPr>
          <w:rFonts w:hint="eastAsia" w:ascii="Times New Roman" w:hAnsi="Times New Roman" w:eastAsia="宋体"/>
          <w:bCs/>
          <w:color w:val="auto"/>
          <w:sz w:val="24"/>
          <w:szCs w:val="24"/>
        </w:rPr>
        <w:t>结构楼板</w:t>
      </w:r>
    </w:p>
    <w:p w14:paraId="4834EA58">
      <w:pPr>
        <w:spacing w:line="360" w:lineRule="auto"/>
        <w:jc w:val="center"/>
        <w:rPr>
          <w:rFonts w:ascii="Times New Roman" w:hAnsi="Times New Roman" w:eastAsia="宋体"/>
          <w:bCs/>
          <w:color w:val="auto"/>
          <w:sz w:val="24"/>
          <w:szCs w:val="24"/>
        </w:rPr>
      </w:pPr>
      <w:r>
        <w:rPr>
          <w:rFonts w:hint="eastAsia" w:ascii="Times New Roman" w:hAnsi="Times New Roman" w:eastAsia="宋体"/>
          <w:bCs/>
          <w:color w:val="auto"/>
          <w:sz w:val="24"/>
          <w:szCs w:val="24"/>
        </w:rPr>
        <w:t>图6.2.1-2顶板保温免拆模板支设示意</w:t>
      </w:r>
    </w:p>
    <w:p w14:paraId="03E69900">
      <w:pPr>
        <w:spacing w:line="360" w:lineRule="auto"/>
        <w:rPr>
          <w:rFonts w:ascii="Times New Roman" w:hAnsi="Times New Roman" w:eastAsia="宋体"/>
          <w:bCs/>
          <w:color w:val="auto"/>
          <w:sz w:val="24"/>
          <w:szCs w:val="24"/>
        </w:rPr>
      </w:pPr>
      <w:r>
        <w:rPr>
          <w:rFonts w:hint="eastAsia" w:ascii="Times New Roman" w:hAnsi="Times New Roman" w:eastAsia="宋体"/>
          <w:b/>
          <w:color w:val="auto"/>
          <w:sz w:val="24"/>
          <w:szCs w:val="24"/>
        </w:rPr>
        <w:t>6.2</w:t>
      </w:r>
      <w:r>
        <w:rPr>
          <w:rFonts w:ascii="Times New Roman" w:hAnsi="Times New Roman" w:eastAsia="宋体"/>
          <w:b/>
          <w:color w:val="auto"/>
          <w:sz w:val="24"/>
          <w:szCs w:val="24"/>
        </w:rPr>
        <w:t>.</w:t>
      </w:r>
      <w:r>
        <w:rPr>
          <w:rFonts w:hint="eastAsia" w:ascii="Times New Roman" w:hAnsi="Times New Roman" w:eastAsia="宋体"/>
          <w:b/>
          <w:color w:val="auto"/>
          <w:sz w:val="24"/>
          <w:szCs w:val="24"/>
        </w:rPr>
        <w:t>2</w:t>
      </w:r>
      <w:r>
        <w:rPr>
          <w:rFonts w:hint="eastAsia" w:ascii="Times New Roman" w:hAnsi="Times New Roman" w:eastAsia="宋体"/>
          <w:bCs/>
          <w:color w:val="auto"/>
          <w:sz w:val="24"/>
          <w:szCs w:val="24"/>
        </w:rPr>
        <w:t>保温免拆模板可按简支跨计算，应验算跨中和悬臂端的最不利抗弯强度和挠度，并应符合下列规定：</w:t>
      </w:r>
    </w:p>
    <w:p w14:paraId="79559659">
      <w:pPr>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1 模板上的侧压力设计值计算</w:t>
      </w:r>
    </w:p>
    <w:p w14:paraId="6E9E5E68">
      <w:pPr>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 xml:space="preserve">新浇混凝土作用于模板上的侧压力、振捣混凝土对垂直模板产生的水平荷载或倾倒混凝土时作用于模板上的侧压力设计值，可按下列公式计算，并取其中的较小值： </w:t>
      </w:r>
    </w:p>
    <w:tbl>
      <w:tblPr>
        <w:tblStyle w:val="89"/>
        <w:tblW w:w="829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148"/>
        <w:gridCol w:w="4148"/>
      </w:tblGrid>
      <w:tr w14:paraId="65C2F0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148" w:type="dxa"/>
            <w:vAlign w:val="center"/>
          </w:tcPr>
          <w:p w14:paraId="523ADEF4">
            <w:pPr>
              <w:jc w:val="center"/>
              <w:rPr>
                <w:rFonts w:ascii="Times New Roman" w:hAnsi="Times New Roman" w:eastAsia="宋体" w:cs="Times New Roman"/>
                <w:bCs/>
                <w:color w:val="auto"/>
                <w:kern w:val="0"/>
                <w:sz w:val="24"/>
                <w:szCs w:val="24"/>
              </w:rPr>
            </w:pPr>
            <w:r>
              <w:rPr>
                <w:color w:val="auto"/>
                <w:position w:val="-12"/>
              </w:rPr>
              <w:object>
                <v:shape id="_x0000_i1026" o:spt="75" type="#_x0000_t75" style="height:30pt;width:111pt;" o:ole="t" filled="f" coordsize="21600,21600">
                  <v:path/>
                  <v:fill on="f" focussize="0,0"/>
                  <v:stroke/>
                  <v:imagedata r:id="rId28" o:title=""/>
                  <o:lock v:ext="edit" aspectratio="t"/>
                  <w10:wrap type="none"/>
                  <w10:anchorlock/>
                </v:shape>
                <o:OLEObject Type="Embed" ProgID="Equation.DSMT4" ShapeID="_x0000_i1026" DrawAspect="Content" ObjectID="_1468075726" r:id="rId27">
                  <o:LockedField>false</o:LockedField>
                </o:OLEObject>
              </w:object>
            </w:r>
          </w:p>
        </w:tc>
        <w:tc>
          <w:tcPr>
            <w:tcW w:w="4148" w:type="dxa"/>
            <w:vAlign w:val="center"/>
          </w:tcPr>
          <w:p w14:paraId="78BB258B">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r>
              <w:rPr>
                <w:rFonts w:ascii="Times New Roman" w:hAnsi="Times New Roman" w:eastAsia="宋体" w:cs="Times New Roman"/>
                <w:bCs/>
                <w:color w:val="auto"/>
                <w:kern w:val="0"/>
                <w:sz w:val="24"/>
                <w:szCs w:val="24"/>
              </w:rPr>
              <w:t>6</w:t>
            </w:r>
            <w:r>
              <w:rPr>
                <w:rFonts w:hint="eastAsia" w:ascii="Times New Roman" w:hAnsi="Times New Roman" w:eastAsia="宋体" w:cs="Times New Roman"/>
                <w:bCs/>
                <w:color w:val="auto"/>
                <w:kern w:val="0"/>
                <w:sz w:val="24"/>
                <w:szCs w:val="24"/>
              </w:rPr>
              <w:t>.</w:t>
            </w:r>
            <w:r>
              <w:rPr>
                <w:rFonts w:ascii="Times New Roman" w:hAnsi="Times New Roman" w:eastAsia="宋体" w:cs="Times New Roman"/>
                <w:bCs/>
                <w:color w:val="auto"/>
                <w:kern w:val="0"/>
                <w:sz w:val="24"/>
                <w:szCs w:val="24"/>
              </w:rPr>
              <w:t>2</w:t>
            </w:r>
            <w:r>
              <w:rPr>
                <w:rFonts w:hint="eastAsia" w:ascii="Times New Roman" w:hAnsi="Times New Roman" w:eastAsia="宋体" w:cs="Times New Roman"/>
                <w:bCs/>
                <w:color w:val="auto"/>
                <w:kern w:val="0"/>
                <w:sz w:val="24"/>
                <w:szCs w:val="24"/>
              </w:rPr>
              <w:t>.2-1）</w:t>
            </w:r>
          </w:p>
        </w:tc>
      </w:tr>
      <w:tr w14:paraId="3FB94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148" w:type="dxa"/>
            <w:vAlign w:val="center"/>
          </w:tcPr>
          <w:p w14:paraId="564138BD">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color w:val="auto"/>
                <w:kern w:val="0"/>
                <w:sz w:val="20"/>
                <w:szCs w:val="20"/>
              </w:rPr>
              <w:t>或</w:t>
            </w:r>
            <w:r>
              <w:rPr>
                <w:color w:val="auto"/>
                <w:position w:val="-12"/>
              </w:rPr>
              <w:object>
                <v:shape id="_x0000_i1027" o:spt="75" type="#_x0000_t75" style="height:19.2pt;width:51pt;" o:ole="t" filled="f" coordsize="21600,21600">
                  <v:path/>
                  <v:fill on="f" focussize="0,0"/>
                  <v:stroke/>
                  <v:imagedata r:id="rId30" o:title=""/>
                  <o:lock v:ext="edit" aspectratio="t"/>
                  <w10:wrap type="none"/>
                  <w10:anchorlock/>
                </v:shape>
                <o:OLEObject Type="Embed" ProgID="Equation.DSMT4" ShapeID="_x0000_i1027" DrawAspect="Content" ObjectID="_1468075727" r:id="rId29">
                  <o:LockedField>false</o:LockedField>
                </o:OLEObject>
              </w:object>
            </w:r>
          </w:p>
        </w:tc>
        <w:tc>
          <w:tcPr>
            <w:tcW w:w="4148" w:type="dxa"/>
            <w:vAlign w:val="center"/>
          </w:tcPr>
          <w:p w14:paraId="112979EC">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r>
              <w:rPr>
                <w:rFonts w:ascii="Times New Roman" w:hAnsi="Times New Roman" w:eastAsia="宋体" w:cs="Times New Roman"/>
                <w:bCs/>
                <w:color w:val="auto"/>
                <w:kern w:val="0"/>
                <w:sz w:val="24"/>
                <w:szCs w:val="24"/>
              </w:rPr>
              <w:t>6</w:t>
            </w:r>
            <w:r>
              <w:rPr>
                <w:rFonts w:hint="eastAsia" w:ascii="Times New Roman" w:hAnsi="Times New Roman" w:eastAsia="宋体" w:cs="Times New Roman"/>
                <w:bCs/>
                <w:color w:val="auto"/>
                <w:kern w:val="0"/>
                <w:sz w:val="24"/>
                <w:szCs w:val="24"/>
              </w:rPr>
              <w:t>.</w:t>
            </w:r>
            <w:r>
              <w:rPr>
                <w:rFonts w:ascii="Times New Roman" w:hAnsi="Times New Roman" w:eastAsia="宋体" w:cs="Times New Roman"/>
                <w:bCs/>
                <w:color w:val="auto"/>
                <w:kern w:val="0"/>
                <w:sz w:val="24"/>
                <w:szCs w:val="24"/>
              </w:rPr>
              <w:t>2</w:t>
            </w:r>
            <w:r>
              <w:rPr>
                <w:rFonts w:hint="eastAsia" w:ascii="Times New Roman" w:hAnsi="Times New Roman" w:eastAsia="宋体" w:cs="Times New Roman"/>
                <w:bCs/>
                <w:color w:val="auto"/>
                <w:kern w:val="0"/>
                <w:sz w:val="24"/>
                <w:szCs w:val="24"/>
              </w:rPr>
              <w:t>.2-2）</w:t>
            </w:r>
          </w:p>
        </w:tc>
      </w:tr>
    </w:tbl>
    <w:p w14:paraId="3180B02F">
      <w:pPr>
        <w:jc w:val="center"/>
        <w:rPr>
          <w:rFonts w:ascii="Times New Roman" w:hAnsi="Times New Roman" w:eastAsia="宋体"/>
          <w:bCs/>
          <w:color w:val="auto"/>
          <w:sz w:val="24"/>
          <w:szCs w:val="24"/>
        </w:rPr>
      </w:pPr>
    </w:p>
    <w:tbl>
      <w:tblPr>
        <w:tblStyle w:val="89"/>
        <w:tblW w:w="829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46"/>
        <w:gridCol w:w="1134"/>
        <w:gridCol w:w="745"/>
        <w:gridCol w:w="5571"/>
      </w:tblGrid>
      <w:tr w14:paraId="713C84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6" w:type="dxa"/>
            <w:vAlign w:val="center"/>
          </w:tcPr>
          <w:p w14:paraId="23C8FE0E">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式中</w:t>
            </w:r>
          </w:p>
        </w:tc>
        <w:tc>
          <w:tcPr>
            <w:tcW w:w="1134" w:type="dxa"/>
            <w:vAlign w:val="center"/>
          </w:tcPr>
          <w:p w14:paraId="457E2A7F">
            <w:pPr>
              <w:jc w:val="center"/>
              <w:rPr>
                <w:rFonts w:ascii="Times New Roman" w:hAnsi="Times New Roman" w:eastAsia="宋体" w:cs="Times New Roman"/>
                <w:bCs/>
                <w:color w:val="auto"/>
                <w:kern w:val="0"/>
                <w:sz w:val="24"/>
                <w:szCs w:val="24"/>
              </w:rPr>
            </w:pPr>
            <w:r>
              <w:rPr>
                <w:color w:val="auto"/>
                <w:position w:val="-4"/>
              </w:rPr>
              <w:object>
                <v:shape id="_x0000_i1028" o:spt="75" type="#_x0000_t75" style="height:14.4pt;width:14.4pt;" o:ole="t" filled="f" coordsize="21600,21600">
                  <v:path/>
                  <v:fill on="f" focussize="0,0"/>
                  <v:stroke/>
                  <v:imagedata r:id="rId32" o:title=""/>
                  <o:lock v:ext="edit" aspectratio="t"/>
                  <w10:wrap type="none"/>
                  <w10:anchorlock/>
                </v:shape>
                <o:OLEObject Type="Embed" ProgID="Equation.DSMT4" ShapeID="_x0000_i1028" DrawAspect="Content" ObjectID="_1468075728" r:id="rId31">
                  <o:LockedField>false</o:LockedField>
                </o:OLEObject>
              </w:object>
            </w:r>
          </w:p>
        </w:tc>
        <w:tc>
          <w:tcPr>
            <w:tcW w:w="745" w:type="dxa"/>
            <w:vAlign w:val="center"/>
          </w:tcPr>
          <w:p w14:paraId="41B5DC68">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571" w:type="dxa"/>
            <w:vAlign w:val="center"/>
          </w:tcPr>
          <w:p w14:paraId="78329900">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新浇混凝土对模板的侧压力计算值；</w:t>
            </w:r>
          </w:p>
        </w:tc>
      </w:tr>
      <w:tr w14:paraId="618F03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6" w:type="dxa"/>
            <w:vAlign w:val="center"/>
          </w:tcPr>
          <w:p w14:paraId="6AAEF6B0">
            <w:pPr>
              <w:jc w:val="center"/>
              <w:rPr>
                <w:rFonts w:ascii="Times New Roman" w:hAnsi="Times New Roman" w:eastAsia="宋体" w:cs="Times New Roman"/>
                <w:bCs/>
                <w:color w:val="auto"/>
                <w:kern w:val="0"/>
                <w:sz w:val="24"/>
                <w:szCs w:val="24"/>
              </w:rPr>
            </w:pPr>
          </w:p>
        </w:tc>
        <w:tc>
          <w:tcPr>
            <w:tcW w:w="1134" w:type="dxa"/>
            <w:vAlign w:val="center"/>
          </w:tcPr>
          <w:p w14:paraId="618852A0">
            <w:pPr>
              <w:jc w:val="center"/>
              <w:rPr>
                <w:rFonts w:ascii="Times New Roman" w:hAnsi="Times New Roman" w:eastAsia="宋体" w:cs="Times New Roman"/>
                <w:bCs/>
                <w:color w:val="auto"/>
                <w:kern w:val="0"/>
                <w:sz w:val="24"/>
                <w:szCs w:val="24"/>
              </w:rPr>
            </w:pPr>
            <w:r>
              <w:rPr>
                <w:color w:val="auto"/>
                <w:position w:val="-12"/>
              </w:rPr>
              <w:object>
                <v:shape id="_x0000_i1029" o:spt="75" type="#_x0000_t75" style="height:19.2pt;width:14.4pt;" o:ole="t" filled="f" coordsize="21600,21600">
                  <v:path/>
                  <v:fill on="f" focussize="0,0"/>
                  <v:stroke/>
                  <v:imagedata r:id="rId34" o:title=""/>
                  <o:lock v:ext="edit" aspectratio="t"/>
                  <w10:wrap type="none"/>
                  <w10:anchorlock/>
                </v:shape>
                <o:OLEObject Type="Embed" ProgID="Equation.DSMT4" ShapeID="_x0000_i1029" DrawAspect="Content" ObjectID="_1468075729" r:id="rId33">
                  <o:LockedField>false</o:LockedField>
                </o:OLEObject>
              </w:object>
            </w:r>
          </w:p>
        </w:tc>
        <w:tc>
          <w:tcPr>
            <w:tcW w:w="745" w:type="dxa"/>
            <w:vAlign w:val="center"/>
          </w:tcPr>
          <w:p w14:paraId="4AF60722">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571" w:type="dxa"/>
            <w:vAlign w:val="center"/>
          </w:tcPr>
          <w:p w14:paraId="22A53D10">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混凝土的重力密度；</w:t>
            </w:r>
          </w:p>
        </w:tc>
      </w:tr>
      <w:tr w14:paraId="745EDF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6" w:type="dxa"/>
            <w:vAlign w:val="center"/>
          </w:tcPr>
          <w:p w14:paraId="4142F75E">
            <w:pPr>
              <w:jc w:val="center"/>
              <w:rPr>
                <w:rFonts w:ascii="Times New Roman" w:hAnsi="Times New Roman" w:eastAsia="宋体" w:cs="Times New Roman"/>
                <w:bCs/>
                <w:color w:val="auto"/>
                <w:kern w:val="0"/>
                <w:sz w:val="24"/>
                <w:szCs w:val="24"/>
              </w:rPr>
            </w:pPr>
          </w:p>
        </w:tc>
        <w:tc>
          <w:tcPr>
            <w:tcW w:w="1134" w:type="dxa"/>
            <w:vAlign w:val="center"/>
          </w:tcPr>
          <w:p w14:paraId="09D19CC2">
            <w:pPr>
              <w:jc w:val="center"/>
              <w:rPr>
                <w:rFonts w:ascii="Times New Roman" w:hAnsi="Times New Roman" w:eastAsia="宋体" w:cs="Times New Roman"/>
                <w:bCs/>
                <w:color w:val="auto"/>
                <w:kern w:val="0"/>
                <w:sz w:val="24"/>
                <w:szCs w:val="24"/>
              </w:rPr>
            </w:pPr>
            <w:r>
              <w:rPr>
                <w:color w:val="auto"/>
                <w:position w:val="-6"/>
              </w:rPr>
              <w:object>
                <v:shape id="_x0000_i1030" o:spt="75" type="#_x0000_t75" style="height:15pt;width:13.2pt;" o:ole="t" filled="f" coordsize="21600,21600">
                  <v:path/>
                  <v:fill on="f" focussize="0,0"/>
                  <v:stroke/>
                  <v:imagedata r:id="rId36" o:title=""/>
                  <o:lock v:ext="edit" aspectratio="t"/>
                  <w10:wrap type="none"/>
                  <w10:anchorlock/>
                </v:shape>
                <o:OLEObject Type="Embed" ProgID="Equation.DSMT4" ShapeID="_x0000_i1030" DrawAspect="Content" ObjectID="_1468075730" r:id="rId35">
                  <o:LockedField>false</o:LockedField>
                </o:OLEObject>
              </w:object>
            </w:r>
          </w:p>
        </w:tc>
        <w:tc>
          <w:tcPr>
            <w:tcW w:w="745" w:type="dxa"/>
            <w:vAlign w:val="center"/>
          </w:tcPr>
          <w:p w14:paraId="249C94AC">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571" w:type="dxa"/>
            <w:vAlign w:val="center"/>
          </w:tcPr>
          <w:p w14:paraId="224F4D6E">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混凝土的浇筑速度；</w:t>
            </w:r>
          </w:p>
        </w:tc>
      </w:tr>
      <w:tr w14:paraId="4CEED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6" w:type="dxa"/>
            <w:vAlign w:val="center"/>
          </w:tcPr>
          <w:p w14:paraId="444A703D">
            <w:pPr>
              <w:jc w:val="center"/>
              <w:rPr>
                <w:rFonts w:ascii="Times New Roman" w:hAnsi="Times New Roman" w:eastAsia="宋体" w:cs="Times New Roman"/>
                <w:bCs/>
                <w:color w:val="auto"/>
                <w:kern w:val="0"/>
                <w:sz w:val="24"/>
                <w:szCs w:val="24"/>
              </w:rPr>
            </w:pPr>
          </w:p>
        </w:tc>
        <w:tc>
          <w:tcPr>
            <w:tcW w:w="1134" w:type="dxa"/>
            <w:vAlign w:val="center"/>
          </w:tcPr>
          <w:p w14:paraId="481180A0">
            <w:pPr>
              <w:jc w:val="center"/>
              <w:rPr>
                <w:rFonts w:ascii="Times New Roman" w:hAnsi="Times New Roman" w:eastAsia="宋体" w:cs="Times New Roman"/>
                <w:bCs/>
                <w:color w:val="auto"/>
                <w:kern w:val="0"/>
                <w:sz w:val="24"/>
                <w:szCs w:val="24"/>
              </w:rPr>
            </w:pPr>
            <w:r>
              <w:rPr>
                <w:color w:val="auto"/>
                <w:position w:val="-12"/>
              </w:rPr>
              <w:object>
                <v:shape id="_x0000_i1031" o:spt="75" type="#_x0000_t75" style="height:19.2pt;width:10.8pt;" o:ole="t" filled="f" coordsize="21600,21600">
                  <v:path/>
                  <v:fill on="f" focussize="0,0"/>
                  <v:stroke/>
                  <v:imagedata r:id="rId38" o:title=""/>
                  <o:lock v:ext="edit" aspectratio="t"/>
                  <w10:wrap type="none"/>
                  <w10:anchorlock/>
                </v:shape>
                <o:OLEObject Type="Embed" ProgID="Equation.DSMT4" ShapeID="_x0000_i1031" DrawAspect="Content" ObjectID="_1468075731" r:id="rId37">
                  <o:LockedField>false</o:LockedField>
                </o:OLEObject>
              </w:object>
            </w:r>
          </w:p>
        </w:tc>
        <w:tc>
          <w:tcPr>
            <w:tcW w:w="745" w:type="dxa"/>
            <w:vAlign w:val="center"/>
          </w:tcPr>
          <w:p w14:paraId="488DABEE">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571" w:type="dxa"/>
            <w:vAlign w:val="center"/>
          </w:tcPr>
          <w:p w14:paraId="3716DEEF">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新浇混凝土的初凝时间（h），可按试验确定；当缺乏试验资料时，可采用</w:t>
            </w:r>
            <w:r>
              <w:rPr>
                <w:color w:val="auto"/>
                <w:position w:val="-12"/>
              </w:rPr>
              <w:object>
                <v:shape id="_x0000_i1032" o:spt="75" type="#_x0000_t75" style="height:19.2pt;width:96pt;" o:ole="t" filled="f" coordsize="21600,21600">
                  <v:path/>
                  <v:fill on="f" focussize="0,0"/>
                  <v:stroke/>
                  <v:imagedata r:id="rId40" o:title=""/>
                  <o:lock v:ext="edit" aspectratio="t"/>
                  <w10:wrap type="none"/>
                  <w10:anchorlock/>
                </v:shape>
                <o:OLEObject Type="Embed" ProgID="Equation.DSMT4" ShapeID="_x0000_i1032" DrawAspect="Content" ObjectID="_1468075732" r:id="rId39">
                  <o:LockedField>false</o:LockedField>
                </o:OLEObject>
              </w:object>
            </w:r>
            <w:r>
              <w:rPr>
                <w:rFonts w:hint="eastAsia" w:ascii="Times New Roman" w:hAnsi="Times New Roman" w:eastAsia="宋体" w:cs="Times New Roman"/>
                <w:bCs/>
                <w:color w:val="auto"/>
                <w:kern w:val="0"/>
                <w:sz w:val="24"/>
                <w:szCs w:val="24"/>
              </w:rPr>
              <w:t>（T为混凝土的温度℃）；</w:t>
            </w:r>
          </w:p>
        </w:tc>
      </w:tr>
      <w:tr w14:paraId="524BC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6" w:type="dxa"/>
            <w:vAlign w:val="center"/>
          </w:tcPr>
          <w:p w14:paraId="18C2378B">
            <w:pPr>
              <w:jc w:val="center"/>
              <w:rPr>
                <w:rFonts w:ascii="Times New Roman" w:hAnsi="Times New Roman" w:eastAsia="宋体" w:cs="Times New Roman"/>
                <w:bCs/>
                <w:color w:val="auto"/>
                <w:kern w:val="0"/>
                <w:sz w:val="24"/>
                <w:szCs w:val="24"/>
              </w:rPr>
            </w:pPr>
          </w:p>
        </w:tc>
        <w:tc>
          <w:tcPr>
            <w:tcW w:w="1134" w:type="dxa"/>
            <w:vAlign w:val="center"/>
          </w:tcPr>
          <w:p w14:paraId="294D4930">
            <w:pPr>
              <w:jc w:val="center"/>
              <w:rPr>
                <w:rFonts w:ascii="Times New Roman" w:hAnsi="Times New Roman" w:eastAsia="宋体" w:cs="Times New Roman"/>
                <w:bCs/>
                <w:color w:val="auto"/>
                <w:kern w:val="0"/>
                <w:sz w:val="24"/>
                <w:szCs w:val="24"/>
              </w:rPr>
            </w:pPr>
            <w:r>
              <w:rPr>
                <w:color w:val="auto"/>
                <w:position w:val="-12"/>
              </w:rPr>
              <w:object>
                <v:shape id="_x0000_i1033" o:spt="75" type="#_x0000_t75" style="height:19.2pt;width:15pt;" o:ole="t" filled="f" coordsize="21600,21600">
                  <v:path/>
                  <v:fill on="f" focussize="0,0"/>
                  <v:stroke/>
                  <v:imagedata r:id="rId42" o:title=""/>
                  <o:lock v:ext="edit" aspectratio="t"/>
                  <w10:wrap type="none"/>
                  <w10:anchorlock/>
                </v:shape>
                <o:OLEObject Type="Embed" ProgID="Equation.DSMT4" ShapeID="_x0000_i1033" DrawAspect="Content" ObjectID="_1468075733" r:id="rId41">
                  <o:LockedField>false</o:LockedField>
                </o:OLEObject>
              </w:object>
            </w:r>
          </w:p>
        </w:tc>
        <w:tc>
          <w:tcPr>
            <w:tcW w:w="745" w:type="dxa"/>
            <w:vAlign w:val="center"/>
          </w:tcPr>
          <w:p w14:paraId="0E871F01">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571" w:type="dxa"/>
            <w:vAlign w:val="center"/>
          </w:tcPr>
          <w:p w14:paraId="61C3F525">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外加剂影响修正系数。不掺外加剂时取1.0，掺具有缓凝作用的外加剂时取1.2；</w:t>
            </w:r>
          </w:p>
        </w:tc>
      </w:tr>
      <w:tr w14:paraId="2E7107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6" w:type="dxa"/>
            <w:vAlign w:val="center"/>
          </w:tcPr>
          <w:p w14:paraId="62B71D3E">
            <w:pPr>
              <w:jc w:val="center"/>
              <w:rPr>
                <w:rFonts w:ascii="Times New Roman" w:hAnsi="Times New Roman" w:eastAsia="宋体" w:cs="Times New Roman"/>
                <w:bCs/>
                <w:color w:val="auto"/>
                <w:kern w:val="0"/>
                <w:sz w:val="24"/>
                <w:szCs w:val="24"/>
              </w:rPr>
            </w:pPr>
          </w:p>
        </w:tc>
        <w:tc>
          <w:tcPr>
            <w:tcW w:w="1134" w:type="dxa"/>
            <w:vAlign w:val="center"/>
          </w:tcPr>
          <w:p w14:paraId="7EDC88E9">
            <w:pPr>
              <w:jc w:val="center"/>
              <w:rPr>
                <w:rFonts w:ascii="Times New Roman" w:hAnsi="Times New Roman" w:eastAsia="宋体" w:cs="Times New Roman"/>
                <w:bCs/>
                <w:color w:val="auto"/>
                <w:kern w:val="0"/>
                <w:sz w:val="24"/>
                <w:szCs w:val="24"/>
              </w:rPr>
            </w:pPr>
            <w:r>
              <w:rPr>
                <w:color w:val="auto"/>
                <w:position w:val="-12"/>
              </w:rPr>
              <w:object>
                <v:shape id="_x0000_i1034" o:spt="75" type="#_x0000_t75" style="height:19.2pt;width:15.6pt;" o:ole="t" filled="f" coordsize="21600,21600">
                  <v:path/>
                  <v:fill on="f" focussize="0,0"/>
                  <v:stroke/>
                  <v:imagedata r:id="rId44" o:title=""/>
                  <o:lock v:ext="edit" aspectratio="t"/>
                  <w10:wrap type="none"/>
                  <w10:anchorlock/>
                </v:shape>
                <o:OLEObject Type="Embed" ProgID="Equation.DSMT4" ShapeID="_x0000_i1034" DrawAspect="Content" ObjectID="_1468075734" r:id="rId43">
                  <o:LockedField>false</o:LockedField>
                </o:OLEObject>
              </w:object>
            </w:r>
          </w:p>
        </w:tc>
        <w:tc>
          <w:tcPr>
            <w:tcW w:w="745" w:type="dxa"/>
            <w:vAlign w:val="center"/>
          </w:tcPr>
          <w:p w14:paraId="4D99DFEB">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571" w:type="dxa"/>
            <w:vAlign w:val="center"/>
          </w:tcPr>
          <w:p w14:paraId="115BD9D0">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混凝土坍落度影响修正系数。当坍落度小于30mm时，取0.85；坍落度为50~90mm时，取1.00；坍落度为110~150mm时，取1.15；</w:t>
            </w:r>
          </w:p>
        </w:tc>
      </w:tr>
      <w:tr w14:paraId="434C2D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6" w:type="dxa"/>
            <w:vAlign w:val="center"/>
          </w:tcPr>
          <w:p w14:paraId="6FB191BD">
            <w:pPr>
              <w:jc w:val="center"/>
              <w:rPr>
                <w:rFonts w:ascii="Times New Roman" w:hAnsi="Times New Roman" w:eastAsia="宋体" w:cs="Times New Roman"/>
                <w:bCs/>
                <w:color w:val="auto"/>
                <w:kern w:val="0"/>
                <w:sz w:val="24"/>
                <w:szCs w:val="24"/>
              </w:rPr>
            </w:pPr>
          </w:p>
        </w:tc>
        <w:tc>
          <w:tcPr>
            <w:tcW w:w="1134" w:type="dxa"/>
            <w:vAlign w:val="center"/>
          </w:tcPr>
          <w:p w14:paraId="04F726D8">
            <w:pPr>
              <w:jc w:val="center"/>
              <w:rPr>
                <w:rFonts w:ascii="Times New Roman" w:hAnsi="Times New Roman" w:eastAsia="宋体" w:cs="Times New Roman"/>
                <w:bCs/>
                <w:color w:val="auto"/>
                <w:kern w:val="0"/>
                <w:sz w:val="24"/>
                <w:szCs w:val="24"/>
              </w:rPr>
            </w:pPr>
            <w:r>
              <w:rPr>
                <w:color w:val="auto"/>
                <w:position w:val="-4"/>
              </w:rPr>
              <w:object>
                <v:shape id="_x0000_i1035" o:spt="75" type="#_x0000_t75" style="height:14.4pt;width:15.6pt;" o:ole="t" filled="f" coordsize="21600,21600">
                  <v:path/>
                  <v:fill on="f" focussize="0,0"/>
                  <v:stroke/>
                  <v:imagedata r:id="rId46" o:title=""/>
                  <o:lock v:ext="edit" aspectratio="t"/>
                  <w10:wrap type="none"/>
                  <w10:anchorlock/>
                </v:shape>
                <o:OLEObject Type="Embed" ProgID="Equation.DSMT4" ShapeID="_x0000_i1035" DrawAspect="Content" ObjectID="_1468075735" r:id="rId45">
                  <o:LockedField>false</o:LockedField>
                </o:OLEObject>
              </w:object>
            </w:r>
          </w:p>
        </w:tc>
        <w:tc>
          <w:tcPr>
            <w:tcW w:w="745" w:type="dxa"/>
            <w:vAlign w:val="center"/>
          </w:tcPr>
          <w:p w14:paraId="3E801CCD">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571" w:type="dxa"/>
            <w:vAlign w:val="center"/>
          </w:tcPr>
          <w:p w14:paraId="15676117">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混凝土侧压力计算位置处至新浇混凝土顶面的总高度（</w:t>
            </w:r>
            <w:r>
              <w:rPr>
                <w:rFonts w:ascii="Times New Roman" w:hAnsi="Times New Roman" w:eastAsia="宋体" w:cs="Times New Roman"/>
                <w:bCs/>
                <w:color w:val="auto"/>
                <w:kern w:val="0"/>
                <w:sz w:val="24"/>
                <w:szCs w:val="24"/>
              </w:rPr>
              <w:t>m）。混凝土侧压力的计算分布图形如图 6.2.</w:t>
            </w:r>
            <w:r>
              <w:rPr>
                <w:rFonts w:hint="eastAsia" w:ascii="Times New Roman" w:hAnsi="Times New Roman" w:eastAsia="宋体" w:cs="Times New Roman"/>
                <w:bCs/>
                <w:color w:val="auto"/>
                <w:kern w:val="0"/>
                <w:sz w:val="24"/>
                <w:szCs w:val="24"/>
              </w:rPr>
              <w:t>2-</w:t>
            </w:r>
            <w:r>
              <w:rPr>
                <w:rFonts w:ascii="Times New Roman" w:hAnsi="Times New Roman" w:eastAsia="宋体" w:cs="Times New Roman"/>
                <w:bCs/>
                <w:color w:val="auto"/>
                <w:kern w:val="0"/>
                <w:sz w:val="24"/>
                <w:szCs w:val="24"/>
              </w:rPr>
              <w:t>1 所示，图中</w:t>
            </w:r>
            <w:r>
              <w:rPr>
                <w:color w:val="auto"/>
                <w:position w:val="-12"/>
              </w:rPr>
              <w:object>
                <v:shape id="_x0000_i1036" o:spt="75" type="#_x0000_t75" style="height:19.2pt;width:52.8pt;" o:ole="t" filled="f" coordsize="21600,21600">
                  <v:path/>
                  <v:fill on="f" focussize="0,0"/>
                  <v:stroke/>
                  <v:imagedata r:id="rId48" o:title=""/>
                  <o:lock v:ext="edit" aspectratio="t"/>
                  <w10:wrap type="none"/>
                  <w10:anchorlock/>
                </v:shape>
                <o:OLEObject Type="Embed" ProgID="Equation.DSMT4" ShapeID="_x0000_i1036" DrawAspect="Content" ObjectID="_1468075736" r:id="rId47">
                  <o:LockedField>false</o:LockedField>
                </o:OLEObject>
              </w:object>
            </w:r>
            <w:r>
              <w:rPr>
                <w:rFonts w:hint="eastAsia" w:ascii="Times New Roman" w:hAnsi="Times New Roman" w:eastAsia="宋体" w:cs="Times New Roman"/>
                <w:color w:val="auto"/>
                <w:kern w:val="0"/>
                <w:sz w:val="20"/>
                <w:szCs w:val="20"/>
              </w:rPr>
              <w:t>,</w:t>
            </w:r>
            <w:r>
              <w:rPr>
                <w:rFonts w:ascii="Times New Roman" w:hAnsi="Times New Roman" w:eastAsia="宋体" w:cs="Times New Roman"/>
                <w:bCs/>
                <w:color w:val="auto"/>
                <w:kern w:val="0"/>
                <w:sz w:val="24"/>
                <w:szCs w:val="24"/>
              </w:rPr>
              <w:t>H</w:t>
            </w:r>
            <w:r>
              <w:rPr>
                <w:rFonts w:hint="eastAsia" w:ascii="Times New Roman" w:hAnsi="Times New Roman" w:eastAsia="宋体" w:cs="Times New Roman"/>
                <w:bCs/>
                <w:color w:val="auto"/>
                <w:kern w:val="0"/>
                <w:sz w:val="24"/>
                <w:szCs w:val="24"/>
              </w:rPr>
              <w:t>为有效压头高度；</w:t>
            </w:r>
          </w:p>
        </w:tc>
      </w:tr>
    </w:tbl>
    <w:p w14:paraId="40070CBE">
      <w:pPr>
        <w:jc w:val="center"/>
        <w:rPr>
          <w:rFonts w:ascii="Times New Roman" w:hAnsi="Times New Roman" w:eastAsia="宋体"/>
          <w:bCs/>
          <w:color w:val="auto"/>
          <w:sz w:val="24"/>
          <w:szCs w:val="24"/>
        </w:rPr>
      </w:pPr>
    </w:p>
    <w:tbl>
      <w:tblPr>
        <w:tblStyle w:val="89"/>
        <w:tblW w:w="829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296"/>
      </w:tblGrid>
      <w:tr w14:paraId="2A20BF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vAlign w:val="center"/>
          </w:tcPr>
          <w:p w14:paraId="0AF7E1C7">
            <w:pPr>
              <w:jc w:val="center"/>
              <w:rPr>
                <w:rFonts w:ascii="Times New Roman" w:hAnsi="Times New Roman" w:eastAsia="宋体" w:cs="Times New Roman"/>
                <w:color w:val="auto"/>
                <w:kern w:val="0"/>
                <w:sz w:val="20"/>
                <w:szCs w:val="20"/>
              </w:rPr>
            </w:pPr>
            <w:r>
              <w:rPr>
                <w:rFonts w:ascii="Times New Roman" w:hAnsi="Times New Roman" w:eastAsia="宋体" w:cs="Times New Roman"/>
                <w:color w:val="auto"/>
                <w:kern w:val="0"/>
                <w:sz w:val="20"/>
                <w:szCs w:val="20"/>
              </w:rPr>
              <w:drawing>
                <wp:inline distT="0" distB="0" distL="0" distR="0">
                  <wp:extent cx="2088515" cy="2597150"/>
                  <wp:effectExtent l="0" t="0" r="6985" b="317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49"/>
                          <a:stretch>
                            <a:fillRect/>
                          </a:stretch>
                        </pic:blipFill>
                        <pic:spPr>
                          <a:xfrm>
                            <a:off x="0" y="0"/>
                            <a:ext cx="2099906" cy="2610695"/>
                          </a:xfrm>
                          <a:prstGeom prst="rect">
                            <a:avLst/>
                          </a:prstGeom>
                        </pic:spPr>
                      </pic:pic>
                    </a:graphicData>
                  </a:graphic>
                </wp:inline>
              </w:drawing>
            </w:r>
          </w:p>
        </w:tc>
      </w:tr>
      <w:tr w14:paraId="3938EA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296" w:type="dxa"/>
            <w:vAlign w:val="center"/>
          </w:tcPr>
          <w:p w14:paraId="50598836">
            <w:pPr>
              <w:spacing w:line="360" w:lineRule="auto"/>
              <w:jc w:val="center"/>
              <w:rPr>
                <w:rFonts w:ascii="Times New Roman" w:hAnsi="Times New Roman" w:eastAsia="宋体" w:cs="Times New Roman"/>
                <w:color w:val="auto"/>
                <w:kern w:val="0"/>
                <w:sz w:val="20"/>
                <w:szCs w:val="20"/>
              </w:rPr>
            </w:pPr>
            <w:r>
              <w:rPr>
                <w:rFonts w:hint="eastAsia" w:ascii="Times New Roman" w:hAnsi="Times New Roman" w:eastAsia="宋体" w:cs="Times New Roman"/>
                <w:bCs/>
                <w:color w:val="auto"/>
                <w:kern w:val="0"/>
                <w:sz w:val="24"/>
                <w:szCs w:val="24"/>
              </w:rPr>
              <w:t>图</w:t>
            </w:r>
            <w:r>
              <w:rPr>
                <w:rFonts w:ascii="Times New Roman" w:hAnsi="Times New Roman" w:eastAsia="宋体" w:cs="Times New Roman"/>
                <w:bCs/>
                <w:color w:val="auto"/>
                <w:kern w:val="0"/>
                <w:sz w:val="24"/>
                <w:szCs w:val="24"/>
              </w:rPr>
              <w:t>6</w:t>
            </w:r>
            <w:r>
              <w:rPr>
                <w:rFonts w:hint="eastAsia" w:ascii="Times New Roman" w:hAnsi="Times New Roman" w:eastAsia="宋体" w:cs="Times New Roman"/>
                <w:bCs/>
                <w:color w:val="auto"/>
                <w:kern w:val="0"/>
                <w:sz w:val="24"/>
                <w:szCs w:val="24"/>
              </w:rPr>
              <w:t>.</w:t>
            </w:r>
            <w:r>
              <w:rPr>
                <w:rFonts w:ascii="Times New Roman" w:hAnsi="Times New Roman" w:eastAsia="宋体" w:cs="Times New Roman"/>
                <w:bCs/>
                <w:color w:val="auto"/>
                <w:kern w:val="0"/>
                <w:sz w:val="24"/>
                <w:szCs w:val="24"/>
              </w:rPr>
              <w:t>2</w:t>
            </w:r>
            <w:r>
              <w:rPr>
                <w:rFonts w:hint="eastAsia" w:ascii="Times New Roman" w:hAnsi="Times New Roman" w:eastAsia="宋体" w:cs="Times New Roman"/>
                <w:bCs/>
                <w:color w:val="auto"/>
                <w:kern w:val="0"/>
                <w:sz w:val="24"/>
                <w:szCs w:val="24"/>
              </w:rPr>
              <w:t>.2-1 混凝土侧压力计算分布图形</w:t>
            </w:r>
          </w:p>
        </w:tc>
      </w:tr>
    </w:tbl>
    <w:p w14:paraId="6A095FB9">
      <w:pPr>
        <w:jc w:val="center"/>
        <w:rPr>
          <w:color w:val="auto"/>
        </w:rPr>
      </w:pPr>
      <w:r>
        <w:rPr>
          <w:rFonts w:hint="eastAsia" w:ascii="Times New Roman" w:hAnsi="Times New Roman" w:eastAsia="宋体"/>
          <w:bCs/>
          <w:color w:val="auto"/>
          <w:sz w:val="24"/>
          <w:szCs w:val="24"/>
        </w:rPr>
        <w:t>表</w:t>
      </w:r>
      <w:r>
        <w:rPr>
          <w:rFonts w:ascii="Times New Roman" w:hAnsi="Times New Roman" w:eastAsia="宋体"/>
          <w:bCs/>
          <w:color w:val="auto"/>
          <w:sz w:val="24"/>
          <w:szCs w:val="24"/>
        </w:rPr>
        <w:t>6</w:t>
      </w:r>
      <w:r>
        <w:rPr>
          <w:rFonts w:hint="eastAsia" w:ascii="Times New Roman" w:hAnsi="Times New Roman" w:eastAsia="宋体"/>
          <w:bCs/>
          <w:color w:val="auto"/>
          <w:sz w:val="24"/>
          <w:szCs w:val="24"/>
        </w:rPr>
        <w:t>.</w:t>
      </w:r>
      <w:r>
        <w:rPr>
          <w:rFonts w:ascii="Times New Roman" w:hAnsi="Times New Roman" w:eastAsia="宋体"/>
          <w:bCs/>
          <w:color w:val="auto"/>
          <w:sz w:val="24"/>
          <w:szCs w:val="24"/>
        </w:rPr>
        <w:t>2</w:t>
      </w:r>
      <w:r>
        <w:rPr>
          <w:rFonts w:hint="eastAsia" w:ascii="Times New Roman" w:hAnsi="Times New Roman" w:eastAsia="宋体"/>
          <w:bCs/>
          <w:color w:val="auto"/>
          <w:sz w:val="24"/>
          <w:szCs w:val="24"/>
        </w:rPr>
        <w:t>.2</w:t>
      </w:r>
      <w:r>
        <w:rPr>
          <w:rFonts w:ascii="Times New Roman" w:hAnsi="Times New Roman" w:eastAsia="宋体"/>
          <w:bCs/>
          <w:color w:val="auto"/>
          <w:sz w:val="24"/>
          <w:szCs w:val="24"/>
        </w:rPr>
        <w:t>-</w:t>
      </w:r>
      <w:r>
        <w:rPr>
          <w:rFonts w:hint="eastAsia" w:ascii="Times New Roman" w:hAnsi="Times New Roman" w:eastAsia="宋体"/>
          <w:bCs/>
          <w:color w:val="auto"/>
          <w:sz w:val="24"/>
          <w:szCs w:val="24"/>
        </w:rPr>
        <w:t>1 倾倒混凝土时产生的水平荷载标准值</w:t>
      </w:r>
      <w:r>
        <w:rPr>
          <w:rFonts w:hint="eastAsia"/>
          <w:color w:val="auto"/>
        </w:rPr>
        <w:t>（</w:t>
      </w:r>
      <w:r>
        <w:rPr>
          <w:color w:val="auto"/>
        </w:rPr>
        <w:t>K</w:t>
      </w:r>
      <w:r>
        <w:rPr>
          <w:rFonts w:hint="eastAsia"/>
          <w:color w:val="auto"/>
        </w:rPr>
        <w:t>N/m</w:t>
      </w:r>
      <w:r>
        <w:rPr>
          <w:rFonts w:hint="eastAsia"/>
          <w:color w:val="auto"/>
          <w:vertAlign w:val="superscript"/>
        </w:rPr>
        <w:t>2</w:t>
      </w:r>
      <w:r>
        <w:rPr>
          <w:rFonts w:hint="eastAsia"/>
          <w:color w:val="auto"/>
        </w:rPr>
        <w:t>）</w:t>
      </w:r>
    </w:p>
    <w:tbl>
      <w:tblPr>
        <w:tblStyle w:val="89"/>
        <w:tblW w:w="8296"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4148"/>
        <w:gridCol w:w="4148"/>
      </w:tblGrid>
      <w:tr w14:paraId="3D85DD6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148" w:type="dxa"/>
            <w:vAlign w:val="center"/>
          </w:tcPr>
          <w:p w14:paraId="76E3D54B">
            <w:pPr>
              <w:jc w:val="center"/>
              <w:rPr>
                <w:rFonts w:ascii="Times New Roman" w:hAnsi="Times New Roman" w:eastAsia="宋体" w:cs="Times New Roman"/>
                <w:color w:val="auto"/>
                <w:kern w:val="0"/>
                <w:sz w:val="20"/>
                <w:szCs w:val="20"/>
              </w:rPr>
            </w:pPr>
            <w:r>
              <w:rPr>
                <w:rFonts w:hint="eastAsia" w:ascii="Times New Roman" w:hAnsi="Times New Roman" w:eastAsia="宋体" w:cs="Times New Roman"/>
                <w:color w:val="auto"/>
                <w:kern w:val="0"/>
                <w:szCs w:val="21"/>
              </w:rPr>
              <w:t>向模板内供料方法</w:t>
            </w:r>
          </w:p>
        </w:tc>
        <w:tc>
          <w:tcPr>
            <w:tcW w:w="4148" w:type="dxa"/>
            <w:vAlign w:val="center"/>
          </w:tcPr>
          <w:p w14:paraId="01AD4615">
            <w:pPr>
              <w:tabs>
                <w:tab w:val="left" w:pos="1030"/>
              </w:tabs>
              <w:jc w:val="center"/>
              <w:rPr>
                <w:rFonts w:ascii="Times New Roman" w:hAnsi="Times New Roman" w:eastAsia="宋体" w:cs="Times New Roman"/>
                <w:color w:val="auto"/>
                <w:kern w:val="0"/>
                <w:sz w:val="20"/>
                <w:szCs w:val="20"/>
              </w:rPr>
            </w:pPr>
            <w:r>
              <w:rPr>
                <w:rFonts w:hint="eastAsia" w:ascii="Times New Roman" w:hAnsi="Times New Roman" w:eastAsia="宋体" w:cs="Times New Roman"/>
                <w:color w:val="auto"/>
                <w:kern w:val="0"/>
                <w:szCs w:val="21"/>
              </w:rPr>
              <w:t>水平荷载</w:t>
            </w:r>
          </w:p>
        </w:tc>
      </w:tr>
      <w:tr w14:paraId="3616115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148" w:type="dxa"/>
            <w:vAlign w:val="center"/>
          </w:tcPr>
          <w:p w14:paraId="3939BEF4">
            <w:pPr>
              <w:jc w:val="center"/>
              <w:rPr>
                <w:rFonts w:ascii="Times New Roman" w:hAnsi="Times New Roman" w:eastAsia="宋体" w:cs="Times New Roman"/>
                <w:color w:val="auto"/>
                <w:kern w:val="0"/>
                <w:sz w:val="20"/>
                <w:szCs w:val="20"/>
              </w:rPr>
            </w:pPr>
            <w:r>
              <w:rPr>
                <w:rFonts w:hint="eastAsia" w:ascii="Times New Roman" w:hAnsi="Times New Roman" w:eastAsia="宋体" w:cs="Times New Roman"/>
                <w:color w:val="auto"/>
                <w:kern w:val="0"/>
                <w:szCs w:val="21"/>
              </w:rPr>
              <w:t>溜槽、串筒或导管</w:t>
            </w:r>
          </w:p>
        </w:tc>
        <w:tc>
          <w:tcPr>
            <w:tcW w:w="4148" w:type="dxa"/>
            <w:vAlign w:val="center"/>
          </w:tcPr>
          <w:p w14:paraId="0A92DB99">
            <w:pPr>
              <w:jc w:val="center"/>
              <w:rPr>
                <w:rFonts w:ascii="Times New Roman" w:hAnsi="Times New Roman" w:eastAsia="宋体" w:cs="Times New Roman"/>
                <w:color w:val="auto"/>
                <w:kern w:val="0"/>
                <w:sz w:val="20"/>
                <w:szCs w:val="20"/>
              </w:rPr>
            </w:pPr>
            <w:r>
              <w:rPr>
                <w:rFonts w:hint="eastAsia" w:ascii="Times New Roman" w:hAnsi="Times New Roman" w:eastAsia="宋体" w:cs="Times New Roman"/>
                <w:color w:val="auto"/>
                <w:kern w:val="0"/>
                <w:sz w:val="20"/>
                <w:szCs w:val="20"/>
              </w:rPr>
              <w:t>2</w:t>
            </w:r>
          </w:p>
        </w:tc>
      </w:tr>
      <w:tr w14:paraId="4AF0ADF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148" w:type="dxa"/>
            <w:vAlign w:val="center"/>
          </w:tcPr>
          <w:p w14:paraId="30233286">
            <w:pPr>
              <w:jc w:val="center"/>
              <w:rPr>
                <w:rFonts w:ascii="Times New Roman" w:hAnsi="Times New Roman" w:eastAsia="宋体" w:cs="Times New Roman"/>
                <w:color w:val="auto"/>
                <w:kern w:val="0"/>
                <w:sz w:val="20"/>
                <w:szCs w:val="20"/>
              </w:rPr>
            </w:pPr>
            <w:r>
              <w:rPr>
                <w:rFonts w:hint="eastAsia" w:ascii="Times New Roman" w:hAnsi="Times New Roman" w:eastAsia="宋体" w:cs="Times New Roman"/>
                <w:color w:val="auto"/>
                <w:kern w:val="0"/>
                <w:szCs w:val="21"/>
              </w:rPr>
              <w:t xml:space="preserve">容量小于 </w:t>
            </w:r>
            <w:r>
              <w:rPr>
                <w:rFonts w:ascii="Times New Roman" w:hAnsi="Times New Roman" w:eastAsia="宋体" w:cs="Times New Roman"/>
                <w:color w:val="auto"/>
                <w:kern w:val="0"/>
                <w:szCs w:val="21"/>
              </w:rPr>
              <w:t xml:space="preserve">0.2 </w:t>
            </w:r>
            <w:r>
              <w:rPr>
                <w:rFonts w:hint="eastAsia" w:ascii="Times New Roman" w:hAnsi="Times New Roman" w:eastAsia="宋体" w:cs="Times New Roman"/>
                <w:color w:val="auto"/>
                <w:kern w:val="0"/>
                <w:szCs w:val="21"/>
              </w:rPr>
              <w:t>m</w:t>
            </w:r>
            <w:r>
              <w:rPr>
                <w:rFonts w:hint="eastAsia" w:ascii="Times New Roman" w:hAnsi="Times New Roman" w:eastAsia="宋体" w:cs="Times New Roman"/>
                <w:color w:val="auto"/>
                <w:kern w:val="0"/>
                <w:szCs w:val="21"/>
                <w:vertAlign w:val="superscript"/>
              </w:rPr>
              <w:t>3</w:t>
            </w:r>
            <w:r>
              <w:rPr>
                <w:rFonts w:hint="eastAsia" w:ascii="Times New Roman" w:hAnsi="Times New Roman" w:eastAsia="宋体" w:cs="Times New Roman"/>
                <w:color w:val="auto"/>
                <w:kern w:val="0"/>
                <w:szCs w:val="21"/>
              </w:rPr>
              <w:t>的运输器具</w:t>
            </w:r>
          </w:p>
        </w:tc>
        <w:tc>
          <w:tcPr>
            <w:tcW w:w="4148" w:type="dxa"/>
            <w:vAlign w:val="center"/>
          </w:tcPr>
          <w:p w14:paraId="1B1E7E79">
            <w:pPr>
              <w:jc w:val="center"/>
              <w:rPr>
                <w:rFonts w:ascii="Times New Roman" w:hAnsi="Times New Roman" w:eastAsia="宋体" w:cs="Times New Roman"/>
                <w:color w:val="auto"/>
                <w:kern w:val="0"/>
                <w:sz w:val="20"/>
                <w:szCs w:val="20"/>
              </w:rPr>
            </w:pPr>
            <w:r>
              <w:rPr>
                <w:rFonts w:hint="eastAsia" w:ascii="Times New Roman" w:hAnsi="Times New Roman" w:eastAsia="宋体" w:cs="Times New Roman"/>
                <w:color w:val="auto"/>
                <w:kern w:val="0"/>
                <w:sz w:val="20"/>
                <w:szCs w:val="20"/>
              </w:rPr>
              <w:t>2</w:t>
            </w:r>
          </w:p>
        </w:tc>
      </w:tr>
      <w:tr w14:paraId="13CE09D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148" w:type="dxa"/>
            <w:vAlign w:val="center"/>
          </w:tcPr>
          <w:p w14:paraId="0EACF7C8">
            <w:pPr>
              <w:jc w:val="center"/>
              <w:rPr>
                <w:rFonts w:ascii="Times New Roman" w:hAnsi="Times New Roman" w:eastAsia="宋体" w:cs="Times New Roman"/>
                <w:color w:val="auto"/>
                <w:kern w:val="0"/>
                <w:sz w:val="20"/>
                <w:szCs w:val="20"/>
              </w:rPr>
            </w:pPr>
            <w:r>
              <w:rPr>
                <w:rFonts w:hint="eastAsia" w:ascii="Times New Roman" w:hAnsi="Times New Roman" w:eastAsia="宋体" w:cs="Times New Roman"/>
                <w:color w:val="auto"/>
                <w:kern w:val="0"/>
                <w:szCs w:val="21"/>
              </w:rPr>
              <w:t xml:space="preserve">容量为 </w:t>
            </w:r>
            <w:r>
              <w:rPr>
                <w:rFonts w:ascii="Times New Roman" w:hAnsi="Times New Roman" w:eastAsia="宋体" w:cs="Times New Roman"/>
                <w:color w:val="auto"/>
                <w:kern w:val="0"/>
                <w:szCs w:val="21"/>
              </w:rPr>
              <w:t>0.2</w:t>
            </w:r>
            <w:r>
              <w:rPr>
                <w:rFonts w:hint="eastAsia" w:ascii="Times New Roman" w:hAnsi="Times New Roman" w:eastAsia="宋体" w:cs="Times New Roman"/>
                <w:color w:val="auto"/>
                <w:kern w:val="0"/>
                <w:szCs w:val="21"/>
              </w:rPr>
              <w:t>～</w:t>
            </w:r>
            <w:r>
              <w:rPr>
                <w:rFonts w:ascii="Times New Roman" w:hAnsi="Times New Roman" w:eastAsia="宋体" w:cs="Times New Roman"/>
                <w:color w:val="auto"/>
                <w:kern w:val="0"/>
                <w:szCs w:val="21"/>
              </w:rPr>
              <w:t>0.8</w:t>
            </w:r>
            <w:r>
              <w:rPr>
                <w:rFonts w:hint="eastAsia" w:ascii="Times New Roman" w:hAnsi="Times New Roman" w:eastAsia="宋体" w:cs="Times New Roman"/>
                <w:color w:val="auto"/>
                <w:kern w:val="0"/>
                <w:szCs w:val="21"/>
              </w:rPr>
              <w:t xml:space="preserve"> m</w:t>
            </w:r>
            <w:r>
              <w:rPr>
                <w:rFonts w:hint="eastAsia" w:ascii="Times New Roman" w:hAnsi="Times New Roman" w:eastAsia="宋体" w:cs="Times New Roman"/>
                <w:color w:val="auto"/>
                <w:kern w:val="0"/>
                <w:szCs w:val="21"/>
                <w:vertAlign w:val="superscript"/>
              </w:rPr>
              <w:t>3</w:t>
            </w:r>
            <w:r>
              <w:rPr>
                <w:rFonts w:hint="eastAsia" w:ascii="Times New Roman" w:hAnsi="Times New Roman" w:eastAsia="宋体" w:cs="Times New Roman"/>
                <w:color w:val="auto"/>
                <w:kern w:val="0"/>
                <w:szCs w:val="21"/>
              </w:rPr>
              <w:t>的运输器具</w:t>
            </w:r>
          </w:p>
        </w:tc>
        <w:tc>
          <w:tcPr>
            <w:tcW w:w="4148" w:type="dxa"/>
            <w:vAlign w:val="center"/>
          </w:tcPr>
          <w:p w14:paraId="71159E6E">
            <w:pPr>
              <w:jc w:val="center"/>
              <w:rPr>
                <w:rFonts w:ascii="Times New Roman" w:hAnsi="Times New Roman" w:eastAsia="宋体" w:cs="Times New Roman"/>
                <w:color w:val="auto"/>
                <w:kern w:val="0"/>
                <w:sz w:val="20"/>
                <w:szCs w:val="20"/>
              </w:rPr>
            </w:pPr>
            <w:r>
              <w:rPr>
                <w:rFonts w:hint="eastAsia" w:ascii="Times New Roman" w:hAnsi="Times New Roman" w:eastAsia="宋体" w:cs="Times New Roman"/>
                <w:color w:val="auto"/>
                <w:kern w:val="0"/>
                <w:sz w:val="20"/>
                <w:szCs w:val="20"/>
              </w:rPr>
              <w:t>4</w:t>
            </w:r>
          </w:p>
        </w:tc>
      </w:tr>
      <w:tr w14:paraId="408807E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148" w:type="dxa"/>
            <w:vAlign w:val="center"/>
          </w:tcPr>
          <w:p w14:paraId="4F655C3F">
            <w:pPr>
              <w:jc w:val="center"/>
              <w:rPr>
                <w:rFonts w:ascii="Times New Roman" w:hAnsi="Times New Roman" w:eastAsia="宋体" w:cs="Times New Roman"/>
                <w:color w:val="auto"/>
                <w:kern w:val="0"/>
                <w:sz w:val="20"/>
                <w:szCs w:val="20"/>
              </w:rPr>
            </w:pPr>
            <w:r>
              <w:rPr>
                <w:rFonts w:hint="eastAsia" w:ascii="Times New Roman" w:hAnsi="Times New Roman" w:eastAsia="宋体" w:cs="Times New Roman"/>
                <w:color w:val="auto"/>
                <w:kern w:val="0"/>
                <w:szCs w:val="21"/>
              </w:rPr>
              <w:t xml:space="preserve">容量大于 </w:t>
            </w:r>
            <w:r>
              <w:rPr>
                <w:rFonts w:ascii="Times New Roman" w:hAnsi="Times New Roman" w:eastAsia="宋体" w:cs="Times New Roman"/>
                <w:color w:val="auto"/>
                <w:kern w:val="0"/>
                <w:szCs w:val="21"/>
              </w:rPr>
              <w:t xml:space="preserve">0.8 </w:t>
            </w:r>
            <w:r>
              <w:rPr>
                <w:rFonts w:hint="eastAsia" w:ascii="Times New Roman" w:hAnsi="Times New Roman" w:eastAsia="宋体" w:cs="Times New Roman"/>
                <w:color w:val="auto"/>
                <w:kern w:val="0"/>
                <w:szCs w:val="21"/>
              </w:rPr>
              <w:t>m</w:t>
            </w:r>
            <w:r>
              <w:rPr>
                <w:rFonts w:hint="eastAsia" w:ascii="Times New Roman" w:hAnsi="Times New Roman" w:eastAsia="宋体" w:cs="Times New Roman"/>
                <w:color w:val="auto"/>
                <w:kern w:val="0"/>
                <w:szCs w:val="21"/>
                <w:vertAlign w:val="superscript"/>
              </w:rPr>
              <w:t>3</w:t>
            </w:r>
            <w:r>
              <w:rPr>
                <w:rFonts w:hint="eastAsia" w:ascii="Times New Roman" w:hAnsi="Times New Roman" w:eastAsia="宋体" w:cs="Times New Roman"/>
                <w:color w:val="auto"/>
                <w:kern w:val="0"/>
                <w:szCs w:val="21"/>
              </w:rPr>
              <w:t>的运输器具</w:t>
            </w:r>
          </w:p>
        </w:tc>
        <w:tc>
          <w:tcPr>
            <w:tcW w:w="4148" w:type="dxa"/>
            <w:vAlign w:val="center"/>
          </w:tcPr>
          <w:p w14:paraId="5AB0F02B">
            <w:pPr>
              <w:jc w:val="center"/>
              <w:rPr>
                <w:rFonts w:ascii="Times New Roman" w:hAnsi="Times New Roman" w:eastAsia="宋体" w:cs="Times New Roman"/>
                <w:color w:val="auto"/>
                <w:kern w:val="0"/>
                <w:sz w:val="20"/>
                <w:szCs w:val="20"/>
              </w:rPr>
            </w:pPr>
            <w:r>
              <w:rPr>
                <w:rFonts w:hint="eastAsia" w:ascii="Times New Roman" w:hAnsi="Times New Roman" w:eastAsia="宋体" w:cs="Times New Roman"/>
                <w:color w:val="auto"/>
                <w:kern w:val="0"/>
                <w:sz w:val="20"/>
                <w:szCs w:val="20"/>
              </w:rPr>
              <w:t>6</w:t>
            </w:r>
          </w:p>
        </w:tc>
      </w:tr>
    </w:tbl>
    <w:p w14:paraId="0239FBF3">
      <w:pPr>
        <w:rPr>
          <w:color w:val="auto"/>
        </w:rPr>
      </w:pPr>
      <w:r>
        <w:rPr>
          <w:rFonts w:hint="eastAsia" w:ascii="Times New Roman" w:hAnsi="Times New Roman" w:eastAsia="宋体"/>
          <w:bCs/>
          <w:color w:val="auto"/>
          <w:sz w:val="24"/>
          <w:szCs w:val="24"/>
        </w:rPr>
        <w:t>注：作用范围在有效压头高度以内。</w:t>
      </w:r>
    </w:p>
    <w:p w14:paraId="156902DA">
      <w:pPr>
        <w:spacing w:line="360" w:lineRule="auto"/>
        <w:rPr>
          <w:rFonts w:ascii="Times New Roman" w:hAnsi="Times New Roman" w:eastAsia="宋体"/>
          <w:bCs/>
          <w:color w:val="auto"/>
          <w:sz w:val="24"/>
          <w:szCs w:val="24"/>
        </w:rPr>
      </w:pPr>
    </w:p>
    <w:p w14:paraId="7EBFADC2">
      <w:pPr>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2  抗弯强度计算</w:t>
      </w:r>
    </w:p>
    <w:p w14:paraId="1E1D7F7F">
      <w:pPr>
        <w:pStyle w:val="149"/>
        <w:numPr>
          <w:ilvl w:val="0"/>
          <w:numId w:val="15"/>
        </w:numPr>
        <w:spacing w:line="360" w:lineRule="auto"/>
        <w:ind w:firstLineChars="0"/>
        <w:rPr>
          <w:rFonts w:ascii="Times New Roman" w:hAnsi="Times New Roman" w:eastAsia="宋体"/>
          <w:bCs/>
          <w:color w:val="auto"/>
          <w:sz w:val="24"/>
          <w:szCs w:val="24"/>
        </w:rPr>
      </w:pPr>
      <w:r>
        <w:rPr>
          <w:rFonts w:hint="eastAsia" w:ascii="Times New Roman" w:hAnsi="Times New Roman" w:eastAsia="宋体"/>
          <w:bCs/>
          <w:color w:val="auto"/>
          <w:sz w:val="24"/>
          <w:szCs w:val="24"/>
        </w:rPr>
        <w:t>保温免拆模板抗弯强度应按下式计算：</w:t>
      </w:r>
    </w:p>
    <w:tbl>
      <w:tblPr>
        <w:tblStyle w:val="89"/>
        <w:tblW w:w="829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148"/>
        <w:gridCol w:w="4148"/>
      </w:tblGrid>
      <w:tr w14:paraId="72C6C3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148" w:type="dxa"/>
          </w:tcPr>
          <w:p w14:paraId="5C09826C">
            <w:pPr>
              <w:spacing w:line="360" w:lineRule="auto"/>
              <w:rPr>
                <w:rFonts w:ascii="Times New Roman" w:hAnsi="Times New Roman" w:eastAsia="宋体" w:cs="Times New Roman"/>
                <w:bCs/>
                <w:color w:val="auto"/>
                <w:kern w:val="0"/>
                <w:sz w:val="24"/>
                <w:szCs w:val="24"/>
              </w:rPr>
            </w:pPr>
          </w:p>
        </w:tc>
        <w:tc>
          <w:tcPr>
            <w:tcW w:w="4148" w:type="dxa"/>
          </w:tcPr>
          <w:p w14:paraId="799DFFAA">
            <w:pPr>
              <w:spacing w:line="360" w:lineRule="auto"/>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（6</w:t>
            </w:r>
            <w:r>
              <w:rPr>
                <w:rFonts w:ascii="Times New Roman" w:hAnsi="Times New Roman" w:eastAsia="宋体" w:cs="Times New Roman"/>
                <w:bCs/>
                <w:color w:val="auto"/>
                <w:kern w:val="0"/>
                <w:sz w:val="24"/>
                <w:szCs w:val="24"/>
              </w:rPr>
              <w:t>.</w:t>
            </w:r>
            <w:r>
              <w:rPr>
                <w:rFonts w:hint="eastAsia" w:ascii="Times New Roman" w:hAnsi="Times New Roman" w:eastAsia="宋体" w:cs="Times New Roman"/>
                <w:bCs/>
                <w:color w:val="auto"/>
                <w:kern w:val="0"/>
                <w:sz w:val="24"/>
                <w:szCs w:val="24"/>
              </w:rPr>
              <w:t>2</w:t>
            </w:r>
            <w:r>
              <w:rPr>
                <w:rFonts w:ascii="Times New Roman" w:hAnsi="Times New Roman" w:eastAsia="宋体" w:cs="Times New Roman"/>
                <w:bCs/>
                <w:color w:val="auto"/>
                <w:kern w:val="0"/>
                <w:sz w:val="24"/>
                <w:szCs w:val="24"/>
              </w:rPr>
              <w:t>.</w:t>
            </w:r>
            <w:r>
              <w:rPr>
                <w:rFonts w:hint="eastAsia" w:ascii="Times New Roman" w:hAnsi="Times New Roman" w:eastAsia="宋体" w:cs="Times New Roman"/>
                <w:bCs/>
                <w:color w:val="auto"/>
                <w:kern w:val="0"/>
                <w:sz w:val="24"/>
                <w:szCs w:val="24"/>
              </w:rPr>
              <w:t>2</w:t>
            </w:r>
            <w:r>
              <w:rPr>
                <w:rFonts w:ascii="Times New Roman" w:hAnsi="Times New Roman" w:eastAsia="宋体" w:cs="Times New Roman"/>
                <w:bCs/>
                <w:color w:val="auto"/>
                <w:kern w:val="0"/>
                <w:sz w:val="24"/>
                <w:szCs w:val="24"/>
              </w:rPr>
              <w:t>-</w:t>
            </w:r>
            <w:r>
              <w:rPr>
                <w:rFonts w:hint="eastAsia" w:ascii="Times New Roman" w:hAnsi="Times New Roman" w:eastAsia="宋体" w:cs="Times New Roman"/>
                <w:bCs/>
                <w:color w:val="auto"/>
                <w:kern w:val="0"/>
                <w:sz w:val="24"/>
                <w:szCs w:val="24"/>
              </w:rPr>
              <w:t>3）</w:t>
            </w:r>
          </w:p>
        </w:tc>
      </w:tr>
    </w:tbl>
    <w:p w14:paraId="14EE8BED">
      <w:pPr>
        <w:rPr>
          <w:rFonts w:ascii="Times New Roman" w:hAnsi="Times New Roman" w:eastAsia="宋体"/>
          <w:bCs/>
          <w:color w:val="auto"/>
          <w:sz w:val="24"/>
          <w:szCs w:val="24"/>
        </w:rPr>
      </w:pPr>
    </w:p>
    <w:tbl>
      <w:tblPr>
        <w:tblStyle w:val="89"/>
        <w:tblW w:w="852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95"/>
        <w:gridCol w:w="761"/>
        <w:gridCol w:w="847"/>
        <w:gridCol w:w="5819"/>
      </w:tblGrid>
      <w:tr w14:paraId="30E236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95" w:type="dxa"/>
          </w:tcPr>
          <w:p w14:paraId="61E58551">
            <w:pP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式中</w:t>
            </w:r>
          </w:p>
        </w:tc>
        <w:tc>
          <w:tcPr>
            <w:tcW w:w="761" w:type="dxa"/>
          </w:tcPr>
          <w:p w14:paraId="6B809365">
            <w:pPr>
              <w:rPr>
                <w:rFonts w:hint="eastAsia" w:eastAsia="宋体" w:cs="Times New Roman" w:asciiTheme="minorEastAsia" w:hAnsiTheme="minorEastAsia"/>
                <w:bCs/>
                <w:color w:val="auto"/>
                <w:kern w:val="0"/>
                <w:sz w:val="24"/>
                <w:szCs w:val="24"/>
              </w:rPr>
            </w:pPr>
          </w:p>
        </w:tc>
        <w:tc>
          <w:tcPr>
            <w:tcW w:w="847" w:type="dxa"/>
          </w:tcPr>
          <w:p w14:paraId="07B41AF1">
            <w:pP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w:t>
            </w:r>
          </w:p>
        </w:tc>
        <w:tc>
          <w:tcPr>
            <w:tcW w:w="5819" w:type="dxa"/>
          </w:tcPr>
          <w:p w14:paraId="6ACAC507">
            <w:pP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最不利弯矩设计值，取均布荷载与集中荷载分别作用时计算结果的大值；</w:t>
            </w:r>
          </w:p>
        </w:tc>
      </w:tr>
      <w:tr w14:paraId="5F8EC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2" w:hRule="atLeast"/>
        </w:trPr>
        <w:tc>
          <w:tcPr>
            <w:tcW w:w="1095" w:type="dxa"/>
          </w:tcPr>
          <w:p w14:paraId="25578FCE">
            <w:pPr>
              <w:rPr>
                <w:rFonts w:hint="eastAsia" w:eastAsia="宋体" w:cs="Times New Roman" w:asciiTheme="minorEastAsia" w:hAnsiTheme="minorEastAsia"/>
                <w:bCs/>
                <w:color w:val="auto"/>
                <w:kern w:val="0"/>
                <w:sz w:val="24"/>
                <w:szCs w:val="24"/>
              </w:rPr>
            </w:pPr>
          </w:p>
        </w:tc>
        <w:tc>
          <w:tcPr>
            <w:tcW w:w="761" w:type="dxa"/>
          </w:tcPr>
          <w:p w14:paraId="3E0CE7C5">
            <w:pPr>
              <w:rPr>
                <w:rFonts w:hint="eastAsia" w:eastAsia="宋体" w:cs="Times New Roman" w:asciiTheme="minorEastAsia" w:hAnsiTheme="minorEastAsia"/>
                <w:bCs/>
                <w:color w:val="auto"/>
                <w:kern w:val="0"/>
                <w:sz w:val="24"/>
                <w:szCs w:val="24"/>
              </w:rPr>
            </w:pPr>
          </w:p>
        </w:tc>
        <w:tc>
          <w:tcPr>
            <w:tcW w:w="847" w:type="dxa"/>
          </w:tcPr>
          <w:p w14:paraId="01E7692D">
            <w:pP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w:t>
            </w:r>
          </w:p>
        </w:tc>
        <w:tc>
          <w:tcPr>
            <w:tcW w:w="5819" w:type="dxa"/>
          </w:tcPr>
          <w:p w14:paraId="5CC5C31C">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保温免拆模板截面抵抗矩；</w:t>
            </w:r>
          </w:p>
          <w:p w14:paraId="4AD38A09">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高为</w:t>
            </w:r>
            <w:r>
              <w:rPr>
                <w:rFonts w:ascii="Times New Roman" w:hAnsi="Times New Roman" w:eastAsia="宋体" w:cs="Times New Roman"/>
                <w:bCs/>
                <w:color w:val="auto"/>
                <w:kern w:val="0"/>
                <w:sz w:val="24"/>
                <w:szCs w:val="24"/>
              </w:rPr>
              <w:t>h，宽为b的矩形截面</w:t>
            </w:r>
            <w:r>
              <w:rPr>
                <w:rFonts w:hint="eastAsia" w:ascii="Times New Roman" w:hAnsi="Times New Roman" w:eastAsia="宋体" w:cs="Times New Roman"/>
                <w:bCs/>
                <w:color w:val="auto"/>
                <w:kern w:val="0"/>
                <w:sz w:val="24"/>
                <w:szCs w:val="24"/>
              </w:rPr>
              <w:t>惯性矩</w:t>
            </w:r>
            <w:r>
              <w:rPr>
                <w:color w:val="auto"/>
                <w:position w:val="-12"/>
              </w:rPr>
              <w:object>
                <v:shape id="_x0000_i1037" o:spt="75" type="#_x0000_t75" style="height:20.4pt;width:15pt;" o:ole="t" filled="f" coordsize="21600,21600">
                  <v:path/>
                  <v:fill on="f" focussize="0,0"/>
                  <v:stroke/>
                  <v:imagedata r:id="rId51" o:title=""/>
                  <o:lock v:ext="edit" aspectratio="t"/>
                  <w10:wrap type="none"/>
                  <w10:anchorlock/>
                </v:shape>
                <o:OLEObject Type="Embed" ProgID="Equation.DSMT4" ShapeID="_x0000_i1037" DrawAspect="Content" ObjectID="_1468075737" r:id="rId50">
                  <o:LockedField>false</o:LockedField>
                </o:OLEObject>
              </w:object>
            </w:r>
            <w:r>
              <w:rPr>
                <w:rFonts w:hint="eastAsia" w:ascii="Times New Roman" w:hAnsi="Times New Roman" w:eastAsia="宋体" w:cs="Times New Roman"/>
                <w:bCs/>
                <w:color w:val="auto"/>
                <w:kern w:val="0"/>
                <w:sz w:val="24"/>
                <w:szCs w:val="24"/>
              </w:rPr>
              <w:t>和截面抵抗矩</w:t>
            </w:r>
            <w:r>
              <w:rPr>
                <w:color w:val="auto"/>
                <w:position w:val="-12"/>
              </w:rPr>
              <w:object>
                <v:shape id="_x0000_i1038" o:spt="75" type="#_x0000_t75" style="height:20.4pt;width:20.4pt;" o:ole="t" filled="f" coordsize="21600,21600">
                  <v:path/>
                  <v:fill on="f" focussize="0,0"/>
                  <v:stroke/>
                  <v:imagedata r:id="rId53" o:title=""/>
                  <o:lock v:ext="edit" aspectratio="t"/>
                  <w10:wrap type="none"/>
                  <w10:anchorlock/>
                </v:shape>
                <o:OLEObject Type="Embed" ProgID="Equation.DSMT4" ShapeID="_x0000_i1038" DrawAspect="Content" ObjectID="_1468075738" r:id="rId52">
                  <o:LockedField>false</o:LockedField>
                </o:OLEObject>
              </w:object>
            </w:r>
            <w:r>
              <w:rPr>
                <w:rFonts w:hint="eastAsia" w:ascii="Times New Roman" w:hAnsi="Times New Roman" w:eastAsia="宋体" w:cs="Times New Roman"/>
                <w:bCs/>
                <w:color w:val="auto"/>
                <w:kern w:val="0"/>
                <w:sz w:val="24"/>
                <w:szCs w:val="24"/>
              </w:rPr>
              <w:t>的计算公式为：</w:t>
            </w:r>
          </w:p>
          <w:p w14:paraId="588963CA">
            <w:pPr>
              <w:rPr>
                <w:rFonts w:ascii="Times New Roman" w:hAnsi="Times New Roman" w:eastAsia="宋体" w:cs="Times New Roman"/>
                <w:bCs/>
                <w:color w:val="auto"/>
                <w:kern w:val="0"/>
                <w:sz w:val="24"/>
                <w:szCs w:val="24"/>
              </w:rPr>
            </w:pPr>
            <w:r>
              <w:rPr>
                <w:color w:val="auto"/>
                <w:position w:val="-26"/>
              </w:rPr>
              <w:object>
                <v:shape id="_x0000_i1039" o:spt="75" type="#_x0000_t75" style="height:36.6pt;width:51.6pt;" o:ole="t" filled="f" coordsize="21600,21600">
                  <v:path/>
                  <v:fill on="f" focussize="0,0"/>
                  <v:stroke/>
                  <v:imagedata r:id="rId55" o:title=""/>
                  <o:lock v:ext="edit" aspectratio="t"/>
                  <w10:wrap type="none"/>
                  <w10:anchorlock/>
                </v:shape>
                <o:OLEObject Type="Embed" ProgID="Equation.DSMT4" ShapeID="_x0000_i1039" DrawAspect="Content" ObjectID="_1468075739" r:id="rId54">
                  <o:LockedField>false</o:LockedField>
                </o:OLEObject>
              </w:object>
            </w:r>
            <w:r>
              <w:rPr>
                <w:rFonts w:hint="eastAsia" w:ascii="Times New Roman" w:hAnsi="Times New Roman" w:eastAsia="宋体" w:cs="Times New Roman"/>
                <w:color w:val="auto"/>
                <w:kern w:val="0"/>
                <w:sz w:val="20"/>
                <w:szCs w:val="20"/>
              </w:rPr>
              <w:t xml:space="preserve"> ，</w:t>
            </w:r>
            <w:r>
              <w:rPr>
                <w:color w:val="auto"/>
                <w:position w:val="-34"/>
              </w:rPr>
              <w:object>
                <v:shape id="_x0000_i1040" o:spt="75" type="#_x0000_t75" style="height:41.4pt;width:86.95pt;" o:ole="t" filled="f" coordsize="21600,21600">
                  <v:path/>
                  <v:fill on="f" focussize="0,0"/>
                  <v:stroke/>
                  <v:imagedata r:id="rId57" o:title=""/>
                  <o:lock v:ext="edit" aspectratio="t"/>
                  <w10:wrap type="none"/>
                  <w10:anchorlock/>
                </v:shape>
                <o:OLEObject Type="Embed" ProgID="Equation.DSMT4" ShapeID="_x0000_i1040" DrawAspect="Content" ObjectID="_1468075740" r:id="rId56">
                  <o:LockedField>false</o:LockedField>
                </o:OLEObject>
              </w:object>
            </w:r>
          </w:p>
        </w:tc>
      </w:tr>
      <w:tr w14:paraId="4EDD17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95" w:type="dxa"/>
          </w:tcPr>
          <w:p w14:paraId="7CA9DC31">
            <w:pPr>
              <w:rPr>
                <w:rFonts w:hint="eastAsia" w:eastAsia="宋体" w:cs="Times New Roman" w:asciiTheme="minorEastAsia" w:hAnsiTheme="minorEastAsia"/>
                <w:bCs/>
                <w:color w:val="auto"/>
                <w:kern w:val="0"/>
                <w:sz w:val="24"/>
                <w:szCs w:val="24"/>
              </w:rPr>
            </w:pPr>
          </w:p>
        </w:tc>
        <w:tc>
          <w:tcPr>
            <w:tcW w:w="761" w:type="dxa"/>
          </w:tcPr>
          <w:p w14:paraId="2ED70BD4">
            <w:pPr>
              <w:rPr>
                <w:rFonts w:hint="eastAsia" w:eastAsia="宋体" w:cs="Times New Roman" w:asciiTheme="minorEastAsia" w:hAnsiTheme="minorEastAsia"/>
                <w:bCs/>
                <w:color w:val="auto"/>
                <w:kern w:val="0"/>
                <w:sz w:val="24"/>
                <w:szCs w:val="24"/>
              </w:rPr>
            </w:pPr>
          </w:p>
        </w:tc>
        <w:tc>
          <w:tcPr>
            <w:tcW w:w="847" w:type="dxa"/>
          </w:tcPr>
          <w:p w14:paraId="78000629">
            <w:pP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w:t>
            </w:r>
          </w:p>
        </w:tc>
        <w:tc>
          <w:tcPr>
            <w:tcW w:w="5819" w:type="dxa"/>
          </w:tcPr>
          <w:p w14:paraId="69DF2779">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保温免拆模板的抗弯强度设计值。</w:t>
            </w:r>
          </w:p>
        </w:tc>
      </w:tr>
    </w:tbl>
    <w:p w14:paraId="06973F71">
      <w:pPr>
        <w:tabs>
          <w:tab w:val="left" w:pos="3969"/>
        </w:tabs>
        <w:snapToGrid w:val="0"/>
        <w:spacing w:line="300" w:lineRule="auto"/>
        <w:rPr>
          <w:rFonts w:hint="eastAsia" w:ascii="楷体" w:hAnsi="楷体" w:eastAsia="楷体" w:cs="楷体"/>
          <w:i/>
          <w:color w:val="auto"/>
          <w:sz w:val="24"/>
          <w:szCs w:val="24"/>
          <w:u w:val="single"/>
        </w:rPr>
      </w:pPr>
    </w:p>
    <w:p w14:paraId="711D97DE">
      <w:pPr>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3  挠度应按下列公式进行验算：</w:t>
      </w:r>
    </w:p>
    <w:tbl>
      <w:tblPr>
        <w:tblStyle w:val="89"/>
        <w:tblW w:w="852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95"/>
        <w:gridCol w:w="761"/>
        <w:gridCol w:w="847"/>
        <w:gridCol w:w="1445"/>
        <w:gridCol w:w="4148"/>
        <w:gridCol w:w="231"/>
      </w:tblGrid>
      <w:tr w14:paraId="31FCE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31" w:type="dxa"/>
        </w:trPr>
        <w:tc>
          <w:tcPr>
            <w:tcW w:w="4148" w:type="dxa"/>
            <w:gridSpan w:val="4"/>
            <w:vAlign w:val="center"/>
          </w:tcPr>
          <w:p w14:paraId="1100B7A4">
            <w:pPr>
              <w:spacing w:line="360" w:lineRule="auto"/>
              <w:jc w:val="right"/>
              <w:rPr>
                <w:rFonts w:ascii="Times New Roman" w:hAnsi="Times New Roman" w:eastAsia="宋体" w:cs="Times New Roman"/>
                <w:bCs/>
                <w:color w:val="auto"/>
                <w:kern w:val="0"/>
                <w:sz w:val="24"/>
                <w:szCs w:val="24"/>
              </w:rPr>
            </w:pPr>
          </w:p>
        </w:tc>
        <w:tc>
          <w:tcPr>
            <w:tcW w:w="4148" w:type="dxa"/>
            <w:vAlign w:val="center"/>
          </w:tcPr>
          <w:p w14:paraId="16F9A8C5">
            <w:pPr>
              <w:rPr>
                <w:rFonts w:ascii="Times New Roman" w:hAnsi="Times New Roman" w:eastAsia="宋体" w:cs="Times New Roman"/>
                <w:color w:val="auto"/>
                <w:kern w:val="0"/>
                <w:sz w:val="24"/>
                <w:szCs w:val="24"/>
              </w:rPr>
            </w:pPr>
            <w:r>
              <w:rPr>
                <w:rFonts w:hint="eastAsia" w:ascii="Times New Roman" w:hAnsi="Times New Roman" w:eastAsia="宋体" w:cs="Times New Roman"/>
                <w:bCs/>
                <w:color w:val="auto"/>
                <w:kern w:val="0"/>
                <w:sz w:val="24"/>
                <w:szCs w:val="24"/>
              </w:rPr>
              <w:t>（6</w:t>
            </w:r>
            <w:r>
              <w:rPr>
                <w:rFonts w:ascii="Times New Roman" w:hAnsi="Times New Roman" w:eastAsia="宋体" w:cs="Times New Roman"/>
                <w:bCs/>
                <w:color w:val="auto"/>
                <w:kern w:val="0"/>
                <w:sz w:val="24"/>
                <w:szCs w:val="24"/>
              </w:rPr>
              <w:t>.</w:t>
            </w:r>
            <w:r>
              <w:rPr>
                <w:rFonts w:hint="eastAsia" w:ascii="Times New Roman" w:hAnsi="Times New Roman" w:eastAsia="宋体" w:cs="Times New Roman"/>
                <w:bCs/>
                <w:color w:val="auto"/>
                <w:kern w:val="0"/>
                <w:sz w:val="24"/>
                <w:szCs w:val="24"/>
              </w:rPr>
              <w:t>2</w:t>
            </w:r>
            <w:r>
              <w:rPr>
                <w:rFonts w:ascii="Times New Roman" w:hAnsi="Times New Roman" w:eastAsia="宋体" w:cs="Times New Roman"/>
                <w:bCs/>
                <w:color w:val="auto"/>
                <w:kern w:val="0"/>
                <w:sz w:val="24"/>
                <w:szCs w:val="24"/>
              </w:rPr>
              <w:t>.</w:t>
            </w:r>
            <w:r>
              <w:rPr>
                <w:rFonts w:hint="eastAsia" w:ascii="Times New Roman" w:hAnsi="Times New Roman" w:eastAsia="宋体" w:cs="Times New Roman"/>
                <w:bCs/>
                <w:color w:val="auto"/>
                <w:kern w:val="0"/>
                <w:sz w:val="24"/>
                <w:szCs w:val="24"/>
              </w:rPr>
              <w:t>2</w:t>
            </w:r>
            <w:r>
              <w:rPr>
                <w:rFonts w:ascii="Times New Roman" w:hAnsi="Times New Roman" w:eastAsia="宋体" w:cs="Times New Roman"/>
                <w:bCs/>
                <w:color w:val="auto"/>
                <w:kern w:val="0"/>
                <w:sz w:val="24"/>
                <w:szCs w:val="24"/>
              </w:rPr>
              <w:t>-</w:t>
            </w:r>
            <w:r>
              <w:rPr>
                <w:rFonts w:hint="eastAsia" w:ascii="Times New Roman" w:hAnsi="Times New Roman" w:eastAsia="宋体" w:cs="Times New Roman"/>
                <w:bCs/>
                <w:color w:val="auto"/>
                <w:kern w:val="0"/>
                <w:sz w:val="24"/>
                <w:szCs w:val="24"/>
              </w:rPr>
              <w:t>4）</w:t>
            </w:r>
          </w:p>
        </w:tc>
      </w:tr>
      <w:tr w14:paraId="44E750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31" w:type="dxa"/>
        </w:trPr>
        <w:tc>
          <w:tcPr>
            <w:tcW w:w="4148" w:type="dxa"/>
            <w:gridSpan w:val="4"/>
            <w:vAlign w:val="center"/>
          </w:tcPr>
          <w:p w14:paraId="72EC56FD">
            <w:pPr>
              <w:spacing w:line="360" w:lineRule="auto"/>
              <w:jc w:val="right"/>
              <w:rPr>
                <w:rFonts w:ascii="Times New Roman" w:hAnsi="Times New Roman" w:eastAsia="宋体" w:cs="Times New Roman"/>
                <w:bCs/>
                <w:color w:val="auto"/>
                <w:kern w:val="0"/>
                <w:sz w:val="24"/>
                <w:szCs w:val="24"/>
              </w:rPr>
            </w:pPr>
          </w:p>
        </w:tc>
        <w:tc>
          <w:tcPr>
            <w:tcW w:w="4148" w:type="dxa"/>
            <w:vAlign w:val="center"/>
          </w:tcPr>
          <w:p w14:paraId="6829008B">
            <w:pPr>
              <w:spacing w:line="360" w:lineRule="auto"/>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（6</w:t>
            </w:r>
            <w:r>
              <w:rPr>
                <w:rFonts w:ascii="Times New Roman" w:hAnsi="Times New Roman" w:eastAsia="宋体" w:cs="Times New Roman"/>
                <w:bCs/>
                <w:color w:val="auto"/>
                <w:kern w:val="0"/>
                <w:sz w:val="24"/>
                <w:szCs w:val="24"/>
              </w:rPr>
              <w:t>.</w:t>
            </w:r>
            <w:r>
              <w:rPr>
                <w:rFonts w:hint="eastAsia" w:ascii="Times New Roman" w:hAnsi="Times New Roman" w:eastAsia="宋体" w:cs="Times New Roman"/>
                <w:bCs/>
                <w:color w:val="auto"/>
                <w:kern w:val="0"/>
                <w:sz w:val="24"/>
                <w:szCs w:val="24"/>
              </w:rPr>
              <w:t>2</w:t>
            </w:r>
            <w:r>
              <w:rPr>
                <w:rFonts w:ascii="Times New Roman" w:hAnsi="Times New Roman" w:eastAsia="宋体" w:cs="Times New Roman"/>
                <w:bCs/>
                <w:color w:val="auto"/>
                <w:kern w:val="0"/>
                <w:sz w:val="24"/>
                <w:szCs w:val="24"/>
              </w:rPr>
              <w:t>.</w:t>
            </w:r>
            <w:r>
              <w:rPr>
                <w:rFonts w:hint="eastAsia" w:ascii="Times New Roman" w:hAnsi="Times New Roman" w:eastAsia="宋体" w:cs="Times New Roman"/>
                <w:bCs/>
                <w:color w:val="auto"/>
                <w:kern w:val="0"/>
                <w:sz w:val="24"/>
                <w:szCs w:val="24"/>
              </w:rPr>
              <w:t>2</w:t>
            </w:r>
            <w:r>
              <w:rPr>
                <w:rFonts w:ascii="Times New Roman" w:hAnsi="Times New Roman" w:eastAsia="宋体" w:cs="Times New Roman"/>
                <w:bCs/>
                <w:color w:val="auto"/>
                <w:kern w:val="0"/>
                <w:sz w:val="24"/>
                <w:szCs w:val="24"/>
              </w:rPr>
              <w:t>-</w:t>
            </w:r>
            <w:r>
              <w:rPr>
                <w:rFonts w:hint="eastAsia" w:ascii="Times New Roman" w:hAnsi="Times New Roman" w:eastAsia="宋体" w:cs="Times New Roman"/>
                <w:bCs/>
                <w:color w:val="auto"/>
                <w:kern w:val="0"/>
                <w:sz w:val="24"/>
                <w:szCs w:val="24"/>
              </w:rPr>
              <w:t>5）</w:t>
            </w:r>
          </w:p>
        </w:tc>
      </w:tr>
      <w:tr w14:paraId="1EEF9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5" w:type="dxa"/>
            <w:tcBorders>
              <w:top w:val="nil"/>
              <w:left w:val="nil"/>
              <w:bottom w:val="nil"/>
              <w:right w:val="nil"/>
            </w:tcBorders>
            <w:vAlign w:val="center"/>
          </w:tcPr>
          <w:p w14:paraId="574643CA">
            <w:pPr>
              <w:jc w:val="cente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式中</w:t>
            </w:r>
          </w:p>
        </w:tc>
        <w:tc>
          <w:tcPr>
            <w:tcW w:w="761" w:type="dxa"/>
            <w:tcBorders>
              <w:top w:val="nil"/>
              <w:left w:val="nil"/>
              <w:bottom w:val="nil"/>
              <w:right w:val="nil"/>
            </w:tcBorders>
            <w:vAlign w:val="center"/>
          </w:tcPr>
          <w:p w14:paraId="28A226E6">
            <w:pPr>
              <w:jc w:val="center"/>
              <w:rPr>
                <w:rFonts w:hint="eastAsia" w:eastAsia="宋体" w:cs="Times New Roman" w:asciiTheme="minorEastAsia" w:hAnsiTheme="minorEastAsia"/>
                <w:bCs/>
                <w:color w:val="auto"/>
                <w:kern w:val="0"/>
                <w:sz w:val="20"/>
                <w:szCs w:val="21"/>
              </w:rPr>
            </w:pPr>
          </w:p>
        </w:tc>
        <w:tc>
          <w:tcPr>
            <w:tcW w:w="847" w:type="dxa"/>
            <w:tcBorders>
              <w:top w:val="nil"/>
              <w:left w:val="nil"/>
              <w:bottom w:val="nil"/>
              <w:right w:val="nil"/>
            </w:tcBorders>
            <w:vAlign w:val="center"/>
          </w:tcPr>
          <w:p w14:paraId="3F894AC2">
            <w:pPr>
              <w:jc w:val="cente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w:t>
            </w:r>
          </w:p>
        </w:tc>
        <w:tc>
          <w:tcPr>
            <w:tcW w:w="5824" w:type="dxa"/>
            <w:gridSpan w:val="3"/>
            <w:tcBorders>
              <w:top w:val="nil"/>
              <w:left w:val="nil"/>
              <w:bottom w:val="nil"/>
              <w:right w:val="nil"/>
            </w:tcBorders>
            <w:vAlign w:val="center"/>
          </w:tcPr>
          <w:p w14:paraId="3C2D17DF">
            <w:pP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恒荷载均布线荷载标准值；</w:t>
            </w:r>
          </w:p>
        </w:tc>
      </w:tr>
      <w:tr w14:paraId="19ABD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5" w:type="dxa"/>
            <w:tcBorders>
              <w:top w:val="nil"/>
              <w:left w:val="nil"/>
              <w:bottom w:val="nil"/>
              <w:right w:val="nil"/>
            </w:tcBorders>
            <w:vAlign w:val="center"/>
          </w:tcPr>
          <w:p w14:paraId="640DF0CB">
            <w:pPr>
              <w:jc w:val="center"/>
              <w:rPr>
                <w:rFonts w:hint="eastAsia" w:eastAsia="宋体" w:cs="Times New Roman" w:asciiTheme="minorEastAsia" w:hAnsiTheme="minorEastAsia"/>
                <w:bCs/>
                <w:color w:val="auto"/>
                <w:kern w:val="0"/>
                <w:sz w:val="24"/>
                <w:szCs w:val="24"/>
              </w:rPr>
            </w:pPr>
          </w:p>
        </w:tc>
        <w:tc>
          <w:tcPr>
            <w:tcW w:w="761" w:type="dxa"/>
            <w:tcBorders>
              <w:top w:val="nil"/>
              <w:left w:val="nil"/>
              <w:bottom w:val="nil"/>
              <w:right w:val="nil"/>
            </w:tcBorders>
            <w:vAlign w:val="center"/>
          </w:tcPr>
          <w:p w14:paraId="43E1838F">
            <w:pPr>
              <w:jc w:val="center"/>
              <w:rPr>
                <w:rFonts w:hint="eastAsia" w:eastAsia="宋体" w:cs="Times New Roman" w:asciiTheme="minorEastAsia" w:hAnsiTheme="minorEastAsia"/>
                <w:bCs/>
                <w:color w:val="auto"/>
                <w:kern w:val="0"/>
                <w:sz w:val="24"/>
                <w:szCs w:val="24"/>
              </w:rPr>
            </w:pPr>
          </w:p>
        </w:tc>
        <w:tc>
          <w:tcPr>
            <w:tcW w:w="847" w:type="dxa"/>
            <w:tcBorders>
              <w:top w:val="nil"/>
              <w:left w:val="nil"/>
              <w:bottom w:val="nil"/>
              <w:right w:val="nil"/>
            </w:tcBorders>
            <w:vAlign w:val="center"/>
          </w:tcPr>
          <w:p w14:paraId="53AB45E6">
            <w:pPr>
              <w:jc w:val="cente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w:t>
            </w:r>
          </w:p>
        </w:tc>
        <w:tc>
          <w:tcPr>
            <w:tcW w:w="5824" w:type="dxa"/>
            <w:gridSpan w:val="3"/>
            <w:tcBorders>
              <w:top w:val="nil"/>
              <w:left w:val="nil"/>
              <w:bottom w:val="nil"/>
              <w:right w:val="nil"/>
            </w:tcBorders>
            <w:vAlign w:val="center"/>
          </w:tcPr>
          <w:p w14:paraId="4FD5906C">
            <w:pP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集中荷载标准值；</w:t>
            </w:r>
          </w:p>
        </w:tc>
      </w:tr>
      <w:tr w14:paraId="0FB4C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5" w:type="dxa"/>
            <w:tcBorders>
              <w:top w:val="nil"/>
              <w:left w:val="nil"/>
              <w:bottom w:val="nil"/>
              <w:right w:val="nil"/>
            </w:tcBorders>
            <w:vAlign w:val="center"/>
          </w:tcPr>
          <w:p w14:paraId="3D26E21D">
            <w:pPr>
              <w:jc w:val="center"/>
              <w:rPr>
                <w:rFonts w:hint="eastAsia" w:eastAsia="宋体" w:cs="Times New Roman" w:asciiTheme="minorEastAsia" w:hAnsiTheme="minorEastAsia"/>
                <w:bCs/>
                <w:color w:val="auto"/>
                <w:kern w:val="0"/>
                <w:sz w:val="24"/>
                <w:szCs w:val="24"/>
              </w:rPr>
            </w:pPr>
          </w:p>
        </w:tc>
        <w:tc>
          <w:tcPr>
            <w:tcW w:w="761" w:type="dxa"/>
            <w:tcBorders>
              <w:top w:val="nil"/>
              <w:left w:val="nil"/>
              <w:bottom w:val="nil"/>
              <w:right w:val="nil"/>
            </w:tcBorders>
            <w:vAlign w:val="center"/>
          </w:tcPr>
          <w:p w14:paraId="4E259810">
            <w:pPr>
              <w:jc w:val="center"/>
              <w:rPr>
                <w:rFonts w:hint="eastAsia" w:eastAsia="宋体" w:cs="Times New Roman" w:asciiTheme="minorEastAsia" w:hAnsiTheme="minorEastAsia"/>
                <w:bCs/>
                <w:color w:val="auto"/>
                <w:kern w:val="0"/>
                <w:sz w:val="24"/>
                <w:szCs w:val="24"/>
              </w:rPr>
            </w:pPr>
          </w:p>
        </w:tc>
        <w:tc>
          <w:tcPr>
            <w:tcW w:w="847" w:type="dxa"/>
            <w:tcBorders>
              <w:top w:val="nil"/>
              <w:left w:val="nil"/>
              <w:bottom w:val="nil"/>
              <w:right w:val="nil"/>
            </w:tcBorders>
            <w:vAlign w:val="center"/>
          </w:tcPr>
          <w:p w14:paraId="40B531F6">
            <w:pPr>
              <w:jc w:val="cente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w:t>
            </w:r>
          </w:p>
        </w:tc>
        <w:tc>
          <w:tcPr>
            <w:tcW w:w="5824" w:type="dxa"/>
            <w:gridSpan w:val="3"/>
            <w:tcBorders>
              <w:top w:val="nil"/>
              <w:left w:val="nil"/>
              <w:bottom w:val="nil"/>
              <w:right w:val="nil"/>
            </w:tcBorders>
            <w:vAlign w:val="center"/>
          </w:tcPr>
          <w:p w14:paraId="7EF0202B">
            <w:pPr>
              <w:rPr>
                <w:rFonts w:hint="eastAsia" w:eastAsia="宋体" w:cs="Times New Roman" w:asciiTheme="minorEastAsia" w:hAnsiTheme="minorEastAsia"/>
                <w:bCs/>
                <w:color w:val="auto"/>
                <w:kern w:val="0"/>
                <w:sz w:val="24"/>
                <w:szCs w:val="24"/>
              </w:rPr>
            </w:pPr>
            <w:r>
              <w:rPr>
                <w:rFonts w:hint="eastAsia" w:ascii="Times New Roman" w:hAnsi="Times New Roman" w:eastAsia="宋体" w:cs="Times New Roman"/>
                <w:bCs/>
                <w:color w:val="auto"/>
                <w:kern w:val="0"/>
                <w:sz w:val="24"/>
                <w:szCs w:val="24"/>
              </w:rPr>
              <w:t>保温免拆模板弹性模量；</w:t>
            </w:r>
          </w:p>
        </w:tc>
      </w:tr>
      <w:tr w14:paraId="469F2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5" w:type="dxa"/>
            <w:tcBorders>
              <w:top w:val="nil"/>
              <w:left w:val="nil"/>
              <w:bottom w:val="nil"/>
              <w:right w:val="nil"/>
            </w:tcBorders>
            <w:vAlign w:val="center"/>
          </w:tcPr>
          <w:p w14:paraId="391B714C">
            <w:pPr>
              <w:jc w:val="center"/>
              <w:rPr>
                <w:rFonts w:hint="eastAsia" w:eastAsia="宋体" w:cs="Times New Roman" w:asciiTheme="minorEastAsia" w:hAnsiTheme="minorEastAsia"/>
                <w:bCs/>
                <w:color w:val="auto"/>
                <w:kern w:val="0"/>
                <w:sz w:val="24"/>
                <w:szCs w:val="24"/>
              </w:rPr>
            </w:pPr>
          </w:p>
        </w:tc>
        <w:tc>
          <w:tcPr>
            <w:tcW w:w="761" w:type="dxa"/>
            <w:tcBorders>
              <w:top w:val="nil"/>
              <w:left w:val="nil"/>
              <w:bottom w:val="nil"/>
              <w:right w:val="nil"/>
            </w:tcBorders>
            <w:vAlign w:val="center"/>
          </w:tcPr>
          <w:p w14:paraId="6C084C94">
            <w:pPr>
              <w:jc w:val="center"/>
              <w:rPr>
                <w:rFonts w:hint="eastAsia" w:eastAsia="宋体" w:cs="Times New Roman" w:asciiTheme="minorEastAsia" w:hAnsiTheme="minorEastAsia"/>
                <w:bCs/>
                <w:color w:val="auto"/>
                <w:kern w:val="0"/>
                <w:sz w:val="24"/>
                <w:szCs w:val="24"/>
              </w:rPr>
            </w:pPr>
          </w:p>
        </w:tc>
        <w:tc>
          <w:tcPr>
            <w:tcW w:w="847" w:type="dxa"/>
            <w:tcBorders>
              <w:top w:val="nil"/>
              <w:left w:val="nil"/>
              <w:bottom w:val="nil"/>
              <w:right w:val="nil"/>
            </w:tcBorders>
            <w:vAlign w:val="center"/>
          </w:tcPr>
          <w:p w14:paraId="2038B8FC">
            <w:pPr>
              <w:jc w:val="cente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w:t>
            </w:r>
          </w:p>
        </w:tc>
        <w:tc>
          <w:tcPr>
            <w:tcW w:w="5824" w:type="dxa"/>
            <w:gridSpan w:val="3"/>
            <w:tcBorders>
              <w:top w:val="nil"/>
              <w:left w:val="nil"/>
              <w:bottom w:val="nil"/>
              <w:right w:val="nil"/>
            </w:tcBorders>
            <w:vAlign w:val="center"/>
          </w:tcPr>
          <w:p w14:paraId="46F03816">
            <w:pPr>
              <w:rPr>
                <w:rFonts w:hint="eastAsia" w:eastAsia="宋体" w:cs="Times New Roman" w:asciiTheme="minorEastAsia" w:hAnsiTheme="minorEastAsia"/>
                <w:bCs/>
                <w:color w:val="auto"/>
                <w:kern w:val="0"/>
                <w:sz w:val="24"/>
                <w:szCs w:val="24"/>
              </w:rPr>
            </w:pPr>
            <w:r>
              <w:rPr>
                <w:rFonts w:hint="eastAsia" w:ascii="Times New Roman" w:hAnsi="Times New Roman" w:eastAsia="宋体" w:cs="Times New Roman"/>
                <w:bCs/>
                <w:color w:val="auto"/>
                <w:kern w:val="0"/>
                <w:sz w:val="24"/>
                <w:szCs w:val="24"/>
              </w:rPr>
              <w:t>保温免拆模板截面惯性矩；</w:t>
            </w:r>
          </w:p>
        </w:tc>
      </w:tr>
      <w:tr w14:paraId="413B4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5" w:type="dxa"/>
            <w:tcBorders>
              <w:top w:val="nil"/>
              <w:left w:val="nil"/>
              <w:bottom w:val="nil"/>
              <w:right w:val="nil"/>
            </w:tcBorders>
            <w:vAlign w:val="center"/>
          </w:tcPr>
          <w:p w14:paraId="2F8820E7">
            <w:pPr>
              <w:jc w:val="center"/>
              <w:rPr>
                <w:rFonts w:hint="eastAsia" w:eastAsia="宋体" w:cs="Times New Roman" w:asciiTheme="minorEastAsia" w:hAnsiTheme="minorEastAsia"/>
                <w:bCs/>
                <w:color w:val="auto"/>
                <w:kern w:val="0"/>
                <w:sz w:val="24"/>
                <w:szCs w:val="24"/>
              </w:rPr>
            </w:pPr>
          </w:p>
        </w:tc>
        <w:tc>
          <w:tcPr>
            <w:tcW w:w="761" w:type="dxa"/>
            <w:tcBorders>
              <w:top w:val="nil"/>
              <w:left w:val="nil"/>
              <w:bottom w:val="nil"/>
              <w:right w:val="nil"/>
            </w:tcBorders>
            <w:vAlign w:val="center"/>
          </w:tcPr>
          <w:p w14:paraId="3BCB7B6A">
            <w:pPr>
              <w:jc w:val="center"/>
              <w:rPr>
                <w:rFonts w:hint="eastAsia" w:eastAsia="宋体" w:cs="Times New Roman" w:asciiTheme="minorEastAsia" w:hAnsiTheme="minorEastAsia"/>
                <w:bCs/>
                <w:color w:val="auto"/>
                <w:kern w:val="0"/>
                <w:sz w:val="24"/>
                <w:szCs w:val="24"/>
              </w:rPr>
            </w:pPr>
          </w:p>
        </w:tc>
        <w:tc>
          <w:tcPr>
            <w:tcW w:w="847" w:type="dxa"/>
            <w:tcBorders>
              <w:top w:val="nil"/>
              <w:left w:val="nil"/>
              <w:bottom w:val="nil"/>
              <w:right w:val="nil"/>
            </w:tcBorders>
            <w:vAlign w:val="center"/>
          </w:tcPr>
          <w:p w14:paraId="0807C975">
            <w:pPr>
              <w:jc w:val="cente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w:t>
            </w:r>
          </w:p>
        </w:tc>
        <w:tc>
          <w:tcPr>
            <w:tcW w:w="5824" w:type="dxa"/>
            <w:gridSpan w:val="3"/>
            <w:tcBorders>
              <w:top w:val="nil"/>
              <w:left w:val="nil"/>
              <w:bottom w:val="nil"/>
              <w:right w:val="nil"/>
            </w:tcBorders>
            <w:vAlign w:val="center"/>
          </w:tcPr>
          <w:p w14:paraId="4EECE849">
            <w:pPr>
              <w:rPr>
                <w:rFonts w:hint="eastAsia" w:eastAsia="宋体" w:cs="Times New Roman" w:asciiTheme="minorEastAsia" w:hAnsiTheme="minorEastAsia"/>
                <w:bCs/>
                <w:color w:val="auto"/>
                <w:kern w:val="0"/>
                <w:sz w:val="24"/>
                <w:szCs w:val="24"/>
              </w:rPr>
            </w:pPr>
            <w:r>
              <w:rPr>
                <w:rFonts w:hint="eastAsia" w:ascii="Times New Roman" w:hAnsi="Times New Roman" w:eastAsia="宋体" w:cs="Times New Roman"/>
                <w:bCs/>
                <w:color w:val="auto"/>
                <w:kern w:val="0"/>
                <w:sz w:val="24"/>
                <w:szCs w:val="24"/>
              </w:rPr>
              <w:t>保温免拆模板计算跨度；</w:t>
            </w:r>
          </w:p>
        </w:tc>
      </w:tr>
      <w:tr w14:paraId="40AFA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5" w:type="dxa"/>
            <w:tcBorders>
              <w:top w:val="nil"/>
              <w:left w:val="nil"/>
              <w:bottom w:val="nil"/>
              <w:right w:val="nil"/>
            </w:tcBorders>
            <w:vAlign w:val="center"/>
          </w:tcPr>
          <w:p w14:paraId="4D3F3F54">
            <w:pPr>
              <w:jc w:val="center"/>
              <w:rPr>
                <w:rFonts w:hint="eastAsia" w:eastAsia="宋体" w:cs="Times New Roman" w:asciiTheme="minorEastAsia" w:hAnsiTheme="minorEastAsia"/>
                <w:bCs/>
                <w:color w:val="auto"/>
                <w:kern w:val="0"/>
                <w:sz w:val="24"/>
                <w:szCs w:val="24"/>
              </w:rPr>
            </w:pPr>
          </w:p>
        </w:tc>
        <w:tc>
          <w:tcPr>
            <w:tcW w:w="761" w:type="dxa"/>
            <w:tcBorders>
              <w:top w:val="nil"/>
              <w:left w:val="nil"/>
              <w:bottom w:val="nil"/>
              <w:right w:val="nil"/>
            </w:tcBorders>
            <w:vAlign w:val="center"/>
          </w:tcPr>
          <w:p w14:paraId="7E94511B">
            <w:pPr>
              <w:jc w:val="center"/>
              <w:rPr>
                <w:rFonts w:hint="eastAsia" w:eastAsia="宋体" w:cs="Times New Roman" w:asciiTheme="minorEastAsia" w:hAnsiTheme="minorEastAsia"/>
                <w:bCs/>
                <w:color w:val="auto"/>
                <w:kern w:val="0"/>
                <w:sz w:val="24"/>
                <w:szCs w:val="24"/>
              </w:rPr>
            </w:pPr>
          </w:p>
        </w:tc>
        <w:tc>
          <w:tcPr>
            <w:tcW w:w="847" w:type="dxa"/>
            <w:tcBorders>
              <w:top w:val="nil"/>
              <w:left w:val="nil"/>
              <w:bottom w:val="nil"/>
              <w:right w:val="nil"/>
            </w:tcBorders>
            <w:vAlign w:val="center"/>
          </w:tcPr>
          <w:p w14:paraId="777016A0">
            <w:pPr>
              <w:jc w:val="cente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w:t>
            </w:r>
          </w:p>
        </w:tc>
        <w:tc>
          <w:tcPr>
            <w:tcW w:w="5824" w:type="dxa"/>
            <w:gridSpan w:val="3"/>
            <w:tcBorders>
              <w:top w:val="nil"/>
              <w:left w:val="nil"/>
              <w:bottom w:val="nil"/>
              <w:right w:val="nil"/>
            </w:tcBorders>
            <w:vAlign w:val="center"/>
          </w:tcPr>
          <w:p w14:paraId="63C94367">
            <w:pPr>
              <w:rPr>
                <w:rFonts w:hint="eastAsia" w:eastAsia="宋体" w:cs="Times New Roman" w:asciiTheme="minorEastAsia" w:hAnsiTheme="minorEastAsia"/>
                <w:bCs/>
                <w:color w:val="auto"/>
                <w:kern w:val="0"/>
                <w:sz w:val="24"/>
                <w:szCs w:val="24"/>
              </w:rPr>
            </w:pPr>
            <w:r>
              <w:rPr>
                <w:rFonts w:hint="eastAsia" w:ascii="Times New Roman" w:hAnsi="Times New Roman" w:eastAsia="宋体" w:cs="Times New Roman"/>
                <w:bCs/>
                <w:color w:val="auto"/>
                <w:kern w:val="0"/>
                <w:sz w:val="24"/>
                <w:szCs w:val="24"/>
              </w:rPr>
              <w:t>保温免拆模板容许挠度，取</w:t>
            </w:r>
            <w:r>
              <w:rPr>
                <w:rFonts w:hint="eastAsia" w:ascii="Times New Roman" w:hAnsi="Times New Roman" w:eastAsia="宋体"/>
                <w:bCs/>
                <w:color w:val="auto"/>
                <w:sz w:val="24"/>
                <w:szCs w:val="24"/>
              </w:rPr>
              <w:t>3mm</w:t>
            </w:r>
            <w:r>
              <w:rPr>
                <w:rFonts w:hint="eastAsia" w:ascii="Times New Roman" w:hAnsi="Times New Roman" w:eastAsia="宋体" w:cs="Times New Roman"/>
                <w:bCs/>
                <w:color w:val="auto"/>
                <w:kern w:val="0"/>
                <w:sz w:val="24"/>
                <w:szCs w:val="24"/>
              </w:rPr>
              <w:t>。</w:t>
            </w:r>
          </w:p>
        </w:tc>
      </w:tr>
    </w:tbl>
    <w:p w14:paraId="52B87438">
      <w:pPr>
        <w:tabs>
          <w:tab w:val="left" w:pos="3969"/>
        </w:tabs>
        <w:snapToGrid w:val="0"/>
        <w:spacing w:line="300" w:lineRule="auto"/>
        <w:ind w:firstLine="482" w:firstLineChars="200"/>
        <w:rPr>
          <w:rFonts w:ascii="Times New Roman" w:hAnsi="Times New Roman" w:eastAsia="宋体"/>
          <w:bCs/>
          <w:color w:val="auto"/>
          <w:sz w:val="24"/>
          <w:szCs w:val="24"/>
        </w:rPr>
      </w:pPr>
      <w:r>
        <w:rPr>
          <w:rFonts w:hint="eastAsia" w:ascii="Times New Roman" w:hAnsi="Times New Roman" w:eastAsia="宋体"/>
          <w:b/>
          <w:color w:val="auto"/>
          <w:sz w:val="24"/>
          <w:szCs w:val="24"/>
        </w:rPr>
        <w:t>6.</w:t>
      </w:r>
      <w:r>
        <w:rPr>
          <w:rFonts w:ascii="Times New Roman" w:hAnsi="Times New Roman" w:eastAsia="宋体"/>
          <w:b/>
          <w:color w:val="auto"/>
          <w:sz w:val="24"/>
          <w:szCs w:val="24"/>
        </w:rPr>
        <w:t xml:space="preserve">2.3 </w:t>
      </w:r>
      <w:r>
        <w:rPr>
          <w:rFonts w:hint="eastAsia" w:ascii="Times New Roman" w:hAnsi="Times New Roman" w:eastAsia="宋体"/>
          <w:bCs/>
          <w:color w:val="auto"/>
          <w:sz w:val="24"/>
          <w:szCs w:val="24"/>
        </w:rPr>
        <w:t>支承楞梁计算时，次楞一般为2跨以上连续楞梁，可按本规范附录C计算，当跨度不等时，应按不等跨连续楞梁或悬臂楞梁设计；主楞可根据实际情况按连续梁、简支梁或悬臂梁设计；同时次、主楞均应进行最不利抗弯强度与挠度计算，并应符合下列规定：</w:t>
      </w:r>
    </w:p>
    <w:p w14:paraId="1C4E66F7">
      <w:pPr>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1 次、主楞抗弯强度计算</w:t>
      </w:r>
    </w:p>
    <w:p w14:paraId="5DF01B24">
      <w:pPr>
        <w:spacing w:line="360" w:lineRule="auto"/>
        <w:ind w:firstLine="960" w:firstLineChars="400"/>
        <w:rPr>
          <w:rFonts w:ascii="Times New Roman" w:hAnsi="Times New Roman" w:eastAsia="宋体"/>
          <w:bCs/>
          <w:color w:val="auto"/>
          <w:sz w:val="24"/>
          <w:szCs w:val="24"/>
        </w:rPr>
      </w:pPr>
      <w:r>
        <w:rPr>
          <w:rFonts w:hint="eastAsia" w:ascii="Times New Roman" w:hAnsi="Times New Roman" w:eastAsia="宋体"/>
          <w:bCs/>
          <w:color w:val="auto"/>
          <w:sz w:val="24"/>
          <w:szCs w:val="24"/>
        </w:rPr>
        <w:t>次、主楞抗弯强度应按下式计算：</w:t>
      </w:r>
    </w:p>
    <w:tbl>
      <w:tblPr>
        <w:tblStyle w:val="89"/>
        <w:tblW w:w="829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148"/>
        <w:gridCol w:w="4148"/>
      </w:tblGrid>
      <w:tr w14:paraId="226AAD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148" w:type="dxa"/>
          </w:tcPr>
          <w:p w14:paraId="6D18D861">
            <w:pPr>
              <w:spacing w:line="360" w:lineRule="auto"/>
              <w:rPr>
                <w:rFonts w:ascii="Times New Roman" w:hAnsi="Times New Roman" w:eastAsia="宋体" w:cs="Times New Roman"/>
                <w:bCs/>
                <w:color w:val="auto"/>
                <w:kern w:val="0"/>
                <w:sz w:val="24"/>
                <w:szCs w:val="24"/>
              </w:rPr>
            </w:pPr>
          </w:p>
        </w:tc>
        <w:tc>
          <w:tcPr>
            <w:tcW w:w="4148" w:type="dxa"/>
          </w:tcPr>
          <w:p w14:paraId="03C445CE">
            <w:pPr>
              <w:spacing w:line="360" w:lineRule="auto"/>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（6</w:t>
            </w:r>
            <w:r>
              <w:rPr>
                <w:rFonts w:ascii="Times New Roman" w:hAnsi="Times New Roman" w:eastAsia="宋体" w:cs="Times New Roman"/>
                <w:bCs/>
                <w:color w:val="auto"/>
                <w:kern w:val="0"/>
                <w:sz w:val="24"/>
                <w:szCs w:val="24"/>
              </w:rPr>
              <w:t>.2.3-1</w:t>
            </w:r>
            <w:r>
              <w:rPr>
                <w:rFonts w:hint="eastAsia" w:ascii="Times New Roman" w:hAnsi="Times New Roman" w:eastAsia="宋体" w:cs="Times New Roman"/>
                <w:bCs/>
                <w:color w:val="auto"/>
                <w:kern w:val="0"/>
                <w:sz w:val="24"/>
                <w:szCs w:val="24"/>
              </w:rPr>
              <w:t>）</w:t>
            </w:r>
          </w:p>
        </w:tc>
      </w:tr>
    </w:tbl>
    <w:p w14:paraId="08A88D3D">
      <w:pPr>
        <w:rPr>
          <w:rFonts w:ascii="Times New Roman" w:hAnsi="Times New Roman" w:eastAsia="宋体"/>
          <w:bCs/>
          <w:color w:val="auto"/>
          <w:sz w:val="24"/>
          <w:szCs w:val="24"/>
        </w:rPr>
      </w:pPr>
    </w:p>
    <w:tbl>
      <w:tblPr>
        <w:tblStyle w:val="89"/>
        <w:tblW w:w="852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95"/>
        <w:gridCol w:w="761"/>
        <w:gridCol w:w="847"/>
        <w:gridCol w:w="5819"/>
      </w:tblGrid>
      <w:tr w14:paraId="65ABD7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95" w:type="dxa"/>
          </w:tcPr>
          <w:p w14:paraId="4D3FC071">
            <w:pPr>
              <w:rPr>
                <w:rFonts w:hint="eastAsia" w:eastAsia="宋体" w:cs="Times New Roman" w:asciiTheme="minorEastAsia" w:hAnsiTheme="minorEastAsia"/>
                <w:bCs/>
                <w:color w:val="auto"/>
                <w:kern w:val="0"/>
                <w:sz w:val="24"/>
                <w:szCs w:val="24"/>
              </w:rPr>
            </w:pPr>
            <w:r>
              <w:rPr>
                <w:rFonts w:hint="eastAsia" w:eastAsia="宋体" w:cs="Times New Roman" w:asciiTheme="minorEastAsia" w:hAnsiTheme="minorEastAsia"/>
                <w:bCs/>
                <w:color w:val="auto"/>
                <w:kern w:val="0"/>
                <w:sz w:val="24"/>
                <w:szCs w:val="24"/>
              </w:rPr>
              <w:t>式中</w:t>
            </w:r>
          </w:p>
        </w:tc>
        <w:tc>
          <w:tcPr>
            <w:tcW w:w="761" w:type="dxa"/>
            <w:vAlign w:val="center"/>
          </w:tcPr>
          <w:p w14:paraId="4FF4D7F1">
            <w:pPr>
              <w:jc w:val="center"/>
              <w:rPr>
                <w:rFonts w:hint="eastAsia" w:eastAsia="宋体" w:cs="Times New Roman" w:asciiTheme="minorEastAsia" w:hAnsiTheme="minorEastAsia"/>
                <w:bCs/>
                <w:color w:val="auto"/>
                <w:kern w:val="0"/>
                <w:sz w:val="20"/>
                <w:szCs w:val="21"/>
              </w:rPr>
            </w:pPr>
          </w:p>
        </w:tc>
        <w:tc>
          <w:tcPr>
            <w:tcW w:w="847" w:type="dxa"/>
            <w:vAlign w:val="center"/>
          </w:tcPr>
          <w:p w14:paraId="7BB7B475">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19" w:type="dxa"/>
          </w:tcPr>
          <w:p w14:paraId="38F0CCD7">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最不利弯矩设计值；</w:t>
            </w:r>
          </w:p>
        </w:tc>
      </w:tr>
      <w:tr w14:paraId="232095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95" w:type="dxa"/>
          </w:tcPr>
          <w:p w14:paraId="646EDEB1">
            <w:pPr>
              <w:rPr>
                <w:rFonts w:hint="eastAsia" w:eastAsia="宋体" w:cs="Times New Roman" w:asciiTheme="minorEastAsia" w:hAnsiTheme="minorEastAsia"/>
                <w:bCs/>
                <w:color w:val="auto"/>
                <w:kern w:val="0"/>
                <w:sz w:val="24"/>
                <w:szCs w:val="24"/>
              </w:rPr>
            </w:pPr>
          </w:p>
        </w:tc>
        <w:tc>
          <w:tcPr>
            <w:tcW w:w="761" w:type="dxa"/>
            <w:vAlign w:val="center"/>
          </w:tcPr>
          <w:p w14:paraId="266E2CCE">
            <w:pPr>
              <w:jc w:val="center"/>
              <w:rPr>
                <w:rFonts w:hint="eastAsia" w:eastAsia="宋体" w:cs="Times New Roman" w:asciiTheme="minorEastAsia" w:hAnsiTheme="minorEastAsia"/>
                <w:bCs/>
                <w:color w:val="auto"/>
                <w:kern w:val="0"/>
                <w:sz w:val="24"/>
                <w:szCs w:val="24"/>
              </w:rPr>
            </w:pPr>
          </w:p>
        </w:tc>
        <w:tc>
          <w:tcPr>
            <w:tcW w:w="847" w:type="dxa"/>
            <w:vAlign w:val="center"/>
          </w:tcPr>
          <w:p w14:paraId="5543A1AA">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19" w:type="dxa"/>
            <w:vAlign w:val="center"/>
          </w:tcPr>
          <w:p w14:paraId="39933085">
            <w:pPr>
              <w:rPr>
                <w:rFonts w:hint="eastAsia" w:eastAsia="宋体" w:cs="Times New Roman" w:asciiTheme="minorEastAsia" w:hAnsiTheme="minorEastAsia"/>
                <w:bCs/>
                <w:color w:val="auto"/>
                <w:kern w:val="0"/>
                <w:sz w:val="24"/>
                <w:szCs w:val="24"/>
              </w:rPr>
            </w:pPr>
            <w:r>
              <w:rPr>
                <w:rFonts w:hint="eastAsia" w:ascii="Times New Roman" w:hAnsi="Times New Roman" w:eastAsia="宋体" w:cs="Times New Roman"/>
                <w:bCs/>
                <w:color w:val="auto"/>
                <w:kern w:val="0"/>
                <w:sz w:val="24"/>
                <w:szCs w:val="24"/>
              </w:rPr>
              <w:t>次、主楞截面抵抗矩；</w:t>
            </w:r>
          </w:p>
        </w:tc>
      </w:tr>
      <w:tr w14:paraId="2209B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95" w:type="dxa"/>
          </w:tcPr>
          <w:p w14:paraId="1B81F6ED">
            <w:pPr>
              <w:rPr>
                <w:rFonts w:hint="eastAsia" w:eastAsia="宋体" w:cs="Times New Roman" w:asciiTheme="minorEastAsia" w:hAnsiTheme="minorEastAsia"/>
                <w:bCs/>
                <w:color w:val="auto"/>
                <w:kern w:val="0"/>
                <w:sz w:val="24"/>
                <w:szCs w:val="24"/>
              </w:rPr>
            </w:pPr>
          </w:p>
        </w:tc>
        <w:tc>
          <w:tcPr>
            <w:tcW w:w="761" w:type="dxa"/>
            <w:vAlign w:val="center"/>
          </w:tcPr>
          <w:p w14:paraId="2C4A6377">
            <w:pPr>
              <w:jc w:val="center"/>
              <w:rPr>
                <w:rFonts w:hint="eastAsia" w:eastAsia="宋体" w:cs="Times New Roman" w:asciiTheme="minorEastAsia" w:hAnsiTheme="minorEastAsia"/>
                <w:bCs/>
                <w:color w:val="auto"/>
                <w:kern w:val="0"/>
                <w:sz w:val="24"/>
                <w:szCs w:val="24"/>
              </w:rPr>
            </w:pPr>
          </w:p>
        </w:tc>
        <w:tc>
          <w:tcPr>
            <w:tcW w:w="847" w:type="dxa"/>
            <w:vAlign w:val="center"/>
          </w:tcPr>
          <w:p w14:paraId="57EFCEE5">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19" w:type="dxa"/>
            <w:vAlign w:val="center"/>
          </w:tcPr>
          <w:p w14:paraId="4E4E170A">
            <w:pPr>
              <w:rPr>
                <w:rFonts w:hint="eastAsia" w:eastAsia="宋体" w:cs="Times New Roman" w:asciiTheme="minorEastAsia" w:hAnsiTheme="minorEastAsia"/>
                <w:bCs/>
                <w:color w:val="auto"/>
                <w:kern w:val="0"/>
                <w:sz w:val="24"/>
                <w:szCs w:val="24"/>
              </w:rPr>
            </w:pPr>
            <w:r>
              <w:rPr>
                <w:rFonts w:hint="eastAsia" w:ascii="Times New Roman" w:hAnsi="Times New Roman" w:eastAsia="宋体" w:cs="Times New Roman"/>
                <w:bCs/>
                <w:color w:val="auto"/>
                <w:kern w:val="0"/>
                <w:sz w:val="24"/>
                <w:szCs w:val="24"/>
              </w:rPr>
              <w:t>次、主楞材料抗弯强度设计值。</w:t>
            </w:r>
          </w:p>
        </w:tc>
      </w:tr>
    </w:tbl>
    <w:p w14:paraId="230E6115">
      <w:pPr>
        <w:spacing w:line="360" w:lineRule="auto"/>
        <w:ind w:firstLine="480" w:firstLineChars="200"/>
        <w:rPr>
          <w:rFonts w:ascii="Times New Roman" w:hAnsi="Times New Roman" w:eastAsia="宋体"/>
          <w:bCs/>
          <w:color w:val="auto"/>
          <w:sz w:val="24"/>
          <w:szCs w:val="24"/>
        </w:rPr>
      </w:pPr>
      <w:r>
        <w:rPr>
          <w:rFonts w:ascii="Times New Roman" w:hAnsi="Times New Roman" w:eastAsia="宋体"/>
          <w:bCs/>
          <w:color w:val="auto"/>
          <w:sz w:val="24"/>
          <w:szCs w:val="24"/>
        </w:rPr>
        <w:t>2</w:t>
      </w:r>
      <w:r>
        <w:rPr>
          <w:rFonts w:hint="eastAsia" w:ascii="Times New Roman" w:hAnsi="Times New Roman" w:eastAsia="宋体"/>
          <w:bCs/>
          <w:color w:val="auto"/>
          <w:sz w:val="24"/>
          <w:szCs w:val="24"/>
        </w:rPr>
        <w:t xml:space="preserve"> 次、主楞抗剪强度计算</w:t>
      </w:r>
    </w:p>
    <w:p w14:paraId="6E559042">
      <w:pPr>
        <w:spacing w:line="360" w:lineRule="auto"/>
        <w:ind w:firstLine="960" w:firstLineChars="400"/>
        <w:rPr>
          <w:rFonts w:ascii="Times New Roman" w:hAnsi="Times New Roman" w:eastAsia="宋体"/>
          <w:bCs/>
          <w:color w:val="auto"/>
          <w:sz w:val="24"/>
          <w:szCs w:val="24"/>
        </w:rPr>
      </w:pPr>
      <w:r>
        <w:rPr>
          <w:rFonts w:hint="eastAsia" w:ascii="Times New Roman" w:hAnsi="Times New Roman" w:eastAsia="宋体"/>
          <w:bCs/>
          <w:color w:val="auto"/>
          <w:sz w:val="24"/>
          <w:szCs w:val="24"/>
        </w:rPr>
        <w:t>在主平面内受弯的实截面构件，其抗剪强度应按下式计算：</w:t>
      </w:r>
    </w:p>
    <w:tbl>
      <w:tblPr>
        <w:tblStyle w:val="89"/>
        <w:tblW w:w="829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148"/>
        <w:gridCol w:w="4148"/>
      </w:tblGrid>
      <w:tr w14:paraId="26D40C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148" w:type="dxa"/>
            <w:vAlign w:val="center"/>
          </w:tcPr>
          <w:p w14:paraId="4A130401">
            <w:pPr>
              <w:spacing w:line="360" w:lineRule="auto"/>
              <w:jc w:val="right"/>
              <w:rPr>
                <w:rFonts w:ascii="Times New Roman" w:hAnsi="Times New Roman" w:eastAsia="宋体" w:cs="Times New Roman"/>
                <w:bCs/>
                <w:color w:val="auto"/>
                <w:kern w:val="0"/>
                <w:sz w:val="24"/>
                <w:szCs w:val="24"/>
              </w:rPr>
            </w:pPr>
          </w:p>
        </w:tc>
        <w:tc>
          <w:tcPr>
            <w:tcW w:w="4148" w:type="dxa"/>
          </w:tcPr>
          <w:p w14:paraId="6517C104">
            <w:pPr>
              <w:spacing w:line="360" w:lineRule="auto"/>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（6</w:t>
            </w:r>
            <w:r>
              <w:rPr>
                <w:rFonts w:ascii="Times New Roman" w:hAnsi="Times New Roman" w:eastAsia="宋体" w:cs="Times New Roman"/>
                <w:bCs/>
                <w:color w:val="auto"/>
                <w:kern w:val="0"/>
                <w:sz w:val="24"/>
                <w:szCs w:val="24"/>
              </w:rPr>
              <w:t>.2.3-2</w:t>
            </w:r>
            <w:r>
              <w:rPr>
                <w:rFonts w:hint="eastAsia" w:ascii="Times New Roman" w:hAnsi="Times New Roman" w:eastAsia="宋体" w:cs="Times New Roman"/>
                <w:bCs/>
                <w:color w:val="auto"/>
                <w:kern w:val="0"/>
                <w:sz w:val="24"/>
                <w:szCs w:val="24"/>
              </w:rPr>
              <w:t>）</w:t>
            </w:r>
          </w:p>
        </w:tc>
      </w:tr>
    </w:tbl>
    <w:p w14:paraId="644D0452">
      <w:pPr>
        <w:rPr>
          <w:rFonts w:ascii="Times New Roman" w:hAnsi="Times New Roman" w:eastAsia="宋体"/>
          <w:bCs/>
          <w:color w:val="auto"/>
          <w:sz w:val="24"/>
          <w:szCs w:val="24"/>
        </w:rPr>
      </w:pPr>
    </w:p>
    <w:tbl>
      <w:tblPr>
        <w:tblStyle w:val="89"/>
        <w:tblW w:w="852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101"/>
        <w:gridCol w:w="708"/>
        <w:gridCol w:w="851"/>
        <w:gridCol w:w="5862"/>
      </w:tblGrid>
      <w:tr w14:paraId="4A3F8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473CE575">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式中</w:t>
            </w:r>
          </w:p>
        </w:tc>
        <w:tc>
          <w:tcPr>
            <w:tcW w:w="708" w:type="dxa"/>
          </w:tcPr>
          <w:p w14:paraId="5419F36B">
            <w:pPr>
              <w:rPr>
                <w:rFonts w:ascii="Times New Roman" w:hAnsi="Times New Roman" w:eastAsia="宋体" w:cs="Times New Roman"/>
                <w:bCs/>
                <w:color w:val="auto"/>
                <w:kern w:val="0"/>
                <w:sz w:val="24"/>
                <w:szCs w:val="24"/>
              </w:rPr>
            </w:pPr>
          </w:p>
        </w:tc>
        <w:tc>
          <w:tcPr>
            <w:tcW w:w="851" w:type="dxa"/>
          </w:tcPr>
          <w:p w14:paraId="3403218A">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2" w:type="dxa"/>
          </w:tcPr>
          <w:p w14:paraId="0848D922">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计算截面沿腹板平面作用的剪力设计值；</w:t>
            </w:r>
          </w:p>
        </w:tc>
      </w:tr>
      <w:tr w14:paraId="5F789B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2DF347B8">
            <w:pPr>
              <w:rPr>
                <w:rFonts w:ascii="Times New Roman" w:hAnsi="Times New Roman" w:eastAsia="宋体" w:cs="Times New Roman"/>
                <w:bCs/>
                <w:color w:val="auto"/>
                <w:kern w:val="0"/>
                <w:sz w:val="24"/>
                <w:szCs w:val="24"/>
              </w:rPr>
            </w:pPr>
          </w:p>
        </w:tc>
        <w:tc>
          <w:tcPr>
            <w:tcW w:w="708" w:type="dxa"/>
          </w:tcPr>
          <w:p w14:paraId="13525151">
            <w:pPr>
              <w:rPr>
                <w:rFonts w:ascii="Times New Roman" w:hAnsi="Times New Roman" w:eastAsia="宋体" w:cs="Times New Roman"/>
                <w:bCs/>
                <w:color w:val="auto"/>
                <w:kern w:val="0"/>
                <w:sz w:val="24"/>
                <w:szCs w:val="24"/>
              </w:rPr>
            </w:pPr>
          </w:p>
        </w:tc>
        <w:tc>
          <w:tcPr>
            <w:tcW w:w="851" w:type="dxa"/>
          </w:tcPr>
          <w:p w14:paraId="564AB5B7">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2" w:type="dxa"/>
          </w:tcPr>
          <w:p w14:paraId="2637E8F2">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计算剪力应力处以上截面对中和轴的面积矩；</w:t>
            </w:r>
          </w:p>
          <w:p w14:paraId="6A37949A">
            <w:pPr>
              <w:rPr>
                <w:rFonts w:ascii="Times New Roman" w:hAnsi="Times New Roman" w:eastAsia="宋体" w:cs="Times New Roman"/>
                <w:bCs/>
                <w:color w:val="auto"/>
                <w:kern w:val="0"/>
                <w:sz w:val="24"/>
                <w:szCs w:val="24"/>
              </w:rPr>
            </w:pPr>
            <w:r>
              <w:rPr>
                <w:rFonts w:ascii="Times New Roman" w:hAnsi="Times New Roman" w:eastAsia="宋体" w:cs="Times New Roman"/>
                <w:color w:val="auto"/>
                <w:kern w:val="0"/>
                <w:position w:val="-12"/>
                <w:sz w:val="20"/>
                <w:szCs w:val="20"/>
              </w:rPr>
              <w:object>
                <v:shape id="_x0000_i1041" o:spt="75" type="#_x0000_t75" style="height:20.4pt;width:57pt;" o:ole="t" filled="f" coordsize="21600,21600">
                  <v:path/>
                  <v:fill on="f" focussize="0,0"/>
                  <v:stroke/>
                  <v:imagedata r:id="rId59" o:title=""/>
                  <o:lock v:ext="edit" aspectratio="t"/>
                  <w10:wrap type="none"/>
                  <w10:anchorlock/>
                </v:shape>
                <o:OLEObject Type="Embed" ProgID="Equation.DSMT4" ShapeID="_x0000_i1041" DrawAspect="Content" ObjectID="_1468075741" r:id="rId58">
                  <o:LockedField>false</o:LockedField>
                </o:OLEObject>
              </w:object>
            </w:r>
            <w:r>
              <w:rPr>
                <w:rFonts w:hint="eastAsia" w:ascii="Times New Roman" w:hAnsi="Times New Roman" w:eastAsia="宋体" w:cs="Times New Roman"/>
                <w:color w:val="auto"/>
                <w:kern w:val="0"/>
                <w:sz w:val="20"/>
                <w:szCs w:val="20"/>
              </w:rPr>
              <w:t>，</w:t>
            </w:r>
            <w:r>
              <w:rPr>
                <w:rFonts w:ascii="Times New Roman" w:hAnsi="Times New Roman" w:eastAsia="宋体" w:cs="Times New Roman"/>
                <w:color w:val="auto"/>
                <w:kern w:val="0"/>
                <w:position w:val="-12"/>
                <w:sz w:val="20"/>
                <w:szCs w:val="20"/>
              </w:rPr>
              <w:object>
                <v:shape id="_x0000_i1042" o:spt="75" type="#_x0000_t75" style="height:20.4pt;width:15pt;" o:ole="t" filled="f" coordsize="21600,21600">
                  <v:path/>
                  <v:fill on="f" focussize="0,0"/>
                  <v:stroke/>
                  <v:imagedata r:id="rId61" o:title=""/>
                  <o:lock v:ext="edit" aspectratio="t"/>
                  <w10:wrap type="none"/>
                  <w10:anchorlock/>
                </v:shape>
                <o:OLEObject Type="Embed" ProgID="Equation.DSMT4" ShapeID="_x0000_i1042" DrawAspect="Content" ObjectID="_1468075742" r:id="rId60">
                  <o:LockedField>false</o:LockedField>
                </o:OLEObject>
              </w:object>
            </w:r>
            <w:r>
              <w:rPr>
                <w:rFonts w:hint="eastAsia" w:ascii="Times New Roman" w:hAnsi="Times New Roman" w:eastAsia="宋体" w:cs="Times New Roman"/>
                <w:bCs/>
                <w:color w:val="auto"/>
                <w:kern w:val="0"/>
                <w:sz w:val="24"/>
                <w:szCs w:val="24"/>
              </w:rPr>
              <w:t>为剪力应力处以上截面面积，</w:t>
            </w:r>
            <w:r>
              <w:rPr>
                <w:rFonts w:ascii="Times New Roman" w:hAnsi="Times New Roman" w:eastAsia="宋体" w:cs="Times New Roman"/>
                <w:color w:val="auto"/>
                <w:kern w:val="0"/>
                <w:position w:val="-12"/>
                <w:sz w:val="20"/>
                <w:szCs w:val="20"/>
              </w:rPr>
              <w:object>
                <v:shape id="_x0000_i1043" o:spt="75" type="#_x0000_t75" style="height:20.4pt;width:15pt;" o:ole="t" filled="f" coordsize="21600,21600">
                  <v:path/>
                  <v:fill on="f" focussize="0,0"/>
                  <v:stroke/>
                  <v:imagedata r:id="rId63" o:title=""/>
                  <o:lock v:ext="edit" aspectratio="t"/>
                  <w10:wrap type="none"/>
                  <w10:anchorlock/>
                </v:shape>
                <o:OLEObject Type="Embed" ProgID="Equation.DSMT4" ShapeID="_x0000_i1043" DrawAspect="Content" ObjectID="_1468075743" r:id="rId62">
                  <o:LockedField>false</o:LockedField>
                </o:OLEObject>
              </w:object>
            </w:r>
            <w:r>
              <w:rPr>
                <w:rFonts w:hint="eastAsia" w:ascii="Times New Roman" w:hAnsi="Times New Roman" w:eastAsia="宋体" w:cs="Times New Roman"/>
                <w:bCs/>
                <w:color w:val="auto"/>
                <w:kern w:val="0"/>
                <w:sz w:val="24"/>
                <w:szCs w:val="24"/>
              </w:rPr>
              <w:t>为截面形心到中和轴距离；</w:t>
            </w:r>
          </w:p>
        </w:tc>
      </w:tr>
      <w:tr w14:paraId="212DC1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08869FF3">
            <w:pPr>
              <w:rPr>
                <w:rFonts w:ascii="Times New Roman" w:hAnsi="Times New Roman" w:eastAsia="宋体" w:cs="Times New Roman"/>
                <w:bCs/>
                <w:color w:val="auto"/>
                <w:kern w:val="0"/>
                <w:sz w:val="24"/>
                <w:szCs w:val="24"/>
              </w:rPr>
            </w:pPr>
          </w:p>
        </w:tc>
        <w:tc>
          <w:tcPr>
            <w:tcW w:w="708" w:type="dxa"/>
          </w:tcPr>
          <w:p w14:paraId="36B9559E">
            <w:pPr>
              <w:rPr>
                <w:rFonts w:ascii="Times New Roman" w:hAnsi="Times New Roman" w:eastAsia="宋体" w:cs="Times New Roman"/>
                <w:bCs/>
                <w:color w:val="auto"/>
                <w:kern w:val="0"/>
                <w:sz w:val="24"/>
                <w:szCs w:val="24"/>
              </w:rPr>
            </w:pPr>
          </w:p>
        </w:tc>
        <w:tc>
          <w:tcPr>
            <w:tcW w:w="851" w:type="dxa"/>
          </w:tcPr>
          <w:p w14:paraId="35CE7EE4">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2" w:type="dxa"/>
          </w:tcPr>
          <w:p w14:paraId="64561EB2">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截面惯性矩；</w:t>
            </w:r>
          </w:p>
        </w:tc>
      </w:tr>
      <w:tr w14:paraId="0C825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28D5E216">
            <w:pPr>
              <w:rPr>
                <w:rFonts w:ascii="Times New Roman" w:hAnsi="Times New Roman" w:eastAsia="宋体" w:cs="Times New Roman"/>
                <w:bCs/>
                <w:color w:val="auto"/>
                <w:kern w:val="0"/>
                <w:sz w:val="24"/>
                <w:szCs w:val="24"/>
              </w:rPr>
            </w:pPr>
          </w:p>
        </w:tc>
        <w:tc>
          <w:tcPr>
            <w:tcW w:w="708" w:type="dxa"/>
          </w:tcPr>
          <w:p w14:paraId="765504FF">
            <w:pPr>
              <w:rPr>
                <w:rFonts w:ascii="Times New Roman" w:hAnsi="Times New Roman" w:eastAsia="宋体" w:cs="Times New Roman"/>
                <w:bCs/>
                <w:color w:val="auto"/>
                <w:kern w:val="0"/>
                <w:sz w:val="24"/>
                <w:szCs w:val="24"/>
              </w:rPr>
            </w:pPr>
          </w:p>
        </w:tc>
        <w:tc>
          <w:tcPr>
            <w:tcW w:w="851" w:type="dxa"/>
          </w:tcPr>
          <w:p w14:paraId="60ADEF6B">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2" w:type="dxa"/>
          </w:tcPr>
          <w:p w14:paraId="3493C41B">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构件的截面宽度；</w:t>
            </w:r>
          </w:p>
        </w:tc>
      </w:tr>
      <w:tr w14:paraId="5D9D5A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13802AF5">
            <w:pPr>
              <w:rPr>
                <w:rFonts w:ascii="Times New Roman" w:hAnsi="Times New Roman" w:eastAsia="宋体" w:cs="Times New Roman"/>
                <w:bCs/>
                <w:color w:val="auto"/>
                <w:kern w:val="0"/>
                <w:sz w:val="24"/>
                <w:szCs w:val="24"/>
              </w:rPr>
            </w:pPr>
          </w:p>
        </w:tc>
        <w:tc>
          <w:tcPr>
            <w:tcW w:w="708" w:type="dxa"/>
          </w:tcPr>
          <w:p w14:paraId="6B0F3FDB">
            <w:pPr>
              <w:rPr>
                <w:rFonts w:ascii="Times New Roman" w:hAnsi="Times New Roman" w:eastAsia="宋体" w:cs="Times New Roman"/>
                <w:bCs/>
                <w:color w:val="auto"/>
                <w:kern w:val="0"/>
                <w:sz w:val="24"/>
                <w:szCs w:val="24"/>
              </w:rPr>
            </w:pPr>
          </w:p>
        </w:tc>
        <w:tc>
          <w:tcPr>
            <w:tcW w:w="851" w:type="dxa"/>
          </w:tcPr>
          <w:p w14:paraId="4FDA1435">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2" w:type="dxa"/>
          </w:tcPr>
          <w:p w14:paraId="69C17EEC">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次、主楞材料抗剪强度设计值。</w:t>
            </w:r>
          </w:p>
        </w:tc>
      </w:tr>
    </w:tbl>
    <w:p w14:paraId="39A9C7E2">
      <w:pPr>
        <w:rPr>
          <w:rFonts w:ascii="Times New Roman" w:hAnsi="Times New Roman" w:eastAsia="宋体"/>
          <w:bCs/>
          <w:color w:val="auto"/>
          <w:sz w:val="24"/>
          <w:szCs w:val="24"/>
        </w:rPr>
      </w:pPr>
    </w:p>
    <w:p w14:paraId="33B1C28E">
      <w:pPr>
        <w:spacing w:line="360" w:lineRule="auto"/>
        <w:ind w:firstLine="480" w:firstLineChars="200"/>
        <w:rPr>
          <w:rFonts w:ascii="Times New Roman" w:hAnsi="Times New Roman" w:eastAsia="宋体"/>
          <w:bCs/>
          <w:color w:val="auto"/>
          <w:sz w:val="24"/>
          <w:szCs w:val="24"/>
        </w:rPr>
      </w:pPr>
      <w:r>
        <w:rPr>
          <w:rFonts w:ascii="Times New Roman" w:hAnsi="Times New Roman" w:eastAsia="宋体"/>
          <w:bCs/>
          <w:color w:val="auto"/>
          <w:sz w:val="24"/>
          <w:szCs w:val="24"/>
        </w:rPr>
        <w:t xml:space="preserve">3  </w:t>
      </w:r>
      <w:r>
        <w:rPr>
          <w:rFonts w:hint="eastAsia" w:ascii="Times New Roman" w:hAnsi="Times New Roman" w:eastAsia="宋体"/>
          <w:bCs/>
          <w:color w:val="auto"/>
          <w:sz w:val="24"/>
          <w:szCs w:val="24"/>
        </w:rPr>
        <w:t>挠度计算</w:t>
      </w:r>
    </w:p>
    <w:p w14:paraId="02E20DC5">
      <w:pPr>
        <w:spacing w:line="360" w:lineRule="auto"/>
        <w:ind w:firstLine="960" w:firstLineChars="400"/>
        <w:rPr>
          <w:rFonts w:ascii="Times New Roman" w:hAnsi="Times New Roman" w:eastAsia="宋体"/>
          <w:bCs/>
          <w:color w:val="auto"/>
          <w:sz w:val="24"/>
          <w:szCs w:val="24"/>
        </w:rPr>
      </w:pPr>
      <w:r>
        <w:rPr>
          <w:rFonts w:hint="eastAsia" w:ascii="Times New Roman" w:hAnsi="Times New Roman" w:eastAsia="宋体"/>
          <w:bCs/>
          <w:color w:val="auto"/>
          <w:sz w:val="24"/>
          <w:szCs w:val="24"/>
        </w:rPr>
        <w:t>1）简支楞梁应按本规范式（6.</w:t>
      </w:r>
      <w:r>
        <w:rPr>
          <w:rFonts w:ascii="Times New Roman" w:hAnsi="Times New Roman" w:eastAsia="宋体"/>
          <w:bCs/>
          <w:color w:val="auto"/>
          <w:sz w:val="24"/>
          <w:szCs w:val="24"/>
        </w:rPr>
        <w:t>2</w:t>
      </w:r>
      <w:r>
        <w:rPr>
          <w:rFonts w:hint="eastAsia" w:ascii="Times New Roman" w:hAnsi="Times New Roman" w:eastAsia="宋体"/>
          <w:bCs/>
          <w:color w:val="auto"/>
          <w:sz w:val="24"/>
          <w:szCs w:val="24"/>
        </w:rPr>
        <w:t>.</w:t>
      </w:r>
      <w:r>
        <w:rPr>
          <w:rFonts w:ascii="Times New Roman" w:hAnsi="Times New Roman" w:eastAsia="宋体"/>
          <w:bCs/>
          <w:color w:val="auto"/>
          <w:sz w:val="24"/>
          <w:szCs w:val="24"/>
        </w:rPr>
        <w:t>2</w:t>
      </w:r>
      <w:r>
        <w:rPr>
          <w:rFonts w:hint="eastAsia" w:ascii="Times New Roman" w:hAnsi="Times New Roman" w:eastAsia="宋体"/>
          <w:bCs/>
          <w:color w:val="auto"/>
          <w:sz w:val="24"/>
          <w:szCs w:val="24"/>
        </w:rPr>
        <w:t>-4）或式（6.</w:t>
      </w:r>
      <w:r>
        <w:rPr>
          <w:rFonts w:ascii="Times New Roman" w:hAnsi="Times New Roman" w:eastAsia="宋体"/>
          <w:bCs/>
          <w:color w:val="auto"/>
          <w:sz w:val="24"/>
          <w:szCs w:val="24"/>
        </w:rPr>
        <w:t>2</w:t>
      </w:r>
      <w:r>
        <w:rPr>
          <w:rFonts w:hint="eastAsia" w:ascii="Times New Roman" w:hAnsi="Times New Roman" w:eastAsia="宋体"/>
          <w:bCs/>
          <w:color w:val="auto"/>
          <w:sz w:val="24"/>
          <w:szCs w:val="24"/>
        </w:rPr>
        <w:t>.</w:t>
      </w:r>
      <w:r>
        <w:rPr>
          <w:rFonts w:ascii="Times New Roman" w:hAnsi="Times New Roman" w:eastAsia="宋体"/>
          <w:bCs/>
          <w:color w:val="auto"/>
          <w:sz w:val="24"/>
          <w:szCs w:val="24"/>
        </w:rPr>
        <w:t>2</w:t>
      </w:r>
      <w:r>
        <w:rPr>
          <w:rFonts w:hint="eastAsia" w:ascii="Times New Roman" w:hAnsi="Times New Roman" w:eastAsia="宋体"/>
          <w:bCs/>
          <w:color w:val="auto"/>
          <w:sz w:val="24"/>
          <w:szCs w:val="24"/>
        </w:rPr>
        <w:t>-5）验算。</w:t>
      </w:r>
    </w:p>
    <w:p w14:paraId="33433CC7">
      <w:pPr>
        <w:spacing w:line="360" w:lineRule="auto"/>
        <w:ind w:firstLine="960" w:firstLineChars="400"/>
        <w:rPr>
          <w:rFonts w:hint="eastAsia" w:ascii="楷体" w:hAnsi="楷体" w:eastAsia="楷体" w:cs="楷体"/>
          <w:i/>
          <w:color w:val="auto"/>
          <w:sz w:val="24"/>
          <w:szCs w:val="24"/>
          <w:u w:val="single"/>
        </w:rPr>
      </w:pPr>
      <w:r>
        <w:rPr>
          <w:rFonts w:hint="eastAsia" w:ascii="Times New Roman" w:hAnsi="Times New Roman" w:eastAsia="宋体"/>
          <w:bCs/>
          <w:color w:val="auto"/>
          <w:sz w:val="24"/>
          <w:szCs w:val="24"/>
        </w:rPr>
        <w:t>2）连续楞梁应按现行标准《建筑施工模板安全技术规范</w:t>
      </w:r>
      <w:r>
        <w:rPr>
          <w:rFonts w:ascii="Times New Roman" w:hAnsi="Times New Roman" w:eastAsia="宋体"/>
          <w:bCs/>
          <w:color w:val="auto"/>
          <w:sz w:val="24"/>
          <w:szCs w:val="24"/>
        </w:rPr>
        <w:t>》</w:t>
      </w:r>
      <w:r>
        <w:rPr>
          <w:rFonts w:hint="eastAsia" w:ascii="Times New Roman" w:hAnsi="Times New Roman" w:eastAsia="宋体"/>
          <w:bCs/>
          <w:color w:val="auto"/>
          <w:sz w:val="24"/>
          <w:szCs w:val="24"/>
        </w:rPr>
        <w:t>JGJ 162-2008附录C中的表验算。</w:t>
      </w:r>
    </w:p>
    <w:p w14:paraId="55E8BCCB">
      <w:pPr>
        <w:rPr>
          <w:rFonts w:ascii="Times New Roman" w:hAnsi="Times New Roman" w:eastAsia="宋体"/>
          <w:bCs/>
          <w:color w:val="auto"/>
          <w:sz w:val="24"/>
          <w:szCs w:val="24"/>
        </w:rPr>
      </w:pPr>
    </w:p>
    <w:p w14:paraId="561D7037">
      <w:pPr>
        <w:spacing w:line="360" w:lineRule="auto"/>
        <w:rPr>
          <w:rFonts w:ascii="Times New Roman" w:hAnsi="Times New Roman" w:eastAsia="宋体"/>
          <w:bCs/>
          <w:color w:val="auto"/>
          <w:sz w:val="24"/>
          <w:szCs w:val="24"/>
        </w:rPr>
      </w:pPr>
      <w:r>
        <w:rPr>
          <w:rFonts w:hint="eastAsia" w:ascii="Times New Roman" w:hAnsi="Times New Roman" w:eastAsia="宋体"/>
          <w:b/>
          <w:color w:val="auto"/>
          <w:sz w:val="24"/>
          <w:szCs w:val="24"/>
        </w:rPr>
        <w:t>6.</w:t>
      </w:r>
      <w:r>
        <w:rPr>
          <w:rFonts w:ascii="Times New Roman" w:hAnsi="Times New Roman" w:eastAsia="宋体"/>
          <w:b/>
          <w:color w:val="auto"/>
          <w:sz w:val="24"/>
          <w:szCs w:val="24"/>
        </w:rPr>
        <w:t>2</w:t>
      </w:r>
      <w:r>
        <w:rPr>
          <w:rFonts w:hint="eastAsia" w:ascii="Times New Roman" w:hAnsi="Times New Roman" w:eastAsia="宋体"/>
          <w:b/>
          <w:color w:val="auto"/>
          <w:sz w:val="24"/>
          <w:szCs w:val="24"/>
        </w:rPr>
        <w:t>.</w:t>
      </w:r>
      <w:r>
        <w:rPr>
          <w:rFonts w:ascii="Times New Roman" w:hAnsi="Times New Roman" w:eastAsia="宋体"/>
          <w:b/>
          <w:color w:val="auto"/>
          <w:sz w:val="24"/>
          <w:szCs w:val="24"/>
        </w:rPr>
        <w:t>4</w:t>
      </w:r>
      <w:r>
        <w:rPr>
          <w:rFonts w:hint="eastAsia" w:ascii="Times New Roman" w:hAnsi="Times New Roman" w:eastAsia="宋体"/>
          <w:bCs/>
          <w:color w:val="auto"/>
          <w:sz w:val="24"/>
          <w:szCs w:val="24"/>
        </w:rPr>
        <w:t>对拉螺栓应确保内、外侧模满足强度和刚度要求。</w:t>
      </w:r>
    </w:p>
    <w:p w14:paraId="0111EF90">
      <w:pPr>
        <w:spacing w:line="360" w:lineRule="auto"/>
        <w:rPr>
          <w:rFonts w:ascii="Times New Roman" w:hAnsi="Times New Roman" w:eastAsia="宋体"/>
          <w:bCs/>
          <w:color w:val="auto"/>
          <w:sz w:val="24"/>
          <w:szCs w:val="24"/>
        </w:rPr>
      </w:pPr>
      <w:r>
        <w:rPr>
          <w:rFonts w:hint="eastAsia" w:ascii="Times New Roman" w:hAnsi="Times New Roman" w:eastAsia="宋体"/>
          <w:bCs/>
          <w:color w:val="auto"/>
          <w:sz w:val="24"/>
          <w:szCs w:val="24"/>
        </w:rPr>
        <w:t>对拉螺栓强度应按下列公式计算：</w:t>
      </w:r>
    </w:p>
    <w:tbl>
      <w:tblPr>
        <w:tblStyle w:val="89"/>
        <w:tblW w:w="829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148"/>
        <w:gridCol w:w="4148"/>
      </w:tblGrid>
      <w:tr w14:paraId="7AD515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148" w:type="dxa"/>
            <w:vAlign w:val="center"/>
          </w:tcPr>
          <w:p w14:paraId="63DE6012">
            <w:pPr>
              <w:jc w:val="right"/>
              <w:rPr>
                <w:rFonts w:ascii="Times New Roman" w:hAnsi="Times New Roman" w:eastAsia="宋体" w:cs="Times New Roman"/>
                <w:color w:val="auto"/>
                <w:kern w:val="0"/>
                <w:sz w:val="20"/>
                <w:szCs w:val="20"/>
              </w:rPr>
            </w:pPr>
            <w:r>
              <w:rPr>
                <w:color w:val="auto"/>
                <w:position w:val="-12"/>
              </w:rPr>
              <w:object>
                <v:shape id="_x0000_i1044" o:spt="75" type="#_x0000_t75" style="height:20.4pt;width:51.6pt;" o:ole="t" filled="f" coordsize="21600,21600">
                  <v:path/>
                  <v:fill on="f" focussize="0,0"/>
                  <v:stroke/>
                  <v:imagedata r:id="rId65" o:title=""/>
                  <o:lock v:ext="edit" aspectratio="t"/>
                  <w10:wrap type="none"/>
                  <w10:anchorlock/>
                </v:shape>
                <o:OLEObject Type="Embed" ProgID="Equation.DSMT4" ShapeID="_x0000_i1044" DrawAspect="Content" ObjectID="_1468075744" r:id="rId64">
                  <o:LockedField>false</o:LockedField>
                </o:OLEObject>
              </w:object>
            </w:r>
          </w:p>
        </w:tc>
        <w:tc>
          <w:tcPr>
            <w:tcW w:w="4148" w:type="dxa"/>
            <w:vAlign w:val="center"/>
          </w:tcPr>
          <w:p w14:paraId="28C8C3B9">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（6.</w:t>
            </w:r>
            <w:r>
              <w:rPr>
                <w:rFonts w:ascii="Times New Roman" w:hAnsi="Times New Roman" w:eastAsia="宋体" w:cs="Times New Roman"/>
                <w:bCs/>
                <w:color w:val="auto"/>
                <w:kern w:val="0"/>
                <w:sz w:val="24"/>
                <w:szCs w:val="24"/>
              </w:rPr>
              <w:t>2</w:t>
            </w:r>
            <w:r>
              <w:rPr>
                <w:rFonts w:hint="eastAsia" w:ascii="Times New Roman" w:hAnsi="Times New Roman" w:eastAsia="宋体" w:cs="Times New Roman"/>
                <w:bCs/>
                <w:color w:val="auto"/>
                <w:kern w:val="0"/>
                <w:sz w:val="24"/>
                <w:szCs w:val="24"/>
              </w:rPr>
              <w:t>.</w:t>
            </w:r>
            <w:r>
              <w:rPr>
                <w:rFonts w:ascii="Times New Roman" w:hAnsi="Times New Roman" w:eastAsia="宋体" w:cs="Times New Roman"/>
                <w:bCs/>
                <w:color w:val="auto"/>
                <w:kern w:val="0"/>
                <w:sz w:val="24"/>
                <w:szCs w:val="24"/>
              </w:rPr>
              <w:t>4</w:t>
            </w:r>
            <w:r>
              <w:rPr>
                <w:rFonts w:hint="eastAsia" w:ascii="Times New Roman" w:hAnsi="Times New Roman" w:eastAsia="宋体" w:cs="Times New Roman"/>
                <w:bCs/>
                <w:color w:val="auto"/>
                <w:kern w:val="0"/>
                <w:sz w:val="24"/>
                <w:szCs w:val="24"/>
              </w:rPr>
              <w:t>-1）</w:t>
            </w:r>
          </w:p>
        </w:tc>
      </w:tr>
      <w:tr w14:paraId="33E2BC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148" w:type="dxa"/>
            <w:vAlign w:val="center"/>
          </w:tcPr>
          <w:p w14:paraId="248C28E7">
            <w:pPr>
              <w:jc w:val="right"/>
              <w:rPr>
                <w:rFonts w:ascii="Times New Roman" w:hAnsi="Times New Roman" w:eastAsia="宋体" w:cs="Times New Roman"/>
                <w:color w:val="auto"/>
                <w:kern w:val="0"/>
                <w:sz w:val="20"/>
                <w:szCs w:val="20"/>
              </w:rPr>
            </w:pPr>
            <w:r>
              <w:rPr>
                <w:color w:val="auto"/>
                <w:position w:val="-12"/>
              </w:rPr>
              <w:object>
                <v:shape id="_x0000_i1045" o:spt="75" type="#_x0000_t75" style="height:20.4pt;width:61.25pt;" o:ole="t" filled="f" coordsize="21600,21600">
                  <v:path/>
                  <v:fill on="f" focussize="0,0"/>
                  <v:stroke/>
                  <v:imagedata r:id="rId67" o:title=""/>
                  <o:lock v:ext="edit" aspectratio="t"/>
                  <w10:wrap type="none"/>
                  <w10:anchorlock/>
                </v:shape>
                <o:OLEObject Type="Embed" ProgID="Equation.DSMT4" ShapeID="_x0000_i1045" DrawAspect="Content" ObjectID="_1468075745" r:id="rId66">
                  <o:LockedField>false</o:LockedField>
                </o:OLEObject>
              </w:object>
            </w:r>
          </w:p>
        </w:tc>
        <w:tc>
          <w:tcPr>
            <w:tcW w:w="4148" w:type="dxa"/>
            <w:vAlign w:val="center"/>
          </w:tcPr>
          <w:p w14:paraId="109361F8">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（6.</w:t>
            </w:r>
            <w:r>
              <w:rPr>
                <w:rFonts w:ascii="Times New Roman" w:hAnsi="Times New Roman" w:eastAsia="宋体" w:cs="Times New Roman"/>
                <w:bCs/>
                <w:color w:val="auto"/>
                <w:kern w:val="0"/>
                <w:sz w:val="24"/>
                <w:szCs w:val="24"/>
              </w:rPr>
              <w:t>2</w:t>
            </w:r>
            <w:r>
              <w:rPr>
                <w:rFonts w:hint="eastAsia" w:ascii="Times New Roman" w:hAnsi="Times New Roman" w:eastAsia="宋体" w:cs="Times New Roman"/>
                <w:bCs/>
                <w:color w:val="auto"/>
                <w:kern w:val="0"/>
                <w:sz w:val="24"/>
                <w:szCs w:val="24"/>
              </w:rPr>
              <w:t>.</w:t>
            </w:r>
            <w:r>
              <w:rPr>
                <w:rFonts w:ascii="Times New Roman" w:hAnsi="Times New Roman" w:eastAsia="宋体" w:cs="Times New Roman"/>
                <w:bCs/>
                <w:color w:val="auto"/>
                <w:kern w:val="0"/>
                <w:sz w:val="24"/>
                <w:szCs w:val="24"/>
              </w:rPr>
              <w:t>4</w:t>
            </w:r>
            <w:r>
              <w:rPr>
                <w:rFonts w:hint="eastAsia" w:ascii="Times New Roman" w:hAnsi="Times New Roman" w:eastAsia="宋体" w:cs="Times New Roman"/>
                <w:bCs/>
                <w:color w:val="auto"/>
                <w:kern w:val="0"/>
                <w:sz w:val="24"/>
                <w:szCs w:val="24"/>
              </w:rPr>
              <w:t>-2）</w:t>
            </w:r>
          </w:p>
        </w:tc>
      </w:tr>
      <w:tr w14:paraId="4DFD8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148" w:type="dxa"/>
            <w:vAlign w:val="center"/>
          </w:tcPr>
          <w:p w14:paraId="096987B2">
            <w:pPr>
              <w:jc w:val="right"/>
              <w:rPr>
                <w:rFonts w:ascii="Times New Roman" w:hAnsi="Times New Roman" w:eastAsia="宋体" w:cs="Times New Roman"/>
                <w:color w:val="auto"/>
                <w:kern w:val="0"/>
                <w:sz w:val="20"/>
                <w:szCs w:val="20"/>
              </w:rPr>
            </w:pPr>
            <w:r>
              <w:rPr>
                <w:color w:val="auto"/>
                <w:position w:val="-12"/>
              </w:rPr>
              <w:object>
                <v:shape id="_x0000_i1046" o:spt="75" type="#_x0000_t75" style="height:20.4pt;width:41.4pt;" o:ole="t" filled="f" coordsize="21600,21600">
                  <v:path/>
                  <v:fill on="f" focussize="0,0"/>
                  <v:stroke/>
                  <v:imagedata r:id="rId69" o:title=""/>
                  <o:lock v:ext="edit" aspectratio="t"/>
                  <w10:wrap type="none"/>
                  <w10:anchorlock/>
                </v:shape>
                <o:OLEObject Type="Embed" ProgID="Equation.DSMT4" ShapeID="_x0000_i1046" DrawAspect="Content" ObjectID="_1468075746" r:id="rId68">
                  <o:LockedField>false</o:LockedField>
                </o:OLEObject>
              </w:object>
            </w:r>
          </w:p>
        </w:tc>
        <w:tc>
          <w:tcPr>
            <w:tcW w:w="4148" w:type="dxa"/>
            <w:vAlign w:val="center"/>
          </w:tcPr>
          <w:p w14:paraId="6CE1CF84">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（6.</w:t>
            </w:r>
            <w:r>
              <w:rPr>
                <w:rFonts w:ascii="Times New Roman" w:hAnsi="Times New Roman" w:eastAsia="宋体" w:cs="Times New Roman"/>
                <w:bCs/>
                <w:color w:val="auto"/>
                <w:kern w:val="0"/>
                <w:sz w:val="24"/>
                <w:szCs w:val="24"/>
              </w:rPr>
              <w:t>2</w:t>
            </w:r>
            <w:r>
              <w:rPr>
                <w:rFonts w:hint="eastAsia" w:ascii="Times New Roman" w:hAnsi="Times New Roman" w:eastAsia="宋体" w:cs="Times New Roman"/>
                <w:bCs/>
                <w:color w:val="auto"/>
                <w:kern w:val="0"/>
                <w:sz w:val="24"/>
                <w:szCs w:val="24"/>
              </w:rPr>
              <w:t>.</w:t>
            </w:r>
            <w:r>
              <w:rPr>
                <w:rFonts w:ascii="Times New Roman" w:hAnsi="Times New Roman" w:eastAsia="宋体" w:cs="Times New Roman"/>
                <w:bCs/>
                <w:color w:val="auto"/>
                <w:kern w:val="0"/>
                <w:sz w:val="24"/>
                <w:szCs w:val="24"/>
              </w:rPr>
              <w:t>4</w:t>
            </w:r>
            <w:r>
              <w:rPr>
                <w:rFonts w:hint="eastAsia" w:ascii="Times New Roman" w:hAnsi="Times New Roman" w:eastAsia="宋体" w:cs="Times New Roman"/>
                <w:bCs/>
                <w:color w:val="auto"/>
                <w:kern w:val="0"/>
                <w:sz w:val="24"/>
                <w:szCs w:val="24"/>
              </w:rPr>
              <w:t>-3）</w:t>
            </w:r>
          </w:p>
        </w:tc>
      </w:tr>
    </w:tbl>
    <w:p w14:paraId="5AA03330">
      <w:pPr>
        <w:rPr>
          <w:color w:val="auto"/>
        </w:rPr>
      </w:pPr>
    </w:p>
    <w:tbl>
      <w:tblPr>
        <w:tblStyle w:val="89"/>
        <w:tblW w:w="852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101"/>
        <w:gridCol w:w="708"/>
        <w:gridCol w:w="851"/>
        <w:gridCol w:w="5862"/>
      </w:tblGrid>
      <w:tr w14:paraId="17DE10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361C77C5">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式中</w:t>
            </w:r>
          </w:p>
        </w:tc>
        <w:tc>
          <w:tcPr>
            <w:tcW w:w="708" w:type="dxa"/>
            <w:vAlign w:val="center"/>
          </w:tcPr>
          <w:p w14:paraId="670BFCA4">
            <w:pPr>
              <w:jc w:val="center"/>
              <w:rPr>
                <w:rFonts w:ascii="Times New Roman" w:hAnsi="Times New Roman" w:eastAsia="宋体" w:cs="Times New Roman"/>
                <w:bCs/>
                <w:color w:val="auto"/>
                <w:kern w:val="0"/>
                <w:sz w:val="24"/>
                <w:szCs w:val="24"/>
              </w:rPr>
            </w:pPr>
            <w:r>
              <w:rPr>
                <w:color w:val="auto"/>
                <w:position w:val="-6"/>
              </w:rPr>
              <w:object>
                <v:shape id="_x0000_i1047" o:spt="75" type="#_x0000_t75" style="height:15pt;width:15pt;" o:ole="t" filled="f" coordsize="21600,21600">
                  <v:path/>
                  <v:fill on="f" focussize="0,0"/>
                  <v:stroke/>
                  <v:imagedata r:id="rId71" o:title=""/>
                  <o:lock v:ext="edit" aspectratio="t"/>
                  <w10:wrap type="none"/>
                  <w10:anchorlock/>
                </v:shape>
                <o:OLEObject Type="Embed" ProgID="Equation.DSMT4" ShapeID="_x0000_i1047" DrawAspect="Content" ObjectID="_1468075747" r:id="rId70">
                  <o:LockedField>false</o:LockedField>
                </o:OLEObject>
              </w:object>
            </w:r>
          </w:p>
        </w:tc>
        <w:tc>
          <w:tcPr>
            <w:tcW w:w="851" w:type="dxa"/>
            <w:vAlign w:val="center"/>
          </w:tcPr>
          <w:p w14:paraId="365DC8EF">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2" w:type="dxa"/>
            <w:vAlign w:val="center"/>
          </w:tcPr>
          <w:p w14:paraId="3F9D503E">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对拉螺栓最大轴力设计值；</w:t>
            </w:r>
          </w:p>
        </w:tc>
      </w:tr>
      <w:tr w14:paraId="43F021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37B16471">
            <w:pPr>
              <w:rPr>
                <w:rFonts w:ascii="Times New Roman" w:hAnsi="Times New Roman" w:eastAsia="宋体" w:cs="Times New Roman"/>
                <w:bCs/>
                <w:color w:val="auto"/>
                <w:kern w:val="0"/>
                <w:sz w:val="24"/>
                <w:szCs w:val="24"/>
              </w:rPr>
            </w:pPr>
          </w:p>
        </w:tc>
        <w:tc>
          <w:tcPr>
            <w:tcW w:w="708" w:type="dxa"/>
            <w:vAlign w:val="center"/>
          </w:tcPr>
          <w:p w14:paraId="2E6F7ABF">
            <w:pPr>
              <w:jc w:val="center"/>
              <w:rPr>
                <w:rFonts w:ascii="Times New Roman" w:hAnsi="Times New Roman" w:eastAsia="宋体" w:cs="Times New Roman"/>
                <w:bCs/>
                <w:color w:val="auto"/>
                <w:kern w:val="0"/>
                <w:sz w:val="24"/>
                <w:szCs w:val="24"/>
              </w:rPr>
            </w:pPr>
            <w:r>
              <w:rPr>
                <w:color w:val="auto"/>
                <w:position w:val="-12"/>
              </w:rPr>
              <w:object>
                <v:shape id="_x0000_i1048" o:spt="75" type="#_x0000_t75" style="height:20.4pt;width:20.4pt;" o:ole="t" filled="f" coordsize="21600,21600">
                  <v:path/>
                  <v:fill on="f" focussize="0,0"/>
                  <v:stroke/>
                  <v:imagedata r:id="rId73" o:title=""/>
                  <o:lock v:ext="edit" aspectratio="t"/>
                  <w10:wrap type="none"/>
                  <w10:anchorlock/>
                </v:shape>
                <o:OLEObject Type="Embed" ProgID="Equation.DSMT4" ShapeID="_x0000_i1048" DrawAspect="Content" ObjectID="_1468075748" r:id="rId72">
                  <o:LockedField>false</o:LockedField>
                </o:OLEObject>
              </w:object>
            </w:r>
          </w:p>
        </w:tc>
        <w:tc>
          <w:tcPr>
            <w:tcW w:w="851" w:type="dxa"/>
            <w:vAlign w:val="center"/>
          </w:tcPr>
          <w:p w14:paraId="7809A5D6">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2" w:type="dxa"/>
            <w:vAlign w:val="center"/>
          </w:tcPr>
          <w:p w14:paraId="4796F791">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对拉螺栓轴向拉力设计值；</w:t>
            </w:r>
          </w:p>
        </w:tc>
      </w:tr>
      <w:tr w14:paraId="307049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101A529C">
            <w:pPr>
              <w:rPr>
                <w:rFonts w:ascii="Times New Roman" w:hAnsi="Times New Roman" w:eastAsia="宋体" w:cs="Times New Roman"/>
                <w:bCs/>
                <w:color w:val="auto"/>
                <w:kern w:val="0"/>
                <w:sz w:val="24"/>
                <w:szCs w:val="24"/>
              </w:rPr>
            </w:pPr>
          </w:p>
        </w:tc>
        <w:tc>
          <w:tcPr>
            <w:tcW w:w="708" w:type="dxa"/>
            <w:vAlign w:val="center"/>
          </w:tcPr>
          <w:p w14:paraId="1832DDB8">
            <w:pPr>
              <w:jc w:val="center"/>
              <w:rPr>
                <w:rFonts w:ascii="Times New Roman" w:hAnsi="Times New Roman" w:eastAsia="宋体" w:cs="Times New Roman"/>
                <w:bCs/>
                <w:color w:val="auto"/>
                <w:kern w:val="0"/>
                <w:sz w:val="24"/>
                <w:szCs w:val="24"/>
              </w:rPr>
            </w:pPr>
            <w:r>
              <w:rPr>
                <w:color w:val="auto"/>
                <w:position w:val="-6"/>
              </w:rPr>
              <w:object>
                <v:shape id="_x0000_i1049" o:spt="75" type="#_x0000_t75" style="height:10.8pt;width:10.8pt;" o:ole="t" filled="f" coordsize="21600,21600">
                  <v:path/>
                  <v:fill on="f" focussize="0,0"/>
                  <v:stroke/>
                  <v:imagedata r:id="rId75" o:title=""/>
                  <o:lock v:ext="edit" aspectratio="t"/>
                  <w10:wrap type="none"/>
                  <w10:anchorlock/>
                </v:shape>
                <o:OLEObject Type="Embed" ProgID="Equation.DSMT4" ShapeID="_x0000_i1049" DrawAspect="Content" ObjectID="_1468075749" r:id="rId74">
                  <o:LockedField>false</o:LockedField>
                </o:OLEObject>
              </w:object>
            </w:r>
          </w:p>
        </w:tc>
        <w:tc>
          <w:tcPr>
            <w:tcW w:w="851" w:type="dxa"/>
            <w:vAlign w:val="center"/>
          </w:tcPr>
          <w:p w14:paraId="6D29178D">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2" w:type="dxa"/>
          </w:tcPr>
          <w:p w14:paraId="23DCADAC">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对拉螺栓横向间距；</w:t>
            </w:r>
          </w:p>
        </w:tc>
      </w:tr>
      <w:tr w14:paraId="69E8C8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5879872F">
            <w:pPr>
              <w:rPr>
                <w:rFonts w:ascii="Times New Roman" w:hAnsi="Times New Roman" w:eastAsia="宋体" w:cs="Times New Roman"/>
                <w:bCs/>
                <w:color w:val="auto"/>
                <w:kern w:val="0"/>
                <w:sz w:val="24"/>
                <w:szCs w:val="24"/>
              </w:rPr>
            </w:pPr>
          </w:p>
        </w:tc>
        <w:tc>
          <w:tcPr>
            <w:tcW w:w="708" w:type="dxa"/>
            <w:vAlign w:val="center"/>
          </w:tcPr>
          <w:p w14:paraId="6E5B05D7">
            <w:pPr>
              <w:jc w:val="center"/>
              <w:rPr>
                <w:rFonts w:ascii="Times New Roman" w:hAnsi="Times New Roman" w:eastAsia="宋体" w:cs="Times New Roman"/>
                <w:bCs/>
                <w:color w:val="auto"/>
                <w:kern w:val="0"/>
                <w:sz w:val="24"/>
                <w:szCs w:val="24"/>
              </w:rPr>
            </w:pPr>
            <w:r>
              <w:rPr>
                <w:color w:val="auto"/>
                <w:position w:val="-6"/>
              </w:rPr>
              <w:object>
                <v:shape id="_x0000_i1050" o:spt="75" type="#_x0000_t75" style="height:15pt;width:10.8pt;" o:ole="t" filled="f" coordsize="21600,21600">
                  <v:path/>
                  <v:fill on="f" focussize="0,0"/>
                  <v:stroke/>
                  <v:imagedata r:id="rId77" o:title=""/>
                  <o:lock v:ext="edit" aspectratio="t"/>
                  <w10:wrap type="none"/>
                  <w10:anchorlock/>
                </v:shape>
                <o:OLEObject Type="Embed" ProgID="Equation.DSMT4" ShapeID="_x0000_i1050" DrawAspect="Content" ObjectID="_1468075750" r:id="rId76">
                  <o:LockedField>false</o:LockedField>
                </o:OLEObject>
              </w:object>
            </w:r>
          </w:p>
        </w:tc>
        <w:tc>
          <w:tcPr>
            <w:tcW w:w="851" w:type="dxa"/>
            <w:vAlign w:val="center"/>
          </w:tcPr>
          <w:p w14:paraId="08A48F12">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2" w:type="dxa"/>
          </w:tcPr>
          <w:p w14:paraId="76FBC8A4">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对拉螺栓竖向间距；</w:t>
            </w:r>
          </w:p>
        </w:tc>
      </w:tr>
      <w:tr w14:paraId="2115E0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1EC1E4CD">
            <w:pPr>
              <w:rPr>
                <w:rFonts w:ascii="Times New Roman" w:hAnsi="Times New Roman" w:eastAsia="宋体" w:cs="Times New Roman"/>
                <w:bCs/>
                <w:color w:val="auto"/>
                <w:kern w:val="0"/>
                <w:sz w:val="24"/>
                <w:szCs w:val="24"/>
              </w:rPr>
            </w:pPr>
          </w:p>
        </w:tc>
        <w:tc>
          <w:tcPr>
            <w:tcW w:w="708" w:type="dxa"/>
            <w:vAlign w:val="center"/>
          </w:tcPr>
          <w:p w14:paraId="566F989E">
            <w:pPr>
              <w:jc w:val="center"/>
              <w:rPr>
                <w:rFonts w:ascii="Times New Roman" w:hAnsi="Times New Roman" w:eastAsia="宋体" w:cs="Times New Roman"/>
                <w:bCs/>
                <w:color w:val="auto"/>
                <w:kern w:val="0"/>
                <w:sz w:val="24"/>
                <w:szCs w:val="24"/>
              </w:rPr>
            </w:pPr>
            <w:r>
              <w:rPr>
                <w:color w:val="auto"/>
                <w:position w:val="-12"/>
              </w:rPr>
              <w:object>
                <v:shape id="_x0000_i1051" o:spt="75" type="#_x0000_t75" style="height:20.4pt;width:15pt;" o:ole="t" filled="f" coordsize="21600,21600">
                  <v:path/>
                  <v:fill on="f" focussize="0,0"/>
                  <v:stroke/>
                  <v:imagedata r:id="rId79" o:title=""/>
                  <o:lock v:ext="edit" aspectratio="t"/>
                  <w10:wrap type="none"/>
                  <w10:anchorlock/>
                </v:shape>
                <o:OLEObject Type="Embed" ProgID="Equation.DSMT4" ShapeID="_x0000_i1051" DrawAspect="Content" ObjectID="_1468075751" r:id="rId78">
                  <o:LockedField>false</o:LockedField>
                </o:OLEObject>
              </w:object>
            </w:r>
          </w:p>
        </w:tc>
        <w:tc>
          <w:tcPr>
            <w:tcW w:w="851" w:type="dxa"/>
            <w:vAlign w:val="center"/>
          </w:tcPr>
          <w:p w14:paraId="6B96225A">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2" w:type="dxa"/>
            <w:vAlign w:val="center"/>
          </w:tcPr>
          <w:p w14:paraId="762C6DD4">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新浇混凝土作用于模板上的侧压力、振捣混凝土对垂直模板产生的水平荷载或倾倒混凝土时作用于模板上的侧压力设计值；</w:t>
            </w:r>
          </w:p>
        </w:tc>
      </w:tr>
      <w:tr w14:paraId="4306A3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466BC7B0">
            <w:pPr>
              <w:rPr>
                <w:rFonts w:ascii="Times New Roman" w:hAnsi="Times New Roman" w:eastAsia="宋体" w:cs="Times New Roman"/>
                <w:bCs/>
                <w:color w:val="auto"/>
                <w:kern w:val="0"/>
                <w:sz w:val="24"/>
                <w:szCs w:val="24"/>
              </w:rPr>
            </w:pPr>
          </w:p>
        </w:tc>
        <w:tc>
          <w:tcPr>
            <w:tcW w:w="708" w:type="dxa"/>
            <w:vAlign w:val="center"/>
          </w:tcPr>
          <w:p w14:paraId="054FCBFB">
            <w:pPr>
              <w:jc w:val="center"/>
              <w:rPr>
                <w:rFonts w:ascii="Times New Roman" w:hAnsi="Times New Roman" w:eastAsia="宋体" w:cs="Times New Roman"/>
                <w:color w:val="auto"/>
                <w:kern w:val="0"/>
                <w:sz w:val="20"/>
                <w:szCs w:val="20"/>
              </w:rPr>
            </w:pPr>
            <w:r>
              <w:rPr>
                <w:color w:val="auto"/>
                <w:position w:val="-12"/>
              </w:rPr>
              <w:object>
                <v:shape id="_x0000_i1052" o:spt="75" type="#_x0000_t75" style="height:20.4pt;width:15pt;" o:ole="t" filled="f" coordsize="21600,21600">
                  <v:path/>
                  <v:fill on="f" focussize="0,0"/>
                  <v:stroke/>
                  <v:imagedata r:id="rId81" o:title=""/>
                  <o:lock v:ext="edit" aspectratio="t"/>
                  <w10:wrap type="none"/>
                  <w10:anchorlock/>
                </v:shape>
                <o:OLEObject Type="Embed" ProgID="Equation.DSMT4" ShapeID="_x0000_i1052" DrawAspect="Content" ObjectID="_1468075752" r:id="rId80">
                  <o:LockedField>false</o:LockedField>
                </o:OLEObject>
              </w:object>
            </w:r>
          </w:p>
        </w:tc>
        <w:tc>
          <w:tcPr>
            <w:tcW w:w="851" w:type="dxa"/>
            <w:vAlign w:val="center"/>
          </w:tcPr>
          <w:p w14:paraId="2F7D1C12">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2" w:type="dxa"/>
            <w:vAlign w:val="center"/>
          </w:tcPr>
          <w:p w14:paraId="1DB6539B">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对拉螺栓净截面面积；</w:t>
            </w:r>
          </w:p>
        </w:tc>
      </w:tr>
      <w:tr w14:paraId="73F18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15551AC0">
            <w:pPr>
              <w:rPr>
                <w:rFonts w:ascii="Times New Roman" w:hAnsi="Times New Roman" w:eastAsia="宋体" w:cs="Times New Roman"/>
                <w:bCs/>
                <w:color w:val="auto"/>
                <w:kern w:val="0"/>
                <w:sz w:val="24"/>
                <w:szCs w:val="24"/>
              </w:rPr>
            </w:pPr>
          </w:p>
        </w:tc>
        <w:tc>
          <w:tcPr>
            <w:tcW w:w="708" w:type="dxa"/>
            <w:vAlign w:val="center"/>
          </w:tcPr>
          <w:p w14:paraId="018256E4">
            <w:pPr>
              <w:jc w:val="center"/>
              <w:rPr>
                <w:rFonts w:ascii="Times New Roman" w:hAnsi="Times New Roman" w:eastAsia="宋体" w:cs="Times New Roman"/>
                <w:color w:val="auto"/>
                <w:kern w:val="0"/>
                <w:sz w:val="20"/>
                <w:szCs w:val="20"/>
              </w:rPr>
            </w:pPr>
            <w:r>
              <w:rPr>
                <w:color w:val="auto"/>
                <w:position w:val="-12"/>
              </w:rPr>
              <w:object>
                <v:shape id="_x0000_i1053" o:spt="75" type="#_x0000_t75" style="height:20.4pt;width:20.4pt;" o:ole="t" filled="f" coordsize="21600,21600">
                  <v:path/>
                  <v:fill on="f" focussize="0,0"/>
                  <v:stroke/>
                  <v:imagedata r:id="rId83" o:title=""/>
                  <o:lock v:ext="edit" aspectratio="t"/>
                  <w10:wrap type="none"/>
                  <w10:anchorlock/>
                </v:shape>
                <o:OLEObject Type="Embed" ProgID="Equation.DSMT4" ShapeID="_x0000_i1053" DrawAspect="Content" ObjectID="_1468075753" r:id="rId82">
                  <o:LockedField>false</o:LockedField>
                </o:OLEObject>
              </w:object>
            </w:r>
          </w:p>
        </w:tc>
        <w:tc>
          <w:tcPr>
            <w:tcW w:w="851" w:type="dxa"/>
            <w:vAlign w:val="center"/>
          </w:tcPr>
          <w:p w14:paraId="414461DA">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2" w:type="dxa"/>
            <w:vAlign w:val="center"/>
          </w:tcPr>
          <w:p w14:paraId="3F3D8025">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螺栓的抗拉强度设计值。</w:t>
            </w:r>
          </w:p>
        </w:tc>
      </w:tr>
    </w:tbl>
    <w:p w14:paraId="2F4A6B06">
      <w:pPr>
        <w:spacing w:line="360" w:lineRule="auto"/>
        <w:rPr>
          <w:rFonts w:ascii="Times New Roman" w:hAnsi="Times New Roman" w:eastAsia="宋体"/>
          <w:bCs/>
          <w:color w:val="auto"/>
          <w:sz w:val="24"/>
          <w:szCs w:val="24"/>
        </w:rPr>
      </w:pPr>
      <w:r>
        <w:rPr>
          <w:rFonts w:hint="eastAsia" w:ascii="Times New Roman" w:hAnsi="Times New Roman" w:eastAsia="宋体"/>
          <w:b/>
          <w:color w:val="auto"/>
          <w:sz w:val="24"/>
          <w:szCs w:val="24"/>
        </w:rPr>
        <w:t>6.</w:t>
      </w:r>
      <w:r>
        <w:rPr>
          <w:rFonts w:ascii="Times New Roman" w:hAnsi="Times New Roman" w:eastAsia="宋体"/>
          <w:b/>
          <w:color w:val="auto"/>
          <w:sz w:val="24"/>
          <w:szCs w:val="24"/>
        </w:rPr>
        <w:t>2.5</w:t>
      </w:r>
      <w:r>
        <w:rPr>
          <w:rFonts w:hint="eastAsia" w:ascii="Times New Roman" w:hAnsi="Times New Roman" w:eastAsia="宋体"/>
          <w:bCs/>
          <w:color w:val="auto"/>
          <w:sz w:val="24"/>
          <w:szCs w:val="24"/>
        </w:rPr>
        <w:t>连接锚固件应确保符合设计的抗拔强度以及剪切强度，且在荷载效应组合下保温免拆模板不会产生整体滑移。</w:t>
      </w:r>
    </w:p>
    <w:p w14:paraId="383A01D0">
      <w:pPr>
        <w:pStyle w:val="149"/>
        <w:numPr>
          <w:ilvl w:val="0"/>
          <w:numId w:val="16"/>
        </w:numPr>
        <w:spacing w:line="360" w:lineRule="auto"/>
        <w:ind w:firstLineChars="0"/>
        <w:rPr>
          <w:rFonts w:ascii="Times New Roman" w:hAnsi="Times New Roman" w:eastAsia="宋体"/>
          <w:bCs/>
          <w:color w:val="auto"/>
          <w:sz w:val="24"/>
          <w:szCs w:val="24"/>
        </w:rPr>
      </w:pPr>
      <w:r>
        <w:rPr>
          <w:rFonts w:hint="eastAsia" w:ascii="Times New Roman" w:hAnsi="Times New Roman" w:eastAsia="宋体"/>
          <w:bCs/>
          <w:color w:val="auto"/>
          <w:sz w:val="24"/>
          <w:szCs w:val="24"/>
        </w:rPr>
        <w:t>抗拔承载力计算</w:t>
      </w:r>
    </w:p>
    <w:p w14:paraId="261CA077">
      <w:pPr>
        <w:spacing w:line="360" w:lineRule="auto"/>
        <w:ind w:firstLine="480" w:firstLineChars="200"/>
        <w:rPr>
          <w:rFonts w:ascii="Times New Roman" w:hAnsi="Times New Roman" w:eastAsia="宋体"/>
          <w:bCs/>
          <w:color w:val="auto"/>
          <w:sz w:val="24"/>
          <w:szCs w:val="24"/>
        </w:rPr>
      </w:pPr>
      <w:r>
        <w:rPr>
          <w:rFonts w:ascii="Times New Roman" w:hAnsi="Times New Roman" w:eastAsia="宋体"/>
          <w:bCs/>
          <w:color w:val="auto"/>
          <w:sz w:val="24"/>
          <w:szCs w:val="24"/>
        </w:rPr>
        <w:t>水平方向</w:t>
      </w:r>
      <w:r>
        <w:rPr>
          <w:rFonts w:hint="eastAsia" w:ascii="Times New Roman" w:hAnsi="Times New Roman" w:eastAsia="宋体"/>
          <w:bCs/>
          <w:color w:val="auto"/>
          <w:sz w:val="24"/>
          <w:szCs w:val="24"/>
        </w:rPr>
        <w:t>连接锚固件</w:t>
      </w:r>
      <w:r>
        <w:rPr>
          <w:rFonts w:ascii="Times New Roman" w:hAnsi="Times New Roman" w:eastAsia="宋体"/>
          <w:bCs/>
          <w:color w:val="auto"/>
          <w:sz w:val="24"/>
          <w:szCs w:val="24"/>
        </w:rPr>
        <w:t>锚固在混凝土基层墙体中锚固力</w:t>
      </w:r>
      <w:r>
        <w:rPr>
          <w:rFonts w:hint="eastAsia" w:ascii="Times New Roman" w:hAnsi="Times New Roman" w:eastAsia="宋体"/>
          <w:bCs/>
          <w:color w:val="auto"/>
          <w:sz w:val="24"/>
          <w:szCs w:val="24"/>
        </w:rPr>
        <w:t>T应按下列公式计算:</w:t>
      </w:r>
    </w:p>
    <w:tbl>
      <w:tblPr>
        <w:tblStyle w:val="89"/>
        <w:tblW w:w="852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101"/>
        <w:gridCol w:w="708"/>
        <w:gridCol w:w="851"/>
        <w:gridCol w:w="1488"/>
        <w:gridCol w:w="4148"/>
        <w:gridCol w:w="231"/>
      </w:tblGrid>
      <w:tr w14:paraId="1AEE0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31" w:type="dxa"/>
        </w:trPr>
        <w:tc>
          <w:tcPr>
            <w:tcW w:w="4148" w:type="dxa"/>
            <w:gridSpan w:val="4"/>
          </w:tcPr>
          <w:p w14:paraId="3E502204">
            <w:pPr>
              <w:spacing w:line="360" w:lineRule="auto"/>
              <w:jc w:val="right"/>
              <w:rPr>
                <w:rFonts w:ascii="Times New Roman" w:hAnsi="Times New Roman" w:eastAsia="宋体" w:cs="Times New Roman"/>
                <w:bCs/>
                <w:color w:val="auto"/>
                <w:kern w:val="0"/>
                <w:sz w:val="24"/>
                <w:szCs w:val="24"/>
              </w:rPr>
            </w:pPr>
            <w:bookmarkStart w:id="1698" w:name="OLE_LINK3"/>
            <w:r>
              <w:rPr>
                <w:color w:val="auto"/>
                <w:position w:val="-28"/>
              </w:rPr>
              <w:object>
                <v:shape id="_x0000_i1054" o:spt="75" type="#_x0000_t75" style="height:36.6pt;width:82.8pt;" o:ole="t" filled="f" coordsize="21600,21600">
                  <v:path/>
                  <v:fill on="f" focussize="0,0"/>
                  <v:stroke/>
                  <v:imagedata r:id="rId85" o:title=""/>
                  <o:lock v:ext="edit" aspectratio="t"/>
                  <w10:wrap type="none"/>
                  <w10:anchorlock/>
                </v:shape>
                <o:OLEObject Type="Embed" ProgID="Equation.DSMT4" ShapeID="_x0000_i1054" DrawAspect="Content" ObjectID="_1468075754" r:id="rId84">
                  <o:LockedField>false</o:LockedField>
                </o:OLEObject>
              </w:object>
            </w:r>
            <w:bookmarkEnd w:id="1698"/>
          </w:p>
        </w:tc>
        <w:tc>
          <w:tcPr>
            <w:tcW w:w="4148" w:type="dxa"/>
            <w:vAlign w:val="center"/>
          </w:tcPr>
          <w:p w14:paraId="6BD0A1BD">
            <w:pPr>
              <w:spacing w:line="360" w:lineRule="auto"/>
              <w:rPr>
                <w:rFonts w:ascii="Times New Roman" w:hAnsi="Times New Roman" w:eastAsia="宋体" w:cs="Times New Roman"/>
                <w:bCs/>
                <w:color w:val="auto"/>
                <w:kern w:val="0"/>
                <w:sz w:val="24"/>
                <w:szCs w:val="24"/>
              </w:rPr>
            </w:pPr>
            <w:r>
              <w:rPr>
                <w:rFonts w:hint="eastAsia" w:ascii="Times New Roman" w:hAnsi="Times New Roman" w:eastAsia="宋体" w:cs="Times New Roman"/>
                <w:color w:val="auto"/>
                <w:kern w:val="0"/>
                <w:sz w:val="20"/>
                <w:szCs w:val="20"/>
              </w:rPr>
              <w:t>（</w:t>
            </w:r>
            <w:r>
              <w:rPr>
                <w:rFonts w:hint="eastAsia" w:ascii="Times New Roman" w:hAnsi="Times New Roman" w:eastAsia="宋体" w:cs="Times New Roman"/>
                <w:bCs/>
                <w:color w:val="auto"/>
                <w:kern w:val="0"/>
                <w:sz w:val="24"/>
                <w:szCs w:val="24"/>
              </w:rPr>
              <w:t>6.</w:t>
            </w:r>
            <w:r>
              <w:rPr>
                <w:rFonts w:ascii="Times New Roman" w:hAnsi="Times New Roman" w:eastAsia="宋体" w:cs="Times New Roman"/>
                <w:bCs/>
                <w:color w:val="auto"/>
                <w:kern w:val="0"/>
                <w:sz w:val="24"/>
                <w:szCs w:val="24"/>
              </w:rPr>
              <w:t>2</w:t>
            </w:r>
            <w:r>
              <w:rPr>
                <w:rFonts w:hint="eastAsia" w:ascii="Times New Roman" w:hAnsi="Times New Roman" w:eastAsia="宋体" w:cs="Times New Roman"/>
                <w:bCs/>
                <w:color w:val="auto"/>
                <w:kern w:val="0"/>
                <w:sz w:val="24"/>
                <w:szCs w:val="24"/>
              </w:rPr>
              <w:t>.</w:t>
            </w:r>
            <w:r>
              <w:rPr>
                <w:rFonts w:ascii="Times New Roman" w:hAnsi="Times New Roman" w:eastAsia="宋体" w:cs="Times New Roman"/>
                <w:bCs/>
                <w:color w:val="auto"/>
                <w:kern w:val="0"/>
                <w:sz w:val="24"/>
                <w:szCs w:val="24"/>
              </w:rPr>
              <w:t>5</w:t>
            </w:r>
            <w:r>
              <w:rPr>
                <w:rFonts w:hint="eastAsia" w:ascii="Times New Roman" w:hAnsi="Times New Roman" w:eastAsia="宋体" w:cs="Times New Roman"/>
                <w:bCs/>
                <w:color w:val="auto"/>
                <w:kern w:val="0"/>
                <w:sz w:val="24"/>
                <w:szCs w:val="24"/>
              </w:rPr>
              <w:t>-1</w:t>
            </w:r>
            <w:r>
              <w:rPr>
                <w:rFonts w:hint="eastAsia" w:ascii="Times New Roman" w:hAnsi="Times New Roman" w:eastAsia="宋体" w:cs="Times New Roman"/>
                <w:color w:val="auto"/>
                <w:kern w:val="0"/>
                <w:sz w:val="20"/>
                <w:szCs w:val="20"/>
              </w:rPr>
              <w:t>）</w:t>
            </w:r>
          </w:p>
        </w:tc>
      </w:tr>
      <w:tr w14:paraId="6FF6ED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6F24B089">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式中</w:t>
            </w:r>
          </w:p>
        </w:tc>
        <w:tc>
          <w:tcPr>
            <w:tcW w:w="708" w:type="dxa"/>
          </w:tcPr>
          <w:p w14:paraId="3F31F0CB">
            <w:pPr>
              <w:rPr>
                <w:rFonts w:ascii="Times New Roman" w:hAnsi="Times New Roman" w:eastAsia="宋体" w:cs="Times New Roman"/>
                <w:bCs/>
                <w:color w:val="auto"/>
                <w:kern w:val="0"/>
                <w:sz w:val="24"/>
                <w:szCs w:val="24"/>
              </w:rPr>
            </w:pPr>
            <w:r>
              <w:rPr>
                <w:color w:val="auto"/>
                <w:position w:val="-4"/>
              </w:rPr>
              <w:object>
                <v:shape id="_x0000_i1055" o:spt="75" type="#_x0000_t75" style="height:15pt;width:10.8pt;" o:ole="t" filled="f" coordsize="21600,21600">
                  <v:path/>
                  <v:fill on="f" focussize="0,0"/>
                  <v:stroke/>
                  <v:imagedata r:id="rId87" o:title=""/>
                  <o:lock v:ext="edit" aspectratio="t"/>
                  <w10:wrap type="none"/>
                  <w10:anchorlock/>
                </v:shape>
                <o:OLEObject Type="Embed" ProgID="Equation.DSMT4" ShapeID="_x0000_i1055" DrawAspect="Content" ObjectID="_1468075755" r:id="rId86">
                  <o:LockedField>false</o:LockedField>
                </o:OLEObject>
              </w:object>
            </w:r>
          </w:p>
        </w:tc>
        <w:tc>
          <w:tcPr>
            <w:tcW w:w="851" w:type="dxa"/>
          </w:tcPr>
          <w:p w14:paraId="385CFB54">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7" w:type="dxa"/>
            <w:gridSpan w:val="3"/>
          </w:tcPr>
          <w:p w14:paraId="640A2CD6">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单根锚筋的抗拔承载力标准值；</w:t>
            </w:r>
          </w:p>
        </w:tc>
      </w:tr>
      <w:tr w14:paraId="271408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2E7434D1">
            <w:pPr>
              <w:rPr>
                <w:rFonts w:ascii="Times New Roman" w:hAnsi="Times New Roman" w:eastAsia="宋体" w:cs="Times New Roman"/>
                <w:bCs/>
                <w:color w:val="auto"/>
                <w:kern w:val="0"/>
                <w:sz w:val="24"/>
                <w:szCs w:val="24"/>
              </w:rPr>
            </w:pPr>
          </w:p>
        </w:tc>
        <w:tc>
          <w:tcPr>
            <w:tcW w:w="708" w:type="dxa"/>
            <w:vAlign w:val="center"/>
          </w:tcPr>
          <w:p w14:paraId="42368EF8">
            <w:pPr>
              <w:rPr>
                <w:rFonts w:ascii="Times New Roman" w:hAnsi="Times New Roman" w:eastAsia="宋体" w:cs="Times New Roman"/>
                <w:color w:val="auto"/>
                <w:kern w:val="0"/>
                <w:sz w:val="20"/>
                <w:szCs w:val="20"/>
              </w:rPr>
            </w:pPr>
            <w:r>
              <w:rPr>
                <w:color w:val="auto"/>
                <w:position w:val="-6"/>
              </w:rPr>
              <w:object>
                <v:shape id="_x0000_i1056" o:spt="75" type="#_x0000_t75" style="height:10.8pt;width:10.8pt;" o:ole="t" filled="f" coordsize="21600,21600">
                  <v:path/>
                  <v:fill on="f" focussize="0,0"/>
                  <v:stroke/>
                  <v:imagedata r:id="rId89" o:title=""/>
                  <o:lock v:ext="edit" aspectratio="t"/>
                  <w10:wrap type="none"/>
                  <w10:anchorlock/>
                </v:shape>
                <o:OLEObject Type="Embed" ProgID="Equation.DSMT4" ShapeID="_x0000_i1056" DrawAspect="Content" ObjectID="_1468075756" r:id="rId88">
                  <o:LockedField>false</o:LockedField>
                </o:OLEObject>
              </w:object>
            </w:r>
          </w:p>
        </w:tc>
        <w:tc>
          <w:tcPr>
            <w:tcW w:w="851" w:type="dxa"/>
            <w:vAlign w:val="center"/>
          </w:tcPr>
          <w:p w14:paraId="7E2A3B2D">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7" w:type="dxa"/>
            <w:gridSpan w:val="3"/>
            <w:vAlign w:val="center"/>
          </w:tcPr>
          <w:p w14:paraId="03A8C87A">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连接锚固件数量；</w:t>
            </w:r>
          </w:p>
        </w:tc>
      </w:tr>
      <w:tr w14:paraId="27AA27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2A494220">
            <w:pPr>
              <w:rPr>
                <w:rFonts w:ascii="Times New Roman" w:hAnsi="Times New Roman" w:eastAsia="宋体" w:cs="Times New Roman"/>
                <w:bCs/>
                <w:color w:val="auto"/>
                <w:kern w:val="0"/>
                <w:sz w:val="24"/>
                <w:szCs w:val="24"/>
              </w:rPr>
            </w:pPr>
          </w:p>
        </w:tc>
        <w:tc>
          <w:tcPr>
            <w:tcW w:w="708" w:type="dxa"/>
          </w:tcPr>
          <w:p w14:paraId="6F42C845">
            <w:pPr>
              <w:rPr>
                <w:rFonts w:ascii="Times New Roman" w:hAnsi="Times New Roman" w:eastAsia="宋体" w:cs="Times New Roman"/>
                <w:color w:val="auto"/>
                <w:kern w:val="0"/>
                <w:sz w:val="20"/>
                <w:szCs w:val="20"/>
              </w:rPr>
            </w:pPr>
            <w:r>
              <w:rPr>
                <w:color w:val="auto"/>
                <w:position w:val="-6"/>
              </w:rPr>
              <w:object>
                <v:shape id="_x0000_i1057" o:spt="75" type="#_x0000_t75" style="height:15pt;width:10.8pt;" o:ole="t" filled="f" coordsize="21600,21600">
                  <v:path/>
                  <v:fill on="f" focussize="0,0"/>
                  <v:stroke/>
                  <v:imagedata r:id="rId91" o:title=""/>
                  <o:lock v:ext="edit" aspectratio="t"/>
                  <w10:wrap type="none"/>
                  <w10:anchorlock/>
                </v:shape>
                <o:OLEObject Type="Embed" ProgID="Equation.DSMT4" ShapeID="_x0000_i1057" DrawAspect="Content" ObjectID="_1468075757" r:id="rId90">
                  <o:LockedField>false</o:LockedField>
                </o:OLEObject>
              </w:object>
            </w:r>
          </w:p>
        </w:tc>
        <w:tc>
          <w:tcPr>
            <w:tcW w:w="851" w:type="dxa"/>
          </w:tcPr>
          <w:p w14:paraId="71E103FA">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7" w:type="dxa"/>
            <w:gridSpan w:val="3"/>
          </w:tcPr>
          <w:p w14:paraId="098F2C01">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锚筋直径；</w:t>
            </w:r>
          </w:p>
        </w:tc>
      </w:tr>
      <w:tr w14:paraId="589CEF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4CA1C3A3">
            <w:pPr>
              <w:rPr>
                <w:rFonts w:ascii="Times New Roman" w:hAnsi="Times New Roman" w:eastAsia="宋体" w:cs="Times New Roman"/>
                <w:bCs/>
                <w:color w:val="auto"/>
                <w:kern w:val="0"/>
                <w:sz w:val="24"/>
                <w:szCs w:val="24"/>
              </w:rPr>
            </w:pPr>
          </w:p>
        </w:tc>
        <w:tc>
          <w:tcPr>
            <w:tcW w:w="708" w:type="dxa"/>
          </w:tcPr>
          <w:p w14:paraId="05C30CB4">
            <w:pPr>
              <w:rPr>
                <w:rFonts w:ascii="Times New Roman" w:hAnsi="Times New Roman" w:eastAsia="宋体" w:cs="Times New Roman"/>
                <w:bCs/>
                <w:color w:val="auto"/>
                <w:kern w:val="0"/>
                <w:sz w:val="24"/>
                <w:szCs w:val="24"/>
              </w:rPr>
            </w:pPr>
            <w:r>
              <w:rPr>
                <w:color w:val="auto"/>
                <w:position w:val="-4"/>
              </w:rPr>
              <w:object>
                <v:shape id="_x0000_i1058" o:spt="75" type="#_x0000_t75" style="height:15pt;width:10.8pt;" o:ole="t" filled="f" coordsize="21600,21600">
                  <v:path/>
                  <v:fill on="f" focussize="0,0"/>
                  <v:stroke/>
                  <v:imagedata r:id="rId93" o:title=""/>
                  <o:lock v:ext="edit" aspectratio="t"/>
                  <w10:wrap type="none"/>
                  <w10:anchorlock/>
                </v:shape>
                <o:OLEObject Type="Embed" ProgID="Equation.DSMT4" ShapeID="_x0000_i1058" DrawAspect="Content" ObjectID="_1468075758" r:id="rId92">
                  <o:LockedField>false</o:LockedField>
                </o:OLEObject>
              </w:object>
            </w:r>
          </w:p>
        </w:tc>
        <w:tc>
          <w:tcPr>
            <w:tcW w:w="851" w:type="dxa"/>
          </w:tcPr>
          <w:p w14:paraId="1B86B00C">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7" w:type="dxa"/>
            <w:gridSpan w:val="3"/>
          </w:tcPr>
          <w:p w14:paraId="16AB4B7E">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锚固件的锚入段长度；</w:t>
            </w:r>
          </w:p>
        </w:tc>
      </w:tr>
      <w:tr w14:paraId="435803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0234486B">
            <w:pPr>
              <w:rPr>
                <w:rFonts w:ascii="Times New Roman" w:hAnsi="Times New Roman" w:eastAsia="宋体" w:cs="Times New Roman"/>
                <w:bCs/>
                <w:color w:val="auto"/>
                <w:kern w:val="0"/>
                <w:sz w:val="24"/>
                <w:szCs w:val="24"/>
              </w:rPr>
            </w:pPr>
          </w:p>
        </w:tc>
        <w:tc>
          <w:tcPr>
            <w:tcW w:w="708" w:type="dxa"/>
          </w:tcPr>
          <w:p w14:paraId="1E88C83B">
            <w:pPr>
              <w:rPr>
                <w:rFonts w:ascii="Times New Roman" w:hAnsi="Times New Roman" w:eastAsia="宋体" w:cs="Times New Roman"/>
                <w:bCs/>
                <w:color w:val="auto"/>
                <w:kern w:val="0"/>
                <w:sz w:val="24"/>
                <w:szCs w:val="24"/>
              </w:rPr>
            </w:pPr>
            <w:r>
              <w:rPr>
                <w:color w:val="auto"/>
                <w:position w:val="-10"/>
              </w:rPr>
              <w:object>
                <v:shape id="_x0000_i1059" o:spt="75" type="#_x0000_t75" style="height:15pt;width:15pt;" o:ole="t" filled="f" coordsize="21600,21600">
                  <v:path/>
                  <v:fill on="f" focussize="0,0"/>
                  <v:stroke/>
                  <v:imagedata r:id="rId95" o:title=""/>
                  <o:lock v:ext="edit" aspectratio="t"/>
                  <w10:wrap type="none"/>
                  <w10:anchorlock/>
                </v:shape>
                <o:OLEObject Type="Embed" ProgID="Equation.DSMT4" ShapeID="_x0000_i1059" DrawAspect="Content" ObjectID="_1468075759" r:id="rId94">
                  <o:LockedField>false</o:LockedField>
                </o:OLEObject>
              </w:object>
            </w:r>
          </w:p>
        </w:tc>
        <w:tc>
          <w:tcPr>
            <w:tcW w:w="851" w:type="dxa"/>
          </w:tcPr>
          <w:p w14:paraId="0F4828B8">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7" w:type="dxa"/>
            <w:gridSpan w:val="3"/>
          </w:tcPr>
          <w:p w14:paraId="4E9DCA16">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水泥标准抗压强度的10%。</w:t>
            </w:r>
          </w:p>
        </w:tc>
      </w:tr>
      <w:tr w14:paraId="0BADC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01" w:type="dxa"/>
          </w:tcPr>
          <w:p w14:paraId="05C7D2B8">
            <w:pPr>
              <w:rPr>
                <w:rFonts w:ascii="Times New Roman" w:hAnsi="Times New Roman" w:eastAsia="宋体" w:cs="Times New Roman"/>
                <w:bCs/>
                <w:color w:val="auto"/>
                <w:kern w:val="0"/>
                <w:sz w:val="24"/>
                <w:szCs w:val="24"/>
              </w:rPr>
            </w:pPr>
          </w:p>
        </w:tc>
        <w:tc>
          <w:tcPr>
            <w:tcW w:w="708" w:type="dxa"/>
          </w:tcPr>
          <w:p w14:paraId="17D50CF1">
            <w:pPr>
              <w:rPr>
                <w:rFonts w:ascii="Times New Roman" w:hAnsi="Times New Roman" w:eastAsia="宋体" w:cs="Times New Roman"/>
                <w:color w:val="auto"/>
                <w:kern w:val="0"/>
                <w:sz w:val="20"/>
                <w:szCs w:val="20"/>
              </w:rPr>
            </w:pPr>
            <w:r>
              <w:rPr>
                <w:color w:val="auto"/>
                <w:position w:val="-6"/>
              </w:rPr>
              <w:object>
                <v:shape id="_x0000_i1060" o:spt="75" type="#_x0000_t75" style="height:15pt;width:10.8pt;" o:ole="t" filled="f" coordsize="21600,21600">
                  <v:path/>
                  <v:fill on="f" focussize="0,0"/>
                  <v:stroke/>
                  <v:imagedata r:id="rId97" o:title=""/>
                  <o:lock v:ext="edit" aspectratio="t"/>
                  <w10:wrap type="none"/>
                  <w10:anchorlock/>
                </v:shape>
                <o:OLEObject Type="Embed" ProgID="Equation.DSMT4" ShapeID="_x0000_i1060" DrawAspect="Content" ObjectID="_1468075760" r:id="rId96">
                  <o:LockedField>false</o:LockedField>
                </o:OLEObject>
              </w:object>
            </w:r>
          </w:p>
        </w:tc>
        <w:tc>
          <w:tcPr>
            <w:tcW w:w="851" w:type="dxa"/>
          </w:tcPr>
          <w:p w14:paraId="368D448D">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67" w:type="dxa"/>
            <w:gridSpan w:val="3"/>
          </w:tcPr>
          <w:p w14:paraId="76902EC4">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风荷载和地震荷载效应组合。</w:t>
            </w:r>
          </w:p>
        </w:tc>
      </w:tr>
    </w:tbl>
    <w:p w14:paraId="366081BB">
      <w:pPr>
        <w:spacing w:line="360" w:lineRule="auto"/>
        <w:rPr>
          <w:rFonts w:ascii="Times New Roman" w:hAnsi="Times New Roman" w:eastAsia="宋体"/>
          <w:bCs/>
          <w:color w:val="auto"/>
          <w:sz w:val="24"/>
          <w:szCs w:val="24"/>
        </w:rPr>
      </w:pPr>
    </w:p>
    <w:p w14:paraId="65E58A56">
      <w:pPr>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2  抗剪承载力计算</w:t>
      </w:r>
    </w:p>
    <w:p w14:paraId="5549FF03">
      <w:pPr>
        <w:spacing w:line="360" w:lineRule="auto"/>
        <w:ind w:firstLine="480" w:firstLineChars="200"/>
        <w:rPr>
          <w:rFonts w:ascii="Times New Roman" w:hAnsi="Times New Roman" w:eastAsia="宋体"/>
          <w:bCs/>
          <w:color w:val="auto"/>
          <w:sz w:val="24"/>
          <w:szCs w:val="24"/>
        </w:rPr>
      </w:pPr>
      <w:r>
        <w:rPr>
          <w:rFonts w:hint="eastAsia" w:ascii="Times New Roman" w:hAnsi="Times New Roman" w:eastAsia="宋体"/>
          <w:bCs/>
          <w:color w:val="auto"/>
          <w:sz w:val="24"/>
          <w:szCs w:val="24"/>
        </w:rPr>
        <w:t>连接锚固件在</w:t>
      </w:r>
      <w:r>
        <w:rPr>
          <w:rFonts w:ascii="Times New Roman" w:hAnsi="Times New Roman" w:eastAsia="宋体"/>
          <w:bCs/>
          <w:color w:val="auto"/>
          <w:sz w:val="24"/>
          <w:szCs w:val="24"/>
        </w:rPr>
        <w:t>垂直方向</w:t>
      </w:r>
      <w:r>
        <w:rPr>
          <w:rFonts w:hint="eastAsia" w:ascii="Times New Roman" w:hAnsi="Times New Roman" w:eastAsia="宋体"/>
          <w:bCs/>
          <w:color w:val="auto"/>
          <w:sz w:val="24"/>
          <w:szCs w:val="24"/>
        </w:rPr>
        <w:t xml:space="preserve">的抗剪承载力按下列公式计算： </w:t>
      </w:r>
    </w:p>
    <w:tbl>
      <w:tblPr>
        <w:tblStyle w:val="89"/>
        <w:tblW w:w="8522"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101"/>
        <w:gridCol w:w="729"/>
        <w:gridCol w:w="851"/>
        <w:gridCol w:w="1485"/>
        <w:gridCol w:w="4131"/>
        <w:gridCol w:w="225"/>
      </w:tblGrid>
      <w:tr w14:paraId="1B630EB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225" w:type="dxa"/>
        </w:trPr>
        <w:tc>
          <w:tcPr>
            <w:tcW w:w="4166" w:type="dxa"/>
            <w:gridSpan w:val="4"/>
            <w:tcBorders>
              <w:top w:val="nil"/>
              <w:left w:val="nil"/>
              <w:bottom w:val="nil"/>
              <w:right w:val="nil"/>
            </w:tcBorders>
            <w:vAlign w:val="center"/>
          </w:tcPr>
          <w:p w14:paraId="1FF62E41">
            <w:pPr>
              <w:spacing w:line="360" w:lineRule="auto"/>
              <w:jc w:val="right"/>
              <w:rPr>
                <w:rFonts w:ascii="Times New Roman" w:hAnsi="Times New Roman" w:eastAsia="宋体" w:cs="Times New Roman"/>
                <w:bCs/>
                <w:color w:val="auto"/>
                <w:kern w:val="0"/>
                <w:sz w:val="24"/>
                <w:szCs w:val="24"/>
              </w:rPr>
            </w:pPr>
            <w:r>
              <w:rPr>
                <w:color w:val="auto"/>
                <w:position w:val="-14"/>
              </w:rPr>
              <w:object>
                <v:shape id="_x0000_i1061" o:spt="75" type="#_x0000_t75" style="height:20.4pt;width:174.55pt;" o:ole="t" filled="f" coordsize="21600,21600">
                  <v:path/>
                  <v:fill on="f" focussize="0,0"/>
                  <v:stroke/>
                  <v:imagedata r:id="rId99" o:title=""/>
                  <o:lock v:ext="edit" aspectratio="t"/>
                  <w10:wrap type="none"/>
                  <w10:anchorlock/>
                </v:shape>
                <o:OLEObject Type="Embed" ProgID="Equation.DSMT4" ShapeID="_x0000_i1061" DrawAspect="Content" ObjectID="_1468075761" r:id="rId98">
                  <o:LockedField>false</o:LockedField>
                </o:OLEObject>
              </w:object>
            </w:r>
          </w:p>
        </w:tc>
        <w:tc>
          <w:tcPr>
            <w:tcW w:w="4131" w:type="dxa"/>
            <w:tcBorders>
              <w:top w:val="nil"/>
              <w:left w:val="nil"/>
              <w:bottom w:val="nil"/>
              <w:right w:val="nil"/>
            </w:tcBorders>
            <w:vAlign w:val="center"/>
          </w:tcPr>
          <w:p w14:paraId="6972DF5D">
            <w:pPr>
              <w:spacing w:line="360" w:lineRule="auto"/>
              <w:rPr>
                <w:rFonts w:ascii="Times New Roman" w:hAnsi="Times New Roman" w:eastAsia="宋体" w:cs="Times New Roman"/>
                <w:bCs/>
                <w:color w:val="auto"/>
                <w:kern w:val="0"/>
                <w:sz w:val="24"/>
                <w:szCs w:val="24"/>
              </w:rPr>
            </w:pPr>
            <w:r>
              <w:rPr>
                <w:rFonts w:hint="eastAsia" w:ascii="Times New Roman" w:hAnsi="Times New Roman" w:eastAsia="宋体" w:cs="Times New Roman"/>
                <w:color w:val="auto"/>
                <w:kern w:val="0"/>
                <w:sz w:val="20"/>
                <w:szCs w:val="20"/>
              </w:rPr>
              <w:t>（</w:t>
            </w:r>
            <w:r>
              <w:rPr>
                <w:rFonts w:hint="eastAsia" w:ascii="Times New Roman" w:hAnsi="Times New Roman" w:eastAsia="宋体" w:cs="Times New Roman"/>
                <w:bCs/>
                <w:color w:val="auto"/>
                <w:kern w:val="0"/>
                <w:sz w:val="24"/>
                <w:szCs w:val="24"/>
              </w:rPr>
              <w:t>6.</w:t>
            </w:r>
            <w:r>
              <w:rPr>
                <w:rFonts w:ascii="Times New Roman" w:hAnsi="Times New Roman" w:eastAsia="宋体" w:cs="Times New Roman"/>
                <w:bCs/>
                <w:color w:val="auto"/>
                <w:kern w:val="0"/>
                <w:sz w:val="24"/>
                <w:szCs w:val="24"/>
              </w:rPr>
              <w:t>2</w:t>
            </w:r>
            <w:r>
              <w:rPr>
                <w:rFonts w:hint="eastAsia" w:ascii="Times New Roman" w:hAnsi="Times New Roman" w:eastAsia="宋体" w:cs="Times New Roman"/>
                <w:bCs/>
                <w:color w:val="auto"/>
                <w:kern w:val="0"/>
                <w:sz w:val="24"/>
                <w:szCs w:val="24"/>
              </w:rPr>
              <w:t>.</w:t>
            </w:r>
            <w:r>
              <w:rPr>
                <w:rFonts w:ascii="Times New Roman" w:hAnsi="Times New Roman" w:eastAsia="宋体" w:cs="Times New Roman"/>
                <w:bCs/>
                <w:color w:val="auto"/>
                <w:kern w:val="0"/>
                <w:sz w:val="24"/>
                <w:szCs w:val="24"/>
              </w:rPr>
              <w:t>5</w:t>
            </w:r>
            <w:r>
              <w:rPr>
                <w:rFonts w:hint="eastAsia" w:ascii="Times New Roman" w:hAnsi="Times New Roman" w:eastAsia="宋体" w:cs="Times New Roman"/>
                <w:bCs/>
                <w:color w:val="auto"/>
                <w:kern w:val="0"/>
                <w:sz w:val="24"/>
                <w:szCs w:val="24"/>
              </w:rPr>
              <w:t>-2</w:t>
            </w:r>
            <w:r>
              <w:rPr>
                <w:rFonts w:hint="eastAsia" w:ascii="Times New Roman" w:hAnsi="Times New Roman" w:eastAsia="宋体" w:cs="Times New Roman"/>
                <w:color w:val="auto"/>
                <w:kern w:val="0"/>
                <w:sz w:val="20"/>
                <w:szCs w:val="20"/>
              </w:rPr>
              <w:t>）</w:t>
            </w:r>
          </w:p>
        </w:tc>
      </w:tr>
      <w:tr w14:paraId="23756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tcBorders>
              <w:top w:val="nil"/>
              <w:left w:val="nil"/>
              <w:bottom w:val="nil"/>
              <w:right w:val="nil"/>
            </w:tcBorders>
          </w:tcPr>
          <w:p w14:paraId="352F215C">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式中</w:t>
            </w:r>
          </w:p>
        </w:tc>
        <w:tc>
          <w:tcPr>
            <w:tcW w:w="729" w:type="dxa"/>
            <w:tcBorders>
              <w:top w:val="nil"/>
              <w:left w:val="nil"/>
              <w:bottom w:val="nil"/>
              <w:right w:val="nil"/>
            </w:tcBorders>
            <w:vAlign w:val="center"/>
          </w:tcPr>
          <w:p w14:paraId="78329239">
            <w:pPr>
              <w:jc w:val="center"/>
              <w:rPr>
                <w:rFonts w:ascii="Times New Roman" w:hAnsi="Times New Roman" w:eastAsia="宋体" w:cs="Times New Roman"/>
                <w:bCs/>
                <w:color w:val="auto"/>
                <w:kern w:val="0"/>
                <w:sz w:val="24"/>
                <w:szCs w:val="24"/>
              </w:rPr>
            </w:pPr>
            <w:r>
              <w:rPr>
                <w:color w:val="auto"/>
                <w:position w:val="-14"/>
              </w:rPr>
              <w:object>
                <v:shape id="_x0000_i1062" o:spt="75" type="#_x0000_t75" style="height:20.4pt;width:25.8pt;" o:ole="t" filled="f" coordsize="21600,21600">
                  <v:path/>
                  <v:fill on="f" focussize="0,0"/>
                  <v:stroke/>
                  <v:imagedata r:id="rId101" o:title=""/>
                  <o:lock v:ext="edit" aspectratio="t"/>
                  <w10:wrap type="none"/>
                  <w10:anchorlock/>
                </v:shape>
                <o:OLEObject Type="Embed" ProgID="Equation.DSMT4" ShapeID="_x0000_i1062" DrawAspect="Content" ObjectID="_1468075762" r:id="rId100">
                  <o:LockedField>false</o:LockedField>
                </o:OLEObject>
              </w:object>
            </w:r>
          </w:p>
        </w:tc>
        <w:tc>
          <w:tcPr>
            <w:tcW w:w="851" w:type="dxa"/>
            <w:tcBorders>
              <w:top w:val="nil"/>
              <w:left w:val="nil"/>
              <w:bottom w:val="nil"/>
              <w:right w:val="nil"/>
            </w:tcBorders>
            <w:vAlign w:val="center"/>
          </w:tcPr>
          <w:p w14:paraId="71FDBC8C">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41" w:type="dxa"/>
            <w:gridSpan w:val="3"/>
            <w:tcBorders>
              <w:top w:val="nil"/>
              <w:left w:val="nil"/>
              <w:bottom w:val="nil"/>
              <w:right w:val="nil"/>
            </w:tcBorders>
            <w:vAlign w:val="center"/>
          </w:tcPr>
          <w:p w14:paraId="61A1C839">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连接锚固件抗剪承载力；</w:t>
            </w:r>
          </w:p>
        </w:tc>
      </w:tr>
      <w:tr w14:paraId="5BC8E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tcBorders>
              <w:top w:val="nil"/>
              <w:left w:val="nil"/>
              <w:bottom w:val="nil"/>
              <w:right w:val="nil"/>
            </w:tcBorders>
          </w:tcPr>
          <w:p w14:paraId="0DBE6936">
            <w:pPr>
              <w:rPr>
                <w:rFonts w:ascii="Times New Roman" w:hAnsi="Times New Roman" w:eastAsia="宋体" w:cs="Times New Roman"/>
                <w:bCs/>
                <w:color w:val="auto"/>
                <w:kern w:val="0"/>
                <w:sz w:val="24"/>
                <w:szCs w:val="24"/>
              </w:rPr>
            </w:pPr>
          </w:p>
        </w:tc>
        <w:tc>
          <w:tcPr>
            <w:tcW w:w="729" w:type="dxa"/>
            <w:tcBorders>
              <w:top w:val="nil"/>
              <w:left w:val="nil"/>
              <w:bottom w:val="nil"/>
              <w:right w:val="nil"/>
            </w:tcBorders>
            <w:vAlign w:val="center"/>
          </w:tcPr>
          <w:p w14:paraId="42C90654">
            <w:pPr>
              <w:jc w:val="center"/>
              <w:rPr>
                <w:rFonts w:ascii="Times New Roman" w:hAnsi="Times New Roman" w:eastAsia="宋体" w:cs="Times New Roman"/>
                <w:color w:val="auto"/>
                <w:kern w:val="0"/>
                <w:sz w:val="20"/>
                <w:szCs w:val="20"/>
              </w:rPr>
            </w:pPr>
            <w:r>
              <w:rPr>
                <w:color w:val="auto"/>
                <w:position w:val="-6"/>
              </w:rPr>
              <w:object>
                <v:shape id="_x0000_i1063" o:spt="75" type="#_x0000_t75" style="height:15pt;width:10.8pt;" o:ole="t" filled="f" coordsize="21600,21600">
                  <v:path/>
                  <v:fill on="f" focussize="0,0"/>
                  <v:stroke/>
                  <v:imagedata r:id="rId103" o:title=""/>
                  <o:lock v:ext="edit" aspectratio="t"/>
                  <w10:wrap type="none"/>
                  <w10:anchorlock/>
                </v:shape>
                <o:OLEObject Type="Embed" ProgID="Equation.DSMT4" ShapeID="_x0000_i1063" DrawAspect="Content" ObjectID="_1468075763" r:id="rId102">
                  <o:LockedField>false</o:LockedField>
                </o:OLEObject>
              </w:object>
            </w:r>
          </w:p>
        </w:tc>
        <w:tc>
          <w:tcPr>
            <w:tcW w:w="851" w:type="dxa"/>
            <w:tcBorders>
              <w:top w:val="nil"/>
              <w:left w:val="nil"/>
              <w:bottom w:val="nil"/>
              <w:right w:val="nil"/>
            </w:tcBorders>
            <w:vAlign w:val="center"/>
          </w:tcPr>
          <w:p w14:paraId="590FCD0D">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41" w:type="dxa"/>
            <w:gridSpan w:val="3"/>
            <w:tcBorders>
              <w:top w:val="nil"/>
              <w:left w:val="nil"/>
              <w:bottom w:val="nil"/>
              <w:right w:val="nil"/>
            </w:tcBorders>
            <w:vAlign w:val="center"/>
          </w:tcPr>
          <w:p w14:paraId="7F0685DD">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沿剪力方向两排锚栓布置λ</w:t>
            </w:r>
            <w:r>
              <w:rPr>
                <w:rFonts w:ascii="Times New Roman" w:hAnsi="Times New Roman" w:eastAsia="宋体" w:cs="Times New Roman"/>
                <w:bCs/>
                <w:color w:val="auto"/>
                <w:kern w:val="0"/>
                <w:sz w:val="24"/>
                <w:szCs w:val="24"/>
              </w:rPr>
              <w:t>=0.8，三排锚栓布置</w:t>
            </w:r>
          </w:p>
          <w:p w14:paraId="593BB99A">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λ</w:t>
            </w:r>
            <w:r>
              <w:rPr>
                <w:rFonts w:ascii="Times New Roman" w:hAnsi="Times New Roman" w:eastAsia="宋体" w:cs="Times New Roman"/>
                <w:bCs/>
                <w:color w:val="auto"/>
                <w:kern w:val="0"/>
                <w:sz w:val="24"/>
                <w:szCs w:val="24"/>
              </w:rPr>
              <w:t>=0.7，依次类推</w:t>
            </w:r>
            <w:r>
              <w:rPr>
                <w:rFonts w:hint="eastAsia" w:ascii="Times New Roman" w:hAnsi="Times New Roman" w:eastAsia="宋体" w:cs="Times New Roman"/>
                <w:bCs/>
                <w:color w:val="auto"/>
                <w:kern w:val="0"/>
                <w:sz w:val="24"/>
                <w:szCs w:val="24"/>
              </w:rPr>
              <w:t>；</w:t>
            </w:r>
          </w:p>
        </w:tc>
      </w:tr>
      <w:tr w14:paraId="5D8DE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tcBorders>
              <w:top w:val="nil"/>
              <w:left w:val="nil"/>
              <w:bottom w:val="nil"/>
              <w:right w:val="nil"/>
            </w:tcBorders>
          </w:tcPr>
          <w:p w14:paraId="26B42EC5">
            <w:pPr>
              <w:rPr>
                <w:rFonts w:ascii="Times New Roman" w:hAnsi="Times New Roman" w:eastAsia="宋体" w:cs="Times New Roman"/>
                <w:bCs/>
                <w:color w:val="auto"/>
                <w:kern w:val="0"/>
                <w:sz w:val="24"/>
                <w:szCs w:val="24"/>
              </w:rPr>
            </w:pPr>
          </w:p>
        </w:tc>
        <w:tc>
          <w:tcPr>
            <w:tcW w:w="729" w:type="dxa"/>
            <w:tcBorders>
              <w:top w:val="nil"/>
              <w:left w:val="nil"/>
              <w:bottom w:val="nil"/>
              <w:right w:val="nil"/>
            </w:tcBorders>
            <w:vAlign w:val="center"/>
          </w:tcPr>
          <w:p w14:paraId="41FE67D2">
            <w:pPr>
              <w:jc w:val="center"/>
              <w:rPr>
                <w:rFonts w:ascii="Times New Roman" w:hAnsi="Times New Roman" w:eastAsia="宋体" w:cs="Times New Roman"/>
                <w:color w:val="auto"/>
                <w:kern w:val="0"/>
                <w:sz w:val="20"/>
                <w:szCs w:val="20"/>
              </w:rPr>
            </w:pPr>
            <w:r>
              <w:rPr>
                <w:color w:val="auto"/>
                <w:position w:val="-6"/>
              </w:rPr>
              <w:object>
                <v:shape id="_x0000_i1064" o:spt="75" type="#_x0000_t75" style="height:10.8pt;width:10.8pt;" o:ole="t" filled="f" coordsize="21600,21600">
                  <v:path/>
                  <v:fill on="f" focussize="0,0"/>
                  <v:stroke/>
                  <v:imagedata r:id="rId89" o:title=""/>
                  <o:lock v:ext="edit" aspectratio="t"/>
                  <w10:wrap type="none"/>
                  <w10:anchorlock/>
                </v:shape>
                <o:OLEObject Type="Embed" ProgID="Equation.DSMT4" ShapeID="_x0000_i1064" DrawAspect="Content" ObjectID="_1468075764" r:id="rId104">
                  <o:LockedField>false</o:LockedField>
                </o:OLEObject>
              </w:object>
            </w:r>
          </w:p>
        </w:tc>
        <w:tc>
          <w:tcPr>
            <w:tcW w:w="851" w:type="dxa"/>
            <w:tcBorders>
              <w:top w:val="nil"/>
              <w:left w:val="nil"/>
              <w:bottom w:val="nil"/>
              <w:right w:val="nil"/>
            </w:tcBorders>
            <w:vAlign w:val="center"/>
          </w:tcPr>
          <w:p w14:paraId="6085C33A">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41" w:type="dxa"/>
            <w:gridSpan w:val="3"/>
            <w:tcBorders>
              <w:top w:val="nil"/>
              <w:left w:val="nil"/>
              <w:bottom w:val="nil"/>
              <w:right w:val="nil"/>
            </w:tcBorders>
            <w:vAlign w:val="center"/>
          </w:tcPr>
          <w:p w14:paraId="6BA7B09F">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参与受剪连接锚固件数量；</w:t>
            </w:r>
          </w:p>
        </w:tc>
      </w:tr>
      <w:tr w14:paraId="3EBEE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tcBorders>
              <w:top w:val="nil"/>
              <w:left w:val="nil"/>
              <w:bottom w:val="nil"/>
              <w:right w:val="nil"/>
            </w:tcBorders>
          </w:tcPr>
          <w:p w14:paraId="44514E1F">
            <w:pPr>
              <w:rPr>
                <w:rFonts w:ascii="Times New Roman" w:hAnsi="Times New Roman" w:eastAsia="宋体" w:cs="Times New Roman"/>
                <w:bCs/>
                <w:color w:val="auto"/>
                <w:kern w:val="0"/>
                <w:sz w:val="24"/>
                <w:szCs w:val="24"/>
              </w:rPr>
            </w:pPr>
          </w:p>
        </w:tc>
        <w:tc>
          <w:tcPr>
            <w:tcW w:w="729" w:type="dxa"/>
            <w:tcBorders>
              <w:top w:val="nil"/>
              <w:left w:val="nil"/>
              <w:bottom w:val="nil"/>
              <w:right w:val="nil"/>
            </w:tcBorders>
            <w:vAlign w:val="center"/>
          </w:tcPr>
          <w:p w14:paraId="5F21761D">
            <w:pPr>
              <w:jc w:val="center"/>
              <w:rPr>
                <w:rFonts w:ascii="Times New Roman" w:hAnsi="Times New Roman" w:eastAsia="宋体" w:cs="Times New Roman"/>
                <w:bCs/>
                <w:color w:val="auto"/>
                <w:kern w:val="0"/>
                <w:sz w:val="24"/>
                <w:szCs w:val="24"/>
              </w:rPr>
            </w:pPr>
            <w:r>
              <w:rPr>
                <w:color w:val="auto"/>
                <w:position w:val="-12"/>
              </w:rPr>
              <w:object>
                <v:shape id="_x0000_i1065" o:spt="75" type="#_x0000_t75" style="height:20.4pt;width:20.4pt;" o:ole="t" filled="f" coordsize="21600,21600">
                  <v:path/>
                  <v:fill on="f" focussize="0,0"/>
                  <v:stroke/>
                  <v:imagedata r:id="rId106" o:title=""/>
                  <o:lock v:ext="edit" aspectratio="t"/>
                  <w10:wrap type="none"/>
                  <w10:anchorlock/>
                </v:shape>
                <o:OLEObject Type="Embed" ProgID="Equation.DSMT4" ShapeID="_x0000_i1065" DrawAspect="Content" ObjectID="_1468075765" r:id="rId105">
                  <o:LockedField>false</o:LockedField>
                </o:OLEObject>
              </w:object>
            </w:r>
          </w:p>
        </w:tc>
        <w:tc>
          <w:tcPr>
            <w:tcW w:w="851" w:type="dxa"/>
            <w:tcBorders>
              <w:top w:val="nil"/>
              <w:left w:val="nil"/>
              <w:bottom w:val="nil"/>
              <w:right w:val="nil"/>
            </w:tcBorders>
            <w:vAlign w:val="center"/>
          </w:tcPr>
          <w:p w14:paraId="032FF34F">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41" w:type="dxa"/>
            <w:gridSpan w:val="3"/>
            <w:tcBorders>
              <w:top w:val="nil"/>
              <w:left w:val="nil"/>
              <w:bottom w:val="nil"/>
              <w:right w:val="nil"/>
            </w:tcBorders>
            <w:vAlign w:val="center"/>
          </w:tcPr>
          <w:p w14:paraId="591E545C">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连接锚固件抗拉强度标准值；</w:t>
            </w:r>
          </w:p>
        </w:tc>
      </w:tr>
      <w:tr w14:paraId="4AACC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tcBorders>
              <w:top w:val="nil"/>
              <w:left w:val="nil"/>
              <w:bottom w:val="nil"/>
              <w:right w:val="nil"/>
            </w:tcBorders>
          </w:tcPr>
          <w:p w14:paraId="25E735AF">
            <w:pPr>
              <w:rPr>
                <w:rFonts w:ascii="Times New Roman" w:hAnsi="Times New Roman" w:eastAsia="宋体" w:cs="Times New Roman"/>
                <w:bCs/>
                <w:color w:val="auto"/>
                <w:kern w:val="0"/>
                <w:sz w:val="24"/>
                <w:szCs w:val="24"/>
              </w:rPr>
            </w:pPr>
          </w:p>
        </w:tc>
        <w:tc>
          <w:tcPr>
            <w:tcW w:w="729" w:type="dxa"/>
            <w:tcBorders>
              <w:top w:val="nil"/>
              <w:left w:val="nil"/>
              <w:bottom w:val="nil"/>
              <w:right w:val="nil"/>
            </w:tcBorders>
            <w:vAlign w:val="center"/>
          </w:tcPr>
          <w:p w14:paraId="2E8E9C27">
            <w:pPr>
              <w:jc w:val="center"/>
              <w:rPr>
                <w:rFonts w:ascii="Times New Roman" w:hAnsi="Times New Roman" w:eastAsia="宋体" w:cs="Times New Roman"/>
                <w:bCs/>
                <w:color w:val="auto"/>
                <w:kern w:val="0"/>
                <w:sz w:val="24"/>
                <w:szCs w:val="24"/>
              </w:rPr>
            </w:pPr>
            <w:r>
              <w:rPr>
                <w:color w:val="auto"/>
                <w:position w:val="-12"/>
              </w:rPr>
              <w:object>
                <v:shape id="_x0000_i1066" o:spt="75" type="#_x0000_t75" style="height:20.4pt;width:15pt;" o:ole="t" filled="f" coordsize="21600,21600">
                  <v:path/>
                  <v:fill on="f" focussize="0,0"/>
                  <v:stroke/>
                  <v:imagedata r:id="rId108" o:title=""/>
                  <o:lock v:ext="edit" aspectratio="t"/>
                  <w10:wrap type="none"/>
                  <w10:anchorlock/>
                </v:shape>
                <o:OLEObject Type="Embed" ProgID="Equation.DSMT4" ShapeID="_x0000_i1066" DrawAspect="Content" ObjectID="_1468075766" r:id="rId107">
                  <o:LockedField>false</o:LockedField>
                </o:OLEObject>
              </w:object>
            </w:r>
          </w:p>
        </w:tc>
        <w:tc>
          <w:tcPr>
            <w:tcW w:w="851" w:type="dxa"/>
            <w:tcBorders>
              <w:top w:val="nil"/>
              <w:left w:val="nil"/>
              <w:bottom w:val="nil"/>
              <w:right w:val="nil"/>
            </w:tcBorders>
            <w:vAlign w:val="center"/>
          </w:tcPr>
          <w:p w14:paraId="53338A1E">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41" w:type="dxa"/>
            <w:gridSpan w:val="3"/>
            <w:tcBorders>
              <w:top w:val="nil"/>
              <w:left w:val="nil"/>
              <w:bottom w:val="nil"/>
              <w:right w:val="nil"/>
            </w:tcBorders>
            <w:vAlign w:val="center"/>
          </w:tcPr>
          <w:p w14:paraId="44DB2C6C">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连接锚固件截面面积；</w:t>
            </w:r>
          </w:p>
        </w:tc>
      </w:tr>
      <w:tr w14:paraId="66B4F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tcBorders>
              <w:top w:val="nil"/>
              <w:left w:val="nil"/>
              <w:bottom w:val="nil"/>
              <w:right w:val="nil"/>
            </w:tcBorders>
          </w:tcPr>
          <w:p w14:paraId="348AE190">
            <w:pPr>
              <w:rPr>
                <w:rFonts w:ascii="Times New Roman" w:hAnsi="Times New Roman" w:eastAsia="宋体" w:cs="Times New Roman"/>
                <w:bCs/>
                <w:color w:val="auto"/>
                <w:kern w:val="0"/>
                <w:sz w:val="24"/>
                <w:szCs w:val="24"/>
              </w:rPr>
            </w:pPr>
          </w:p>
        </w:tc>
        <w:tc>
          <w:tcPr>
            <w:tcW w:w="729" w:type="dxa"/>
            <w:tcBorders>
              <w:top w:val="nil"/>
              <w:left w:val="nil"/>
              <w:bottom w:val="nil"/>
              <w:right w:val="nil"/>
            </w:tcBorders>
            <w:vAlign w:val="center"/>
          </w:tcPr>
          <w:p w14:paraId="5E982529">
            <w:pPr>
              <w:jc w:val="center"/>
              <w:rPr>
                <w:rFonts w:ascii="Times New Roman" w:hAnsi="Times New Roman" w:eastAsia="宋体" w:cs="Times New Roman"/>
                <w:color w:val="auto"/>
                <w:kern w:val="0"/>
                <w:sz w:val="20"/>
                <w:szCs w:val="20"/>
              </w:rPr>
            </w:pPr>
            <w:r>
              <w:rPr>
                <w:color w:val="auto"/>
                <w:position w:val="-14"/>
              </w:rPr>
              <w:object>
                <v:shape id="_x0000_i1067" o:spt="75" type="#_x0000_t75" style="height:20.4pt;width:25.8pt;" o:ole="t" filled="f" coordsize="21600,21600">
                  <v:path/>
                  <v:fill on="f" focussize="0,0"/>
                  <v:stroke/>
                  <v:imagedata r:id="rId110" o:title=""/>
                  <o:lock v:ext="edit" aspectratio="t"/>
                  <w10:wrap type="none"/>
                  <w10:anchorlock/>
                </v:shape>
                <o:OLEObject Type="Embed" ProgID="Equation.DSMT4" ShapeID="_x0000_i1067" DrawAspect="Content" ObjectID="_1468075767" r:id="rId109">
                  <o:LockedField>false</o:LockedField>
                </o:OLEObject>
              </w:object>
            </w:r>
          </w:p>
        </w:tc>
        <w:tc>
          <w:tcPr>
            <w:tcW w:w="851" w:type="dxa"/>
            <w:tcBorders>
              <w:top w:val="nil"/>
              <w:left w:val="nil"/>
              <w:bottom w:val="nil"/>
              <w:right w:val="nil"/>
            </w:tcBorders>
            <w:vAlign w:val="center"/>
          </w:tcPr>
          <w:p w14:paraId="3F84DF01">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41" w:type="dxa"/>
            <w:gridSpan w:val="3"/>
            <w:tcBorders>
              <w:top w:val="nil"/>
              <w:left w:val="nil"/>
              <w:bottom w:val="nil"/>
              <w:right w:val="nil"/>
            </w:tcBorders>
            <w:vAlign w:val="center"/>
          </w:tcPr>
          <w:p w14:paraId="787FB57C">
            <w:pPr>
              <w:rPr>
                <w:rFonts w:ascii="Times New Roman" w:hAnsi="Times New Roman" w:cs="Times New Roman"/>
                <w:bCs/>
                <w:color w:val="auto"/>
                <w:kern w:val="0"/>
                <w:sz w:val="24"/>
                <w:szCs w:val="24"/>
              </w:rPr>
            </w:pPr>
            <w:r>
              <w:rPr>
                <w:rFonts w:hint="eastAsia" w:ascii="Times New Roman" w:hAnsi="Times New Roman" w:eastAsia="宋体" w:cs="Times New Roman"/>
                <w:bCs/>
                <w:color w:val="auto"/>
                <w:kern w:val="0"/>
                <w:sz w:val="24"/>
                <w:szCs w:val="24"/>
              </w:rPr>
              <w:t>受剪承载力分项系数</w:t>
            </w:r>
            <w:r>
              <w:rPr>
                <w:bCs/>
                <w:color w:val="auto"/>
                <w:sz w:val="24"/>
                <w:szCs w:val="24"/>
              </w:rPr>
              <w:object>
                <v:shape id="_x0000_i1068" o:spt="75" type="#_x0000_t75" style="height:14.4pt;width:70.15pt;" o:ole="t" filled="f" coordsize="21600,21600">
                  <v:path/>
                  <v:fill on="f" focussize="0,0"/>
                  <v:stroke/>
                  <v:imagedata r:id="rId112" o:title=""/>
                  <o:lock v:ext="edit" aspectratio="t"/>
                  <w10:wrap type="none"/>
                  <w10:anchorlock/>
                </v:shape>
                <o:OLEObject Type="Embed" ProgID="Equation.DSMT4" ShapeID="_x0000_i1068" DrawAspect="Content" ObjectID="_1468075768" r:id="rId111">
                  <o:LockedField>false</o:LockedField>
                </o:OLEObject>
              </w:object>
            </w:r>
            <w:r>
              <w:rPr>
                <w:rFonts w:hint="eastAsia" w:ascii="Times New Roman" w:hAnsi="Times New Roman" w:eastAsia="宋体" w:cs="Times New Roman"/>
                <w:bCs/>
                <w:color w:val="auto"/>
                <w:kern w:val="0"/>
                <w:sz w:val="24"/>
                <w:szCs w:val="24"/>
              </w:rPr>
              <w:t>且大于等于1.4，</w:t>
            </w:r>
            <w:r>
              <w:rPr>
                <w:bCs/>
                <w:color w:val="auto"/>
                <w:sz w:val="24"/>
                <w:szCs w:val="24"/>
              </w:rPr>
              <w:object>
                <v:shape id="_x0000_i1069" o:spt="75" type="#_x0000_t75" style="height:16.8pt;width:84pt;" o:ole="t" filled="f" coordsize="21600,21600">
                  <v:path/>
                  <v:fill on="f" focussize="0,0"/>
                  <v:stroke/>
                  <v:imagedata r:id="rId114" o:title=""/>
                  <o:lock v:ext="edit" aspectratio="t"/>
                  <w10:wrap type="none"/>
                  <w10:anchorlock/>
                </v:shape>
                <o:OLEObject Type="Embed" ProgID="Equation.DSMT4" ShapeID="_x0000_i1069" DrawAspect="Content" ObjectID="_1468075769" r:id="rId113">
                  <o:LockedField>false</o:LockedField>
                </o:OLEObject>
              </w:object>
            </w:r>
            <w:r>
              <w:rPr>
                <w:rFonts w:hint="eastAsia" w:ascii="Times New Roman" w:hAnsi="Times New Roman" w:eastAsia="宋体" w:cs="Times New Roman"/>
                <w:bCs/>
                <w:color w:val="auto"/>
                <w:kern w:val="0"/>
                <w:sz w:val="24"/>
                <w:szCs w:val="24"/>
              </w:rPr>
              <w:t>，</w:t>
            </w:r>
            <w:r>
              <w:rPr>
                <w:bCs/>
                <w:color w:val="auto"/>
                <w:sz w:val="24"/>
                <w:szCs w:val="24"/>
              </w:rPr>
              <w:object>
                <v:shape id="_x0000_i1070" o:spt="75" type="#_x0000_t75" style="height:15.6pt;width:58.2pt;" o:ole="t" filled="f" coordsize="21600,21600">
                  <v:path/>
                  <v:fill on="f" focussize="0,0"/>
                  <v:stroke/>
                  <v:imagedata r:id="rId116" o:title=""/>
                  <o:lock v:ext="edit" aspectratio="t"/>
                  <w10:wrap type="none"/>
                  <w10:anchorlock/>
                </v:shape>
                <o:OLEObject Type="Embed" ProgID="Equation.DSMT4" ShapeID="_x0000_i1070" DrawAspect="Content" ObjectID="_1468075770" r:id="rId115">
                  <o:LockedField>false</o:LockedField>
                </o:OLEObject>
              </w:object>
            </w:r>
            <w:r>
              <w:rPr>
                <w:rFonts w:hint="eastAsia"/>
                <w:bCs/>
                <w:color w:val="auto"/>
                <w:sz w:val="24"/>
                <w:szCs w:val="24"/>
              </w:rPr>
              <w:t>；</w:t>
            </w:r>
          </w:p>
        </w:tc>
      </w:tr>
      <w:tr w14:paraId="691E0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1" w:type="dxa"/>
            <w:tcBorders>
              <w:top w:val="nil"/>
              <w:left w:val="nil"/>
              <w:bottom w:val="nil"/>
              <w:right w:val="nil"/>
            </w:tcBorders>
          </w:tcPr>
          <w:p w14:paraId="5F6215DF">
            <w:pPr>
              <w:rPr>
                <w:rFonts w:ascii="Times New Roman" w:hAnsi="Times New Roman" w:eastAsia="宋体" w:cs="Times New Roman"/>
                <w:bCs/>
                <w:color w:val="auto"/>
                <w:kern w:val="0"/>
                <w:sz w:val="24"/>
                <w:szCs w:val="24"/>
              </w:rPr>
            </w:pPr>
          </w:p>
        </w:tc>
        <w:tc>
          <w:tcPr>
            <w:tcW w:w="729" w:type="dxa"/>
            <w:tcBorders>
              <w:top w:val="nil"/>
              <w:left w:val="nil"/>
              <w:bottom w:val="nil"/>
              <w:right w:val="nil"/>
            </w:tcBorders>
            <w:vAlign w:val="center"/>
          </w:tcPr>
          <w:p w14:paraId="0F8B3360">
            <w:pPr>
              <w:jc w:val="center"/>
              <w:rPr>
                <w:rFonts w:ascii="Times New Roman" w:hAnsi="Times New Roman" w:eastAsia="宋体" w:cs="Times New Roman"/>
                <w:color w:val="auto"/>
                <w:kern w:val="0"/>
                <w:sz w:val="20"/>
                <w:szCs w:val="20"/>
              </w:rPr>
            </w:pPr>
            <w:r>
              <w:rPr>
                <w:color w:val="auto"/>
                <w:position w:val="-16"/>
              </w:rPr>
              <w:object>
                <v:shape id="_x0000_i1071" o:spt="75" type="#_x0000_t75" style="height:20.4pt;width:20.4pt;" o:ole="t" filled="f" coordsize="21600,21600">
                  <v:path/>
                  <v:fill on="f" focussize="0,0"/>
                  <v:stroke/>
                  <v:imagedata r:id="rId118" o:title=""/>
                  <o:lock v:ext="edit" aspectratio="t"/>
                  <w10:wrap type="none"/>
                  <w10:anchorlock/>
                </v:shape>
                <o:OLEObject Type="Embed" ProgID="Equation.DSMT4" ShapeID="_x0000_i1071" DrawAspect="Content" ObjectID="_1468075771" r:id="rId117">
                  <o:LockedField>false</o:LockedField>
                </o:OLEObject>
              </w:object>
            </w:r>
          </w:p>
        </w:tc>
        <w:tc>
          <w:tcPr>
            <w:tcW w:w="851" w:type="dxa"/>
            <w:tcBorders>
              <w:top w:val="nil"/>
              <w:left w:val="nil"/>
              <w:bottom w:val="nil"/>
              <w:right w:val="nil"/>
            </w:tcBorders>
            <w:vAlign w:val="center"/>
          </w:tcPr>
          <w:p w14:paraId="0B1E9DB9">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41" w:type="dxa"/>
            <w:gridSpan w:val="3"/>
            <w:tcBorders>
              <w:top w:val="nil"/>
              <w:left w:val="nil"/>
              <w:bottom w:val="nil"/>
              <w:right w:val="nil"/>
            </w:tcBorders>
            <w:vAlign w:val="center"/>
          </w:tcPr>
          <w:p w14:paraId="1A3B417D">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连接锚固件屈服强度标准值；</w:t>
            </w:r>
          </w:p>
        </w:tc>
      </w:tr>
      <w:tr w14:paraId="32B0A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101" w:type="dxa"/>
            <w:tcBorders>
              <w:top w:val="nil"/>
              <w:left w:val="nil"/>
              <w:bottom w:val="nil"/>
              <w:right w:val="nil"/>
            </w:tcBorders>
          </w:tcPr>
          <w:p w14:paraId="45410213">
            <w:pPr>
              <w:rPr>
                <w:rFonts w:ascii="Times New Roman" w:hAnsi="Times New Roman" w:eastAsia="宋体" w:cs="Times New Roman"/>
                <w:bCs/>
                <w:color w:val="auto"/>
                <w:kern w:val="0"/>
                <w:sz w:val="24"/>
                <w:szCs w:val="24"/>
              </w:rPr>
            </w:pPr>
          </w:p>
        </w:tc>
        <w:tc>
          <w:tcPr>
            <w:tcW w:w="729" w:type="dxa"/>
            <w:tcBorders>
              <w:top w:val="nil"/>
              <w:left w:val="nil"/>
              <w:bottom w:val="nil"/>
              <w:right w:val="nil"/>
            </w:tcBorders>
            <w:vAlign w:val="center"/>
          </w:tcPr>
          <w:p w14:paraId="771968DE">
            <w:pPr>
              <w:jc w:val="center"/>
              <w:rPr>
                <w:rFonts w:ascii="Times New Roman" w:hAnsi="Times New Roman" w:eastAsia="宋体" w:cs="Times New Roman"/>
                <w:color w:val="auto"/>
                <w:kern w:val="0"/>
                <w:sz w:val="20"/>
                <w:szCs w:val="20"/>
              </w:rPr>
            </w:pPr>
            <w:r>
              <w:rPr>
                <w:color w:val="auto"/>
                <w:position w:val="-6"/>
              </w:rPr>
              <w:object>
                <v:shape id="_x0000_i1072" o:spt="75" type="#_x0000_t75" style="height:15pt;width:15pt;" o:ole="t" filled="f" coordsize="21600,21600">
                  <v:path/>
                  <v:fill on="f" focussize="0,0"/>
                  <v:stroke/>
                  <v:imagedata r:id="rId120" o:title=""/>
                  <o:lock v:ext="edit" aspectratio="t"/>
                  <w10:wrap type="none"/>
                  <w10:anchorlock/>
                </v:shape>
                <o:OLEObject Type="Embed" ProgID="Equation.DSMT4" ShapeID="_x0000_i1072" DrawAspect="Content" ObjectID="_1468075772" r:id="rId119">
                  <o:LockedField>false</o:LockedField>
                </o:OLEObject>
              </w:object>
            </w:r>
          </w:p>
        </w:tc>
        <w:tc>
          <w:tcPr>
            <w:tcW w:w="851" w:type="dxa"/>
            <w:tcBorders>
              <w:top w:val="nil"/>
              <w:left w:val="nil"/>
              <w:bottom w:val="nil"/>
              <w:right w:val="nil"/>
            </w:tcBorders>
            <w:vAlign w:val="center"/>
          </w:tcPr>
          <w:p w14:paraId="6A6E3262">
            <w:pPr>
              <w:jc w:val="cente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w:t>
            </w:r>
          </w:p>
        </w:tc>
        <w:tc>
          <w:tcPr>
            <w:tcW w:w="5841" w:type="dxa"/>
            <w:gridSpan w:val="3"/>
            <w:tcBorders>
              <w:top w:val="nil"/>
              <w:left w:val="nil"/>
              <w:bottom w:val="nil"/>
              <w:right w:val="nil"/>
            </w:tcBorders>
            <w:vAlign w:val="center"/>
          </w:tcPr>
          <w:p w14:paraId="6BD47749">
            <w:pPr>
              <w:rPr>
                <w:rFonts w:ascii="Times New Roman" w:hAnsi="Times New Roman" w:eastAsia="宋体" w:cs="Times New Roman"/>
                <w:bCs/>
                <w:color w:val="auto"/>
                <w:kern w:val="0"/>
                <w:sz w:val="24"/>
                <w:szCs w:val="24"/>
              </w:rPr>
            </w:pPr>
            <w:r>
              <w:rPr>
                <w:rFonts w:hint="eastAsia" w:ascii="Times New Roman" w:hAnsi="Times New Roman" w:eastAsia="宋体" w:cs="Times New Roman"/>
                <w:bCs/>
                <w:color w:val="auto"/>
                <w:kern w:val="0"/>
                <w:sz w:val="24"/>
                <w:szCs w:val="24"/>
              </w:rPr>
              <w:t>免拆保温模板自重。</w:t>
            </w:r>
          </w:p>
        </w:tc>
      </w:tr>
    </w:tbl>
    <w:p w14:paraId="3CCCF29B">
      <w:pPr>
        <w:spacing w:line="360" w:lineRule="auto"/>
        <w:rPr>
          <w:rFonts w:ascii="Times New Roman" w:hAnsi="Times New Roman" w:eastAsia="宋体"/>
          <w:bCs/>
          <w:color w:val="auto"/>
          <w:sz w:val="24"/>
          <w:szCs w:val="24"/>
        </w:rPr>
      </w:pPr>
    </w:p>
    <w:p w14:paraId="5729C7F8">
      <w:pPr>
        <w:pStyle w:val="4"/>
        <w:jc w:val="center"/>
        <w:rPr>
          <w:rFonts w:ascii="Times New Roman" w:hAnsi="Times New Roman" w:cs="Times New Roman"/>
          <w:color w:val="auto"/>
          <w:sz w:val="28"/>
        </w:rPr>
      </w:pPr>
      <w:bookmarkStart w:id="1699" w:name="_Toc187858723"/>
    </w:p>
    <w:p w14:paraId="3FBD2F25">
      <w:pPr>
        <w:rPr>
          <w:rFonts w:ascii="Times New Roman" w:hAnsi="Times New Roman" w:cs="Times New Roman"/>
          <w:color w:val="auto"/>
          <w:sz w:val="28"/>
        </w:rPr>
      </w:pPr>
    </w:p>
    <w:p w14:paraId="609EFE70">
      <w:pPr>
        <w:rPr>
          <w:rFonts w:ascii="Times New Roman" w:hAnsi="Times New Roman" w:cs="Times New Roman"/>
          <w:color w:val="auto"/>
          <w:sz w:val="28"/>
        </w:rPr>
      </w:pPr>
    </w:p>
    <w:p w14:paraId="3867E39D">
      <w:pPr>
        <w:rPr>
          <w:rFonts w:ascii="Times New Roman" w:hAnsi="Times New Roman" w:cs="Times New Roman"/>
          <w:color w:val="auto"/>
          <w:sz w:val="28"/>
        </w:rPr>
      </w:pPr>
    </w:p>
    <w:p w14:paraId="010AFE94">
      <w:pPr>
        <w:rPr>
          <w:rFonts w:ascii="Times New Roman" w:hAnsi="Times New Roman" w:cs="Times New Roman"/>
          <w:color w:val="auto"/>
          <w:sz w:val="28"/>
        </w:rPr>
      </w:pPr>
    </w:p>
    <w:p w14:paraId="1BECEDBD">
      <w:pPr>
        <w:rPr>
          <w:rFonts w:ascii="Times New Roman" w:hAnsi="Times New Roman" w:cs="Times New Roman"/>
          <w:color w:val="auto"/>
          <w:sz w:val="28"/>
        </w:rPr>
      </w:pPr>
    </w:p>
    <w:p w14:paraId="5D5711FA">
      <w:pPr>
        <w:pStyle w:val="4"/>
        <w:jc w:val="center"/>
        <w:rPr>
          <w:rFonts w:ascii="Times New Roman" w:hAnsi="Times New Roman" w:cs="Times New Roman"/>
          <w:color w:val="auto"/>
          <w:sz w:val="28"/>
        </w:rPr>
      </w:pPr>
      <w:bookmarkStart w:id="1700" w:name="_Toc9941"/>
      <w:r>
        <w:rPr>
          <w:rFonts w:hint="eastAsia" w:ascii="Times New Roman" w:hAnsi="Times New Roman" w:cs="Times New Roman"/>
          <w:color w:val="auto"/>
          <w:sz w:val="28"/>
        </w:rPr>
        <w:t>7施工</w:t>
      </w:r>
      <w:bookmarkEnd w:id="1699"/>
      <w:bookmarkEnd w:id="1700"/>
    </w:p>
    <w:p w14:paraId="0113F3FB">
      <w:pPr>
        <w:pStyle w:val="5"/>
        <w:jc w:val="center"/>
        <w:rPr>
          <w:rFonts w:ascii="Times New Roman" w:hAnsi="Times New Roman" w:cs="Times New Roman" w:eastAsiaTheme="minorEastAsia"/>
          <w:color w:val="auto"/>
          <w:sz w:val="24"/>
        </w:rPr>
      </w:pPr>
      <w:bookmarkStart w:id="1701" w:name="_Toc18576"/>
      <w:bookmarkStart w:id="1702" w:name="_Toc187858724"/>
      <w:r>
        <w:rPr>
          <w:rFonts w:hint="eastAsia" w:ascii="Times New Roman" w:hAnsi="Times New Roman" w:cs="Times New Roman" w:eastAsiaTheme="minorEastAsia"/>
          <w:color w:val="auto"/>
          <w:sz w:val="24"/>
        </w:rPr>
        <w:t>7.1 一般规定</w:t>
      </w:r>
      <w:bookmarkEnd w:id="1701"/>
      <w:bookmarkEnd w:id="1702"/>
    </w:p>
    <w:p w14:paraId="1590AC5C">
      <w:pPr>
        <w:widowControl/>
        <w:spacing w:line="360" w:lineRule="auto"/>
        <w:ind w:left="-5"/>
        <w:jc w:val="left"/>
        <w:rPr>
          <w:rFonts w:hint="eastAsia" w:ascii="宋体" w:hAnsi="宋体" w:eastAsia="宋体" w:cs="宋体"/>
          <w:color w:val="auto"/>
          <w:kern w:val="0"/>
          <w:sz w:val="24"/>
          <w:szCs w:val="24"/>
        </w:rPr>
      </w:pPr>
      <w:r>
        <w:rPr>
          <w:rFonts w:hint="eastAsia" w:ascii="宋体" w:hAnsi="宋体" w:eastAsia="宋体" w:cs="宋体"/>
          <w:b/>
          <w:bCs/>
          <w:color w:val="auto"/>
          <w:kern w:val="0"/>
          <w:sz w:val="24"/>
          <w:szCs w:val="24"/>
        </w:rPr>
        <w:t>7.1.2</w:t>
      </w:r>
      <w:r>
        <w:rPr>
          <w:rFonts w:hint="eastAsia" w:ascii="宋体" w:hAnsi="宋体" w:eastAsia="宋体" w:cs="宋体"/>
          <w:color w:val="auto"/>
          <w:kern w:val="0"/>
          <w:sz w:val="24"/>
          <w:szCs w:val="24"/>
        </w:rPr>
        <w:t xml:space="preserve">  保温免拆模板施工前应编制专项施工方案，经审批后方可实施。</w:t>
      </w:r>
    </w:p>
    <w:p w14:paraId="79BCBB5C">
      <w:pPr>
        <w:widowControl/>
        <w:spacing w:line="360" w:lineRule="auto"/>
        <w:ind w:left="-5"/>
        <w:jc w:val="left"/>
        <w:rPr>
          <w:rFonts w:hint="eastAsia" w:ascii="宋体" w:hAnsi="宋体" w:eastAsia="宋体" w:cs="宋体"/>
          <w:b/>
          <w:bCs/>
          <w:color w:val="auto"/>
          <w:kern w:val="0"/>
          <w:sz w:val="24"/>
          <w:szCs w:val="24"/>
        </w:rPr>
      </w:pPr>
      <w:r>
        <w:rPr>
          <w:rFonts w:hint="eastAsia" w:ascii="宋体" w:hAnsi="宋体" w:eastAsia="宋体" w:cs="宋体"/>
          <w:b/>
          <w:bCs/>
          <w:color w:val="auto"/>
          <w:kern w:val="0"/>
          <w:sz w:val="24"/>
          <w:szCs w:val="24"/>
        </w:rPr>
        <w:t>7.1.3</w:t>
      </w:r>
      <w:r>
        <w:rPr>
          <w:rFonts w:hint="eastAsia" w:ascii="宋体" w:hAnsi="宋体" w:eastAsia="宋体" w:cs="宋体"/>
          <w:color w:val="auto"/>
          <w:kern w:val="0"/>
          <w:sz w:val="24"/>
          <w:szCs w:val="24"/>
        </w:rPr>
        <w:t xml:space="preserve">  保温免拆模板安装位置应正确，拼缝严密，固定牢固，且在混凝土浇筑过程中不产生移位、变形，与混凝土连接应牢固。</w:t>
      </w:r>
    </w:p>
    <w:p w14:paraId="3976A0A6">
      <w:pPr>
        <w:widowControl/>
        <w:spacing w:line="360" w:lineRule="auto"/>
        <w:ind w:left="-5"/>
        <w:jc w:val="left"/>
        <w:rPr>
          <w:rFonts w:hint="eastAsia" w:ascii="宋体" w:hAnsi="宋体" w:eastAsia="宋体" w:cs="宋体"/>
          <w:color w:val="auto"/>
          <w:kern w:val="0"/>
          <w:sz w:val="24"/>
          <w:szCs w:val="24"/>
        </w:rPr>
      </w:pPr>
      <w:r>
        <w:rPr>
          <w:rFonts w:hint="eastAsia" w:ascii="宋体" w:hAnsi="宋体" w:eastAsia="宋体" w:cs="宋体"/>
          <w:b/>
          <w:bCs/>
          <w:color w:val="auto"/>
          <w:kern w:val="0"/>
          <w:sz w:val="24"/>
          <w:szCs w:val="24"/>
        </w:rPr>
        <w:t>7.1.4</w:t>
      </w:r>
      <w:r>
        <w:rPr>
          <w:rFonts w:hint="eastAsia" w:ascii="宋体" w:hAnsi="宋体" w:eastAsia="宋体" w:cs="宋体"/>
          <w:color w:val="auto"/>
          <w:kern w:val="0"/>
          <w:sz w:val="24"/>
          <w:szCs w:val="24"/>
        </w:rPr>
        <w:t xml:space="preserve">  保温免拆模板施工前应对作业人员进行技术、质量、安全交底，并对作业人员培训，合格后方可上岗。</w:t>
      </w:r>
    </w:p>
    <w:p w14:paraId="3D33327E">
      <w:pPr>
        <w:widowControl/>
        <w:spacing w:line="360" w:lineRule="auto"/>
        <w:ind w:left="-5"/>
        <w:jc w:val="left"/>
        <w:rPr>
          <w:rFonts w:hint="eastAsia" w:ascii="宋体" w:hAnsi="宋体" w:eastAsia="宋体" w:cs="宋体"/>
          <w:color w:val="auto"/>
          <w:kern w:val="0"/>
          <w:sz w:val="24"/>
          <w:szCs w:val="24"/>
        </w:rPr>
      </w:pPr>
      <w:r>
        <w:rPr>
          <w:rFonts w:hint="eastAsia" w:ascii="宋体" w:hAnsi="宋体" w:eastAsia="宋体" w:cs="宋体"/>
          <w:b/>
          <w:bCs/>
          <w:color w:val="auto"/>
          <w:kern w:val="0"/>
          <w:sz w:val="24"/>
          <w:szCs w:val="24"/>
        </w:rPr>
        <w:t>7.1.5</w:t>
      </w:r>
      <w:r>
        <w:rPr>
          <w:rFonts w:hint="eastAsia" w:ascii="宋体" w:hAnsi="宋体" w:eastAsia="宋体" w:cs="宋体"/>
          <w:color w:val="auto"/>
          <w:kern w:val="0"/>
          <w:sz w:val="24"/>
          <w:szCs w:val="24"/>
        </w:rPr>
        <w:t xml:space="preserve">  保温免拆模板进入现场应组织进场验收，并按规定取样复验，合格后方可使用。</w:t>
      </w:r>
    </w:p>
    <w:p w14:paraId="5ACD8F9A">
      <w:pPr>
        <w:widowControl/>
        <w:spacing w:line="360" w:lineRule="auto"/>
        <w:ind w:left="-5"/>
        <w:jc w:val="left"/>
        <w:rPr>
          <w:rFonts w:hint="eastAsia" w:ascii="宋体" w:hAnsi="宋体" w:eastAsia="宋体" w:cs="宋体"/>
          <w:color w:val="auto"/>
          <w:kern w:val="0"/>
          <w:sz w:val="24"/>
          <w:szCs w:val="24"/>
        </w:rPr>
      </w:pPr>
      <w:r>
        <w:rPr>
          <w:rFonts w:hint="eastAsia" w:ascii="宋体" w:hAnsi="宋体" w:eastAsia="宋体" w:cs="宋体"/>
          <w:b/>
          <w:bCs/>
          <w:color w:val="auto"/>
          <w:kern w:val="0"/>
          <w:sz w:val="24"/>
          <w:szCs w:val="24"/>
        </w:rPr>
        <w:t xml:space="preserve">7.1.6 </w:t>
      </w:r>
      <w:r>
        <w:rPr>
          <w:rFonts w:hint="eastAsia" w:ascii="宋体" w:hAnsi="宋体" w:eastAsia="宋体" w:cs="宋体"/>
          <w:color w:val="auto"/>
          <w:kern w:val="0"/>
          <w:sz w:val="24"/>
          <w:szCs w:val="24"/>
        </w:rPr>
        <w:t xml:space="preserve"> 用于保温免拆模板、墙体等专用抹面砂浆的品种、规格和性能应符合设计要求。</w:t>
      </w:r>
    </w:p>
    <w:p w14:paraId="739FE4A8">
      <w:pPr>
        <w:widowControl/>
        <w:spacing w:line="360" w:lineRule="auto"/>
        <w:ind w:left="-5"/>
        <w:jc w:val="left"/>
        <w:rPr>
          <w:rFonts w:hint="eastAsia" w:ascii="宋体" w:hAnsi="宋体" w:eastAsia="宋体" w:cs="宋体"/>
          <w:color w:val="auto"/>
          <w:kern w:val="0"/>
          <w:sz w:val="24"/>
          <w:szCs w:val="24"/>
        </w:rPr>
      </w:pPr>
      <w:r>
        <w:rPr>
          <w:rFonts w:hint="eastAsia" w:ascii="宋体" w:hAnsi="宋体" w:eastAsia="宋体" w:cs="宋体"/>
          <w:b/>
          <w:bCs/>
          <w:color w:val="auto"/>
          <w:kern w:val="0"/>
          <w:sz w:val="24"/>
          <w:szCs w:val="24"/>
        </w:rPr>
        <w:t>7.1.7</w:t>
      </w:r>
      <w:r>
        <w:rPr>
          <w:rFonts w:hint="eastAsia" w:ascii="宋体" w:hAnsi="宋体" w:eastAsia="宋体" w:cs="宋体"/>
          <w:color w:val="auto"/>
          <w:kern w:val="0"/>
          <w:sz w:val="24"/>
          <w:szCs w:val="24"/>
        </w:rPr>
        <w:t xml:space="preserve">  保温免拆模板现场堆放及安装过程中应有可靠的防火措施。</w:t>
      </w:r>
    </w:p>
    <w:p w14:paraId="12DF0D66">
      <w:pPr>
        <w:pStyle w:val="5"/>
        <w:jc w:val="center"/>
        <w:rPr>
          <w:rFonts w:ascii="Times New Roman" w:hAnsi="Times New Roman" w:cs="Times New Roman" w:eastAsiaTheme="minorEastAsia"/>
          <w:color w:val="auto"/>
          <w:sz w:val="24"/>
        </w:rPr>
      </w:pPr>
      <w:bookmarkStart w:id="1703" w:name="_Toc7181"/>
      <w:bookmarkStart w:id="1704" w:name="_Toc187858725"/>
      <w:r>
        <w:rPr>
          <w:rFonts w:hint="eastAsia" w:ascii="Times New Roman" w:hAnsi="Times New Roman" w:cs="Times New Roman" w:eastAsiaTheme="minorEastAsia"/>
          <w:color w:val="auto"/>
          <w:sz w:val="24"/>
        </w:rPr>
        <w:t>7.2 进场验收</w:t>
      </w:r>
      <w:bookmarkEnd w:id="1703"/>
      <w:bookmarkEnd w:id="1704"/>
    </w:p>
    <w:p w14:paraId="49B224BF">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7.2.</w:t>
      </w:r>
      <w:r>
        <w:rPr>
          <w:rFonts w:ascii="宋体" w:hAnsi="宋体" w:eastAsia="宋体" w:cs="宋体"/>
          <w:b/>
          <w:bCs/>
          <w:iCs/>
          <w:color w:val="auto"/>
          <w:kern w:val="0"/>
          <w:sz w:val="24"/>
          <w:szCs w:val="24"/>
        </w:rPr>
        <w:t>1</w:t>
      </w:r>
      <w:r>
        <w:rPr>
          <w:rFonts w:hint="eastAsia" w:ascii="宋体" w:hAnsi="宋体" w:eastAsia="宋体" w:cs="宋体"/>
          <w:iCs/>
          <w:color w:val="auto"/>
          <w:kern w:val="0"/>
          <w:sz w:val="24"/>
          <w:szCs w:val="24"/>
        </w:rPr>
        <w:t xml:space="preserve">  保温免拆模板应符合设计和产品标准要求，表面平整、无夹杂物、颜色均匀，无破损。</w:t>
      </w:r>
    </w:p>
    <w:p w14:paraId="3BDEDB72">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7.2.</w:t>
      </w:r>
      <w:r>
        <w:rPr>
          <w:rFonts w:ascii="宋体" w:hAnsi="宋体" w:eastAsia="宋体" w:cs="宋体"/>
          <w:b/>
          <w:bCs/>
          <w:iCs/>
          <w:color w:val="auto"/>
          <w:kern w:val="0"/>
          <w:sz w:val="24"/>
          <w:szCs w:val="24"/>
        </w:rPr>
        <w:t>2</w:t>
      </w:r>
      <w:r>
        <w:rPr>
          <w:rFonts w:hint="eastAsia" w:ascii="宋体" w:hAnsi="宋体" w:eastAsia="宋体" w:cs="宋体"/>
          <w:iCs/>
          <w:color w:val="auto"/>
          <w:kern w:val="0"/>
          <w:sz w:val="24"/>
          <w:szCs w:val="24"/>
        </w:rPr>
        <w:t xml:space="preserve">  保温免拆模板应分类平放码垛储存。露天存放时，应有防雨、防潮、</w:t>
      </w:r>
      <w:r>
        <w:rPr>
          <w:rFonts w:hint="eastAsia" w:ascii="宋体" w:hAnsi="宋体" w:eastAsia="宋体" w:cs="宋体"/>
          <w:iCs/>
          <w:color w:val="auto"/>
          <w:kern w:val="0"/>
          <w:sz w:val="24"/>
          <w:szCs w:val="24"/>
          <w:lang w:eastAsia="zh-CN"/>
        </w:rPr>
        <w:t>防暴晒</w:t>
      </w:r>
      <w:r>
        <w:rPr>
          <w:rFonts w:hint="eastAsia" w:ascii="宋体" w:hAnsi="宋体" w:eastAsia="宋体" w:cs="宋体"/>
          <w:iCs/>
          <w:color w:val="auto"/>
          <w:kern w:val="0"/>
          <w:sz w:val="24"/>
          <w:szCs w:val="24"/>
        </w:rPr>
        <w:t>措施，叠放使用的垫木应能防止其变形要求。</w:t>
      </w:r>
    </w:p>
    <w:p w14:paraId="03FD3912">
      <w:pPr>
        <w:widowControl/>
        <w:spacing w:line="360" w:lineRule="auto"/>
        <w:ind w:left="-5"/>
        <w:jc w:val="left"/>
        <w:rPr>
          <w:rFonts w:hint="eastAsia" w:ascii="宋体" w:hAnsi="宋体" w:eastAsia="宋体" w:cs="宋体"/>
          <w:iCs/>
          <w:color w:val="auto"/>
          <w:kern w:val="0"/>
          <w:sz w:val="24"/>
        </w:rPr>
      </w:pPr>
      <w:r>
        <w:rPr>
          <w:rFonts w:hint="eastAsia" w:ascii="宋体" w:hAnsi="宋体" w:eastAsia="宋体" w:cs="宋体"/>
          <w:b/>
          <w:bCs/>
          <w:iCs/>
          <w:color w:val="auto"/>
          <w:kern w:val="0"/>
          <w:sz w:val="24"/>
          <w:szCs w:val="24"/>
        </w:rPr>
        <w:t>7.2.</w:t>
      </w:r>
      <w:r>
        <w:rPr>
          <w:rFonts w:ascii="宋体" w:hAnsi="宋体" w:eastAsia="宋体" w:cs="宋体"/>
          <w:b/>
          <w:bCs/>
          <w:iCs/>
          <w:color w:val="auto"/>
          <w:kern w:val="0"/>
          <w:sz w:val="24"/>
          <w:szCs w:val="24"/>
        </w:rPr>
        <w:t>3</w:t>
      </w:r>
      <w:r>
        <w:rPr>
          <w:rFonts w:hint="eastAsia" w:ascii="宋体" w:hAnsi="宋体" w:eastAsia="宋体" w:cs="宋体"/>
          <w:iCs/>
          <w:color w:val="auto"/>
          <w:kern w:val="0"/>
          <w:sz w:val="24"/>
          <w:szCs w:val="24"/>
        </w:rPr>
        <w:t xml:space="preserve">  保温免拆模板进场时，应提供产品合格证、出厂检验报告、型式检验报告等质量证明文件，现场应对其品种、规格、各层材料厚度、包装、外观质量等进行验收，并有验收记录。</w:t>
      </w:r>
    </w:p>
    <w:p w14:paraId="78AC5C50">
      <w:pPr>
        <w:widowControl/>
        <w:spacing w:line="360" w:lineRule="auto"/>
        <w:ind w:left="-6"/>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7.2.</w:t>
      </w:r>
      <w:r>
        <w:rPr>
          <w:rFonts w:ascii="宋体" w:hAnsi="宋体" w:eastAsia="宋体" w:cs="宋体"/>
          <w:b/>
          <w:bCs/>
          <w:iCs/>
          <w:color w:val="auto"/>
          <w:kern w:val="0"/>
          <w:sz w:val="24"/>
          <w:szCs w:val="24"/>
        </w:rPr>
        <w:t>4</w:t>
      </w:r>
      <w:r>
        <w:rPr>
          <w:rFonts w:hint="eastAsia" w:ascii="宋体" w:hAnsi="宋体" w:eastAsia="宋体" w:cs="宋体"/>
          <w:iCs/>
          <w:color w:val="auto"/>
          <w:kern w:val="0"/>
          <w:sz w:val="24"/>
          <w:szCs w:val="24"/>
        </w:rPr>
        <w:t xml:space="preserve">  保温免拆模板进场后，应按检验批随机见证取样对其外形尺寸和性能进行复验，合格后方可使用。</w:t>
      </w:r>
    </w:p>
    <w:p w14:paraId="51E63474">
      <w:pPr>
        <w:widowControl/>
        <w:spacing w:line="360" w:lineRule="auto"/>
        <w:ind w:left="-6" w:firstLine="480" w:firstLineChars="200"/>
        <w:jc w:val="center"/>
        <w:rPr>
          <w:rFonts w:hint="eastAsia" w:ascii="宋体" w:hAnsi="宋体" w:eastAsia="宋体" w:cs="宋体"/>
          <w:iCs/>
          <w:color w:val="auto"/>
          <w:kern w:val="0"/>
          <w:sz w:val="24"/>
        </w:rPr>
      </w:pPr>
      <w:r>
        <w:rPr>
          <w:rFonts w:hint="eastAsia" w:ascii="宋体" w:hAnsi="宋体" w:eastAsia="宋体" w:cs="宋体"/>
          <w:iCs/>
          <w:color w:val="auto"/>
          <w:kern w:val="0"/>
          <w:sz w:val="24"/>
          <w:szCs w:val="24"/>
        </w:rPr>
        <w:t>表7.2.5  外形尺寸允许偏差和及检验方法</w:t>
      </w:r>
    </w:p>
    <w:tbl>
      <w:tblPr>
        <w:tblStyle w:val="88"/>
        <w:tblW w:w="8304" w:type="dxa"/>
        <w:jc w:val="center"/>
        <w:tblLayout w:type="fixed"/>
        <w:tblCellMar>
          <w:top w:w="0" w:type="dxa"/>
          <w:left w:w="108" w:type="dxa"/>
          <w:bottom w:w="0" w:type="dxa"/>
          <w:right w:w="108" w:type="dxa"/>
        </w:tblCellMar>
      </w:tblPr>
      <w:tblGrid>
        <w:gridCol w:w="770"/>
        <w:gridCol w:w="1019"/>
        <w:gridCol w:w="1261"/>
        <w:gridCol w:w="1261"/>
        <w:gridCol w:w="1261"/>
        <w:gridCol w:w="2732"/>
      </w:tblGrid>
      <w:tr w14:paraId="09020C14">
        <w:tblPrEx>
          <w:tblCellMar>
            <w:top w:w="0" w:type="dxa"/>
            <w:left w:w="108" w:type="dxa"/>
            <w:bottom w:w="0" w:type="dxa"/>
            <w:right w:w="108" w:type="dxa"/>
          </w:tblCellMar>
        </w:tblPrEx>
        <w:trPr>
          <w:jc w:val="center"/>
        </w:trPr>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8DC38">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序号</w:t>
            </w:r>
          </w:p>
        </w:tc>
        <w:tc>
          <w:tcPr>
            <w:tcW w:w="3541" w:type="dxa"/>
            <w:gridSpan w:val="3"/>
            <w:tcBorders>
              <w:top w:val="single" w:color="000000" w:sz="4" w:space="0"/>
              <w:left w:val="nil"/>
              <w:bottom w:val="single" w:color="000000" w:sz="4" w:space="0"/>
              <w:right w:val="single" w:color="000000" w:sz="4" w:space="0"/>
            </w:tcBorders>
            <w:shd w:val="clear" w:color="auto" w:fill="auto"/>
            <w:vAlign w:val="center"/>
          </w:tcPr>
          <w:p w14:paraId="71A44EF3">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项目</w:t>
            </w:r>
          </w:p>
        </w:tc>
        <w:tc>
          <w:tcPr>
            <w:tcW w:w="1261" w:type="dxa"/>
            <w:tcBorders>
              <w:top w:val="single" w:color="000000" w:sz="4" w:space="0"/>
              <w:left w:val="nil"/>
              <w:bottom w:val="single" w:color="000000" w:sz="4" w:space="0"/>
              <w:right w:val="single" w:color="000000" w:sz="4" w:space="0"/>
            </w:tcBorders>
            <w:shd w:val="clear" w:color="auto" w:fill="auto"/>
            <w:vAlign w:val="center"/>
          </w:tcPr>
          <w:p w14:paraId="3DED91A5">
            <w:pPr>
              <w:jc w:val="center"/>
              <w:rPr>
                <w:rFonts w:ascii="Times New Roman" w:hAnsi="Times New Roman" w:eastAsia="宋体" w:cs="Times New Roman"/>
                <w:color w:val="auto"/>
                <w:kern w:val="0"/>
                <w:sz w:val="20"/>
                <w:szCs w:val="20"/>
              </w:rPr>
            </w:pPr>
            <w:r>
              <w:rPr>
                <w:rFonts w:hint="eastAsia" w:ascii="Times New Roman" w:hAnsi="Times New Roman" w:eastAsia="宋体" w:cs="宋体"/>
                <w:color w:val="auto"/>
                <w:kern w:val="0"/>
                <w:sz w:val="20"/>
                <w:szCs w:val="20"/>
              </w:rPr>
              <w:t>允许偏差（</w:t>
            </w:r>
            <w:r>
              <w:rPr>
                <w:rFonts w:ascii="Times New Roman" w:hAnsi="Times New Roman" w:eastAsia="宋体" w:cs="Times New Roman"/>
                <w:color w:val="auto"/>
                <w:kern w:val="0"/>
                <w:sz w:val="20"/>
                <w:szCs w:val="20"/>
              </w:rPr>
              <w:t>mm</w:t>
            </w:r>
            <w:r>
              <w:rPr>
                <w:rFonts w:hint="eastAsia" w:ascii="宋体" w:hAnsi="宋体" w:eastAsia="宋体" w:cs="宋体"/>
                <w:color w:val="auto"/>
                <w:kern w:val="0"/>
                <w:sz w:val="20"/>
                <w:szCs w:val="20"/>
              </w:rPr>
              <w:t>）</w:t>
            </w:r>
          </w:p>
        </w:tc>
        <w:tc>
          <w:tcPr>
            <w:tcW w:w="2732" w:type="dxa"/>
            <w:tcBorders>
              <w:top w:val="single" w:color="000000" w:sz="4" w:space="0"/>
              <w:left w:val="nil"/>
              <w:bottom w:val="single" w:color="000000" w:sz="4" w:space="0"/>
              <w:right w:val="single" w:color="000000" w:sz="4" w:space="0"/>
            </w:tcBorders>
            <w:shd w:val="clear" w:color="auto" w:fill="auto"/>
            <w:vAlign w:val="center"/>
          </w:tcPr>
          <w:p w14:paraId="7E3978F1">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检验方法</w:t>
            </w:r>
          </w:p>
        </w:tc>
      </w:tr>
      <w:tr w14:paraId="4CBEE29F">
        <w:tblPrEx>
          <w:tblCellMar>
            <w:top w:w="0" w:type="dxa"/>
            <w:left w:w="108" w:type="dxa"/>
            <w:bottom w:w="0" w:type="dxa"/>
            <w:right w:w="108" w:type="dxa"/>
          </w:tblCellMar>
        </w:tblPrEx>
        <w:trPr>
          <w:jc w:val="center"/>
        </w:trPr>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79962">
            <w:pPr>
              <w:jc w:val="center"/>
              <w:rPr>
                <w:rFonts w:ascii="Times New Roman" w:hAnsi="Times New Roman" w:cs="Times New Roman"/>
                <w:color w:val="auto"/>
                <w:kern w:val="0"/>
                <w:sz w:val="20"/>
                <w:szCs w:val="20"/>
              </w:rPr>
            </w:pPr>
            <w:r>
              <w:rPr>
                <w:rFonts w:ascii="Times New Roman" w:hAnsi="Times New Roman" w:eastAsia="宋体" w:cs="Times New Roman"/>
                <w:color w:val="auto"/>
                <w:kern w:val="0"/>
                <w:sz w:val="20"/>
                <w:szCs w:val="20"/>
              </w:rPr>
              <w:t>1</w:t>
            </w:r>
          </w:p>
        </w:tc>
        <w:tc>
          <w:tcPr>
            <w:tcW w:w="1019" w:type="dxa"/>
            <w:vMerge w:val="restart"/>
            <w:tcBorders>
              <w:top w:val="single" w:color="000000" w:sz="4" w:space="0"/>
              <w:left w:val="nil"/>
              <w:bottom w:val="single" w:color="000000" w:sz="4" w:space="0"/>
              <w:right w:val="single" w:color="auto" w:sz="4" w:space="0"/>
            </w:tcBorders>
            <w:shd w:val="clear" w:color="auto" w:fill="auto"/>
            <w:vAlign w:val="center"/>
          </w:tcPr>
          <w:p w14:paraId="4DEFAA28">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规格尺寸</w:t>
            </w:r>
          </w:p>
        </w:tc>
        <w:tc>
          <w:tcPr>
            <w:tcW w:w="2522" w:type="dxa"/>
            <w:gridSpan w:val="2"/>
            <w:tcBorders>
              <w:top w:val="single" w:color="000000" w:sz="4" w:space="0"/>
              <w:left w:val="single" w:color="auto" w:sz="4" w:space="0"/>
              <w:bottom w:val="single" w:color="000000" w:sz="4" w:space="0"/>
              <w:right w:val="single" w:color="000000" w:sz="4" w:space="0"/>
            </w:tcBorders>
            <w:shd w:val="clear" w:color="auto" w:fill="auto"/>
            <w:vAlign w:val="center"/>
          </w:tcPr>
          <w:p w14:paraId="0D0B9DCA">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高度</w:t>
            </w:r>
          </w:p>
        </w:tc>
        <w:tc>
          <w:tcPr>
            <w:tcW w:w="1261" w:type="dxa"/>
            <w:tcBorders>
              <w:top w:val="single" w:color="000000" w:sz="4" w:space="0"/>
              <w:left w:val="nil"/>
              <w:bottom w:val="single" w:color="000000" w:sz="4" w:space="0"/>
              <w:right w:val="single" w:color="000000" w:sz="4" w:space="0"/>
            </w:tcBorders>
            <w:shd w:val="clear" w:color="auto" w:fill="auto"/>
            <w:vAlign w:val="center"/>
          </w:tcPr>
          <w:p w14:paraId="3E607CE1">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w:t>
            </w:r>
            <w:r>
              <w:rPr>
                <w:rFonts w:ascii="Times New Roman" w:hAnsi="Times New Roman" w:eastAsia="宋体" w:cs="Times New Roman"/>
                <w:color w:val="auto"/>
                <w:kern w:val="0"/>
                <w:sz w:val="20"/>
                <w:szCs w:val="20"/>
              </w:rPr>
              <w:t>4</w:t>
            </w:r>
          </w:p>
        </w:tc>
        <w:tc>
          <w:tcPr>
            <w:tcW w:w="2732" w:type="dxa"/>
            <w:tcBorders>
              <w:top w:val="single" w:color="000000" w:sz="4" w:space="0"/>
              <w:left w:val="nil"/>
              <w:bottom w:val="single" w:color="000000" w:sz="4" w:space="0"/>
              <w:right w:val="single" w:color="000000" w:sz="4" w:space="0"/>
            </w:tcBorders>
            <w:shd w:val="clear" w:color="auto" w:fill="auto"/>
            <w:vAlign w:val="center"/>
          </w:tcPr>
          <w:p w14:paraId="3E7551C2">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用尺量两端及中间部，取其中偏差绝对值较大值</w:t>
            </w:r>
          </w:p>
        </w:tc>
      </w:tr>
      <w:tr w14:paraId="6E55F37E">
        <w:tblPrEx>
          <w:tblCellMar>
            <w:top w:w="0" w:type="dxa"/>
            <w:left w:w="108" w:type="dxa"/>
            <w:bottom w:w="0" w:type="dxa"/>
            <w:right w:w="108" w:type="dxa"/>
          </w:tblCellMar>
        </w:tblPrEx>
        <w:trPr>
          <w:jc w:val="center"/>
        </w:trPr>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3A382">
            <w:pPr>
              <w:jc w:val="center"/>
              <w:rPr>
                <w:rFonts w:ascii="Times New Roman" w:hAnsi="Times New Roman" w:cs="Times New Roman"/>
                <w:color w:val="auto"/>
                <w:kern w:val="0"/>
                <w:sz w:val="20"/>
                <w:szCs w:val="20"/>
              </w:rPr>
            </w:pPr>
            <w:r>
              <w:rPr>
                <w:rFonts w:ascii="Times New Roman" w:hAnsi="Times New Roman" w:eastAsia="宋体" w:cs="Times New Roman"/>
                <w:color w:val="auto"/>
                <w:kern w:val="0"/>
                <w:sz w:val="20"/>
                <w:szCs w:val="20"/>
              </w:rPr>
              <w:t>2</w:t>
            </w:r>
          </w:p>
        </w:tc>
        <w:tc>
          <w:tcPr>
            <w:tcW w:w="1019" w:type="dxa"/>
            <w:vMerge w:val="continue"/>
            <w:tcBorders>
              <w:top w:val="single" w:color="000000" w:sz="4" w:space="0"/>
              <w:left w:val="nil"/>
              <w:bottom w:val="single" w:color="000000" w:sz="4" w:space="0"/>
              <w:right w:val="single" w:color="auto" w:sz="4" w:space="0"/>
            </w:tcBorders>
            <w:shd w:val="clear" w:color="auto" w:fill="auto"/>
            <w:vAlign w:val="center"/>
          </w:tcPr>
          <w:p w14:paraId="58A9FF9C">
            <w:pPr>
              <w:rPr>
                <w:rFonts w:ascii="Calibri" w:hAnsi="Calibri" w:eastAsia="宋体" w:cs="Times New Roman"/>
                <w:color w:val="auto"/>
              </w:rPr>
            </w:pPr>
          </w:p>
        </w:tc>
        <w:tc>
          <w:tcPr>
            <w:tcW w:w="2522" w:type="dxa"/>
            <w:gridSpan w:val="2"/>
            <w:tcBorders>
              <w:top w:val="single" w:color="000000" w:sz="4" w:space="0"/>
              <w:left w:val="single" w:color="auto" w:sz="4" w:space="0"/>
              <w:bottom w:val="single" w:color="000000" w:sz="4" w:space="0"/>
              <w:right w:val="single" w:color="000000" w:sz="4" w:space="0"/>
            </w:tcBorders>
            <w:shd w:val="clear" w:color="auto" w:fill="auto"/>
            <w:vAlign w:val="center"/>
          </w:tcPr>
          <w:p w14:paraId="19202848">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宽度</w:t>
            </w:r>
          </w:p>
        </w:tc>
        <w:tc>
          <w:tcPr>
            <w:tcW w:w="1261" w:type="dxa"/>
            <w:tcBorders>
              <w:top w:val="single" w:color="000000" w:sz="4" w:space="0"/>
              <w:left w:val="nil"/>
              <w:bottom w:val="single" w:color="000000" w:sz="4" w:space="0"/>
              <w:right w:val="single" w:color="000000" w:sz="4" w:space="0"/>
            </w:tcBorders>
            <w:shd w:val="clear" w:color="auto" w:fill="auto"/>
            <w:vAlign w:val="center"/>
          </w:tcPr>
          <w:p w14:paraId="1E7FE726">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w:t>
            </w:r>
            <w:r>
              <w:rPr>
                <w:rFonts w:ascii="Times New Roman" w:hAnsi="Times New Roman" w:eastAsia="宋体" w:cs="Times New Roman"/>
                <w:color w:val="auto"/>
                <w:kern w:val="0"/>
                <w:sz w:val="20"/>
                <w:szCs w:val="20"/>
              </w:rPr>
              <w:t>4</w:t>
            </w:r>
          </w:p>
        </w:tc>
        <w:tc>
          <w:tcPr>
            <w:tcW w:w="2732" w:type="dxa"/>
            <w:tcBorders>
              <w:top w:val="single" w:color="000000" w:sz="4" w:space="0"/>
              <w:left w:val="nil"/>
              <w:bottom w:val="single" w:color="000000" w:sz="4" w:space="0"/>
              <w:right w:val="single" w:color="000000" w:sz="4" w:space="0"/>
            </w:tcBorders>
            <w:shd w:val="clear" w:color="auto" w:fill="auto"/>
          </w:tcPr>
          <w:p w14:paraId="5421E3E8">
            <w:pP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用尺量两端及中间部，取其中偏差绝对值较大值</w:t>
            </w:r>
          </w:p>
        </w:tc>
      </w:tr>
      <w:tr w14:paraId="19EFD51E">
        <w:tblPrEx>
          <w:tblCellMar>
            <w:top w:w="0" w:type="dxa"/>
            <w:left w:w="108" w:type="dxa"/>
            <w:bottom w:w="0" w:type="dxa"/>
            <w:right w:w="108" w:type="dxa"/>
          </w:tblCellMar>
        </w:tblPrEx>
        <w:trPr>
          <w:trHeight w:val="550" w:hRule="atLeast"/>
          <w:jc w:val="center"/>
        </w:trPr>
        <w:tc>
          <w:tcPr>
            <w:tcW w:w="770" w:type="dxa"/>
            <w:tcBorders>
              <w:top w:val="nil"/>
              <w:left w:val="single" w:color="000000" w:sz="4" w:space="0"/>
              <w:bottom w:val="single" w:color="000000" w:sz="4" w:space="0"/>
              <w:right w:val="single" w:color="000000" w:sz="4" w:space="0"/>
            </w:tcBorders>
            <w:shd w:val="clear" w:color="auto" w:fill="auto"/>
            <w:vAlign w:val="center"/>
          </w:tcPr>
          <w:p w14:paraId="01397AC6">
            <w:pPr>
              <w:jc w:val="center"/>
              <w:rPr>
                <w:rFonts w:ascii="Times New Roman" w:hAnsi="Times New Roman" w:cs="Times New Roman"/>
                <w:color w:val="auto"/>
                <w:kern w:val="0"/>
                <w:sz w:val="20"/>
                <w:szCs w:val="20"/>
              </w:rPr>
            </w:pPr>
            <w:r>
              <w:rPr>
                <w:rFonts w:ascii="Times New Roman" w:hAnsi="Times New Roman" w:eastAsia="宋体" w:cs="Times New Roman"/>
                <w:color w:val="auto"/>
                <w:kern w:val="0"/>
                <w:sz w:val="20"/>
                <w:szCs w:val="20"/>
              </w:rPr>
              <w:t>3</w:t>
            </w:r>
          </w:p>
        </w:tc>
        <w:tc>
          <w:tcPr>
            <w:tcW w:w="1019" w:type="dxa"/>
            <w:vMerge w:val="continue"/>
            <w:tcBorders>
              <w:top w:val="single" w:color="000000" w:sz="4" w:space="0"/>
              <w:left w:val="nil"/>
              <w:bottom w:val="single" w:color="000000" w:sz="4" w:space="0"/>
              <w:right w:val="single" w:color="auto" w:sz="4" w:space="0"/>
            </w:tcBorders>
            <w:shd w:val="clear" w:color="auto" w:fill="auto"/>
            <w:vAlign w:val="center"/>
          </w:tcPr>
          <w:p w14:paraId="10F81352">
            <w:pPr>
              <w:rPr>
                <w:rFonts w:ascii="Calibri" w:hAnsi="Calibri" w:eastAsia="宋体" w:cs="Times New Roman"/>
                <w:color w:val="auto"/>
              </w:rPr>
            </w:pPr>
          </w:p>
        </w:tc>
        <w:tc>
          <w:tcPr>
            <w:tcW w:w="2522" w:type="dxa"/>
            <w:gridSpan w:val="2"/>
            <w:tcBorders>
              <w:top w:val="nil"/>
              <w:left w:val="single" w:color="auto" w:sz="4" w:space="0"/>
              <w:bottom w:val="single" w:color="000000" w:sz="4" w:space="0"/>
              <w:right w:val="single" w:color="000000" w:sz="4" w:space="0"/>
            </w:tcBorders>
            <w:shd w:val="clear" w:color="auto" w:fill="auto"/>
            <w:vAlign w:val="center"/>
          </w:tcPr>
          <w:p w14:paraId="0F2286A4">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厚度</w:t>
            </w:r>
          </w:p>
        </w:tc>
        <w:tc>
          <w:tcPr>
            <w:tcW w:w="1261" w:type="dxa"/>
            <w:tcBorders>
              <w:top w:val="single" w:color="000000" w:sz="4" w:space="0"/>
              <w:left w:val="nil"/>
              <w:bottom w:val="single" w:color="000000" w:sz="4" w:space="0"/>
              <w:right w:val="single" w:color="000000" w:sz="4" w:space="0"/>
            </w:tcBorders>
            <w:shd w:val="clear" w:color="auto" w:fill="auto"/>
            <w:vAlign w:val="center"/>
          </w:tcPr>
          <w:p w14:paraId="112AB0F1">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w:t>
            </w:r>
            <w:r>
              <w:rPr>
                <w:rFonts w:ascii="Times New Roman" w:hAnsi="Times New Roman" w:eastAsia="宋体" w:cs="Times New Roman"/>
                <w:color w:val="auto"/>
                <w:kern w:val="0"/>
                <w:sz w:val="20"/>
                <w:szCs w:val="20"/>
              </w:rPr>
              <w:t>3</w:t>
            </w:r>
          </w:p>
        </w:tc>
        <w:tc>
          <w:tcPr>
            <w:tcW w:w="2732" w:type="dxa"/>
            <w:tcBorders>
              <w:top w:val="nil"/>
              <w:left w:val="nil"/>
              <w:bottom w:val="single" w:color="000000" w:sz="4" w:space="0"/>
              <w:right w:val="single" w:color="000000" w:sz="4" w:space="0"/>
            </w:tcBorders>
            <w:shd w:val="clear" w:color="auto" w:fill="auto"/>
            <w:vAlign w:val="center"/>
          </w:tcPr>
          <w:p w14:paraId="296F9384">
            <w:pPr>
              <w:widowControl/>
              <w:jc w:val="left"/>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用尺量板四角和四边中部位置共</w:t>
            </w:r>
            <w:r>
              <w:rPr>
                <w:rFonts w:ascii="Times New Roman" w:hAnsi="Times New Roman" w:eastAsia="宋体" w:cs="Times New Roman"/>
                <w:color w:val="auto"/>
                <w:kern w:val="0"/>
                <w:sz w:val="20"/>
                <w:szCs w:val="20"/>
              </w:rPr>
              <w:t>8</w:t>
            </w:r>
            <w:r>
              <w:rPr>
                <w:rFonts w:hint="eastAsia" w:ascii="Times New Roman" w:hAnsi="Times New Roman" w:eastAsia="宋体" w:cs="宋体"/>
                <w:color w:val="auto"/>
                <w:kern w:val="0"/>
                <w:sz w:val="20"/>
                <w:szCs w:val="20"/>
              </w:rPr>
              <w:t>处，取其中偏差绝对值较大值</w:t>
            </w:r>
          </w:p>
        </w:tc>
      </w:tr>
      <w:tr w14:paraId="006C9FEE">
        <w:tblPrEx>
          <w:tblCellMar>
            <w:top w:w="0" w:type="dxa"/>
            <w:left w:w="108" w:type="dxa"/>
            <w:bottom w:w="0" w:type="dxa"/>
            <w:right w:w="108" w:type="dxa"/>
          </w:tblCellMar>
        </w:tblPrEx>
        <w:trPr>
          <w:trHeight w:val="1040" w:hRule="atLeast"/>
          <w:jc w:val="center"/>
        </w:trPr>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82CFE">
            <w:pPr>
              <w:jc w:val="center"/>
              <w:rPr>
                <w:rFonts w:ascii="Times New Roman" w:hAnsi="Times New Roman" w:cs="Times New Roman"/>
                <w:color w:val="auto"/>
                <w:kern w:val="0"/>
                <w:sz w:val="20"/>
                <w:szCs w:val="20"/>
              </w:rPr>
            </w:pPr>
            <w:r>
              <w:rPr>
                <w:rFonts w:ascii="Times New Roman" w:hAnsi="Times New Roman" w:eastAsia="宋体" w:cs="Times New Roman"/>
                <w:color w:val="auto"/>
                <w:kern w:val="0"/>
                <w:sz w:val="20"/>
                <w:szCs w:val="20"/>
              </w:rPr>
              <w:t>4</w:t>
            </w:r>
          </w:p>
        </w:tc>
        <w:tc>
          <w:tcPr>
            <w:tcW w:w="3541" w:type="dxa"/>
            <w:gridSpan w:val="3"/>
            <w:tcBorders>
              <w:top w:val="single" w:color="000000" w:sz="4" w:space="0"/>
              <w:left w:val="nil"/>
              <w:bottom w:val="single" w:color="000000" w:sz="4" w:space="0"/>
              <w:right w:val="single" w:color="000000" w:sz="4" w:space="0"/>
            </w:tcBorders>
            <w:shd w:val="clear" w:color="auto" w:fill="auto"/>
            <w:vAlign w:val="center"/>
          </w:tcPr>
          <w:p w14:paraId="06904365">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对角线差</w:t>
            </w:r>
          </w:p>
        </w:tc>
        <w:tc>
          <w:tcPr>
            <w:tcW w:w="1261" w:type="dxa"/>
            <w:tcBorders>
              <w:top w:val="single" w:color="000000" w:sz="4" w:space="0"/>
              <w:left w:val="nil"/>
              <w:bottom w:val="single" w:color="000000" w:sz="4" w:space="0"/>
              <w:right w:val="single" w:color="000000" w:sz="4" w:space="0"/>
            </w:tcBorders>
            <w:shd w:val="clear" w:color="auto" w:fill="auto"/>
            <w:vAlign w:val="center"/>
          </w:tcPr>
          <w:p w14:paraId="72230E8C">
            <w:pPr>
              <w:jc w:val="center"/>
              <w:rPr>
                <w:rFonts w:ascii="Times New Roman" w:hAnsi="Times New Roman" w:cs="Times New Roman"/>
                <w:color w:val="auto"/>
                <w:kern w:val="0"/>
                <w:sz w:val="20"/>
                <w:szCs w:val="20"/>
              </w:rPr>
            </w:pPr>
            <w:r>
              <w:rPr>
                <w:rFonts w:ascii="Times New Roman" w:hAnsi="Times New Roman" w:eastAsia="宋体" w:cs="Times New Roman"/>
                <w:color w:val="auto"/>
                <w:kern w:val="0"/>
                <w:sz w:val="20"/>
                <w:szCs w:val="20"/>
              </w:rPr>
              <w:t>5</w:t>
            </w:r>
          </w:p>
        </w:tc>
        <w:tc>
          <w:tcPr>
            <w:tcW w:w="2732" w:type="dxa"/>
            <w:tcBorders>
              <w:top w:val="single" w:color="000000" w:sz="4" w:space="0"/>
              <w:left w:val="nil"/>
              <w:bottom w:val="single" w:color="000000" w:sz="4" w:space="0"/>
              <w:right w:val="single" w:color="000000" w:sz="4" w:space="0"/>
            </w:tcBorders>
            <w:shd w:val="clear" w:color="auto" w:fill="auto"/>
            <w:vAlign w:val="center"/>
          </w:tcPr>
          <w:p w14:paraId="7C75B5AB">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在构件表面，用尺量测两对角线的长度，取其绝对值的差值</w:t>
            </w:r>
          </w:p>
        </w:tc>
      </w:tr>
      <w:tr w14:paraId="1DA56E4A">
        <w:tblPrEx>
          <w:tblCellMar>
            <w:top w:w="0" w:type="dxa"/>
            <w:left w:w="108" w:type="dxa"/>
            <w:bottom w:w="0" w:type="dxa"/>
            <w:right w:w="108" w:type="dxa"/>
          </w:tblCellMar>
        </w:tblPrEx>
        <w:trPr>
          <w:trHeight w:val="614" w:hRule="atLeast"/>
          <w:jc w:val="center"/>
        </w:trPr>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4ED96">
            <w:pPr>
              <w:jc w:val="center"/>
              <w:rPr>
                <w:rFonts w:ascii="Times New Roman" w:hAnsi="Times New Roman" w:cs="Times New Roman"/>
                <w:color w:val="auto"/>
                <w:kern w:val="0"/>
                <w:sz w:val="20"/>
                <w:szCs w:val="20"/>
              </w:rPr>
            </w:pPr>
            <w:r>
              <w:rPr>
                <w:rFonts w:ascii="Times New Roman" w:hAnsi="Times New Roman" w:eastAsia="宋体" w:cs="Times New Roman"/>
                <w:color w:val="auto"/>
                <w:kern w:val="0"/>
                <w:sz w:val="20"/>
                <w:szCs w:val="20"/>
              </w:rPr>
              <w:t>5</w:t>
            </w:r>
          </w:p>
        </w:tc>
        <w:tc>
          <w:tcPr>
            <w:tcW w:w="1019" w:type="dxa"/>
            <w:vMerge w:val="restart"/>
            <w:tcBorders>
              <w:top w:val="single" w:color="000000" w:sz="4" w:space="0"/>
              <w:left w:val="nil"/>
              <w:bottom w:val="single" w:color="000000" w:sz="4" w:space="0"/>
              <w:right w:val="single" w:color="auto" w:sz="4" w:space="0"/>
            </w:tcBorders>
            <w:shd w:val="clear" w:color="auto" w:fill="auto"/>
            <w:vAlign w:val="center"/>
          </w:tcPr>
          <w:p w14:paraId="003B3C1E">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外形</w:t>
            </w:r>
          </w:p>
        </w:tc>
        <w:tc>
          <w:tcPr>
            <w:tcW w:w="1261" w:type="dxa"/>
            <w:vMerge w:val="restart"/>
            <w:tcBorders>
              <w:top w:val="single" w:color="000000" w:sz="4" w:space="0"/>
              <w:left w:val="nil"/>
              <w:bottom w:val="single" w:color="000000" w:sz="4" w:space="0"/>
              <w:right w:val="single" w:color="auto" w:sz="4" w:space="0"/>
            </w:tcBorders>
            <w:shd w:val="clear" w:color="auto" w:fill="auto"/>
            <w:vAlign w:val="center"/>
          </w:tcPr>
          <w:p w14:paraId="1376A4D4">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表面平整度</w:t>
            </w:r>
          </w:p>
        </w:tc>
        <w:tc>
          <w:tcPr>
            <w:tcW w:w="1261" w:type="dxa"/>
            <w:tcBorders>
              <w:top w:val="single" w:color="000000" w:sz="4" w:space="0"/>
              <w:left w:val="single" w:color="auto" w:sz="4" w:space="0"/>
              <w:bottom w:val="single" w:color="000000" w:sz="4" w:space="0"/>
              <w:right w:val="single" w:color="000000" w:sz="4" w:space="0"/>
            </w:tcBorders>
            <w:shd w:val="clear" w:color="auto" w:fill="auto"/>
            <w:vAlign w:val="center"/>
          </w:tcPr>
          <w:p w14:paraId="35F98511">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内表面</w:t>
            </w:r>
          </w:p>
        </w:tc>
        <w:tc>
          <w:tcPr>
            <w:tcW w:w="1261" w:type="dxa"/>
            <w:tcBorders>
              <w:top w:val="single" w:color="000000" w:sz="4" w:space="0"/>
              <w:left w:val="nil"/>
              <w:bottom w:val="single" w:color="000000" w:sz="4" w:space="0"/>
              <w:right w:val="single" w:color="000000" w:sz="4" w:space="0"/>
            </w:tcBorders>
            <w:shd w:val="clear" w:color="auto" w:fill="auto"/>
            <w:vAlign w:val="center"/>
          </w:tcPr>
          <w:p w14:paraId="48630D1F">
            <w:pPr>
              <w:jc w:val="center"/>
              <w:rPr>
                <w:rFonts w:ascii="Times New Roman" w:hAnsi="Times New Roman" w:cs="Times New Roman"/>
                <w:color w:val="auto"/>
                <w:kern w:val="0"/>
                <w:sz w:val="20"/>
                <w:szCs w:val="20"/>
              </w:rPr>
            </w:pPr>
            <w:r>
              <w:rPr>
                <w:rFonts w:ascii="Times New Roman" w:hAnsi="Times New Roman" w:eastAsia="宋体" w:cs="Times New Roman"/>
                <w:color w:val="auto"/>
                <w:kern w:val="0"/>
                <w:sz w:val="20"/>
                <w:szCs w:val="20"/>
              </w:rPr>
              <w:t>4</w:t>
            </w:r>
          </w:p>
        </w:tc>
        <w:tc>
          <w:tcPr>
            <w:tcW w:w="2732" w:type="dxa"/>
            <w:vMerge w:val="restart"/>
            <w:tcBorders>
              <w:top w:val="single" w:color="000000" w:sz="4" w:space="0"/>
              <w:left w:val="nil"/>
              <w:bottom w:val="single" w:color="000000" w:sz="4" w:space="0"/>
              <w:right w:val="single" w:color="000000" w:sz="4" w:space="0"/>
            </w:tcBorders>
            <w:shd w:val="clear" w:color="auto" w:fill="auto"/>
          </w:tcPr>
          <w:p w14:paraId="2AA58FB4">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用</w:t>
            </w:r>
            <w:r>
              <w:rPr>
                <w:rFonts w:ascii="Times New Roman" w:hAnsi="Times New Roman" w:eastAsia="宋体" w:cs="Times New Roman"/>
                <w:color w:val="auto"/>
                <w:kern w:val="0"/>
                <w:sz w:val="20"/>
                <w:szCs w:val="20"/>
              </w:rPr>
              <w:t>2m</w:t>
            </w:r>
            <w:r>
              <w:rPr>
                <w:rFonts w:hint="eastAsia" w:ascii="Times New Roman" w:hAnsi="Times New Roman" w:eastAsia="宋体" w:cs="宋体"/>
                <w:color w:val="auto"/>
                <w:kern w:val="0"/>
                <w:sz w:val="20"/>
                <w:szCs w:val="20"/>
              </w:rPr>
              <w:t>靠尺安放在构件表面，用楔形塞尺量测靠尺与表面之间的最大缝隙</w:t>
            </w:r>
          </w:p>
        </w:tc>
      </w:tr>
      <w:tr w14:paraId="4AB85F7D">
        <w:tblPrEx>
          <w:tblCellMar>
            <w:top w:w="0" w:type="dxa"/>
            <w:left w:w="108" w:type="dxa"/>
            <w:bottom w:w="0" w:type="dxa"/>
            <w:right w:w="108" w:type="dxa"/>
          </w:tblCellMar>
        </w:tblPrEx>
        <w:trPr>
          <w:jc w:val="center"/>
        </w:trPr>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AC51A">
            <w:pPr>
              <w:jc w:val="center"/>
              <w:rPr>
                <w:rFonts w:ascii="Times New Roman" w:hAnsi="Times New Roman" w:cs="Times New Roman"/>
                <w:color w:val="auto"/>
                <w:kern w:val="0"/>
                <w:sz w:val="20"/>
                <w:szCs w:val="20"/>
              </w:rPr>
            </w:pPr>
            <w:r>
              <w:rPr>
                <w:rFonts w:ascii="Times New Roman" w:hAnsi="Times New Roman" w:eastAsia="宋体" w:cs="Times New Roman"/>
                <w:color w:val="auto"/>
                <w:kern w:val="0"/>
                <w:sz w:val="20"/>
                <w:szCs w:val="20"/>
              </w:rPr>
              <w:t>6</w:t>
            </w:r>
          </w:p>
        </w:tc>
        <w:tc>
          <w:tcPr>
            <w:tcW w:w="1019" w:type="dxa"/>
            <w:vMerge w:val="continue"/>
            <w:tcBorders>
              <w:top w:val="single" w:color="000000" w:sz="4" w:space="0"/>
              <w:left w:val="nil"/>
              <w:bottom w:val="single" w:color="000000" w:sz="4" w:space="0"/>
              <w:right w:val="single" w:color="auto" w:sz="4" w:space="0"/>
            </w:tcBorders>
            <w:shd w:val="clear" w:color="auto" w:fill="auto"/>
            <w:vAlign w:val="center"/>
          </w:tcPr>
          <w:p w14:paraId="6BC98FD1">
            <w:pPr>
              <w:rPr>
                <w:rFonts w:ascii="Calibri" w:hAnsi="Calibri" w:eastAsia="宋体" w:cs="Times New Roman"/>
                <w:color w:val="auto"/>
              </w:rPr>
            </w:pPr>
          </w:p>
        </w:tc>
        <w:tc>
          <w:tcPr>
            <w:tcW w:w="1261" w:type="dxa"/>
            <w:vMerge w:val="continue"/>
            <w:tcBorders>
              <w:top w:val="single" w:color="000000" w:sz="4" w:space="0"/>
              <w:left w:val="nil"/>
              <w:bottom w:val="single" w:color="000000" w:sz="4" w:space="0"/>
              <w:right w:val="single" w:color="auto" w:sz="4" w:space="0"/>
            </w:tcBorders>
            <w:shd w:val="clear" w:color="auto" w:fill="auto"/>
            <w:vAlign w:val="center"/>
          </w:tcPr>
          <w:p w14:paraId="47766109">
            <w:pPr>
              <w:rPr>
                <w:rFonts w:ascii="Calibri" w:hAnsi="Calibri" w:eastAsia="宋体" w:cs="Times New Roman"/>
                <w:color w:val="auto"/>
              </w:rPr>
            </w:pPr>
          </w:p>
        </w:tc>
        <w:tc>
          <w:tcPr>
            <w:tcW w:w="1261" w:type="dxa"/>
            <w:tcBorders>
              <w:top w:val="single" w:color="000000" w:sz="4" w:space="0"/>
              <w:left w:val="single" w:color="auto" w:sz="4" w:space="0"/>
              <w:bottom w:val="single" w:color="000000" w:sz="4" w:space="0"/>
              <w:right w:val="single" w:color="000000" w:sz="4" w:space="0"/>
            </w:tcBorders>
            <w:shd w:val="clear" w:color="auto" w:fill="auto"/>
            <w:vAlign w:val="center"/>
          </w:tcPr>
          <w:p w14:paraId="4DE851F7">
            <w:pPr>
              <w:jc w:val="center"/>
              <w:rPr>
                <w:rFonts w:ascii="Times New Roman" w:hAnsi="Times New Roman" w:cs="Times New Roman"/>
                <w:color w:val="auto"/>
                <w:kern w:val="0"/>
                <w:sz w:val="20"/>
                <w:szCs w:val="20"/>
              </w:rPr>
            </w:pPr>
            <w:r>
              <w:rPr>
                <w:rFonts w:hint="eastAsia" w:ascii="Times New Roman" w:hAnsi="Times New Roman" w:eastAsia="宋体" w:cs="宋体"/>
                <w:color w:val="auto"/>
                <w:kern w:val="0"/>
                <w:sz w:val="20"/>
                <w:szCs w:val="20"/>
              </w:rPr>
              <w:t>外表面</w:t>
            </w:r>
          </w:p>
        </w:tc>
        <w:tc>
          <w:tcPr>
            <w:tcW w:w="1261" w:type="dxa"/>
            <w:tcBorders>
              <w:top w:val="single" w:color="000000" w:sz="4" w:space="0"/>
              <w:left w:val="nil"/>
              <w:bottom w:val="single" w:color="000000" w:sz="4" w:space="0"/>
              <w:right w:val="single" w:color="000000" w:sz="4" w:space="0"/>
            </w:tcBorders>
            <w:shd w:val="clear" w:color="auto" w:fill="auto"/>
            <w:vAlign w:val="center"/>
          </w:tcPr>
          <w:p w14:paraId="7385ACF9">
            <w:pPr>
              <w:jc w:val="center"/>
              <w:rPr>
                <w:rFonts w:ascii="Times New Roman" w:hAnsi="Times New Roman" w:cs="Times New Roman"/>
                <w:color w:val="auto"/>
                <w:kern w:val="0"/>
                <w:sz w:val="20"/>
                <w:szCs w:val="20"/>
              </w:rPr>
            </w:pPr>
            <w:r>
              <w:rPr>
                <w:rFonts w:ascii="Times New Roman" w:hAnsi="Times New Roman" w:eastAsia="宋体" w:cs="Times New Roman"/>
                <w:color w:val="auto"/>
                <w:kern w:val="0"/>
                <w:sz w:val="20"/>
                <w:szCs w:val="20"/>
              </w:rPr>
              <w:t>3</w:t>
            </w:r>
          </w:p>
        </w:tc>
        <w:tc>
          <w:tcPr>
            <w:tcW w:w="2732" w:type="dxa"/>
            <w:vMerge w:val="continue"/>
            <w:tcBorders>
              <w:top w:val="single" w:color="000000" w:sz="4" w:space="0"/>
              <w:left w:val="nil"/>
              <w:bottom w:val="single" w:color="000000" w:sz="4" w:space="0"/>
              <w:right w:val="single" w:color="000000" w:sz="4" w:space="0"/>
            </w:tcBorders>
            <w:shd w:val="clear" w:color="auto" w:fill="auto"/>
          </w:tcPr>
          <w:p w14:paraId="6D83515E">
            <w:pPr>
              <w:rPr>
                <w:rFonts w:ascii="Calibri" w:hAnsi="Calibri" w:eastAsia="宋体" w:cs="Times New Roman"/>
                <w:color w:val="auto"/>
              </w:rPr>
            </w:pPr>
          </w:p>
        </w:tc>
      </w:tr>
    </w:tbl>
    <w:p w14:paraId="739DBAAD">
      <w:pPr>
        <w:widowControl/>
        <w:spacing w:line="360" w:lineRule="auto"/>
        <w:ind w:left="-5"/>
        <w:jc w:val="left"/>
        <w:rPr>
          <w:rFonts w:hint="eastAsia" w:ascii="宋体" w:hAnsi="宋体" w:eastAsia="宋体" w:cs="宋体"/>
          <w:iCs/>
          <w:color w:val="auto"/>
          <w:kern w:val="0"/>
          <w:sz w:val="24"/>
          <w:szCs w:val="24"/>
        </w:rPr>
      </w:pPr>
    </w:p>
    <w:p w14:paraId="720BA2D2">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7.2.</w:t>
      </w:r>
      <w:r>
        <w:rPr>
          <w:rFonts w:ascii="宋体" w:hAnsi="宋体" w:eastAsia="宋体" w:cs="宋体"/>
          <w:b/>
          <w:bCs/>
          <w:iCs/>
          <w:color w:val="auto"/>
          <w:kern w:val="0"/>
          <w:sz w:val="24"/>
          <w:szCs w:val="24"/>
        </w:rPr>
        <w:t>5</w:t>
      </w:r>
      <w:r>
        <w:rPr>
          <w:rFonts w:hint="eastAsia" w:ascii="宋体" w:hAnsi="宋体" w:eastAsia="宋体" w:cs="宋体"/>
          <w:iCs/>
          <w:color w:val="auto"/>
          <w:kern w:val="0"/>
          <w:sz w:val="24"/>
          <w:szCs w:val="24"/>
        </w:rPr>
        <w:t xml:space="preserve">  同一工程、同一厂家、同一类型的保温免拆模板，每5000㎡划分为一个检验批，不足5000㎡时，应划分为一个检验批。</w:t>
      </w:r>
    </w:p>
    <w:p w14:paraId="5EFAD04E">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7.2.</w:t>
      </w:r>
      <w:r>
        <w:rPr>
          <w:rFonts w:ascii="宋体" w:hAnsi="宋体" w:eastAsia="宋体" w:cs="宋体"/>
          <w:b/>
          <w:bCs/>
          <w:iCs/>
          <w:color w:val="auto"/>
          <w:kern w:val="0"/>
          <w:sz w:val="24"/>
          <w:szCs w:val="24"/>
        </w:rPr>
        <w:t>6</w:t>
      </w:r>
      <w:r>
        <w:rPr>
          <w:rFonts w:ascii="宋体" w:hAnsi="宋体" w:eastAsia="宋体" w:cs="宋体"/>
          <w:iCs/>
          <w:color w:val="auto"/>
          <w:kern w:val="0"/>
          <w:sz w:val="24"/>
          <w:szCs w:val="24"/>
        </w:rPr>
        <w:t xml:space="preserve">  </w:t>
      </w:r>
      <w:bookmarkStart w:id="1705" w:name="_Hlk159792631"/>
      <w:r>
        <w:rPr>
          <w:rFonts w:hint="eastAsia" w:ascii="宋体" w:hAnsi="宋体" w:eastAsia="宋体" w:cs="宋体"/>
          <w:iCs/>
          <w:color w:val="auto"/>
          <w:kern w:val="0"/>
          <w:sz w:val="24"/>
          <w:szCs w:val="24"/>
        </w:rPr>
        <w:t>保温免拆模板的外装饰材料应符合相关规范和设计要求。</w:t>
      </w:r>
      <w:bookmarkEnd w:id="1705"/>
    </w:p>
    <w:p w14:paraId="4E8C6ABA">
      <w:pPr>
        <w:pStyle w:val="5"/>
        <w:jc w:val="center"/>
        <w:rPr>
          <w:rFonts w:ascii="Times New Roman" w:hAnsi="Times New Roman" w:cs="Times New Roman" w:eastAsiaTheme="minorEastAsia"/>
          <w:color w:val="auto"/>
          <w:sz w:val="24"/>
        </w:rPr>
      </w:pPr>
      <w:bookmarkStart w:id="1706" w:name="_Toc10814"/>
      <w:bookmarkStart w:id="1707" w:name="_Toc187858726"/>
      <w:r>
        <w:rPr>
          <w:rFonts w:hint="eastAsia" w:ascii="Times New Roman" w:hAnsi="Times New Roman" w:cs="Times New Roman" w:eastAsiaTheme="minorEastAsia"/>
          <w:color w:val="auto"/>
          <w:sz w:val="24"/>
        </w:rPr>
        <w:t>7.3 模板施工</w:t>
      </w:r>
      <w:bookmarkEnd w:id="1706"/>
      <w:bookmarkEnd w:id="1707"/>
    </w:p>
    <w:p w14:paraId="5E0BBB2C">
      <w:pPr>
        <w:widowControl/>
        <w:spacing w:line="360" w:lineRule="auto"/>
        <w:ind w:left="-5"/>
        <w:jc w:val="left"/>
        <w:rPr>
          <w:rFonts w:hint="eastAsia" w:ascii="宋体" w:hAnsi="宋体" w:eastAsia="宋体" w:cs="宋体"/>
          <w:iCs/>
          <w:color w:val="auto"/>
          <w:kern w:val="0"/>
          <w:sz w:val="24"/>
        </w:rPr>
      </w:pPr>
      <w:r>
        <w:rPr>
          <w:rFonts w:hint="eastAsia" w:ascii="宋体" w:hAnsi="宋体" w:eastAsia="宋体" w:cs="宋体"/>
          <w:b/>
          <w:bCs/>
          <w:iCs/>
          <w:color w:val="auto"/>
          <w:kern w:val="0"/>
          <w:sz w:val="24"/>
          <w:szCs w:val="24"/>
        </w:rPr>
        <w:t>7.3.1</w:t>
      </w:r>
      <w:r>
        <w:rPr>
          <w:rFonts w:hint="eastAsia" w:ascii="宋体" w:hAnsi="宋体" w:eastAsia="宋体" w:cs="宋体"/>
          <w:iCs/>
          <w:color w:val="auto"/>
          <w:kern w:val="0"/>
          <w:sz w:val="24"/>
          <w:szCs w:val="24"/>
        </w:rPr>
        <w:t xml:space="preserve">  保温免拆模板施工前，应制定合理的施工工艺流程。工艺流程一般为：</w:t>
      </w:r>
    </w:p>
    <w:p w14:paraId="16FCC191">
      <w:pPr>
        <w:widowControl/>
        <w:spacing w:line="360" w:lineRule="auto"/>
        <w:ind w:left="-6" w:firstLine="480" w:firstLineChars="200"/>
        <w:jc w:val="left"/>
        <w:rPr>
          <w:rFonts w:hint="eastAsia" w:ascii="宋体" w:hAnsi="宋体" w:eastAsia="宋体" w:cs="宋体"/>
          <w:iCs/>
          <w:color w:val="auto"/>
          <w:kern w:val="0"/>
          <w:sz w:val="24"/>
          <w:szCs w:val="24"/>
        </w:rPr>
      </w:pPr>
      <w:r>
        <w:rPr>
          <w:rFonts w:hint="eastAsia" w:ascii="宋体" w:hAnsi="宋体" w:eastAsia="宋体" w:cs="宋体"/>
          <w:iCs/>
          <w:color w:val="auto"/>
          <w:kern w:val="0"/>
          <w:sz w:val="24"/>
          <w:szCs w:val="24"/>
        </w:rPr>
        <w:t>保温免拆模板</w:t>
      </w:r>
      <w:r>
        <w:rPr>
          <w:rFonts w:hint="eastAsia" w:ascii="宋体" w:hAnsi="宋体" w:eastAsia="宋体" w:cs="宋体"/>
          <w:iCs/>
          <w:color w:val="auto"/>
          <w:kern w:val="0"/>
          <w:sz w:val="24"/>
          <w:szCs w:val="24"/>
          <w:lang w:eastAsia="zh-CN"/>
        </w:rPr>
        <w:t>排版</w:t>
      </w:r>
      <w:r>
        <w:rPr>
          <w:rFonts w:hint="eastAsia" w:ascii="宋体" w:hAnsi="宋体" w:eastAsia="宋体" w:cs="宋体"/>
          <w:iCs/>
          <w:color w:val="auto"/>
          <w:kern w:val="0"/>
          <w:sz w:val="24"/>
          <w:szCs w:val="24"/>
        </w:rPr>
        <w:t>→弹线→裁割→绑扎钢筋及垫块→立保温免拆模板→安装连接锚固件→立内侧模板→安装主、次楞和对拉螺栓→固定侧模板→浇筑混凝土→拆除内模板。</w:t>
      </w:r>
    </w:p>
    <w:p w14:paraId="47FE6A15">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7.3.2</w:t>
      </w:r>
      <w:r>
        <w:rPr>
          <w:rFonts w:hint="eastAsia" w:ascii="宋体" w:hAnsi="宋体" w:eastAsia="宋体" w:cs="宋体"/>
          <w:iCs/>
          <w:color w:val="auto"/>
          <w:kern w:val="0"/>
          <w:sz w:val="24"/>
          <w:szCs w:val="24"/>
        </w:rPr>
        <w:t xml:space="preserve">  保温免拆模板施工前，应绘制保温免拆模板施工图，搭设参数应经计算复核。</w:t>
      </w:r>
    </w:p>
    <w:p w14:paraId="32D1C3CE">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7.3.3</w:t>
      </w:r>
      <w:r>
        <w:rPr>
          <w:rFonts w:hint="eastAsia" w:ascii="宋体" w:hAnsi="宋体" w:eastAsia="宋体" w:cs="宋体"/>
          <w:iCs/>
          <w:color w:val="auto"/>
          <w:kern w:val="0"/>
          <w:sz w:val="24"/>
          <w:szCs w:val="24"/>
        </w:rPr>
        <w:t xml:space="preserve">  保温免拆模板起吊前应检查吊点、吊具的完好性，吊具的选择应与保温免拆模板相匹配。</w:t>
      </w:r>
    </w:p>
    <w:p w14:paraId="3F11E4E9">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7.3.4</w:t>
      </w:r>
      <w:r>
        <w:rPr>
          <w:rFonts w:hint="eastAsia" w:ascii="宋体" w:hAnsi="宋体" w:eastAsia="宋体" w:cs="宋体"/>
          <w:iCs/>
          <w:color w:val="auto"/>
          <w:kern w:val="0"/>
          <w:sz w:val="24"/>
          <w:szCs w:val="24"/>
        </w:rPr>
        <w:t xml:space="preserve">  保温免拆模板起吊安装应位置准确，垂直度符合要求。相邻保温免拆模板应平整，接缝不大于2mm，并及时安装专用支撑件或连接锚固件。支撑件或连接件的竖向和横向间距均不宜大于600mm。</w:t>
      </w:r>
    </w:p>
    <w:p w14:paraId="7B379321">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7.3.5</w:t>
      </w:r>
      <w:r>
        <w:rPr>
          <w:rFonts w:hint="eastAsia" w:ascii="宋体" w:hAnsi="宋体" w:eastAsia="宋体" w:cs="宋体"/>
          <w:iCs/>
          <w:color w:val="auto"/>
          <w:kern w:val="0"/>
          <w:sz w:val="24"/>
          <w:szCs w:val="24"/>
        </w:rPr>
        <w:t xml:space="preserve">  当专用支撑件或连接锚固件附加短钢筋与现浇墙板钢筋绑扎固定后，方可摘钩。</w:t>
      </w:r>
    </w:p>
    <w:p w14:paraId="65E49203">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w:t>
      </w:r>
      <w:r>
        <w:rPr>
          <w:rFonts w:ascii="宋体" w:hAnsi="宋体" w:eastAsia="宋体" w:cs="宋体"/>
          <w:b/>
          <w:bCs/>
          <w:iCs/>
          <w:color w:val="auto"/>
          <w:kern w:val="0"/>
          <w:sz w:val="24"/>
          <w:szCs w:val="24"/>
        </w:rPr>
        <w:t>6</w:t>
      </w:r>
      <w:r>
        <w:rPr>
          <w:rFonts w:hint="eastAsia" w:ascii="宋体" w:hAnsi="宋体" w:eastAsia="宋体" w:cs="宋体"/>
          <w:iCs/>
          <w:color w:val="auto"/>
          <w:kern w:val="0"/>
          <w:sz w:val="24"/>
          <w:szCs w:val="24"/>
        </w:rPr>
        <w:t xml:space="preserve">  当使用的保温免拆模板与产品规格尺寸不一致时，应采用专用切割锯切割，且保温免拆模板最小宽度不宜小于150mm。切割后的免拆模板连接锚固件不满足布置要求时，应钻孔增加连接锚固件，连接件距板边宜为100</w:t>
      </w:r>
      <w:r>
        <w:rPr>
          <w:rFonts w:ascii="宋体" w:hAnsi="宋体" w:eastAsia="宋体" w:cs="宋体"/>
          <w:iCs/>
          <w:color w:val="auto"/>
          <w:kern w:val="0"/>
          <w:sz w:val="24"/>
          <w:szCs w:val="24"/>
        </w:rPr>
        <w:t>-150</w:t>
      </w:r>
      <w:r>
        <w:rPr>
          <w:rFonts w:hint="eastAsia" w:ascii="宋体" w:hAnsi="宋体" w:eastAsia="宋体" w:cs="宋体"/>
          <w:iCs/>
          <w:color w:val="auto"/>
          <w:kern w:val="0"/>
          <w:sz w:val="24"/>
          <w:szCs w:val="24"/>
        </w:rPr>
        <w:t>mm，且不应小于50mm。</w:t>
      </w:r>
    </w:p>
    <w:p w14:paraId="18D71049">
      <w:pPr>
        <w:widowControl/>
        <w:spacing w:line="360" w:lineRule="auto"/>
        <w:ind w:left="-5"/>
        <w:jc w:val="left"/>
        <w:rPr>
          <w:rFonts w:hint="eastAsia" w:ascii="宋体" w:hAnsi="宋体" w:eastAsia="宋体" w:cs="宋体"/>
          <w:b/>
          <w:bCs/>
          <w:iCs/>
          <w:color w:val="auto"/>
          <w:kern w:val="0"/>
          <w:sz w:val="24"/>
          <w:szCs w:val="24"/>
        </w:rPr>
      </w:pPr>
      <w:r>
        <w:rPr>
          <w:rFonts w:hint="eastAsia" w:ascii="宋体" w:hAnsi="宋体" w:eastAsia="宋体" w:cs="宋体"/>
          <w:b/>
          <w:bCs/>
          <w:iCs/>
          <w:color w:val="auto"/>
          <w:kern w:val="0"/>
          <w:sz w:val="24"/>
          <w:szCs w:val="24"/>
        </w:rPr>
        <w:t>7.3.7</w:t>
      </w:r>
      <w:r>
        <w:rPr>
          <w:rFonts w:hint="eastAsia" w:ascii="宋体" w:hAnsi="宋体" w:eastAsia="宋体" w:cs="宋体"/>
          <w:iCs/>
          <w:color w:val="auto"/>
          <w:kern w:val="0"/>
          <w:sz w:val="24"/>
          <w:szCs w:val="24"/>
        </w:rPr>
        <w:t xml:space="preserve">  当采用尺寸较小的保温免拆模板时，应确保任何一块保温免拆模板不少于2个连接锚固件，门窗洞口处的保温免拆模板宜适当增设连接锚固件。</w:t>
      </w:r>
    </w:p>
    <w:p w14:paraId="2FCA7D1F">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7.3.8</w:t>
      </w:r>
      <w:r>
        <w:rPr>
          <w:rFonts w:hint="eastAsia" w:ascii="宋体" w:hAnsi="宋体" w:eastAsia="宋体" w:cs="宋体"/>
          <w:iCs/>
          <w:color w:val="auto"/>
          <w:kern w:val="0"/>
          <w:sz w:val="24"/>
          <w:szCs w:val="24"/>
        </w:rPr>
        <w:t xml:space="preserve">  内侧模板安装后，应及时安装保温免拆模板与内侧模板的主、次楞和对拉螺栓，主、次楞和对拉螺栓的规格、间距应经计算确定。</w:t>
      </w:r>
    </w:p>
    <w:p w14:paraId="26D343A2">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7.3.9</w:t>
      </w:r>
      <w:r>
        <w:rPr>
          <w:rFonts w:hint="eastAsia" w:ascii="宋体" w:hAnsi="宋体" w:eastAsia="宋体" w:cs="宋体"/>
          <w:iCs/>
          <w:color w:val="auto"/>
          <w:kern w:val="0"/>
          <w:sz w:val="24"/>
          <w:szCs w:val="24"/>
        </w:rPr>
        <w:t xml:space="preserve">  保温免拆模板的竖向和横向接缝处应设置次楞，且次楞间距不大于200mm，确保保温免拆模板整体平整度。内侧模板宜采用铝模等定型化模板，并采取稳固措施。</w:t>
      </w:r>
    </w:p>
    <w:p w14:paraId="0E23DB05">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7.3.10</w:t>
      </w:r>
      <w:r>
        <w:rPr>
          <w:rFonts w:hint="eastAsia" w:ascii="宋体" w:hAnsi="宋体" w:eastAsia="宋体" w:cs="宋体"/>
          <w:iCs/>
          <w:color w:val="auto"/>
          <w:kern w:val="0"/>
          <w:sz w:val="24"/>
          <w:szCs w:val="24"/>
        </w:rPr>
        <w:t xml:space="preserve">  混凝土浇筑时，振动棒不得直接振捣保温免拆模板和拉结件。</w:t>
      </w:r>
    </w:p>
    <w:p w14:paraId="442FA001">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7.3.11</w:t>
      </w:r>
      <w:r>
        <w:rPr>
          <w:rFonts w:hint="eastAsia" w:ascii="宋体" w:hAnsi="宋体" w:eastAsia="宋体" w:cs="宋体"/>
          <w:iCs/>
          <w:color w:val="auto"/>
          <w:kern w:val="0"/>
          <w:sz w:val="24"/>
          <w:szCs w:val="24"/>
        </w:rPr>
        <w:t xml:space="preserve">  保温免拆模板体系的内侧模板和对拉螺栓拆除时间应符合施工方案要求。拆除主次楞时，严禁锤击、撬动用力过度对免拆模板造成破坏。</w:t>
      </w:r>
    </w:p>
    <w:p w14:paraId="7C078563">
      <w:pPr>
        <w:widowControl/>
        <w:spacing w:line="360" w:lineRule="auto"/>
        <w:ind w:left="-5"/>
        <w:jc w:val="left"/>
        <w:rPr>
          <w:rFonts w:hint="eastAsia" w:ascii="宋体" w:hAnsi="宋体" w:eastAsia="宋体" w:cs="宋体"/>
          <w:iCs/>
          <w:color w:val="auto"/>
          <w:kern w:val="0"/>
          <w:sz w:val="24"/>
        </w:rPr>
      </w:pPr>
      <w:r>
        <w:rPr>
          <w:rFonts w:hint="eastAsia" w:ascii="宋体" w:hAnsi="宋体" w:eastAsia="宋体" w:cs="宋体"/>
          <w:b/>
          <w:bCs/>
          <w:iCs/>
          <w:color w:val="auto"/>
          <w:kern w:val="0"/>
          <w:sz w:val="24"/>
          <w:szCs w:val="24"/>
        </w:rPr>
        <w:t>7.3.12</w:t>
      </w:r>
      <w:r>
        <w:rPr>
          <w:rFonts w:hint="eastAsia" w:ascii="宋体" w:hAnsi="宋体" w:eastAsia="宋体" w:cs="宋体"/>
          <w:iCs/>
          <w:color w:val="auto"/>
          <w:kern w:val="0"/>
          <w:sz w:val="24"/>
          <w:szCs w:val="24"/>
        </w:rPr>
        <w:t xml:space="preserve">  保温免拆模板的拼缝处</w:t>
      </w:r>
      <w:r>
        <w:rPr>
          <w:rFonts w:hint="eastAsia" w:ascii="宋体" w:hAnsi="宋体" w:eastAsia="宋体" w:cs="宋体"/>
          <w:iCs/>
          <w:color w:val="auto"/>
          <w:kern w:val="0"/>
          <w:sz w:val="24"/>
        </w:rPr>
        <w:t>应采用抗裂砂浆抹压补缝找平，确保拼缝密实，并加铺不小于200mm宽耐碱玻纤网格布，做加强抗裂处理。</w:t>
      </w:r>
      <w:r>
        <w:rPr>
          <w:rFonts w:hint="eastAsia" w:ascii="宋体" w:hAnsi="宋体" w:eastAsia="宋体" w:cs="宋体"/>
          <w:iCs/>
          <w:color w:val="auto"/>
          <w:kern w:val="0"/>
          <w:sz w:val="24"/>
          <w:szCs w:val="24"/>
        </w:rPr>
        <w:t>阴阳角、门窗洞口及不同材料基体的交接处等特殊部位，应采取防止开裂和破损的加强措施。</w:t>
      </w:r>
      <w:r>
        <w:rPr>
          <w:rFonts w:hint="eastAsia" w:ascii="宋体" w:hAnsi="宋体" w:eastAsia="宋体" w:cs="宋体"/>
          <w:iCs/>
          <w:color w:val="auto"/>
          <w:kern w:val="0"/>
          <w:sz w:val="24"/>
        </w:rPr>
        <w:t>对拉螺栓孔、脚手架孔及其他孔洞，应采用膨胀水泥或膨胀混凝土、发泡聚氨酯等先将孔洞填实后，表面局部抹抗裂砂浆并加铺耐碱玻纤网格布加强处理。</w:t>
      </w:r>
    </w:p>
    <w:p w14:paraId="28C64F3C">
      <w:pPr>
        <w:widowControl/>
        <w:spacing w:line="360" w:lineRule="auto"/>
        <w:ind w:left="-5"/>
        <w:jc w:val="left"/>
        <w:rPr>
          <w:rFonts w:hint="eastAsia" w:ascii="宋体" w:hAnsi="宋体" w:eastAsia="宋体" w:cs="宋体"/>
          <w:iCs/>
          <w:color w:val="auto"/>
          <w:kern w:val="0"/>
          <w:sz w:val="24"/>
        </w:rPr>
      </w:pPr>
      <w:r>
        <w:rPr>
          <w:rFonts w:hint="eastAsia" w:ascii="宋体" w:hAnsi="宋体" w:eastAsia="宋体" w:cs="宋体"/>
          <w:b/>
          <w:bCs/>
          <w:iCs/>
          <w:color w:val="auto"/>
          <w:kern w:val="0"/>
          <w:sz w:val="24"/>
          <w:szCs w:val="24"/>
        </w:rPr>
        <w:t>7.3.13</w:t>
      </w:r>
      <w:r>
        <w:rPr>
          <w:rFonts w:hint="eastAsia" w:ascii="宋体" w:hAnsi="宋体" w:eastAsia="宋体" w:cs="宋体"/>
          <w:iCs/>
          <w:color w:val="auto"/>
          <w:kern w:val="0"/>
          <w:sz w:val="24"/>
          <w:szCs w:val="24"/>
        </w:rPr>
        <w:t xml:space="preserve">  </w:t>
      </w:r>
      <w:r>
        <w:rPr>
          <w:rFonts w:hint="eastAsia" w:ascii="宋体" w:hAnsi="宋体" w:eastAsia="宋体" w:cs="宋体"/>
          <w:iCs/>
          <w:color w:val="auto"/>
          <w:kern w:val="0"/>
          <w:sz w:val="24"/>
        </w:rPr>
        <w:t>飘窗、空调板、太阳能板、</w:t>
      </w:r>
      <w:bookmarkStart w:id="1779" w:name="_GoBack"/>
      <w:r>
        <w:rPr>
          <w:rFonts w:hint="eastAsia" w:ascii="宋体" w:hAnsi="宋体" w:eastAsia="宋体" w:cs="宋体"/>
          <w:iCs/>
          <w:color w:val="auto"/>
          <w:kern w:val="0"/>
          <w:sz w:val="24"/>
        </w:rPr>
        <w:t>雨蓬</w:t>
      </w:r>
      <w:bookmarkEnd w:id="1779"/>
      <w:r>
        <w:rPr>
          <w:rFonts w:hint="eastAsia" w:ascii="宋体" w:hAnsi="宋体" w:eastAsia="宋体" w:cs="宋体"/>
          <w:iCs/>
          <w:color w:val="auto"/>
          <w:kern w:val="0"/>
          <w:sz w:val="24"/>
        </w:rPr>
        <w:t>、檐口、女儿墙、线条等处的保温做法应符合设计要求，并有防水、防结露措施。</w:t>
      </w:r>
    </w:p>
    <w:p w14:paraId="3A28241B">
      <w:pPr>
        <w:widowControl/>
        <w:spacing w:line="360" w:lineRule="auto"/>
        <w:ind w:left="-5"/>
        <w:jc w:val="left"/>
        <w:rPr>
          <w:rFonts w:hint="eastAsia" w:ascii="宋体" w:hAnsi="宋体" w:eastAsia="宋体" w:cs="宋体"/>
          <w:iCs/>
          <w:color w:val="auto"/>
          <w:kern w:val="0"/>
          <w:sz w:val="24"/>
        </w:rPr>
      </w:pPr>
      <w:r>
        <w:rPr>
          <w:rFonts w:hint="eastAsia" w:ascii="宋体" w:hAnsi="宋体" w:eastAsia="宋体" w:cs="宋体"/>
          <w:iCs/>
          <w:color w:val="auto"/>
          <w:kern w:val="0"/>
          <w:sz w:val="24"/>
        </w:rPr>
        <w:t>7.3.14  门窗洞口侧边、门窗眉、窗台及不宜采用保温免拆模板施工的热桥部位，可采用保温砂浆施工。</w:t>
      </w:r>
    </w:p>
    <w:p w14:paraId="745E7845">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iCs/>
          <w:color w:val="auto"/>
          <w:kern w:val="0"/>
          <w:sz w:val="24"/>
          <w:szCs w:val="24"/>
        </w:rPr>
        <w:t>7.3.15  保温免拆模板上的穿墙套管、结构预埋件、门窗洞口四周等处，应采取隔断热桥措施。</w:t>
      </w:r>
    </w:p>
    <w:p w14:paraId="0D65632D">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7.3.16</w:t>
      </w:r>
      <w:r>
        <w:rPr>
          <w:rFonts w:hint="eastAsia" w:ascii="宋体" w:hAnsi="宋体" w:eastAsia="宋体" w:cs="宋体"/>
          <w:iCs/>
          <w:color w:val="auto"/>
          <w:kern w:val="0"/>
          <w:sz w:val="24"/>
          <w:szCs w:val="24"/>
        </w:rPr>
        <w:t xml:space="preserve">  保温免拆模板抹面层及饰面层厚度应符合设计和《建筑装饰装修工程质量验收标准》（GB 50210）的要求。</w:t>
      </w:r>
    </w:p>
    <w:p w14:paraId="2EF9A715">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7.3.17</w:t>
      </w:r>
      <w:r>
        <w:rPr>
          <w:rFonts w:hint="eastAsia" w:ascii="宋体" w:hAnsi="宋体" w:eastAsia="宋体" w:cs="宋体"/>
          <w:iCs/>
          <w:color w:val="auto"/>
          <w:kern w:val="0"/>
          <w:sz w:val="24"/>
          <w:szCs w:val="24"/>
        </w:rPr>
        <w:t>保温免拆模板的门窗洞口、二层及以下阴阳角抹面层应采用抗裂砂浆加普通型和加强型两层耐碱网格布施工，二层以上抹面层应采用抗裂砂浆加普通型耐碱网格布施工。</w:t>
      </w:r>
    </w:p>
    <w:p w14:paraId="2B7CCE61">
      <w:pPr>
        <w:widowControl/>
        <w:spacing w:line="360" w:lineRule="auto"/>
        <w:ind w:left="-5"/>
        <w:jc w:val="left"/>
        <w:rPr>
          <w:rFonts w:hint="eastAsia" w:ascii="宋体" w:hAnsi="宋体" w:eastAsia="宋体" w:cs="宋体"/>
          <w:iCs/>
          <w:color w:val="auto"/>
          <w:kern w:val="0"/>
          <w:sz w:val="24"/>
          <w:szCs w:val="24"/>
          <w:highlight w:val="yellow"/>
        </w:rPr>
      </w:pPr>
      <w:r>
        <w:rPr>
          <w:rFonts w:hint="eastAsia" w:ascii="宋体" w:hAnsi="宋体" w:eastAsia="宋体" w:cs="宋体"/>
          <w:b/>
          <w:bCs/>
          <w:iCs/>
          <w:color w:val="auto"/>
          <w:kern w:val="0"/>
          <w:sz w:val="24"/>
          <w:szCs w:val="24"/>
        </w:rPr>
        <w:t>7.3.18</w:t>
      </w:r>
      <w:r>
        <w:rPr>
          <w:rFonts w:hint="eastAsia" w:ascii="宋体" w:hAnsi="宋体" w:eastAsia="宋体" w:cs="宋体"/>
          <w:iCs/>
          <w:color w:val="auto"/>
          <w:kern w:val="0"/>
          <w:sz w:val="24"/>
          <w:szCs w:val="24"/>
        </w:rPr>
        <w:t xml:space="preserve">  建筑物勒脚部位应采用防水和A级防火保温材料，高度不小于6</w:t>
      </w:r>
      <w:r>
        <w:rPr>
          <w:rFonts w:ascii="宋体" w:hAnsi="宋体" w:eastAsia="宋体" w:cs="宋体"/>
          <w:iCs/>
          <w:color w:val="auto"/>
          <w:kern w:val="0"/>
          <w:sz w:val="24"/>
          <w:szCs w:val="24"/>
        </w:rPr>
        <w:t>00mm</w:t>
      </w:r>
      <w:r>
        <w:rPr>
          <w:rFonts w:hint="eastAsia" w:ascii="宋体" w:hAnsi="宋体" w:eastAsia="宋体" w:cs="宋体"/>
          <w:iCs/>
          <w:color w:val="auto"/>
          <w:kern w:val="0"/>
          <w:sz w:val="24"/>
          <w:szCs w:val="24"/>
        </w:rPr>
        <w:t>。勒脚部位保温材料与免拆保温模板宜设置2</w:t>
      </w:r>
      <w:r>
        <w:rPr>
          <w:rFonts w:ascii="宋体" w:hAnsi="宋体" w:eastAsia="宋体" w:cs="宋体"/>
          <w:iCs/>
          <w:color w:val="auto"/>
          <w:kern w:val="0"/>
          <w:sz w:val="24"/>
          <w:szCs w:val="24"/>
        </w:rPr>
        <w:t>0mm</w:t>
      </w:r>
      <w:r>
        <w:rPr>
          <w:rFonts w:hint="eastAsia" w:ascii="宋体" w:hAnsi="宋体" w:eastAsia="宋体" w:cs="宋体"/>
          <w:iCs/>
          <w:color w:val="auto"/>
          <w:kern w:val="0"/>
          <w:sz w:val="24"/>
          <w:szCs w:val="24"/>
        </w:rPr>
        <w:t>宽水平分隔缝，内嵌聚乙烯泡沫塑料棒，外嵌不小于10mm厚硅酮建筑密封胶。</w:t>
      </w:r>
    </w:p>
    <w:p w14:paraId="6AD382E7">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7.3.19</w:t>
      </w:r>
      <w:r>
        <w:rPr>
          <w:rFonts w:hint="eastAsia" w:ascii="宋体" w:hAnsi="宋体" w:eastAsia="宋体" w:cs="宋体"/>
          <w:iCs/>
          <w:color w:val="auto"/>
          <w:kern w:val="0"/>
          <w:sz w:val="24"/>
          <w:szCs w:val="24"/>
        </w:rPr>
        <w:t xml:space="preserve">  外墙免拆保温模板应设置水平和竖向分隔缝，水平缝间距不大于2个楼层，分隔缝间距不大于</w:t>
      </w:r>
      <w:r>
        <w:rPr>
          <w:rFonts w:ascii="宋体" w:hAnsi="宋体" w:eastAsia="宋体" w:cs="宋体"/>
          <w:iCs/>
          <w:color w:val="auto"/>
          <w:kern w:val="0"/>
          <w:sz w:val="24"/>
          <w:szCs w:val="24"/>
        </w:rPr>
        <w:t>36m</w:t>
      </w:r>
      <w:r>
        <w:rPr>
          <w:rFonts w:ascii="宋体" w:hAnsi="宋体" w:eastAsia="宋体" w:cs="宋体"/>
          <w:iCs/>
          <w:color w:val="auto"/>
          <w:kern w:val="0"/>
          <w:sz w:val="24"/>
          <w:szCs w:val="24"/>
          <w:vertAlign w:val="superscript"/>
        </w:rPr>
        <w:t>2</w:t>
      </w:r>
      <w:r>
        <w:rPr>
          <w:rFonts w:hint="eastAsia" w:ascii="宋体" w:hAnsi="宋体" w:eastAsia="宋体" w:cs="宋体"/>
          <w:iCs/>
          <w:color w:val="auto"/>
          <w:kern w:val="0"/>
          <w:sz w:val="24"/>
          <w:szCs w:val="24"/>
        </w:rPr>
        <w:t>。</w:t>
      </w:r>
    </w:p>
    <w:p w14:paraId="41CA6DE4">
      <w:pPr>
        <w:widowControl/>
        <w:spacing w:line="360" w:lineRule="auto"/>
        <w:ind w:left="-5"/>
        <w:jc w:val="left"/>
        <w:rPr>
          <w:rFonts w:hint="eastAsia" w:ascii="宋体" w:hAnsi="宋体" w:eastAsia="宋体" w:cs="宋体"/>
          <w:iCs/>
          <w:color w:val="auto"/>
          <w:kern w:val="0"/>
          <w:sz w:val="24"/>
        </w:rPr>
      </w:pPr>
      <w:r>
        <w:rPr>
          <w:rFonts w:hint="eastAsia" w:ascii="宋体" w:hAnsi="宋体" w:eastAsia="宋体" w:cs="宋体"/>
          <w:b/>
          <w:bCs/>
          <w:iCs/>
          <w:color w:val="auto"/>
          <w:kern w:val="0"/>
          <w:sz w:val="24"/>
          <w:szCs w:val="24"/>
        </w:rPr>
        <w:t>7.3.20</w:t>
      </w:r>
      <w:r>
        <w:rPr>
          <w:rFonts w:hint="eastAsia" w:ascii="宋体" w:hAnsi="宋体" w:eastAsia="宋体" w:cs="宋体"/>
          <w:iCs/>
          <w:color w:val="auto"/>
          <w:kern w:val="0"/>
          <w:sz w:val="24"/>
          <w:szCs w:val="24"/>
        </w:rPr>
        <w:t xml:space="preserve">  </w:t>
      </w:r>
      <w:r>
        <w:rPr>
          <w:rFonts w:hint="eastAsia" w:ascii="宋体" w:hAnsi="宋体" w:eastAsia="宋体" w:cs="宋体"/>
          <w:iCs/>
          <w:color w:val="auto"/>
          <w:kern w:val="0"/>
          <w:sz w:val="24"/>
        </w:rPr>
        <w:t>建筑填充外墙宜采用自保温砌块。填充墙外侧保温厚度应根据节能计算确定，宜采用复合轻集料匀质保温板，其构造做法应符合《复合轻集料匀质保温板外墙外保温系统建筑构造》皖2021JZ139要求，且保证外墙面施工后平整。</w:t>
      </w:r>
    </w:p>
    <w:p w14:paraId="7A4DC74D">
      <w:pPr>
        <w:widowControl/>
        <w:spacing w:line="360" w:lineRule="auto"/>
        <w:ind w:left="-5"/>
        <w:jc w:val="left"/>
        <w:rPr>
          <w:rFonts w:hint="eastAsia" w:ascii="宋体" w:hAnsi="宋体" w:eastAsia="宋体" w:cs="宋体"/>
          <w:iCs/>
          <w:color w:val="auto"/>
          <w:kern w:val="0"/>
          <w:sz w:val="24"/>
        </w:rPr>
      </w:pPr>
      <w:r>
        <w:rPr>
          <w:rFonts w:hint="eastAsia" w:ascii="宋体" w:hAnsi="宋体" w:eastAsia="宋体" w:cs="宋体"/>
          <w:b/>
          <w:bCs/>
          <w:iCs/>
          <w:color w:val="auto"/>
          <w:kern w:val="0"/>
          <w:sz w:val="24"/>
          <w:szCs w:val="24"/>
        </w:rPr>
        <w:t>7.3.21</w:t>
      </w:r>
      <w:r>
        <w:rPr>
          <w:rFonts w:hint="eastAsia" w:ascii="宋体" w:hAnsi="宋体" w:eastAsia="宋体" w:cs="宋体"/>
          <w:iCs/>
          <w:color w:val="auto"/>
          <w:kern w:val="0"/>
          <w:sz w:val="24"/>
          <w:szCs w:val="24"/>
        </w:rPr>
        <w:t xml:space="preserve">  保温免拆模板施工过程中应做好成品保护。</w:t>
      </w:r>
    </w:p>
    <w:p w14:paraId="4D05CFE0">
      <w:pPr>
        <w:widowControl/>
        <w:spacing w:line="360" w:lineRule="auto"/>
        <w:ind w:left="-6" w:firstLine="480" w:firstLineChars="200"/>
        <w:jc w:val="left"/>
        <w:rPr>
          <w:rFonts w:hint="eastAsia" w:ascii="宋体" w:hAnsi="宋体" w:eastAsia="宋体" w:cs="宋体"/>
          <w:iCs/>
          <w:color w:val="auto"/>
          <w:kern w:val="0"/>
          <w:sz w:val="24"/>
        </w:rPr>
      </w:pPr>
      <w:r>
        <w:rPr>
          <w:rFonts w:hint="eastAsia" w:ascii="宋体" w:hAnsi="宋体" w:eastAsia="宋体" w:cs="宋体"/>
          <w:iCs/>
          <w:color w:val="auto"/>
          <w:kern w:val="0"/>
          <w:sz w:val="24"/>
          <w:szCs w:val="24"/>
        </w:rPr>
        <w:t>1  不得在保温免拆模板材料附近放置易燃物品及溶剂性化学物品；</w:t>
      </w:r>
    </w:p>
    <w:p w14:paraId="31A6E5FB">
      <w:pPr>
        <w:widowControl/>
        <w:spacing w:line="360" w:lineRule="auto"/>
        <w:ind w:left="-6" w:firstLine="480" w:firstLineChars="200"/>
        <w:jc w:val="left"/>
        <w:rPr>
          <w:rFonts w:hint="eastAsia" w:ascii="宋体" w:hAnsi="宋体" w:eastAsia="宋体" w:cs="宋体"/>
          <w:iCs/>
          <w:color w:val="auto"/>
          <w:kern w:val="0"/>
          <w:sz w:val="24"/>
          <w:szCs w:val="24"/>
        </w:rPr>
      </w:pPr>
      <w:r>
        <w:rPr>
          <w:rFonts w:hint="eastAsia" w:ascii="宋体" w:hAnsi="宋体" w:eastAsia="宋体" w:cs="宋体"/>
          <w:iCs/>
          <w:color w:val="auto"/>
          <w:kern w:val="0"/>
          <w:sz w:val="24"/>
          <w:szCs w:val="24"/>
        </w:rPr>
        <w:t>2  不得在保温免拆模板上进行电焊等动火作业；</w:t>
      </w:r>
    </w:p>
    <w:p w14:paraId="53FC66F8">
      <w:pPr>
        <w:widowControl/>
        <w:spacing w:line="360" w:lineRule="auto"/>
        <w:ind w:left="-6" w:firstLine="480" w:firstLineChars="200"/>
        <w:jc w:val="left"/>
        <w:rPr>
          <w:rFonts w:hint="eastAsia" w:ascii="宋体" w:hAnsi="宋体" w:eastAsia="宋体" w:cs="宋体"/>
          <w:iCs/>
          <w:color w:val="auto"/>
          <w:kern w:val="0"/>
          <w:sz w:val="24"/>
        </w:rPr>
      </w:pPr>
      <w:r>
        <w:rPr>
          <w:rFonts w:hint="eastAsia" w:ascii="宋体" w:hAnsi="宋体" w:eastAsia="宋体" w:cs="宋体"/>
          <w:iCs/>
          <w:color w:val="auto"/>
          <w:kern w:val="0"/>
          <w:sz w:val="24"/>
          <w:szCs w:val="24"/>
        </w:rPr>
        <w:t>3</w:t>
      </w:r>
      <w:r>
        <w:rPr>
          <w:rFonts w:ascii="宋体" w:hAnsi="宋体" w:eastAsia="宋体" w:cs="宋体"/>
          <w:iCs/>
          <w:color w:val="auto"/>
          <w:kern w:val="0"/>
          <w:sz w:val="24"/>
          <w:szCs w:val="24"/>
        </w:rPr>
        <w:t xml:space="preserve">  </w:t>
      </w:r>
      <w:r>
        <w:rPr>
          <w:rFonts w:hint="eastAsia" w:ascii="宋体" w:hAnsi="宋体" w:eastAsia="宋体" w:cs="宋体"/>
          <w:iCs/>
          <w:color w:val="auto"/>
          <w:kern w:val="0"/>
          <w:sz w:val="24"/>
          <w:szCs w:val="24"/>
        </w:rPr>
        <w:t>上部电焊作业应采取保温板保护措施；</w:t>
      </w:r>
    </w:p>
    <w:p w14:paraId="38A45121">
      <w:pPr>
        <w:widowControl/>
        <w:spacing w:line="360" w:lineRule="auto"/>
        <w:ind w:left="-6" w:firstLine="480" w:firstLineChars="200"/>
        <w:jc w:val="left"/>
        <w:rPr>
          <w:rFonts w:hint="eastAsia" w:ascii="宋体" w:hAnsi="宋体" w:eastAsia="宋体" w:cs="宋体"/>
          <w:iCs/>
          <w:color w:val="auto"/>
          <w:kern w:val="0"/>
          <w:sz w:val="24"/>
        </w:rPr>
      </w:pPr>
      <w:r>
        <w:rPr>
          <w:rFonts w:hint="eastAsia" w:ascii="宋体" w:hAnsi="宋体" w:eastAsia="宋体" w:cs="宋体"/>
          <w:iCs/>
          <w:color w:val="auto"/>
          <w:kern w:val="0"/>
          <w:sz w:val="24"/>
          <w:szCs w:val="24"/>
        </w:rPr>
        <w:t>3  施工过程中应防止重物撞击保温免拆模板；</w:t>
      </w:r>
    </w:p>
    <w:p w14:paraId="25CB63E6">
      <w:pPr>
        <w:widowControl/>
        <w:spacing w:line="360" w:lineRule="auto"/>
        <w:ind w:left="-6" w:firstLine="480" w:firstLineChars="200"/>
        <w:jc w:val="left"/>
        <w:rPr>
          <w:rFonts w:hint="eastAsia" w:ascii="宋体" w:hAnsi="宋体" w:eastAsia="宋体" w:cs="宋体"/>
          <w:iCs/>
          <w:color w:val="auto"/>
          <w:kern w:val="0"/>
          <w:sz w:val="24"/>
        </w:rPr>
      </w:pPr>
      <w:r>
        <w:rPr>
          <w:rFonts w:hint="eastAsia" w:ascii="宋体" w:hAnsi="宋体" w:eastAsia="宋体" w:cs="宋体"/>
          <w:iCs/>
          <w:color w:val="auto"/>
          <w:kern w:val="0"/>
          <w:sz w:val="24"/>
          <w:szCs w:val="24"/>
        </w:rPr>
        <w:t>4  对已完工的保温免拆模板不得随意开凿。</w:t>
      </w:r>
    </w:p>
    <w:p w14:paraId="05A24F58">
      <w:pPr>
        <w:widowControl/>
        <w:spacing w:line="360" w:lineRule="auto"/>
        <w:ind w:left="-5"/>
        <w:jc w:val="left"/>
        <w:rPr>
          <w:rFonts w:hint="eastAsia" w:ascii="宋体" w:hAnsi="宋体" w:eastAsia="宋体" w:cs="宋体"/>
          <w:iCs/>
          <w:color w:val="auto"/>
          <w:kern w:val="0"/>
          <w:sz w:val="24"/>
          <w:szCs w:val="24"/>
        </w:rPr>
      </w:pPr>
      <w:r>
        <w:rPr>
          <w:rFonts w:hint="eastAsia" w:ascii="宋体" w:hAnsi="宋体" w:eastAsia="宋体" w:cs="宋体"/>
          <w:b/>
          <w:bCs/>
          <w:iCs/>
          <w:color w:val="auto"/>
          <w:kern w:val="0"/>
          <w:sz w:val="24"/>
          <w:szCs w:val="24"/>
        </w:rPr>
        <w:t>7.3.22</w:t>
      </w:r>
      <w:r>
        <w:rPr>
          <w:rFonts w:hint="eastAsia" w:ascii="宋体" w:hAnsi="宋体" w:eastAsia="宋体" w:cs="宋体"/>
          <w:iCs/>
          <w:color w:val="auto"/>
          <w:kern w:val="0"/>
          <w:sz w:val="24"/>
          <w:szCs w:val="24"/>
        </w:rPr>
        <w:t xml:space="preserve">  保温免拆模板在转运、吊装、安装等施工过程中应有可靠的安全技术措施。</w:t>
      </w:r>
    </w:p>
    <w:p w14:paraId="212CC243">
      <w:pPr>
        <w:pStyle w:val="4"/>
        <w:jc w:val="center"/>
        <w:rPr>
          <w:rFonts w:ascii="Times New Roman" w:hAnsi="Times New Roman" w:cs="Times New Roman"/>
          <w:color w:val="auto"/>
          <w:sz w:val="28"/>
        </w:rPr>
        <w:sectPr>
          <w:pgSz w:w="11906" w:h="16838"/>
          <w:pgMar w:top="1440" w:right="1800" w:bottom="1440" w:left="1800" w:header="851" w:footer="992" w:gutter="0"/>
          <w:cols w:space="425" w:num="1"/>
          <w:docGrid w:type="lines" w:linePitch="312" w:charSpace="0"/>
        </w:sectPr>
      </w:pPr>
    </w:p>
    <w:p w14:paraId="72796D67">
      <w:pPr>
        <w:pStyle w:val="4"/>
        <w:jc w:val="center"/>
        <w:rPr>
          <w:rFonts w:ascii="Times New Roman" w:hAnsi="Times New Roman" w:cs="Times New Roman"/>
          <w:color w:val="auto"/>
          <w:sz w:val="28"/>
        </w:rPr>
      </w:pPr>
      <w:bookmarkStart w:id="1708" w:name="_Toc187858727"/>
      <w:bookmarkStart w:id="1709" w:name="_Toc32046"/>
      <w:bookmarkStart w:id="1710" w:name="_Toc3486"/>
      <w:bookmarkStart w:id="1711" w:name="_Toc22252"/>
      <w:r>
        <w:rPr>
          <w:rFonts w:hint="eastAsia" w:ascii="Times New Roman" w:hAnsi="Times New Roman" w:cs="Times New Roman"/>
          <w:color w:val="auto"/>
          <w:sz w:val="28"/>
        </w:rPr>
        <w:t>8验收</w:t>
      </w:r>
      <w:bookmarkEnd w:id="1708"/>
      <w:bookmarkEnd w:id="1709"/>
      <w:bookmarkEnd w:id="1710"/>
    </w:p>
    <w:p w14:paraId="3132BF95">
      <w:pPr>
        <w:pStyle w:val="5"/>
        <w:jc w:val="center"/>
        <w:rPr>
          <w:rFonts w:ascii="Times New Roman" w:hAnsi="Times New Roman" w:cs="Times New Roman" w:eastAsiaTheme="minorEastAsia"/>
          <w:color w:val="auto"/>
          <w:sz w:val="24"/>
        </w:rPr>
      </w:pPr>
      <w:bookmarkStart w:id="1712" w:name="_Toc466"/>
      <w:bookmarkStart w:id="1713" w:name="_Toc187858728"/>
      <w:bookmarkStart w:id="1714" w:name="_Toc24132"/>
      <w:r>
        <w:rPr>
          <w:rFonts w:hint="eastAsia" w:ascii="Times New Roman" w:hAnsi="Times New Roman" w:cs="Times New Roman" w:eastAsiaTheme="minorEastAsia"/>
          <w:color w:val="auto"/>
          <w:sz w:val="24"/>
        </w:rPr>
        <w:t>8.1一般规定</w:t>
      </w:r>
      <w:bookmarkEnd w:id="1712"/>
      <w:bookmarkEnd w:id="1713"/>
      <w:bookmarkEnd w:id="1714"/>
    </w:p>
    <w:p w14:paraId="60079EAE">
      <w:pPr>
        <w:spacing w:line="360" w:lineRule="auto"/>
        <w:rPr>
          <w:rFonts w:ascii="Times New Roman" w:cs="Times New Roman"/>
          <w:color w:val="auto"/>
          <w:sz w:val="24"/>
        </w:rPr>
      </w:pPr>
      <w:r>
        <w:rPr>
          <w:rFonts w:hint="eastAsia" w:ascii="Times New Roman" w:cs="Times New Roman"/>
          <w:b/>
          <w:bCs/>
          <w:color w:val="auto"/>
          <w:sz w:val="24"/>
        </w:rPr>
        <w:t>8.1.1</w:t>
      </w:r>
      <w:r>
        <w:rPr>
          <w:rFonts w:hint="eastAsia" w:ascii="Times New Roman" w:cs="Times New Roman"/>
          <w:color w:val="auto"/>
          <w:sz w:val="24"/>
        </w:rPr>
        <w:t>保温免拆模板系统工程施工质量验收应符合《混凝土结构通用规范》</w:t>
      </w:r>
      <w:r>
        <w:rPr>
          <w:rFonts w:ascii="Times New Roman" w:cs="Times New Roman"/>
          <w:color w:val="auto"/>
          <w:sz w:val="24"/>
        </w:rPr>
        <w:t>GB55008、</w:t>
      </w:r>
      <w:r>
        <w:rPr>
          <w:rFonts w:hint="eastAsia" w:ascii="Times New Roman" w:cs="Times New Roman"/>
          <w:color w:val="auto"/>
          <w:sz w:val="24"/>
        </w:rPr>
        <w:t>《建筑节能与可再生能源利用通用规范》GB55015、《建筑工程施工质量验收统一标准》GB50300、《混凝土结构工程施工质量验收规范》GB50204、《建筑节能工程施工质量验收标准》GB50411等现行规范、标准的规定。</w:t>
      </w:r>
    </w:p>
    <w:p w14:paraId="735381DF">
      <w:pPr>
        <w:widowControl/>
        <w:spacing w:line="360" w:lineRule="auto"/>
        <w:ind w:left="-5"/>
        <w:jc w:val="left"/>
        <w:rPr>
          <w:rFonts w:ascii="Times New Roman" w:cs="Times New Roman"/>
          <w:color w:val="auto"/>
          <w:sz w:val="24"/>
        </w:rPr>
      </w:pPr>
      <w:r>
        <w:rPr>
          <w:rFonts w:hint="eastAsia" w:ascii="Times New Roman" w:cs="Times New Roman"/>
          <w:b/>
          <w:bCs/>
          <w:color w:val="auto"/>
          <w:sz w:val="24"/>
        </w:rPr>
        <w:t>8.1.2</w:t>
      </w:r>
      <w:r>
        <w:rPr>
          <w:rFonts w:hint="eastAsia" w:ascii="Times New Roman" w:cs="Times New Roman"/>
          <w:color w:val="auto"/>
          <w:sz w:val="24"/>
        </w:rPr>
        <w:t>保温免拆模板系统工程包括主体结构分部工程的模板分项工程和建筑节能分部工程的墙体节能分项工程。在施工过程中应及时进行模板分项工程和墙体节能分项工程的质量检查、隐蔽工程验收及检验批验收。</w:t>
      </w:r>
    </w:p>
    <w:p w14:paraId="67BF9138">
      <w:pPr>
        <w:spacing w:line="360" w:lineRule="auto"/>
        <w:rPr>
          <w:rFonts w:ascii="Times New Roman" w:cs="Times New Roman"/>
          <w:color w:val="auto"/>
          <w:sz w:val="24"/>
        </w:rPr>
      </w:pPr>
      <w:r>
        <w:rPr>
          <w:rFonts w:hint="eastAsia" w:ascii="Times New Roman" w:cs="Times New Roman"/>
          <w:b/>
          <w:bCs/>
          <w:color w:val="auto"/>
          <w:sz w:val="24"/>
        </w:rPr>
        <w:t>8.1.3</w:t>
      </w:r>
      <w:r>
        <w:rPr>
          <w:rFonts w:hint="eastAsia" w:ascii="Times New Roman" w:cs="Times New Roman"/>
          <w:color w:val="auto"/>
          <w:sz w:val="24"/>
        </w:rPr>
        <w:t>保温免拆模板系统在混凝土浇筑前应对下列部位或项目进行隐蔽验收，并应有详细的文字记录和必要的影像资料：</w:t>
      </w:r>
    </w:p>
    <w:p w14:paraId="6DA2AD0D">
      <w:pPr>
        <w:spacing w:line="360" w:lineRule="auto"/>
        <w:ind w:firstLine="480" w:firstLineChars="200"/>
        <w:rPr>
          <w:rFonts w:ascii="Times New Roman" w:cs="Times New Roman"/>
          <w:color w:val="auto"/>
          <w:sz w:val="24"/>
        </w:rPr>
      </w:pPr>
      <w:r>
        <w:rPr>
          <w:rFonts w:hint="eastAsia" w:ascii="Times New Roman" w:cs="Times New Roman"/>
          <w:color w:val="auto"/>
          <w:sz w:val="24"/>
        </w:rPr>
        <w:t>1  保温免拆模板系统连接锚固件的材质、数量、规格、型号、位置及锚固深度；</w:t>
      </w:r>
    </w:p>
    <w:p w14:paraId="05787281">
      <w:pPr>
        <w:spacing w:line="360" w:lineRule="auto"/>
        <w:ind w:firstLine="480" w:firstLineChars="200"/>
        <w:rPr>
          <w:rFonts w:ascii="Times New Roman" w:cs="Times New Roman"/>
          <w:color w:val="auto"/>
          <w:sz w:val="24"/>
        </w:rPr>
      </w:pPr>
      <w:r>
        <w:rPr>
          <w:rFonts w:hint="eastAsia" w:ascii="Times New Roman" w:cs="Times New Roman"/>
          <w:color w:val="auto"/>
          <w:sz w:val="24"/>
        </w:rPr>
        <w:t>2  与混凝土结合的保温免拆模板表面处理情况；</w:t>
      </w:r>
    </w:p>
    <w:p w14:paraId="749A4FEF">
      <w:pPr>
        <w:spacing w:line="360" w:lineRule="auto"/>
        <w:ind w:firstLine="480" w:firstLineChars="200"/>
        <w:rPr>
          <w:rFonts w:ascii="Times New Roman" w:cs="Times New Roman"/>
          <w:color w:val="auto"/>
          <w:sz w:val="24"/>
        </w:rPr>
      </w:pPr>
      <w:r>
        <w:rPr>
          <w:rFonts w:hint="eastAsia" w:ascii="Times New Roman" w:cs="Times New Roman"/>
          <w:color w:val="auto"/>
          <w:sz w:val="24"/>
        </w:rPr>
        <w:t>3  保温免拆模板厚度；</w:t>
      </w:r>
    </w:p>
    <w:p w14:paraId="649F88A2">
      <w:pPr>
        <w:spacing w:line="360" w:lineRule="auto"/>
        <w:ind w:firstLine="480" w:firstLineChars="200"/>
        <w:rPr>
          <w:rFonts w:ascii="Times New Roman" w:cs="Times New Roman"/>
          <w:color w:val="auto"/>
          <w:sz w:val="24"/>
        </w:rPr>
      </w:pPr>
      <w:r>
        <w:rPr>
          <w:rFonts w:hint="eastAsia" w:ascii="Times New Roman" w:cs="Times New Roman"/>
          <w:color w:val="auto"/>
          <w:sz w:val="24"/>
        </w:rPr>
        <w:t>4  保温免拆模板系统节点构造。</w:t>
      </w:r>
    </w:p>
    <w:p w14:paraId="46FD4558">
      <w:pPr>
        <w:spacing w:line="360" w:lineRule="auto"/>
        <w:ind w:left="84" w:hanging="84" w:hangingChars="35"/>
        <w:rPr>
          <w:rFonts w:ascii="Times New Roman" w:cs="Times New Roman"/>
          <w:color w:val="auto"/>
          <w:sz w:val="24"/>
        </w:rPr>
      </w:pPr>
      <w:r>
        <w:rPr>
          <w:rFonts w:hint="eastAsia" w:ascii="Times New Roman" w:cs="Times New Roman"/>
          <w:b/>
          <w:color w:val="auto"/>
          <w:sz w:val="24"/>
        </w:rPr>
        <w:t>8.1.4</w:t>
      </w:r>
      <w:r>
        <w:rPr>
          <w:rFonts w:hint="eastAsia" w:ascii="Times New Roman" w:cs="Times New Roman"/>
          <w:color w:val="auto"/>
          <w:sz w:val="24"/>
        </w:rPr>
        <w:t>保温免拆模板系统工程组成</w:t>
      </w:r>
      <w:r>
        <w:rPr>
          <w:rFonts w:ascii="Times New Roman" w:cs="Times New Roman"/>
          <w:color w:val="auto"/>
          <w:sz w:val="24"/>
        </w:rPr>
        <w:t>材料进场验收应符合下列规定：</w:t>
      </w:r>
    </w:p>
    <w:p w14:paraId="38432E33">
      <w:pPr>
        <w:spacing w:line="360" w:lineRule="auto"/>
        <w:ind w:firstLine="480" w:firstLineChars="200"/>
        <w:jc w:val="left"/>
        <w:rPr>
          <w:rFonts w:ascii="Times New Roman" w:cs="Times New Roman"/>
          <w:color w:val="auto"/>
          <w:sz w:val="24"/>
        </w:rPr>
      </w:pPr>
      <w:r>
        <w:rPr>
          <w:rFonts w:hint="eastAsia" w:ascii="Times New Roman" w:cs="Times New Roman"/>
          <w:color w:val="auto"/>
          <w:sz w:val="24"/>
        </w:rPr>
        <w:t>1 模板安装分项工程应符合《混凝土结构工程施工质量验收规范》GB50204和本规程的规定</w:t>
      </w:r>
      <w:r>
        <w:rPr>
          <w:rFonts w:ascii="Times New Roman" w:cs="Times New Roman"/>
          <w:color w:val="auto"/>
          <w:sz w:val="24"/>
        </w:rPr>
        <w:t>；</w:t>
      </w:r>
    </w:p>
    <w:p w14:paraId="13DAFAF8">
      <w:pPr>
        <w:spacing w:line="360" w:lineRule="auto"/>
        <w:ind w:firstLine="480" w:firstLineChars="200"/>
        <w:jc w:val="left"/>
        <w:rPr>
          <w:rFonts w:ascii="Times New Roman" w:cs="Times New Roman"/>
          <w:color w:val="auto"/>
          <w:sz w:val="24"/>
        </w:rPr>
      </w:pPr>
      <w:r>
        <w:rPr>
          <w:rFonts w:ascii="Times New Roman" w:cs="Times New Roman"/>
          <w:color w:val="auto"/>
          <w:sz w:val="24"/>
        </w:rPr>
        <w:t>２</w:t>
      </w:r>
      <w:r>
        <w:rPr>
          <w:rFonts w:hint="eastAsia" w:ascii="Times New Roman" w:cs="Times New Roman"/>
          <w:color w:val="auto"/>
          <w:sz w:val="24"/>
        </w:rPr>
        <w:t xml:space="preserve"> </w:t>
      </w:r>
      <w:r>
        <w:rPr>
          <w:rFonts w:ascii="Times New Roman" w:cs="Times New Roman"/>
          <w:color w:val="auto"/>
          <w:sz w:val="24"/>
        </w:rPr>
        <w:t>墙体节能分项工程应</w:t>
      </w:r>
      <w:r>
        <w:rPr>
          <w:rFonts w:hint="eastAsia" w:ascii="Times New Roman" w:cs="Times New Roman"/>
          <w:color w:val="auto"/>
          <w:sz w:val="24"/>
        </w:rPr>
        <w:t>符合《建筑节能工程施工质量验收标准》GB50411和本规程的规定。</w:t>
      </w:r>
    </w:p>
    <w:p w14:paraId="2CB17863">
      <w:pPr>
        <w:pStyle w:val="5"/>
        <w:jc w:val="center"/>
        <w:rPr>
          <w:rFonts w:ascii="Times New Roman" w:hAnsi="Times New Roman" w:cs="Times New Roman" w:eastAsiaTheme="minorEastAsia"/>
          <w:color w:val="auto"/>
          <w:sz w:val="24"/>
        </w:rPr>
      </w:pPr>
      <w:bookmarkStart w:id="1715" w:name="_Toc12718"/>
      <w:bookmarkStart w:id="1716" w:name="_Toc187858729"/>
      <w:r>
        <w:rPr>
          <w:rFonts w:hint="eastAsia" w:ascii="Times New Roman" w:hAnsi="Times New Roman" w:cs="Times New Roman" w:eastAsiaTheme="minorEastAsia"/>
          <w:color w:val="auto"/>
          <w:sz w:val="24"/>
        </w:rPr>
        <w:t>8.2  保温免拆模板安装工程</w:t>
      </w:r>
      <w:bookmarkEnd w:id="1715"/>
      <w:bookmarkEnd w:id="1716"/>
    </w:p>
    <w:p w14:paraId="7EBF9745">
      <w:pPr>
        <w:widowControl/>
        <w:spacing w:line="360" w:lineRule="auto"/>
        <w:ind w:left="-5"/>
        <w:jc w:val="center"/>
        <w:rPr>
          <w:rFonts w:ascii="Times New Roman" w:cs="Times New Roman"/>
          <w:color w:val="auto"/>
          <w:sz w:val="24"/>
        </w:rPr>
      </w:pPr>
      <w:r>
        <w:rPr>
          <w:rFonts w:hint="eastAsia" w:ascii="Times New Roman" w:cs="Times New Roman"/>
          <w:color w:val="auto"/>
          <w:sz w:val="24"/>
        </w:rPr>
        <w:t>主控项目</w:t>
      </w:r>
    </w:p>
    <w:p w14:paraId="3668C849">
      <w:pPr>
        <w:widowControl/>
        <w:spacing w:line="360" w:lineRule="auto"/>
        <w:ind w:left="-5"/>
        <w:jc w:val="left"/>
        <w:rPr>
          <w:rFonts w:ascii="Times New Roman" w:cs="Times New Roman"/>
          <w:color w:val="auto"/>
          <w:sz w:val="24"/>
        </w:rPr>
      </w:pPr>
      <w:r>
        <w:rPr>
          <w:rFonts w:hint="eastAsia" w:ascii="Times New Roman" w:cs="Times New Roman"/>
          <w:color w:val="auto"/>
          <w:sz w:val="24"/>
        </w:rPr>
        <w:t>8.2.1</w:t>
      </w:r>
      <w:r>
        <w:rPr>
          <w:rFonts w:hint="eastAsia" w:cs="Times New Roman" w:asciiTheme="minorEastAsia" w:hAnsiTheme="minorEastAsia"/>
          <w:color w:val="auto"/>
          <w:sz w:val="24"/>
          <w:szCs w:val="30"/>
        </w:rPr>
        <w:t>保温免拆模板</w:t>
      </w:r>
      <w:r>
        <w:rPr>
          <w:rFonts w:hint="eastAsia" w:ascii="Times New Roman" w:cs="Times New Roman"/>
          <w:color w:val="auto"/>
          <w:sz w:val="24"/>
        </w:rPr>
        <w:t>及支架用材料的技术指标应符合现行国家有关标准及本规程4.3.1条保温免拆模板性能指标要求</w:t>
      </w:r>
      <w:r>
        <w:rPr>
          <w:rFonts w:hint="eastAsia" w:cs="Times New Roman" w:asciiTheme="minorEastAsia" w:hAnsiTheme="minorEastAsia"/>
          <w:color w:val="auto"/>
          <w:sz w:val="24"/>
          <w:szCs w:val="30"/>
        </w:rPr>
        <w:t>。</w:t>
      </w:r>
      <w:r>
        <w:rPr>
          <w:rFonts w:hint="eastAsia" w:ascii="Times New Roman" w:cs="Times New Roman"/>
          <w:color w:val="auto"/>
          <w:sz w:val="24"/>
        </w:rPr>
        <w:t>进场时应抽样检验</w:t>
      </w:r>
      <w:r>
        <w:rPr>
          <w:rFonts w:hint="eastAsia" w:cs="Times New Roman" w:asciiTheme="minorEastAsia" w:hAnsiTheme="minorEastAsia"/>
          <w:color w:val="auto"/>
          <w:sz w:val="24"/>
          <w:szCs w:val="30"/>
        </w:rPr>
        <w:t>保温免拆模板</w:t>
      </w:r>
      <w:r>
        <w:rPr>
          <w:rFonts w:hint="eastAsia" w:ascii="Times New Roman" w:cs="Times New Roman"/>
          <w:color w:val="auto"/>
          <w:sz w:val="24"/>
        </w:rPr>
        <w:t>和支架材料的外观、规格和尺寸。</w:t>
      </w:r>
    </w:p>
    <w:p w14:paraId="017F8846">
      <w:pPr>
        <w:widowControl/>
        <w:spacing w:line="360" w:lineRule="auto"/>
        <w:ind w:left="-5"/>
        <w:jc w:val="left"/>
        <w:rPr>
          <w:rFonts w:ascii="Times New Roman" w:cs="Times New Roman"/>
          <w:color w:val="auto"/>
          <w:sz w:val="24"/>
        </w:rPr>
      </w:pPr>
      <w:r>
        <w:rPr>
          <w:rFonts w:hint="eastAsia" w:ascii="Times New Roman" w:cs="Times New Roman"/>
          <w:color w:val="auto"/>
          <w:sz w:val="24"/>
        </w:rPr>
        <w:t>检查数量：按现行国家相关标准及本规程的规定确定。</w:t>
      </w:r>
    </w:p>
    <w:p w14:paraId="7733C25C">
      <w:pPr>
        <w:widowControl/>
        <w:spacing w:line="360" w:lineRule="auto"/>
        <w:ind w:left="-5"/>
        <w:jc w:val="left"/>
        <w:rPr>
          <w:rFonts w:ascii="Times New Roman" w:cs="Times New Roman"/>
          <w:color w:val="auto"/>
          <w:sz w:val="24"/>
        </w:rPr>
      </w:pPr>
      <w:r>
        <w:rPr>
          <w:rFonts w:hint="eastAsia" w:ascii="Times New Roman" w:cs="Times New Roman"/>
          <w:color w:val="auto"/>
          <w:sz w:val="24"/>
        </w:rPr>
        <w:t>检验方法：检查质量证明文件，观察，尺量；检查保温免拆模板的弯曲强度等性能复验报告、型式检验报告。</w:t>
      </w:r>
    </w:p>
    <w:p w14:paraId="616C6920">
      <w:pPr>
        <w:widowControl/>
        <w:spacing w:line="360" w:lineRule="auto"/>
        <w:ind w:left="-5"/>
        <w:jc w:val="left"/>
        <w:rPr>
          <w:rFonts w:ascii="Times New Roman" w:cs="Times New Roman"/>
          <w:color w:val="auto"/>
          <w:sz w:val="24"/>
        </w:rPr>
      </w:pPr>
      <w:r>
        <w:rPr>
          <w:rFonts w:hint="eastAsia" w:ascii="Times New Roman" w:cs="Times New Roman"/>
          <w:color w:val="auto"/>
          <w:sz w:val="24"/>
        </w:rPr>
        <w:t>8.2.2 保温免拆模板及支架的安装质量，应符合现行国家有关标准和本规程的规定及施工方案的要求。</w:t>
      </w:r>
    </w:p>
    <w:p w14:paraId="6024DB59">
      <w:pPr>
        <w:widowControl/>
        <w:spacing w:line="360" w:lineRule="auto"/>
        <w:ind w:left="-5"/>
        <w:jc w:val="left"/>
        <w:rPr>
          <w:rFonts w:ascii="Times New Roman" w:cs="Times New Roman"/>
          <w:color w:val="auto"/>
          <w:sz w:val="24"/>
        </w:rPr>
      </w:pPr>
      <w:r>
        <w:rPr>
          <w:rFonts w:hint="eastAsia" w:ascii="Times New Roman" w:cs="Times New Roman"/>
          <w:color w:val="auto"/>
          <w:sz w:val="24"/>
        </w:rPr>
        <w:t>检查数量：按现行国家相关标准的规定确定。</w:t>
      </w:r>
    </w:p>
    <w:p w14:paraId="452F347F">
      <w:pPr>
        <w:widowControl/>
        <w:spacing w:line="360" w:lineRule="auto"/>
        <w:ind w:left="-5"/>
        <w:jc w:val="left"/>
        <w:rPr>
          <w:rFonts w:ascii="Times New Roman" w:cs="Times New Roman"/>
          <w:color w:val="auto"/>
          <w:sz w:val="24"/>
        </w:rPr>
      </w:pPr>
      <w:r>
        <w:rPr>
          <w:rFonts w:hint="eastAsia" w:ascii="Times New Roman" w:cs="Times New Roman"/>
          <w:color w:val="auto"/>
          <w:sz w:val="24"/>
        </w:rPr>
        <w:t>检验方法：按现行国家有关标准的规定执行。</w:t>
      </w:r>
    </w:p>
    <w:p w14:paraId="60052799">
      <w:pPr>
        <w:widowControl/>
        <w:spacing w:line="360" w:lineRule="auto"/>
        <w:ind w:left="-5"/>
        <w:jc w:val="left"/>
        <w:rPr>
          <w:rFonts w:ascii="Times New Roman" w:cs="Times New Roman"/>
          <w:color w:val="auto"/>
          <w:sz w:val="24"/>
        </w:rPr>
      </w:pPr>
      <w:r>
        <w:rPr>
          <w:rFonts w:hint="eastAsia" w:ascii="Times New Roman" w:cs="Times New Roman"/>
          <w:color w:val="auto"/>
          <w:sz w:val="24"/>
        </w:rPr>
        <w:t>8.2.3 后浇带处的模板及支架应独立设置。</w:t>
      </w:r>
    </w:p>
    <w:p w14:paraId="752C01A4">
      <w:pPr>
        <w:widowControl/>
        <w:spacing w:line="360" w:lineRule="auto"/>
        <w:ind w:left="-5"/>
        <w:jc w:val="left"/>
        <w:rPr>
          <w:rFonts w:ascii="Times New Roman" w:cs="Times New Roman"/>
          <w:color w:val="auto"/>
          <w:sz w:val="24"/>
        </w:rPr>
      </w:pPr>
      <w:r>
        <w:rPr>
          <w:rFonts w:hint="eastAsia" w:ascii="Times New Roman" w:cs="Times New Roman"/>
          <w:color w:val="auto"/>
          <w:sz w:val="24"/>
        </w:rPr>
        <w:t>检查数量：全数检查。</w:t>
      </w:r>
    </w:p>
    <w:p w14:paraId="788B2B3B">
      <w:pPr>
        <w:widowControl/>
        <w:spacing w:line="360" w:lineRule="auto"/>
        <w:ind w:left="-5"/>
        <w:jc w:val="left"/>
        <w:rPr>
          <w:rFonts w:ascii="Times New Roman" w:cs="Times New Roman"/>
          <w:color w:val="auto"/>
          <w:sz w:val="24"/>
        </w:rPr>
      </w:pPr>
      <w:r>
        <w:rPr>
          <w:rFonts w:hint="eastAsia" w:ascii="Times New Roman" w:cs="Times New Roman"/>
          <w:color w:val="auto"/>
          <w:sz w:val="24"/>
        </w:rPr>
        <w:t>检验方法：观察。</w:t>
      </w:r>
    </w:p>
    <w:p w14:paraId="76B52EAF">
      <w:pPr>
        <w:widowControl/>
        <w:spacing w:line="360" w:lineRule="auto"/>
        <w:ind w:left="-5"/>
        <w:jc w:val="center"/>
        <w:rPr>
          <w:rFonts w:ascii="Times New Roman" w:cs="Times New Roman"/>
          <w:color w:val="auto"/>
          <w:sz w:val="24"/>
        </w:rPr>
      </w:pPr>
      <w:r>
        <w:rPr>
          <w:rFonts w:hint="eastAsia" w:ascii="Times New Roman" w:cs="Times New Roman"/>
          <w:color w:val="auto"/>
          <w:sz w:val="24"/>
        </w:rPr>
        <w:t>一般项目</w:t>
      </w:r>
    </w:p>
    <w:p w14:paraId="174678F0">
      <w:pPr>
        <w:widowControl/>
        <w:spacing w:line="360" w:lineRule="auto"/>
        <w:ind w:left="-5"/>
        <w:jc w:val="left"/>
        <w:rPr>
          <w:rFonts w:ascii="Times New Roman" w:cs="Times New Roman"/>
          <w:color w:val="auto"/>
          <w:sz w:val="24"/>
        </w:rPr>
      </w:pPr>
      <w:r>
        <w:rPr>
          <w:rFonts w:hint="eastAsia" w:ascii="Times New Roman" w:cs="Times New Roman"/>
          <w:color w:val="auto"/>
          <w:sz w:val="24"/>
        </w:rPr>
        <w:t>8.2.4保温免拆模板安装质量应符合下列规定：</w:t>
      </w:r>
    </w:p>
    <w:p w14:paraId="54B3F605">
      <w:pPr>
        <w:widowControl/>
        <w:spacing w:line="360" w:lineRule="auto"/>
        <w:ind w:left="-5"/>
        <w:jc w:val="left"/>
        <w:rPr>
          <w:rFonts w:ascii="Times New Roman" w:cs="Times New Roman"/>
          <w:color w:val="auto"/>
          <w:sz w:val="24"/>
        </w:rPr>
      </w:pPr>
      <w:r>
        <w:rPr>
          <w:rFonts w:hint="eastAsia" w:ascii="Times New Roman" w:cs="Times New Roman"/>
          <w:color w:val="auto"/>
          <w:sz w:val="24"/>
        </w:rPr>
        <w:t>1模板的接缝应严密；</w:t>
      </w:r>
    </w:p>
    <w:p w14:paraId="7C011953">
      <w:pPr>
        <w:widowControl/>
        <w:spacing w:line="360" w:lineRule="auto"/>
        <w:ind w:left="-5"/>
        <w:jc w:val="left"/>
        <w:rPr>
          <w:rFonts w:ascii="Times New Roman" w:cs="Times New Roman"/>
          <w:color w:val="auto"/>
          <w:sz w:val="24"/>
        </w:rPr>
      </w:pPr>
      <w:r>
        <w:rPr>
          <w:rFonts w:hint="eastAsia" w:ascii="Times New Roman" w:cs="Times New Roman"/>
          <w:color w:val="auto"/>
          <w:sz w:val="24"/>
        </w:rPr>
        <w:t>2模板内不应有杂物、积水或冰雪等。</w:t>
      </w:r>
    </w:p>
    <w:p w14:paraId="7FEFAD90">
      <w:pPr>
        <w:widowControl/>
        <w:spacing w:line="360" w:lineRule="auto"/>
        <w:ind w:left="-5"/>
        <w:jc w:val="left"/>
        <w:rPr>
          <w:rFonts w:ascii="Times New Roman" w:cs="Times New Roman"/>
          <w:color w:val="auto"/>
          <w:sz w:val="24"/>
        </w:rPr>
      </w:pPr>
      <w:r>
        <w:rPr>
          <w:rFonts w:hint="eastAsia" w:ascii="Times New Roman" w:cs="Times New Roman"/>
          <w:color w:val="auto"/>
          <w:sz w:val="24"/>
        </w:rPr>
        <w:t>检查数量：全数检查。</w:t>
      </w:r>
    </w:p>
    <w:p w14:paraId="54931B8C">
      <w:pPr>
        <w:widowControl/>
        <w:spacing w:line="360" w:lineRule="auto"/>
        <w:ind w:left="-5"/>
        <w:jc w:val="left"/>
        <w:rPr>
          <w:rFonts w:ascii="Times New Roman" w:cs="Times New Roman"/>
          <w:color w:val="auto"/>
          <w:sz w:val="24"/>
        </w:rPr>
      </w:pPr>
      <w:r>
        <w:rPr>
          <w:rFonts w:hint="eastAsia" w:ascii="Times New Roman" w:cs="Times New Roman"/>
          <w:color w:val="auto"/>
          <w:sz w:val="24"/>
        </w:rPr>
        <w:t>检验方法：观察。</w:t>
      </w:r>
    </w:p>
    <w:p w14:paraId="3B4C1120">
      <w:pPr>
        <w:widowControl/>
        <w:spacing w:line="360" w:lineRule="auto"/>
        <w:ind w:left="-5"/>
        <w:jc w:val="left"/>
        <w:rPr>
          <w:rFonts w:ascii="Times New Roman" w:cs="Times New Roman"/>
          <w:color w:val="auto"/>
          <w:sz w:val="24"/>
        </w:rPr>
      </w:pPr>
      <w:r>
        <w:rPr>
          <w:rFonts w:hint="eastAsia" w:ascii="Times New Roman" w:cs="Times New Roman"/>
          <w:color w:val="auto"/>
          <w:sz w:val="24"/>
        </w:rPr>
        <w:t>8.2.5 保温免拆模板的起拱应符合现行国家标准《混凝土结构工程施工规范》GB 50666 的规定，并应符合设计及施工方案的要求。</w:t>
      </w:r>
    </w:p>
    <w:p w14:paraId="3F6EF840">
      <w:pPr>
        <w:widowControl/>
        <w:spacing w:line="360" w:lineRule="auto"/>
        <w:ind w:left="-5"/>
        <w:jc w:val="left"/>
        <w:rPr>
          <w:rFonts w:ascii="Times New Roman" w:cs="Times New Roman"/>
          <w:color w:val="auto"/>
          <w:sz w:val="24"/>
        </w:rPr>
      </w:pPr>
      <w:r>
        <w:rPr>
          <w:rFonts w:hint="eastAsia" w:ascii="Times New Roman" w:cs="Times New Roman"/>
          <w:color w:val="auto"/>
          <w:sz w:val="24"/>
        </w:rPr>
        <w:t>检查数量：在同一检验批内，应按有代表性的自然间抽查10%，且不应少于3间。</w:t>
      </w:r>
    </w:p>
    <w:p w14:paraId="71888B73">
      <w:pPr>
        <w:widowControl/>
        <w:spacing w:line="360" w:lineRule="auto"/>
        <w:ind w:left="-5"/>
        <w:jc w:val="left"/>
        <w:rPr>
          <w:rFonts w:ascii="Times New Roman" w:cs="Times New Roman"/>
          <w:color w:val="auto"/>
          <w:sz w:val="24"/>
        </w:rPr>
      </w:pPr>
      <w:r>
        <w:rPr>
          <w:rFonts w:hint="eastAsia" w:ascii="Times New Roman" w:cs="Times New Roman"/>
          <w:color w:val="auto"/>
          <w:sz w:val="24"/>
        </w:rPr>
        <w:t>检验方法：水准仪或尺量。</w:t>
      </w:r>
    </w:p>
    <w:p w14:paraId="3517225A">
      <w:pPr>
        <w:widowControl/>
        <w:spacing w:line="360" w:lineRule="auto"/>
        <w:ind w:left="-5"/>
        <w:jc w:val="left"/>
        <w:rPr>
          <w:rFonts w:ascii="Times New Roman" w:cs="Times New Roman"/>
          <w:color w:val="auto"/>
          <w:sz w:val="24"/>
        </w:rPr>
      </w:pPr>
      <w:r>
        <w:rPr>
          <w:rFonts w:hint="eastAsia" w:ascii="Times New Roman" w:cs="Times New Roman"/>
          <w:color w:val="auto"/>
          <w:sz w:val="24"/>
        </w:rPr>
        <w:t>8.2.6 现浇混凝土结构多层连续支模应符合施工方案的规定，上下层模板支架的竖杆宜对准。竖杆下垫板的设置应符合施工方案的要求。</w:t>
      </w:r>
    </w:p>
    <w:p w14:paraId="1BCFE48D">
      <w:pPr>
        <w:widowControl/>
        <w:spacing w:line="360" w:lineRule="auto"/>
        <w:ind w:left="-5"/>
        <w:jc w:val="left"/>
        <w:rPr>
          <w:rFonts w:ascii="Times New Roman" w:cs="Times New Roman"/>
          <w:color w:val="auto"/>
          <w:sz w:val="24"/>
        </w:rPr>
      </w:pPr>
      <w:r>
        <w:rPr>
          <w:rFonts w:hint="eastAsia" w:ascii="Times New Roman" w:cs="Times New Roman"/>
          <w:color w:val="auto"/>
          <w:sz w:val="24"/>
        </w:rPr>
        <w:t>检查数量：全数检查。</w:t>
      </w:r>
    </w:p>
    <w:p w14:paraId="5C677B98">
      <w:pPr>
        <w:widowControl/>
        <w:spacing w:line="360" w:lineRule="auto"/>
        <w:ind w:left="-5"/>
        <w:jc w:val="left"/>
        <w:rPr>
          <w:rFonts w:ascii="Times New Roman" w:cs="Times New Roman"/>
          <w:color w:val="auto"/>
          <w:sz w:val="24"/>
        </w:rPr>
      </w:pPr>
      <w:r>
        <w:rPr>
          <w:rFonts w:hint="eastAsia" w:ascii="Times New Roman" w:cs="Times New Roman"/>
          <w:color w:val="auto"/>
          <w:sz w:val="24"/>
        </w:rPr>
        <w:t>检验方法：观察。</w:t>
      </w:r>
    </w:p>
    <w:p w14:paraId="7029B089">
      <w:pPr>
        <w:widowControl/>
        <w:spacing w:line="360" w:lineRule="auto"/>
        <w:ind w:left="-5"/>
        <w:jc w:val="left"/>
        <w:rPr>
          <w:rFonts w:ascii="Times New Roman" w:cs="Times New Roman"/>
          <w:color w:val="auto"/>
          <w:sz w:val="24"/>
        </w:rPr>
      </w:pPr>
      <w:r>
        <w:rPr>
          <w:rFonts w:hint="eastAsia" w:ascii="Times New Roman" w:cs="Times New Roman"/>
          <w:color w:val="auto"/>
          <w:sz w:val="24"/>
        </w:rPr>
        <w:t>8.2.7 固定在保温免拆模板上的预埋件和预留孔洞不得遗漏，且应安装牢固。预埋件和预留孔洞的位置应满足设计和施工方案的要求。</w:t>
      </w:r>
    </w:p>
    <w:p w14:paraId="44912900">
      <w:pPr>
        <w:widowControl/>
        <w:spacing w:line="360" w:lineRule="auto"/>
        <w:ind w:left="-5"/>
        <w:jc w:val="left"/>
        <w:rPr>
          <w:rFonts w:ascii="Times New Roman" w:cs="Times New Roman"/>
          <w:color w:val="auto"/>
          <w:sz w:val="24"/>
        </w:rPr>
      </w:pPr>
      <w:r>
        <w:rPr>
          <w:rFonts w:hint="eastAsia" w:ascii="Times New Roman" w:cs="Times New Roman"/>
          <w:color w:val="auto"/>
          <w:sz w:val="24"/>
        </w:rPr>
        <w:t>检查数量：全数检查。</w:t>
      </w:r>
    </w:p>
    <w:p w14:paraId="24275585">
      <w:pPr>
        <w:widowControl/>
        <w:spacing w:line="360" w:lineRule="auto"/>
        <w:ind w:left="-5"/>
        <w:jc w:val="left"/>
        <w:rPr>
          <w:rFonts w:ascii="Times New Roman" w:cs="Times New Roman"/>
          <w:color w:val="auto"/>
          <w:sz w:val="24"/>
        </w:rPr>
      </w:pPr>
      <w:r>
        <w:rPr>
          <w:rFonts w:hint="eastAsia" w:ascii="Times New Roman" w:cs="Times New Roman"/>
          <w:color w:val="auto"/>
          <w:sz w:val="24"/>
        </w:rPr>
        <w:t>检验方法：观察，尺量。</w:t>
      </w:r>
    </w:p>
    <w:p w14:paraId="47C4F70B">
      <w:pPr>
        <w:widowControl/>
        <w:spacing w:line="360" w:lineRule="auto"/>
        <w:ind w:left="-5"/>
        <w:jc w:val="left"/>
        <w:rPr>
          <w:rFonts w:ascii="Times New Roman" w:cs="Times New Roman"/>
          <w:color w:val="auto"/>
          <w:sz w:val="24"/>
        </w:rPr>
      </w:pPr>
      <w:r>
        <w:rPr>
          <w:rFonts w:hint="eastAsia" w:ascii="Times New Roman" w:cs="Times New Roman"/>
          <w:color w:val="auto"/>
          <w:sz w:val="24"/>
        </w:rPr>
        <w:t xml:space="preserve">8.2.8 </w:t>
      </w:r>
      <w:r>
        <w:rPr>
          <w:rFonts w:hint="eastAsia" w:ascii="宋体" w:hAnsi="宋体" w:eastAsia="宋体" w:cs="宋体"/>
          <w:color w:val="auto"/>
          <w:kern w:val="0"/>
          <w:sz w:val="24"/>
          <w:szCs w:val="24"/>
        </w:rPr>
        <w:t>保温免拆模板</w:t>
      </w:r>
      <w:r>
        <w:rPr>
          <w:rFonts w:hint="eastAsia" w:ascii="Times New Roman" w:cs="Times New Roman"/>
          <w:color w:val="auto"/>
          <w:sz w:val="24"/>
        </w:rPr>
        <w:t>安装尺寸允许偏差及检验方法应符合表8.2.8 的规定。</w:t>
      </w:r>
    </w:p>
    <w:p w14:paraId="1586D2C3">
      <w:pPr>
        <w:widowControl/>
        <w:spacing w:line="360" w:lineRule="auto"/>
        <w:ind w:left="-5"/>
        <w:jc w:val="left"/>
        <w:rPr>
          <w:rFonts w:ascii="Times New Roman" w:cs="Times New Roman"/>
          <w:color w:val="auto"/>
          <w:sz w:val="24"/>
        </w:rPr>
      </w:pPr>
      <w:r>
        <w:rPr>
          <w:rFonts w:hint="eastAsia" w:ascii="Times New Roman" w:cs="Times New Roman"/>
          <w:color w:val="auto"/>
          <w:sz w:val="24"/>
        </w:rPr>
        <w:t>检查数量：在同一检验批内，应按有代表性的自然间抽查10%，且不应少于3间。</w:t>
      </w:r>
    </w:p>
    <w:p w14:paraId="6E5E8D2D">
      <w:pPr>
        <w:adjustRightInd w:val="0"/>
        <w:snapToGrid w:val="0"/>
        <w:spacing w:line="360" w:lineRule="auto"/>
        <w:jc w:val="center"/>
        <w:rPr>
          <w:rFonts w:hint="eastAsia" w:ascii="黑体" w:hAnsi="宋体" w:eastAsia="黑体" w:cs="黑体"/>
          <w:color w:val="auto"/>
          <w:szCs w:val="24"/>
        </w:rPr>
      </w:pPr>
      <w:r>
        <w:rPr>
          <w:rFonts w:hint="eastAsia" w:ascii="Times New Roman" w:hAnsi="Times New Roman" w:cs="Times New Roman"/>
          <w:color w:val="auto"/>
          <w:sz w:val="24"/>
        </w:rPr>
        <w:t>表8.2.8</w:t>
      </w:r>
      <w:r>
        <w:rPr>
          <w:rFonts w:hint="eastAsia" w:ascii="宋体" w:hAnsi="宋体" w:eastAsia="宋体" w:cs="宋体"/>
          <w:color w:val="auto"/>
          <w:kern w:val="0"/>
          <w:sz w:val="24"/>
          <w:szCs w:val="24"/>
        </w:rPr>
        <w:t>保温免拆模板安装尺寸允许偏差及检验方法</w:t>
      </w:r>
    </w:p>
    <w:tbl>
      <w:tblPr>
        <w:tblStyle w:val="88"/>
        <w:tblW w:w="80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01"/>
        <w:gridCol w:w="1985"/>
        <w:gridCol w:w="2634"/>
      </w:tblGrid>
      <w:tr w14:paraId="5D3E7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401" w:type="dxa"/>
            <w:tcBorders>
              <w:top w:val="single" w:color="auto" w:sz="4" w:space="0"/>
              <w:left w:val="single" w:color="auto" w:sz="4" w:space="0"/>
              <w:bottom w:val="single" w:color="auto" w:sz="4" w:space="0"/>
              <w:right w:val="single" w:color="auto" w:sz="4" w:space="0"/>
            </w:tcBorders>
            <w:shd w:val="clear" w:color="auto" w:fill="auto"/>
            <w:vAlign w:val="center"/>
          </w:tcPr>
          <w:p w14:paraId="6572D8B5">
            <w:pPr>
              <w:ind w:right="65"/>
              <w:jc w:val="center"/>
              <w:rPr>
                <w:rFonts w:cs="黑体"/>
                <w:color w:val="auto"/>
                <w:szCs w:val="21"/>
              </w:rPr>
            </w:pPr>
            <w:r>
              <w:rPr>
                <w:rFonts w:hint="eastAsia" w:ascii="宋体" w:hAnsi="宋体" w:eastAsia="宋体" w:cs="宋体"/>
                <w:color w:val="auto"/>
                <w:szCs w:val="21"/>
              </w:rPr>
              <w:t>项目</w:t>
            </w:r>
          </w:p>
        </w:tc>
        <w:tc>
          <w:tcPr>
            <w:tcW w:w="1985" w:type="dxa"/>
            <w:tcBorders>
              <w:top w:val="single" w:color="auto" w:sz="4" w:space="0"/>
              <w:left w:val="single" w:color="auto" w:sz="4" w:space="0"/>
              <w:bottom w:val="single" w:color="auto" w:sz="4" w:space="0"/>
              <w:right w:val="single" w:color="auto" w:sz="4" w:space="0"/>
            </w:tcBorders>
            <w:shd w:val="clear" w:color="auto" w:fill="auto"/>
            <w:vAlign w:val="center"/>
          </w:tcPr>
          <w:p w14:paraId="56836E95">
            <w:pPr>
              <w:ind w:right="65"/>
              <w:jc w:val="center"/>
              <w:rPr>
                <w:rFonts w:cs="黑体"/>
                <w:color w:val="auto"/>
                <w:szCs w:val="21"/>
              </w:rPr>
            </w:pPr>
            <w:r>
              <w:rPr>
                <w:rFonts w:hint="eastAsia" w:ascii="宋体" w:hAnsi="宋体" w:eastAsia="宋体" w:cs="宋体"/>
                <w:color w:val="auto"/>
                <w:szCs w:val="21"/>
              </w:rPr>
              <w:t>允许偏差（</w:t>
            </w:r>
            <w:r>
              <w:rPr>
                <w:rFonts w:hint="eastAsia" w:ascii="宋体" w:hAnsi="宋体" w:eastAsia="宋体" w:cs="Times New Roman"/>
                <w:color w:val="auto"/>
                <w:szCs w:val="21"/>
              </w:rPr>
              <w:t>mm</w:t>
            </w:r>
            <w:r>
              <w:rPr>
                <w:rFonts w:hint="eastAsia" w:ascii="宋体" w:hAnsi="宋体" w:eastAsia="宋体" w:cs="宋体"/>
                <w:color w:val="auto"/>
                <w:szCs w:val="21"/>
              </w:rPr>
              <w:t>）</w:t>
            </w:r>
          </w:p>
        </w:tc>
        <w:tc>
          <w:tcPr>
            <w:tcW w:w="2634" w:type="dxa"/>
            <w:tcBorders>
              <w:top w:val="single" w:color="auto" w:sz="4" w:space="0"/>
              <w:left w:val="single" w:color="auto" w:sz="4" w:space="0"/>
              <w:bottom w:val="single" w:color="auto" w:sz="4" w:space="0"/>
              <w:right w:val="single" w:color="auto" w:sz="4" w:space="0"/>
            </w:tcBorders>
            <w:shd w:val="clear" w:color="auto" w:fill="auto"/>
            <w:vAlign w:val="center"/>
          </w:tcPr>
          <w:p w14:paraId="71DD8166">
            <w:pPr>
              <w:ind w:right="65"/>
              <w:jc w:val="center"/>
              <w:rPr>
                <w:rFonts w:cs="黑体"/>
                <w:color w:val="auto"/>
                <w:szCs w:val="21"/>
              </w:rPr>
            </w:pPr>
            <w:r>
              <w:rPr>
                <w:rFonts w:hint="eastAsia" w:ascii="宋体" w:hAnsi="宋体" w:eastAsia="宋体" w:cs="宋体"/>
                <w:color w:val="auto"/>
                <w:szCs w:val="21"/>
              </w:rPr>
              <w:t>检验方法</w:t>
            </w:r>
          </w:p>
        </w:tc>
      </w:tr>
      <w:tr w14:paraId="22963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401" w:type="dxa"/>
            <w:tcBorders>
              <w:top w:val="single" w:color="auto" w:sz="4" w:space="0"/>
              <w:left w:val="single" w:color="auto" w:sz="4" w:space="0"/>
              <w:bottom w:val="single" w:color="auto" w:sz="4" w:space="0"/>
              <w:right w:val="single" w:color="auto" w:sz="4" w:space="0"/>
            </w:tcBorders>
            <w:shd w:val="clear" w:color="auto" w:fill="auto"/>
            <w:vAlign w:val="center"/>
          </w:tcPr>
          <w:p w14:paraId="08544525">
            <w:pPr>
              <w:ind w:right="65"/>
              <w:jc w:val="center"/>
              <w:rPr>
                <w:rFonts w:cs="黑体"/>
                <w:color w:val="auto"/>
                <w:szCs w:val="21"/>
              </w:rPr>
            </w:pPr>
            <w:r>
              <w:rPr>
                <w:rFonts w:hint="eastAsia" w:ascii="宋体" w:hAnsi="宋体" w:eastAsia="宋体" w:cs="宋体"/>
                <w:color w:val="auto"/>
                <w:szCs w:val="21"/>
              </w:rPr>
              <w:t>轴线位置</w:t>
            </w:r>
          </w:p>
        </w:tc>
        <w:tc>
          <w:tcPr>
            <w:tcW w:w="1985" w:type="dxa"/>
            <w:tcBorders>
              <w:top w:val="single" w:color="auto" w:sz="4" w:space="0"/>
              <w:left w:val="single" w:color="auto" w:sz="4" w:space="0"/>
              <w:bottom w:val="single" w:color="auto" w:sz="4" w:space="0"/>
              <w:right w:val="single" w:color="auto" w:sz="4" w:space="0"/>
            </w:tcBorders>
            <w:shd w:val="clear" w:color="auto" w:fill="auto"/>
            <w:vAlign w:val="center"/>
          </w:tcPr>
          <w:p w14:paraId="3B44632D">
            <w:pPr>
              <w:ind w:right="65"/>
              <w:jc w:val="center"/>
              <w:rPr>
                <w:rFonts w:hint="eastAsia" w:ascii="宋体" w:hAnsi="宋体" w:eastAsia="宋体" w:cs="黑体"/>
                <w:color w:val="auto"/>
                <w:szCs w:val="21"/>
              </w:rPr>
            </w:pPr>
            <w:r>
              <w:rPr>
                <w:rFonts w:hint="eastAsia" w:ascii="宋体" w:hAnsi="宋体" w:eastAsia="宋体" w:cs="黑体"/>
                <w:color w:val="auto"/>
                <w:szCs w:val="21"/>
              </w:rPr>
              <w:t>5</w:t>
            </w:r>
          </w:p>
        </w:tc>
        <w:tc>
          <w:tcPr>
            <w:tcW w:w="2634" w:type="dxa"/>
            <w:tcBorders>
              <w:top w:val="single" w:color="auto" w:sz="4" w:space="0"/>
              <w:left w:val="single" w:color="auto" w:sz="4" w:space="0"/>
              <w:bottom w:val="single" w:color="auto" w:sz="4" w:space="0"/>
              <w:right w:val="single" w:color="auto" w:sz="4" w:space="0"/>
            </w:tcBorders>
            <w:shd w:val="clear" w:color="auto" w:fill="auto"/>
            <w:vAlign w:val="center"/>
          </w:tcPr>
          <w:p w14:paraId="7F9DB138">
            <w:pPr>
              <w:ind w:right="65"/>
              <w:jc w:val="center"/>
              <w:rPr>
                <w:rFonts w:cs="黑体"/>
                <w:color w:val="auto"/>
                <w:szCs w:val="21"/>
              </w:rPr>
            </w:pPr>
            <w:r>
              <w:rPr>
                <w:rFonts w:hint="eastAsia" w:ascii="宋体" w:hAnsi="宋体" w:eastAsia="宋体" w:cs="宋体"/>
                <w:color w:val="auto"/>
                <w:szCs w:val="21"/>
              </w:rPr>
              <w:t>尺量</w:t>
            </w:r>
          </w:p>
        </w:tc>
      </w:tr>
      <w:tr w14:paraId="52D51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401" w:type="dxa"/>
            <w:tcBorders>
              <w:top w:val="single" w:color="auto" w:sz="4" w:space="0"/>
              <w:left w:val="single" w:color="auto" w:sz="4" w:space="0"/>
              <w:bottom w:val="single" w:color="auto" w:sz="4" w:space="0"/>
              <w:right w:val="single" w:color="auto" w:sz="4" w:space="0"/>
            </w:tcBorders>
            <w:shd w:val="clear" w:color="auto" w:fill="auto"/>
            <w:vAlign w:val="center"/>
          </w:tcPr>
          <w:p w14:paraId="69F09ED5">
            <w:pPr>
              <w:ind w:right="65"/>
              <w:jc w:val="center"/>
              <w:rPr>
                <w:rFonts w:hint="eastAsia" w:ascii="宋体" w:hAnsi="宋体" w:eastAsia="宋体" w:cs="宋体"/>
                <w:color w:val="auto"/>
                <w:szCs w:val="21"/>
              </w:rPr>
            </w:pPr>
            <w:r>
              <w:rPr>
                <w:rFonts w:hint="eastAsia" w:ascii="宋体" w:hAnsi="宋体" w:eastAsia="宋体" w:cs="宋体"/>
                <w:color w:val="auto"/>
                <w:szCs w:val="21"/>
              </w:rPr>
              <w:t>底模板上表面标高</w:t>
            </w:r>
          </w:p>
        </w:tc>
        <w:tc>
          <w:tcPr>
            <w:tcW w:w="1985" w:type="dxa"/>
            <w:tcBorders>
              <w:top w:val="single" w:color="auto" w:sz="4" w:space="0"/>
              <w:left w:val="single" w:color="auto" w:sz="4" w:space="0"/>
              <w:bottom w:val="single" w:color="auto" w:sz="4" w:space="0"/>
              <w:right w:val="single" w:color="auto" w:sz="4" w:space="0"/>
            </w:tcBorders>
            <w:shd w:val="clear" w:color="auto" w:fill="auto"/>
            <w:vAlign w:val="center"/>
          </w:tcPr>
          <w:p w14:paraId="005EBD85">
            <w:pPr>
              <w:ind w:right="65"/>
              <w:jc w:val="center"/>
              <w:rPr>
                <w:rFonts w:hint="eastAsia" w:ascii="宋体" w:hAnsi="宋体" w:eastAsia="宋体" w:cs="黑体"/>
                <w:color w:val="auto"/>
                <w:szCs w:val="21"/>
              </w:rPr>
            </w:pPr>
            <w:r>
              <w:rPr>
                <w:rFonts w:hint="eastAsia" w:ascii="宋体" w:hAnsi="宋体" w:eastAsia="宋体" w:cs="黑体"/>
                <w:color w:val="auto"/>
                <w:szCs w:val="21"/>
              </w:rPr>
              <w:t>±5</w:t>
            </w:r>
          </w:p>
        </w:tc>
        <w:tc>
          <w:tcPr>
            <w:tcW w:w="2634" w:type="dxa"/>
            <w:tcBorders>
              <w:top w:val="single" w:color="auto" w:sz="4" w:space="0"/>
              <w:left w:val="single" w:color="auto" w:sz="4" w:space="0"/>
              <w:bottom w:val="single" w:color="auto" w:sz="4" w:space="0"/>
              <w:right w:val="single" w:color="auto" w:sz="4" w:space="0"/>
            </w:tcBorders>
            <w:shd w:val="clear" w:color="auto" w:fill="auto"/>
            <w:vAlign w:val="center"/>
          </w:tcPr>
          <w:p w14:paraId="7284A8BE">
            <w:pPr>
              <w:ind w:right="65"/>
              <w:jc w:val="center"/>
              <w:rPr>
                <w:rFonts w:hint="eastAsia" w:ascii="宋体" w:hAnsi="宋体" w:eastAsia="宋体" w:cs="宋体"/>
                <w:color w:val="auto"/>
                <w:szCs w:val="21"/>
              </w:rPr>
            </w:pPr>
            <w:r>
              <w:rPr>
                <w:rFonts w:hint="eastAsia" w:ascii="宋体" w:hAnsi="宋体" w:eastAsia="宋体" w:cs="宋体"/>
                <w:color w:val="auto"/>
                <w:szCs w:val="21"/>
              </w:rPr>
              <w:t>水准仪或拉线、尺量</w:t>
            </w:r>
          </w:p>
        </w:tc>
      </w:tr>
      <w:tr w14:paraId="0A11A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401" w:type="dxa"/>
            <w:tcBorders>
              <w:top w:val="single" w:color="auto" w:sz="4" w:space="0"/>
              <w:left w:val="single" w:color="auto" w:sz="4" w:space="0"/>
              <w:bottom w:val="single" w:color="auto" w:sz="4" w:space="0"/>
              <w:right w:val="single" w:color="auto" w:sz="4" w:space="0"/>
            </w:tcBorders>
            <w:shd w:val="clear" w:color="auto" w:fill="auto"/>
            <w:vAlign w:val="center"/>
          </w:tcPr>
          <w:p w14:paraId="5DFC8F99">
            <w:pPr>
              <w:ind w:right="65"/>
              <w:jc w:val="center"/>
              <w:rPr>
                <w:rFonts w:cs="黑体"/>
                <w:color w:val="auto"/>
                <w:szCs w:val="21"/>
              </w:rPr>
            </w:pPr>
            <w:r>
              <w:rPr>
                <w:rFonts w:cs="黑体"/>
                <w:color w:val="auto"/>
                <w:szCs w:val="21"/>
              </w:rPr>
              <w:t>外表面垂直度</w:t>
            </w:r>
          </w:p>
        </w:tc>
        <w:tc>
          <w:tcPr>
            <w:tcW w:w="1985" w:type="dxa"/>
            <w:tcBorders>
              <w:top w:val="single" w:color="auto" w:sz="4" w:space="0"/>
              <w:left w:val="single" w:color="auto" w:sz="4" w:space="0"/>
              <w:bottom w:val="single" w:color="auto" w:sz="4" w:space="0"/>
              <w:right w:val="single" w:color="auto" w:sz="4" w:space="0"/>
            </w:tcBorders>
            <w:shd w:val="clear" w:color="auto" w:fill="auto"/>
            <w:vAlign w:val="center"/>
          </w:tcPr>
          <w:p w14:paraId="1AA1640B">
            <w:pPr>
              <w:ind w:right="65"/>
              <w:jc w:val="center"/>
              <w:rPr>
                <w:rFonts w:hint="eastAsia" w:ascii="宋体" w:hAnsi="宋体" w:eastAsia="宋体" w:cs="黑体"/>
                <w:color w:val="auto"/>
                <w:szCs w:val="21"/>
              </w:rPr>
            </w:pPr>
            <w:r>
              <w:rPr>
                <w:rFonts w:hint="eastAsia" w:ascii="宋体" w:hAnsi="宋体" w:eastAsia="宋体" w:cs="黑体"/>
                <w:color w:val="auto"/>
                <w:szCs w:val="21"/>
              </w:rPr>
              <w:t>3</w:t>
            </w:r>
          </w:p>
        </w:tc>
        <w:tc>
          <w:tcPr>
            <w:tcW w:w="2634" w:type="dxa"/>
            <w:tcBorders>
              <w:top w:val="single" w:color="auto" w:sz="4" w:space="0"/>
              <w:left w:val="single" w:color="auto" w:sz="4" w:space="0"/>
              <w:bottom w:val="single" w:color="auto" w:sz="4" w:space="0"/>
              <w:right w:val="single" w:color="auto" w:sz="4" w:space="0"/>
            </w:tcBorders>
            <w:shd w:val="clear" w:color="auto" w:fill="auto"/>
            <w:vAlign w:val="center"/>
          </w:tcPr>
          <w:p w14:paraId="00230016">
            <w:pPr>
              <w:ind w:right="65"/>
              <w:jc w:val="center"/>
              <w:rPr>
                <w:rFonts w:cs="黑体"/>
                <w:color w:val="auto"/>
                <w:szCs w:val="21"/>
              </w:rPr>
            </w:pPr>
            <w:r>
              <w:rPr>
                <w:rFonts w:cs="黑体"/>
                <w:color w:val="auto"/>
                <w:szCs w:val="21"/>
              </w:rPr>
              <w:t>经纬仪或吊线、尺量</w:t>
            </w:r>
          </w:p>
        </w:tc>
      </w:tr>
      <w:tr w14:paraId="766E3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401" w:type="dxa"/>
            <w:tcBorders>
              <w:top w:val="single" w:color="auto" w:sz="4" w:space="0"/>
              <w:left w:val="single" w:color="auto" w:sz="4" w:space="0"/>
              <w:bottom w:val="single" w:color="auto" w:sz="4" w:space="0"/>
              <w:right w:val="single" w:color="auto" w:sz="4" w:space="0"/>
            </w:tcBorders>
            <w:shd w:val="clear" w:color="auto" w:fill="auto"/>
            <w:vAlign w:val="center"/>
          </w:tcPr>
          <w:p w14:paraId="181E0413">
            <w:pPr>
              <w:ind w:right="65"/>
              <w:jc w:val="center"/>
              <w:rPr>
                <w:rFonts w:cs="黑体"/>
                <w:color w:val="auto"/>
                <w:szCs w:val="21"/>
              </w:rPr>
            </w:pPr>
            <w:r>
              <w:rPr>
                <w:rFonts w:hint="eastAsia" w:ascii="宋体" w:hAnsi="宋体" w:eastAsia="宋体" w:cs="宋体"/>
                <w:color w:val="auto"/>
                <w:szCs w:val="21"/>
              </w:rPr>
              <w:t>相邻两块模板表面高差</w:t>
            </w:r>
          </w:p>
        </w:tc>
        <w:tc>
          <w:tcPr>
            <w:tcW w:w="1985" w:type="dxa"/>
            <w:tcBorders>
              <w:top w:val="single" w:color="auto" w:sz="4" w:space="0"/>
              <w:left w:val="single" w:color="auto" w:sz="4" w:space="0"/>
              <w:bottom w:val="single" w:color="auto" w:sz="4" w:space="0"/>
              <w:right w:val="single" w:color="auto" w:sz="4" w:space="0"/>
            </w:tcBorders>
            <w:shd w:val="clear" w:color="auto" w:fill="auto"/>
            <w:vAlign w:val="center"/>
          </w:tcPr>
          <w:p w14:paraId="1BBD8A00">
            <w:pPr>
              <w:ind w:right="65"/>
              <w:jc w:val="center"/>
              <w:rPr>
                <w:rFonts w:hint="eastAsia" w:ascii="宋体" w:hAnsi="宋体" w:eastAsia="宋体" w:cs="黑体"/>
                <w:color w:val="auto"/>
                <w:szCs w:val="21"/>
              </w:rPr>
            </w:pPr>
            <w:r>
              <w:rPr>
                <w:rFonts w:hint="eastAsia" w:ascii="宋体" w:hAnsi="宋体" w:eastAsia="宋体" w:cs="黑体"/>
                <w:color w:val="auto"/>
                <w:szCs w:val="21"/>
              </w:rPr>
              <w:t>2</w:t>
            </w:r>
          </w:p>
        </w:tc>
        <w:tc>
          <w:tcPr>
            <w:tcW w:w="2634" w:type="dxa"/>
            <w:tcBorders>
              <w:top w:val="single" w:color="auto" w:sz="4" w:space="0"/>
              <w:left w:val="single" w:color="auto" w:sz="4" w:space="0"/>
              <w:bottom w:val="single" w:color="auto" w:sz="4" w:space="0"/>
              <w:right w:val="single" w:color="auto" w:sz="4" w:space="0"/>
            </w:tcBorders>
            <w:shd w:val="clear" w:color="auto" w:fill="auto"/>
            <w:vAlign w:val="center"/>
          </w:tcPr>
          <w:p w14:paraId="185D8284">
            <w:pPr>
              <w:ind w:right="65"/>
              <w:jc w:val="center"/>
              <w:rPr>
                <w:rFonts w:cs="黑体"/>
                <w:color w:val="auto"/>
                <w:szCs w:val="21"/>
              </w:rPr>
            </w:pPr>
            <w:r>
              <w:rPr>
                <w:rFonts w:hint="eastAsia" w:ascii="宋体" w:hAnsi="宋体" w:eastAsia="宋体" w:cs="宋体"/>
                <w:color w:val="auto"/>
                <w:szCs w:val="21"/>
              </w:rPr>
              <w:t>尺量</w:t>
            </w:r>
          </w:p>
        </w:tc>
      </w:tr>
      <w:tr w14:paraId="1ABC1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401" w:type="dxa"/>
            <w:tcBorders>
              <w:top w:val="single" w:color="auto" w:sz="4" w:space="0"/>
              <w:left w:val="single" w:color="auto" w:sz="4" w:space="0"/>
              <w:bottom w:val="single" w:color="auto" w:sz="4" w:space="0"/>
              <w:right w:val="single" w:color="auto" w:sz="4" w:space="0"/>
            </w:tcBorders>
            <w:shd w:val="clear" w:color="auto" w:fill="auto"/>
            <w:vAlign w:val="center"/>
          </w:tcPr>
          <w:p w14:paraId="3AE98FE2">
            <w:pPr>
              <w:ind w:right="65"/>
              <w:jc w:val="center"/>
              <w:rPr>
                <w:rFonts w:hint="eastAsia" w:ascii="宋体" w:hAnsi="宋体" w:eastAsia="宋体" w:cs="宋体"/>
                <w:color w:val="auto"/>
                <w:szCs w:val="21"/>
              </w:rPr>
            </w:pPr>
            <w:r>
              <w:rPr>
                <w:rFonts w:hint="eastAsia" w:ascii="宋体" w:hAnsi="宋体" w:eastAsia="宋体" w:cs="宋体"/>
                <w:color w:val="auto"/>
                <w:szCs w:val="21"/>
              </w:rPr>
              <w:t>模板拼缝缝宽不大于1mm</w:t>
            </w:r>
          </w:p>
        </w:tc>
        <w:tc>
          <w:tcPr>
            <w:tcW w:w="1985" w:type="dxa"/>
            <w:tcBorders>
              <w:top w:val="single" w:color="auto" w:sz="4" w:space="0"/>
              <w:left w:val="single" w:color="auto" w:sz="4" w:space="0"/>
              <w:bottom w:val="single" w:color="auto" w:sz="4" w:space="0"/>
              <w:right w:val="single" w:color="auto" w:sz="4" w:space="0"/>
            </w:tcBorders>
            <w:shd w:val="clear" w:color="auto" w:fill="auto"/>
            <w:vAlign w:val="center"/>
          </w:tcPr>
          <w:p w14:paraId="1970A3FE">
            <w:pPr>
              <w:ind w:right="65"/>
              <w:jc w:val="center"/>
              <w:rPr>
                <w:rFonts w:hint="eastAsia" w:ascii="宋体" w:hAnsi="宋体" w:eastAsia="宋体" w:cs="黑体"/>
                <w:color w:val="auto"/>
                <w:szCs w:val="21"/>
              </w:rPr>
            </w:pPr>
            <w:r>
              <w:rPr>
                <w:rFonts w:hint="eastAsia" w:ascii="宋体" w:hAnsi="宋体" w:eastAsia="宋体" w:cs="黑体"/>
                <w:color w:val="auto"/>
                <w:szCs w:val="21"/>
              </w:rPr>
              <w:t>±2</w:t>
            </w:r>
          </w:p>
        </w:tc>
        <w:tc>
          <w:tcPr>
            <w:tcW w:w="2634" w:type="dxa"/>
            <w:tcBorders>
              <w:top w:val="single" w:color="auto" w:sz="4" w:space="0"/>
              <w:left w:val="single" w:color="auto" w:sz="4" w:space="0"/>
              <w:bottom w:val="single" w:color="auto" w:sz="4" w:space="0"/>
              <w:right w:val="single" w:color="auto" w:sz="4" w:space="0"/>
            </w:tcBorders>
            <w:shd w:val="clear" w:color="auto" w:fill="auto"/>
            <w:vAlign w:val="center"/>
          </w:tcPr>
          <w:p w14:paraId="7387218C">
            <w:pPr>
              <w:ind w:right="65"/>
              <w:jc w:val="center"/>
              <w:rPr>
                <w:rFonts w:hint="eastAsia" w:ascii="宋体" w:hAnsi="宋体" w:eastAsia="宋体" w:cs="宋体"/>
                <w:color w:val="auto"/>
                <w:szCs w:val="21"/>
              </w:rPr>
            </w:pPr>
            <w:r>
              <w:rPr>
                <w:rFonts w:hint="eastAsia" w:ascii="宋体" w:hAnsi="宋体" w:eastAsia="宋体" w:cs="宋体"/>
                <w:color w:val="auto"/>
                <w:szCs w:val="21"/>
              </w:rPr>
              <w:t>塞尺量测</w:t>
            </w:r>
          </w:p>
        </w:tc>
      </w:tr>
      <w:tr w14:paraId="0B00B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401" w:type="dxa"/>
            <w:tcBorders>
              <w:top w:val="single" w:color="auto" w:sz="4" w:space="0"/>
              <w:left w:val="single" w:color="auto" w:sz="4" w:space="0"/>
              <w:bottom w:val="single" w:color="auto" w:sz="4" w:space="0"/>
              <w:right w:val="single" w:color="auto" w:sz="4" w:space="0"/>
            </w:tcBorders>
            <w:shd w:val="clear" w:color="auto" w:fill="auto"/>
            <w:vAlign w:val="center"/>
          </w:tcPr>
          <w:p w14:paraId="57CC3CAA">
            <w:pPr>
              <w:ind w:right="65"/>
              <w:jc w:val="center"/>
              <w:rPr>
                <w:rFonts w:cs="黑体"/>
                <w:color w:val="auto"/>
                <w:szCs w:val="21"/>
              </w:rPr>
            </w:pPr>
            <w:r>
              <w:rPr>
                <w:rFonts w:hint="eastAsia" w:ascii="宋体" w:hAnsi="宋体" w:eastAsia="宋体" w:cs="宋体"/>
                <w:color w:val="auto"/>
                <w:szCs w:val="21"/>
              </w:rPr>
              <w:t>表面平整度</w:t>
            </w:r>
          </w:p>
        </w:tc>
        <w:tc>
          <w:tcPr>
            <w:tcW w:w="1985" w:type="dxa"/>
            <w:tcBorders>
              <w:top w:val="single" w:color="auto" w:sz="4" w:space="0"/>
              <w:left w:val="single" w:color="auto" w:sz="4" w:space="0"/>
              <w:bottom w:val="single" w:color="auto" w:sz="4" w:space="0"/>
              <w:right w:val="single" w:color="auto" w:sz="4" w:space="0"/>
            </w:tcBorders>
            <w:shd w:val="clear" w:color="auto" w:fill="auto"/>
            <w:vAlign w:val="center"/>
          </w:tcPr>
          <w:p w14:paraId="2C1219B0">
            <w:pPr>
              <w:ind w:right="65"/>
              <w:jc w:val="center"/>
              <w:rPr>
                <w:rFonts w:hint="eastAsia" w:ascii="宋体" w:hAnsi="宋体" w:eastAsia="宋体" w:cs="黑体"/>
                <w:color w:val="auto"/>
                <w:szCs w:val="21"/>
              </w:rPr>
            </w:pPr>
            <w:r>
              <w:rPr>
                <w:rFonts w:hint="eastAsia" w:ascii="宋体" w:hAnsi="宋体" w:eastAsia="宋体" w:cs="黑体"/>
                <w:color w:val="auto"/>
                <w:szCs w:val="21"/>
              </w:rPr>
              <w:t>3</w:t>
            </w:r>
          </w:p>
        </w:tc>
        <w:tc>
          <w:tcPr>
            <w:tcW w:w="2634" w:type="dxa"/>
            <w:tcBorders>
              <w:top w:val="single" w:color="auto" w:sz="4" w:space="0"/>
              <w:left w:val="single" w:color="auto" w:sz="4" w:space="0"/>
              <w:bottom w:val="single" w:color="auto" w:sz="4" w:space="0"/>
              <w:right w:val="single" w:color="auto" w:sz="4" w:space="0"/>
            </w:tcBorders>
            <w:shd w:val="clear" w:color="auto" w:fill="auto"/>
            <w:vAlign w:val="center"/>
          </w:tcPr>
          <w:p w14:paraId="1CF20021">
            <w:pPr>
              <w:ind w:right="65"/>
              <w:jc w:val="center"/>
              <w:rPr>
                <w:rFonts w:cs="黑体"/>
                <w:color w:val="auto"/>
                <w:szCs w:val="21"/>
              </w:rPr>
            </w:pPr>
            <w:r>
              <w:rPr>
                <w:rFonts w:hint="eastAsia" w:ascii="宋体" w:hAnsi="宋体" w:eastAsia="宋体" w:cs="Times New Roman"/>
                <w:color w:val="auto"/>
                <w:szCs w:val="21"/>
              </w:rPr>
              <w:t>2m</w:t>
            </w:r>
            <w:r>
              <w:rPr>
                <w:rFonts w:hint="eastAsia" w:ascii="宋体" w:hAnsi="宋体" w:eastAsia="宋体" w:cs="宋体"/>
                <w:color w:val="auto"/>
                <w:szCs w:val="21"/>
              </w:rPr>
              <w:t>靠尺和塞尺量测</w:t>
            </w:r>
          </w:p>
        </w:tc>
      </w:tr>
    </w:tbl>
    <w:p w14:paraId="36D320AF">
      <w:pPr>
        <w:pStyle w:val="5"/>
        <w:jc w:val="center"/>
        <w:rPr>
          <w:rFonts w:ascii="Times New Roman" w:hAnsi="Times New Roman" w:cs="Times New Roman" w:eastAsiaTheme="minorEastAsia"/>
          <w:color w:val="auto"/>
          <w:sz w:val="24"/>
        </w:rPr>
      </w:pPr>
      <w:bookmarkStart w:id="1717" w:name="_Toc1637"/>
      <w:bookmarkStart w:id="1718" w:name="_Toc187858730"/>
      <w:r>
        <w:rPr>
          <w:rFonts w:hint="eastAsia" w:ascii="Times New Roman" w:hAnsi="Times New Roman" w:cs="Times New Roman" w:eastAsiaTheme="minorEastAsia"/>
          <w:color w:val="auto"/>
          <w:sz w:val="24"/>
        </w:rPr>
        <w:t>8.3  保温免拆模板系统节能工程</w:t>
      </w:r>
      <w:bookmarkEnd w:id="1717"/>
      <w:bookmarkEnd w:id="1718"/>
    </w:p>
    <w:p w14:paraId="5528F7C0">
      <w:pPr>
        <w:widowControl/>
        <w:spacing w:line="360" w:lineRule="auto"/>
        <w:ind w:left="-5"/>
        <w:jc w:val="left"/>
        <w:rPr>
          <w:rFonts w:ascii="Times New Roman" w:cs="Times New Roman"/>
          <w:color w:val="auto"/>
          <w:sz w:val="24"/>
        </w:rPr>
      </w:pPr>
      <w:r>
        <w:rPr>
          <w:rFonts w:hint="eastAsia" w:ascii="Times New Roman" w:cs="Times New Roman"/>
          <w:b/>
          <w:color w:val="auto"/>
          <w:sz w:val="24"/>
        </w:rPr>
        <w:t>8.3.1</w:t>
      </w:r>
      <w:r>
        <w:rPr>
          <w:rFonts w:hint="eastAsia" w:ascii="Times New Roman" w:cs="Times New Roman"/>
          <w:color w:val="auto"/>
          <w:sz w:val="24"/>
        </w:rPr>
        <w:t>保温免拆模板系统的节能工程应按照《建筑节能工程施工质量验收标准》GB50411中的墙体节能分项工程进行验收。</w:t>
      </w:r>
    </w:p>
    <w:p w14:paraId="07AE2165">
      <w:pPr>
        <w:widowControl/>
        <w:spacing w:line="360" w:lineRule="auto"/>
        <w:ind w:left="-5"/>
        <w:jc w:val="left"/>
        <w:rPr>
          <w:rFonts w:ascii="Times New Roman" w:cs="Times New Roman"/>
          <w:color w:val="auto"/>
          <w:sz w:val="24"/>
        </w:rPr>
      </w:pPr>
      <w:r>
        <w:rPr>
          <w:rFonts w:hint="eastAsia" w:ascii="Times New Roman" w:cs="Times New Roman"/>
          <w:b/>
          <w:color w:val="auto"/>
          <w:sz w:val="24"/>
        </w:rPr>
        <w:t>8.3.2</w:t>
      </w:r>
      <w:r>
        <w:rPr>
          <w:rFonts w:hint="eastAsia" w:ascii="Times New Roman" w:cs="Times New Roman"/>
          <w:color w:val="auto"/>
          <w:sz w:val="24"/>
        </w:rPr>
        <w:t>按《建筑节能工程施工质量验收标准》GB50411进行墙体节能分项工程验收时，主控项目应增加下列项目：</w:t>
      </w:r>
    </w:p>
    <w:p w14:paraId="1073AA40">
      <w:pPr>
        <w:adjustRightInd w:val="0"/>
        <w:snapToGrid w:val="0"/>
        <w:spacing w:line="360" w:lineRule="auto"/>
        <w:rPr>
          <w:rFonts w:ascii="Times New Roman" w:hAnsi="Times New Roman" w:cs="Times New Roman"/>
          <w:color w:val="auto"/>
          <w:sz w:val="24"/>
        </w:rPr>
      </w:pPr>
      <w:r>
        <w:rPr>
          <w:rFonts w:hint="eastAsia" w:ascii="Times New Roman" w:cs="Times New Roman"/>
          <w:color w:val="auto"/>
          <w:sz w:val="24"/>
        </w:rPr>
        <w:t xml:space="preserve">    1 </w:t>
      </w:r>
      <w:r>
        <w:rPr>
          <w:rFonts w:hint="eastAsia" w:ascii="Times New Roman" w:hAnsi="Times New Roman" w:cs="Times New Roman"/>
          <w:color w:val="auto"/>
          <w:sz w:val="24"/>
        </w:rPr>
        <w:t>保温免拆模板系统连接锚固件的材质、数量、位置、规格、锚固深度应符合设计和施工方案要求。</w:t>
      </w:r>
    </w:p>
    <w:p w14:paraId="291801D6">
      <w:pPr>
        <w:adjustRightInd w:val="0"/>
        <w:snapToGrid w:val="0"/>
        <w:spacing w:line="360" w:lineRule="auto"/>
        <w:ind w:firstLine="480" w:firstLineChars="200"/>
        <w:rPr>
          <w:rFonts w:ascii="Times New Roman" w:hAnsi="Times New Roman" w:cs="Times New Roman"/>
          <w:color w:val="auto"/>
          <w:sz w:val="24"/>
        </w:rPr>
      </w:pPr>
      <w:r>
        <w:rPr>
          <w:rFonts w:hint="eastAsia" w:ascii="Times New Roman" w:hAnsi="Times New Roman" w:cs="Times New Roman"/>
          <w:color w:val="auto"/>
          <w:sz w:val="24"/>
        </w:rPr>
        <w:t>检验方法：观察、尺量检查；核查质量证明文件；核查隐蔽工程验收记录。</w:t>
      </w:r>
    </w:p>
    <w:p w14:paraId="2EF06021">
      <w:pPr>
        <w:adjustRightInd w:val="0"/>
        <w:snapToGrid w:val="0"/>
        <w:spacing w:line="360" w:lineRule="auto"/>
        <w:ind w:firstLine="480" w:firstLineChars="200"/>
        <w:rPr>
          <w:rFonts w:ascii="Times New Roman" w:hAnsi="Times New Roman" w:cs="Times New Roman"/>
          <w:color w:val="auto"/>
          <w:sz w:val="24"/>
        </w:rPr>
      </w:pPr>
      <w:r>
        <w:rPr>
          <w:rFonts w:hint="eastAsia" w:ascii="Times New Roman" w:hAnsi="Times New Roman" w:cs="Times New Roman"/>
          <w:color w:val="auto"/>
          <w:sz w:val="24"/>
        </w:rPr>
        <w:t>检查数量：每个检验批抽查不少于10组。</w:t>
      </w:r>
    </w:p>
    <w:p w14:paraId="7AF44F03">
      <w:pPr>
        <w:adjustRightInd w:val="0"/>
        <w:snapToGrid w:val="0"/>
        <w:spacing w:line="360" w:lineRule="auto"/>
        <w:ind w:firstLine="480" w:firstLineChars="200"/>
        <w:rPr>
          <w:rFonts w:ascii="Times New Roman" w:hAnsi="Times New Roman" w:cs="Times New Roman"/>
          <w:color w:val="auto"/>
          <w:sz w:val="24"/>
        </w:rPr>
      </w:pPr>
      <w:r>
        <w:rPr>
          <w:rFonts w:hint="eastAsia" w:ascii="Times New Roman" w:hAnsi="Times New Roman" w:cs="Times New Roman"/>
          <w:color w:val="auto"/>
          <w:sz w:val="24"/>
        </w:rPr>
        <w:t>2 混凝土浇筑完成后，保温免拆模板外观质量不应有严重缺陷，对已经出现的严重缺陷，应由施工单位提出技术处理方案，并经监理（建设）单位认可后进行处理，必要时技术处理方案应经设计单位认可。对经处理的部位，重新检查验收。</w:t>
      </w:r>
    </w:p>
    <w:p w14:paraId="584C2598">
      <w:pPr>
        <w:adjustRightInd w:val="0"/>
        <w:snapToGrid w:val="0"/>
        <w:spacing w:line="360" w:lineRule="auto"/>
        <w:ind w:firstLine="480" w:firstLineChars="200"/>
        <w:rPr>
          <w:rFonts w:ascii="Times New Roman" w:hAnsi="Times New Roman" w:cs="Times New Roman"/>
          <w:color w:val="auto"/>
          <w:sz w:val="24"/>
        </w:rPr>
      </w:pPr>
      <w:r>
        <w:rPr>
          <w:rFonts w:hint="eastAsia" w:ascii="Times New Roman" w:hAnsi="Times New Roman" w:cs="Times New Roman"/>
          <w:color w:val="auto"/>
          <w:sz w:val="24"/>
        </w:rPr>
        <w:t>检验方法：观察，检查技术处理方案。</w:t>
      </w:r>
    </w:p>
    <w:p w14:paraId="17F4DBDA">
      <w:pPr>
        <w:widowControl/>
        <w:spacing w:line="360" w:lineRule="auto"/>
        <w:ind w:left="-5" w:firstLine="480" w:firstLineChars="200"/>
        <w:jc w:val="left"/>
        <w:rPr>
          <w:rFonts w:ascii="Times New Roman" w:hAnsi="Times New Roman" w:cs="Times New Roman"/>
          <w:color w:val="auto"/>
          <w:sz w:val="24"/>
        </w:rPr>
      </w:pPr>
      <w:r>
        <w:rPr>
          <w:rFonts w:hint="eastAsia" w:ascii="Times New Roman" w:hAnsi="Times New Roman" w:cs="Times New Roman"/>
          <w:color w:val="auto"/>
          <w:sz w:val="24"/>
        </w:rPr>
        <w:t>检查数量：全数检查。</w:t>
      </w:r>
    </w:p>
    <w:p w14:paraId="1B0F9C5A">
      <w:pPr>
        <w:spacing w:line="360" w:lineRule="auto"/>
        <w:ind w:firstLine="482" w:firstLineChars="200"/>
        <w:rPr>
          <w:rFonts w:ascii="Times New Roman" w:hAnsi="Times New Roman" w:cs="Times New Roman"/>
          <w:color w:val="auto"/>
          <w:sz w:val="24"/>
        </w:rPr>
      </w:pPr>
      <w:r>
        <w:rPr>
          <w:rFonts w:hint="eastAsia" w:ascii="Times New Roman" w:hAnsi="Times New Roman" w:cs="Times New Roman"/>
          <w:b/>
          <w:bCs/>
          <w:color w:val="auto"/>
          <w:sz w:val="24"/>
        </w:rPr>
        <w:t>3</w:t>
      </w:r>
      <w:r>
        <w:rPr>
          <w:rFonts w:hint="eastAsia" w:ascii="Times New Roman" w:hAnsi="Times New Roman" w:cs="Times New Roman"/>
          <w:color w:val="auto"/>
          <w:sz w:val="24"/>
        </w:rPr>
        <w:t>混凝土浇筑完成后，保温免拆模板面层的允许偏差和检验方法应符合表8.3.2规定。</w:t>
      </w:r>
    </w:p>
    <w:p w14:paraId="79BD69CE">
      <w:pPr>
        <w:adjustRightInd w:val="0"/>
        <w:snapToGrid w:val="0"/>
        <w:spacing w:line="360" w:lineRule="auto"/>
        <w:jc w:val="center"/>
        <w:rPr>
          <w:rFonts w:hint="eastAsia" w:ascii="黑体" w:hAnsi="宋体" w:eastAsia="黑体" w:cs="黑体"/>
          <w:color w:val="auto"/>
          <w:szCs w:val="24"/>
        </w:rPr>
      </w:pPr>
      <w:r>
        <w:rPr>
          <w:rFonts w:hint="eastAsia" w:ascii="Times New Roman" w:hAnsi="Times New Roman" w:cs="Times New Roman"/>
          <w:color w:val="auto"/>
          <w:sz w:val="24"/>
        </w:rPr>
        <w:t>表8.3.2</w:t>
      </w:r>
      <w:r>
        <w:rPr>
          <w:rFonts w:hint="eastAsia" w:ascii="宋体" w:hAnsi="宋体" w:eastAsia="宋体" w:cs="宋体"/>
          <w:color w:val="auto"/>
          <w:kern w:val="0"/>
          <w:sz w:val="24"/>
          <w:szCs w:val="24"/>
        </w:rPr>
        <w:t>保温免拆模板面层允许偏差和检验方法</w:t>
      </w:r>
    </w:p>
    <w:tbl>
      <w:tblPr>
        <w:tblStyle w:val="88"/>
        <w:tblW w:w="80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01"/>
        <w:gridCol w:w="1985"/>
        <w:gridCol w:w="2634"/>
      </w:tblGrid>
      <w:tr w14:paraId="45741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401" w:type="dxa"/>
            <w:tcBorders>
              <w:top w:val="single" w:color="auto" w:sz="4" w:space="0"/>
              <w:left w:val="single" w:color="auto" w:sz="4" w:space="0"/>
              <w:bottom w:val="single" w:color="auto" w:sz="4" w:space="0"/>
              <w:right w:val="single" w:color="auto" w:sz="4" w:space="0"/>
            </w:tcBorders>
            <w:shd w:val="clear" w:color="auto" w:fill="auto"/>
            <w:vAlign w:val="center"/>
          </w:tcPr>
          <w:p w14:paraId="562388E5">
            <w:pPr>
              <w:ind w:right="65"/>
              <w:jc w:val="center"/>
              <w:rPr>
                <w:rFonts w:cs="黑体"/>
                <w:color w:val="auto"/>
                <w:szCs w:val="21"/>
              </w:rPr>
            </w:pPr>
            <w:r>
              <w:rPr>
                <w:rFonts w:hint="eastAsia" w:ascii="宋体" w:hAnsi="宋体" w:eastAsia="宋体" w:cs="宋体"/>
                <w:color w:val="auto"/>
                <w:szCs w:val="21"/>
              </w:rPr>
              <w:t>项目</w:t>
            </w:r>
          </w:p>
        </w:tc>
        <w:tc>
          <w:tcPr>
            <w:tcW w:w="1985" w:type="dxa"/>
            <w:tcBorders>
              <w:top w:val="single" w:color="auto" w:sz="4" w:space="0"/>
              <w:left w:val="single" w:color="auto" w:sz="4" w:space="0"/>
              <w:bottom w:val="single" w:color="auto" w:sz="4" w:space="0"/>
              <w:right w:val="single" w:color="auto" w:sz="4" w:space="0"/>
            </w:tcBorders>
            <w:shd w:val="clear" w:color="auto" w:fill="auto"/>
            <w:vAlign w:val="center"/>
          </w:tcPr>
          <w:p w14:paraId="25160190">
            <w:pPr>
              <w:ind w:right="65"/>
              <w:jc w:val="center"/>
              <w:rPr>
                <w:rFonts w:cs="黑体"/>
                <w:color w:val="auto"/>
                <w:szCs w:val="21"/>
              </w:rPr>
            </w:pPr>
            <w:r>
              <w:rPr>
                <w:rFonts w:hint="eastAsia" w:ascii="宋体" w:hAnsi="宋体" w:eastAsia="宋体" w:cs="宋体"/>
                <w:color w:val="auto"/>
                <w:szCs w:val="21"/>
              </w:rPr>
              <w:t>允许偏差（</w:t>
            </w:r>
            <w:r>
              <w:rPr>
                <w:rFonts w:hint="eastAsia" w:ascii="宋体" w:hAnsi="宋体" w:eastAsia="宋体" w:cs="Times New Roman"/>
                <w:color w:val="auto"/>
                <w:szCs w:val="21"/>
              </w:rPr>
              <w:t>mm</w:t>
            </w:r>
            <w:r>
              <w:rPr>
                <w:rFonts w:hint="eastAsia" w:ascii="宋体" w:hAnsi="宋体" w:eastAsia="宋体" w:cs="宋体"/>
                <w:color w:val="auto"/>
                <w:szCs w:val="21"/>
              </w:rPr>
              <w:t>）</w:t>
            </w:r>
          </w:p>
        </w:tc>
        <w:tc>
          <w:tcPr>
            <w:tcW w:w="2634" w:type="dxa"/>
            <w:tcBorders>
              <w:top w:val="single" w:color="auto" w:sz="4" w:space="0"/>
              <w:left w:val="single" w:color="auto" w:sz="4" w:space="0"/>
              <w:bottom w:val="single" w:color="auto" w:sz="4" w:space="0"/>
              <w:right w:val="single" w:color="auto" w:sz="4" w:space="0"/>
            </w:tcBorders>
            <w:shd w:val="clear" w:color="auto" w:fill="auto"/>
            <w:vAlign w:val="center"/>
          </w:tcPr>
          <w:p w14:paraId="1F28B125">
            <w:pPr>
              <w:ind w:right="65"/>
              <w:jc w:val="center"/>
              <w:rPr>
                <w:rFonts w:cs="黑体"/>
                <w:color w:val="auto"/>
                <w:szCs w:val="21"/>
              </w:rPr>
            </w:pPr>
            <w:r>
              <w:rPr>
                <w:rFonts w:hint="eastAsia" w:ascii="宋体" w:hAnsi="宋体" w:eastAsia="宋体" w:cs="宋体"/>
                <w:color w:val="auto"/>
                <w:szCs w:val="21"/>
              </w:rPr>
              <w:t>检验方法</w:t>
            </w:r>
          </w:p>
        </w:tc>
      </w:tr>
      <w:tr w14:paraId="09835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401" w:type="dxa"/>
            <w:tcBorders>
              <w:top w:val="single" w:color="auto" w:sz="4" w:space="0"/>
              <w:left w:val="single" w:color="auto" w:sz="4" w:space="0"/>
              <w:bottom w:val="single" w:color="auto" w:sz="4" w:space="0"/>
              <w:right w:val="single" w:color="auto" w:sz="4" w:space="0"/>
            </w:tcBorders>
            <w:shd w:val="clear" w:color="auto" w:fill="auto"/>
            <w:vAlign w:val="center"/>
          </w:tcPr>
          <w:p w14:paraId="22E35D19">
            <w:pPr>
              <w:ind w:right="65"/>
              <w:jc w:val="center"/>
              <w:rPr>
                <w:rFonts w:hint="eastAsia" w:ascii="宋体" w:hAnsi="宋体" w:eastAsia="宋体" w:cs="宋体"/>
                <w:color w:val="auto"/>
                <w:szCs w:val="21"/>
              </w:rPr>
            </w:pPr>
            <w:r>
              <w:rPr>
                <w:rFonts w:hint="eastAsia" w:ascii="宋体" w:hAnsi="宋体" w:eastAsia="宋体" w:cs="宋体"/>
                <w:color w:val="auto"/>
                <w:szCs w:val="21"/>
              </w:rPr>
              <w:t>垂直度</w:t>
            </w:r>
          </w:p>
        </w:tc>
        <w:tc>
          <w:tcPr>
            <w:tcW w:w="1985" w:type="dxa"/>
            <w:tcBorders>
              <w:top w:val="single" w:color="auto" w:sz="4" w:space="0"/>
              <w:left w:val="single" w:color="auto" w:sz="4" w:space="0"/>
              <w:bottom w:val="single" w:color="auto" w:sz="4" w:space="0"/>
              <w:right w:val="single" w:color="auto" w:sz="4" w:space="0"/>
            </w:tcBorders>
            <w:shd w:val="clear" w:color="auto" w:fill="auto"/>
            <w:vAlign w:val="center"/>
          </w:tcPr>
          <w:p w14:paraId="7F660E9E">
            <w:pPr>
              <w:ind w:right="65"/>
              <w:jc w:val="center"/>
              <w:rPr>
                <w:rFonts w:cs="黑体"/>
                <w:color w:val="auto"/>
                <w:szCs w:val="21"/>
              </w:rPr>
            </w:pPr>
            <w:r>
              <w:rPr>
                <w:rFonts w:hint="eastAsia" w:ascii="宋体" w:hAnsi="宋体" w:eastAsia="宋体" w:cs="黑体"/>
                <w:color w:val="auto"/>
                <w:szCs w:val="21"/>
              </w:rPr>
              <w:t>4</w:t>
            </w:r>
          </w:p>
        </w:tc>
        <w:tc>
          <w:tcPr>
            <w:tcW w:w="2634" w:type="dxa"/>
            <w:tcBorders>
              <w:top w:val="single" w:color="auto" w:sz="4" w:space="0"/>
              <w:left w:val="single" w:color="auto" w:sz="4" w:space="0"/>
              <w:bottom w:val="single" w:color="auto" w:sz="4" w:space="0"/>
              <w:right w:val="single" w:color="auto" w:sz="4" w:space="0"/>
            </w:tcBorders>
            <w:shd w:val="clear" w:color="auto" w:fill="auto"/>
            <w:vAlign w:val="center"/>
          </w:tcPr>
          <w:p w14:paraId="311B4DC3">
            <w:pPr>
              <w:ind w:right="65"/>
              <w:jc w:val="center"/>
              <w:rPr>
                <w:rFonts w:cs="黑体"/>
                <w:color w:val="auto"/>
                <w:szCs w:val="21"/>
              </w:rPr>
            </w:pPr>
            <w:r>
              <w:rPr>
                <w:rFonts w:hint="eastAsia" w:ascii="宋体" w:hAnsi="宋体" w:eastAsia="宋体" w:cs="宋体"/>
                <w:color w:val="auto"/>
                <w:szCs w:val="21"/>
              </w:rPr>
              <w:t>经纬仪或吊线、尺量</w:t>
            </w:r>
          </w:p>
        </w:tc>
      </w:tr>
      <w:tr w14:paraId="3B43E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401" w:type="dxa"/>
            <w:tcBorders>
              <w:top w:val="single" w:color="auto" w:sz="4" w:space="0"/>
              <w:left w:val="single" w:color="auto" w:sz="4" w:space="0"/>
              <w:bottom w:val="single" w:color="auto" w:sz="4" w:space="0"/>
              <w:right w:val="single" w:color="auto" w:sz="4" w:space="0"/>
            </w:tcBorders>
            <w:shd w:val="clear" w:color="auto" w:fill="auto"/>
            <w:vAlign w:val="center"/>
          </w:tcPr>
          <w:p w14:paraId="6D6D1595">
            <w:pPr>
              <w:ind w:right="65"/>
              <w:jc w:val="center"/>
              <w:rPr>
                <w:rFonts w:cs="黑体"/>
                <w:color w:val="auto"/>
                <w:szCs w:val="21"/>
              </w:rPr>
            </w:pPr>
            <w:r>
              <w:rPr>
                <w:rFonts w:hint="eastAsia" w:ascii="宋体" w:hAnsi="宋体" w:eastAsia="宋体" w:cs="宋体"/>
                <w:color w:val="auto"/>
                <w:szCs w:val="21"/>
              </w:rPr>
              <w:t>表面平整度</w:t>
            </w:r>
          </w:p>
        </w:tc>
        <w:tc>
          <w:tcPr>
            <w:tcW w:w="1985" w:type="dxa"/>
            <w:tcBorders>
              <w:top w:val="single" w:color="auto" w:sz="4" w:space="0"/>
              <w:left w:val="single" w:color="auto" w:sz="4" w:space="0"/>
              <w:bottom w:val="single" w:color="auto" w:sz="4" w:space="0"/>
              <w:right w:val="single" w:color="auto" w:sz="4" w:space="0"/>
            </w:tcBorders>
            <w:shd w:val="clear" w:color="auto" w:fill="auto"/>
            <w:vAlign w:val="center"/>
          </w:tcPr>
          <w:p w14:paraId="45DE0E54">
            <w:pPr>
              <w:ind w:right="65"/>
              <w:jc w:val="center"/>
              <w:rPr>
                <w:rFonts w:cs="黑体"/>
                <w:color w:val="auto"/>
                <w:szCs w:val="21"/>
              </w:rPr>
            </w:pPr>
            <w:r>
              <w:rPr>
                <w:rFonts w:hint="eastAsia" w:ascii="宋体" w:hAnsi="宋体" w:eastAsia="宋体" w:cs="黑体"/>
                <w:color w:val="auto"/>
                <w:szCs w:val="21"/>
              </w:rPr>
              <w:t>4</w:t>
            </w:r>
          </w:p>
        </w:tc>
        <w:tc>
          <w:tcPr>
            <w:tcW w:w="2634" w:type="dxa"/>
            <w:tcBorders>
              <w:top w:val="single" w:color="auto" w:sz="4" w:space="0"/>
              <w:left w:val="single" w:color="auto" w:sz="4" w:space="0"/>
              <w:bottom w:val="single" w:color="auto" w:sz="4" w:space="0"/>
              <w:right w:val="single" w:color="auto" w:sz="4" w:space="0"/>
            </w:tcBorders>
            <w:shd w:val="clear" w:color="auto" w:fill="auto"/>
            <w:vAlign w:val="center"/>
          </w:tcPr>
          <w:p w14:paraId="1F0B8FE9">
            <w:pPr>
              <w:ind w:right="65"/>
              <w:jc w:val="center"/>
              <w:rPr>
                <w:rFonts w:cs="黑体"/>
                <w:color w:val="auto"/>
                <w:szCs w:val="21"/>
              </w:rPr>
            </w:pPr>
            <w:r>
              <w:rPr>
                <w:rFonts w:hint="eastAsia" w:ascii="宋体" w:hAnsi="宋体" w:eastAsia="宋体" w:cs="Times New Roman"/>
                <w:color w:val="auto"/>
                <w:szCs w:val="21"/>
              </w:rPr>
              <w:t>2m</w:t>
            </w:r>
            <w:r>
              <w:rPr>
                <w:rFonts w:hint="eastAsia" w:ascii="宋体" w:hAnsi="宋体" w:eastAsia="宋体" w:cs="宋体"/>
                <w:color w:val="auto"/>
                <w:szCs w:val="21"/>
              </w:rPr>
              <w:t>靠尺和塞尺量测</w:t>
            </w:r>
          </w:p>
        </w:tc>
      </w:tr>
    </w:tbl>
    <w:p w14:paraId="1AAC3660">
      <w:pPr>
        <w:spacing w:line="360" w:lineRule="auto"/>
        <w:ind w:left="84" w:hanging="84" w:hangingChars="35"/>
        <w:rPr>
          <w:rFonts w:hint="eastAsia" w:ascii="楷体" w:hAnsi="楷体" w:eastAsia="楷体" w:cs="楷体"/>
          <w:i/>
          <w:iCs/>
          <w:color w:val="auto"/>
          <w:kern w:val="0"/>
          <w:sz w:val="24"/>
          <w:szCs w:val="24"/>
          <w:u w:val="single"/>
        </w:rPr>
      </w:pPr>
      <w:r>
        <w:rPr>
          <w:rFonts w:hint="eastAsia" w:ascii="Times New Roman" w:hAnsi="Times New Roman" w:cs="Times New Roman"/>
          <w:color w:val="auto"/>
          <w:sz w:val="24"/>
        </w:rPr>
        <w:t>检查数量：每个检验批抽查10%，并不少于5处。</w:t>
      </w:r>
    </w:p>
    <w:bookmarkEnd w:id="1711"/>
    <w:p w14:paraId="1913757F">
      <w:pPr>
        <w:pStyle w:val="146"/>
        <w:spacing w:beforeLines="0" w:afterLines="0" w:line="240" w:lineRule="auto"/>
        <w:rPr>
          <w:color w:val="auto"/>
        </w:rPr>
      </w:pPr>
      <w:bookmarkStart w:id="1719" w:name="_Toc187858732"/>
      <w:bookmarkStart w:id="1720" w:name="_Toc22937"/>
      <w:bookmarkStart w:id="1721" w:name="_Toc32332"/>
      <w:r>
        <w:rPr>
          <w:rFonts w:hint="eastAsia"/>
          <w:color w:val="auto"/>
        </w:rPr>
        <w:t>附录A模板用材设计指标</w:t>
      </w:r>
      <w:bookmarkEnd w:id="1719"/>
      <w:bookmarkEnd w:id="1720"/>
      <w:bookmarkEnd w:id="1721"/>
    </w:p>
    <w:p w14:paraId="3782F86D">
      <w:pPr>
        <w:pStyle w:val="144"/>
        <w:tabs>
          <w:tab w:val="clear" w:pos="1620"/>
        </w:tabs>
        <w:spacing w:before="312" w:after="312"/>
        <w:rPr>
          <w:color w:val="auto"/>
        </w:rPr>
      </w:pPr>
      <w:bookmarkStart w:id="1722" w:name="_Toc2979"/>
      <w:bookmarkStart w:id="1723" w:name="_Toc187858733"/>
      <w:bookmarkStart w:id="1724" w:name="_Toc32370"/>
      <w:r>
        <w:rPr>
          <w:rFonts w:hint="eastAsia"/>
          <w:color w:val="auto"/>
        </w:rPr>
        <w:t>A</w:t>
      </w:r>
      <w:r>
        <w:rPr>
          <w:color w:val="auto"/>
        </w:rPr>
        <w:t xml:space="preserve">.1  </w:t>
      </w:r>
      <w:r>
        <w:rPr>
          <w:rFonts w:hint="eastAsia"/>
          <w:color w:val="auto"/>
        </w:rPr>
        <w:t>钢材设计指标</w:t>
      </w:r>
      <w:bookmarkEnd w:id="1722"/>
      <w:bookmarkEnd w:id="1723"/>
      <w:bookmarkEnd w:id="1724"/>
    </w:p>
    <w:p w14:paraId="4A85411C">
      <w:pPr>
        <w:spacing w:line="360" w:lineRule="auto"/>
        <w:rPr>
          <w:rFonts w:ascii="Times New Roman" w:hAnsi="Times New Roman" w:cs="Times New Roman"/>
          <w:color w:val="auto"/>
          <w:sz w:val="24"/>
        </w:rPr>
      </w:pPr>
      <w:r>
        <w:rPr>
          <w:rFonts w:hint="eastAsia" w:ascii="Times New Roman" w:hAnsi="Times New Roman" w:cs="Times New Roman"/>
          <w:b/>
          <w:bCs/>
          <w:color w:val="auto"/>
          <w:sz w:val="24"/>
        </w:rPr>
        <w:t>A</w:t>
      </w:r>
      <w:r>
        <w:rPr>
          <w:rFonts w:ascii="Times New Roman" w:hAnsi="Times New Roman" w:cs="Times New Roman"/>
          <w:b/>
          <w:bCs/>
          <w:color w:val="auto"/>
          <w:sz w:val="24"/>
        </w:rPr>
        <w:t>.1.1</w:t>
      </w:r>
      <w:r>
        <w:rPr>
          <w:rFonts w:hint="eastAsia" w:ascii="Times New Roman" w:hAnsi="Times New Roman" w:cs="Times New Roman"/>
          <w:color w:val="auto"/>
          <w:sz w:val="24"/>
        </w:rPr>
        <w:t>钢材的强度设计值，应根据钢材厚度或直径按表A</w:t>
      </w:r>
      <w:r>
        <w:rPr>
          <w:rFonts w:ascii="Times New Roman" w:hAnsi="Times New Roman" w:cs="Times New Roman"/>
          <w:color w:val="auto"/>
          <w:sz w:val="24"/>
        </w:rPr>
        <w:t>.1.1</w:t>
      </w:r>
      <w:r>
        <w:rPr>
          <w:rFonts w:hint="eastAsia" w:ascii="Times New Roman" w:hAnsi="Times New Roman" w:cs="Times New Roman"/>
          <w:color w:val="auto"/>
          <w:sz w:val="24"/>
        </w:rPr>
        <w:t>采用。</w:t>
      </w:r>
    </w:p>
    <w:p w14:paraId="3AC05ECA">
      <w:pPr>
        <w:pStyle w:val="145"/>
        <w:rPr>
          <w:color w:val="auto"/>
        </w:rPr>
      </w:pPr>
      <w:r>
        <w:rPr>
          <w:rFonts w:hint="eastAsia"/>
          <w:color w:val="auto"/>
        </w:rPr>
        <w:t>表A</w:t>
      </w:r>
      <w:r>
        <w:rPr>
          <w:color w:val="auto"/>
        </w:rPr>
        <w:t xml:space="preserve">.1.1 </w:t>
      </w:r>
      <w:r>
        <w:rPr>
          <w:rFonts w:hint="eastAsia"/>
          <w:color w:val="auto"/>
        </w:rPr>
        <w:t xml:space="preserve"> 钢材的强度设计值（N/mm</w:t>
      </w:r>
      <w:r>
        <w:rPr>
          <w:rFonts w:hint="eastAsia"/>
          <w:color w:val="auto"/>
          <w:vertAlign w:val="superscript"/>
        </w:rPr>
        <w:t>2</w:t>
      </w:r>
      <w:r>
        <w:rPr>
          <w:rFonts w:hint="eastAsia"/>
          <w:color w:val="auto"/>
        </w:rPr>
        <w:t>）</w:t>
      </w:r>
    </w:p>
    <w:tbl>
      <w:tblPr>
        <w:tblStyle w:val="88"/>
        <w:tblW w:w="875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0"/>
        <w:gridCol w:w="1800"/>
        <w:gridCol w:w="1980"/>
        <w:gridCol w:w="1440"/>
        <w:gridCol w:w="2091"/>
      </w:tblGrid>
      <w:tr w14:paraId="69BDB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0" w:type="dxa"/>
            <w:gridSpan w:val="2"/>
            <w:vAlign w:val="center"/>
          </w:tcPr>
          <w:p w14:paraId="26B774EE">
            <w:pPr>
              <w:jc w:val="center"/>
              <w:rPr>
                <w:rFonts w:ascii="Times New Roman" w:hAnsi="Times New Roman" w:eastAsia="宋体"/>
                <w:color w:val="auto"/>
                <w:szCs w:val="21"/>
              </w:rPr>
            </w:pPr>
            <w:r>
              <w:rPr>
                <w:rFonts w:hint="eastAsia" w:ascii="Times New Roman" w:hAnsi="Times New Roman" w:eastAsia="宋体"/>
                <w:color w:val="auto"/>
                <w:szCs w:val="21"/>
              </w:rPr>
              <w:t>钢    材</w:t>
            </w:r>
          </w:p>
        </w:tc>
        <w:tc>
          <w:tcPr>
            <w:tcW w:w="1980" w:type="dxa"/>
            <w:vMerge w:val="restart"/>
            <w:vAlign w:val="center"/>
          </w:tcPr>
          <w:p w14:paraId="6890A0FF">
            <w:pPr>
              <w:jc w:val="center"/>
              <w:rPr>
                <w:rFonts w:ascii="Times New Roman" w:hAnsi="Times New Roman" w:eastAsia="宋体"/>
                <w:color w:val="auto"/>
                <w:szCs w:val="21"/>
              </w:rPr>
            </w:pPr>
            <w:r>
              <w:rPr>
                <w:rFonts w:hint="eastAsia" w:ascii="Times New Roman" w:hAnsi="Times New Roman" w:eastAsia="宋体"/>
                <w:color w:val="auto"/>
                <w:szCs w:val="21"/>
              </w:rPr>
              <w:t>抗拉、抗压和抗弯</w:t>
            </w:r>
          </w:p>
          <w:p w14:paraId="3A5EA179">
            <w:pPr>
              <w:jc w:val="center"/>
              <w:rPr>
                <w:rFonts w:ascii="Times New Roman" w:hAnsi="Times New Roman" w:eastAsia="宋体"/>
                <w:i/>
                <w:iCs/>
                <w:color w:val="auto"/>
                <w:szCs w:val="21"/>
              </w:rPr>
            </w:pPr>
            <w:r>
              <w:rPr>
                <w:rFonts w:hint="eastAsia" w:ascii="Times New Roman" w:hAnsi="Times New Roman" w:eastAsia="宋体"/>
                <w:i/>
                <w:iCs/>
                <w:color w:val="auto"/>
                <w:szCs w:val="21"/>
              </w:rPr>
              <w:t>f</w:t>
            </w:r>
          </w:p>
        </w:tc>
        <w:tc>
          <w:tcPr>
            <w:tcW w:w="1440" w:type="dxa"/>
            <w:vMerge w:val="restart"/>
            <w:vAlign w:val="center"/>
          </w:tcPr>
          <w:p w14:paraId="68EC193E">
            <w:pPr>
              <w:jc w:val="center"/>
              <w:rPr>
                <w:rFonts w:ascii="Times New Roman" w:hAnsi="Times New Roman" w:eastAsia="宋体"/>
                <w:color w:val="auto"/>
                <w:szCs w:val="21"/>
              </w:rPr>
            </w:pPr>
            <w:r>
              <w:rPr>
                <w:rFonts w:hint="eastAsia" w:ascii="Times New Roman" w:hAnsi="Times New Roman" w:eastAsia="宋体"/>
                <w:color w:val="auto"/>
                <w:szCs w:val="21"/>
              </w:rPr>
              <w:t>抗剪</w:t>
            </w:r>
          </w:p>
          <w:p w14:paraId="016679C9">
            <w:pPr>
              <w:jc w:val="center"/>
              <w:rPr>
                <w:rFonts w:ascii="Times New Roman" w:hAnsi="Times New Roman" w:eastAsia="宋体"/>
                <w:color w:val="auto"/>
                <w:szCs w:val="21"/>
              </w:rPr>
            </w:pPr>
            <w:r>
              <w:rPr>
                <w:rFonts w:hint="eastAsia" w:ascii="Times New Roman" w:hAnsi="Times New Roman" w:eastAsia="宋体"/>
                <w:i/>
                <w:iCs/>
                <w:color w:val="auto"/>
                <w:szCs w:val="21"/>
              </w:rPr>
              <w:t>f</w:t>
            </w:r>
            <w:r>
              <w:rPr>
                <w:rFonts w:hint="eastAsia" w:ascii="Times New Roman" w:hAnsi="Times New Roman" w:eastAsia="宋体"/>
                <w:color w:val="auto"/>
                <w:szCs w:val="21"/>
                <w:vertAlign w:val="subscript"/>
              </w:rPr>
              <w:t>v</w:t>
            </w:r>
          </w:p>
        </w:tc>
        <w:tc>
          <w:tcPr>
            <w:tcW w:w="2091" w:type="dxa"/>
            <w:vMerge w:val="restart"/>
            <w:vAlign w:val="center"/>
          </w:tcPr>
          <w:p w14:paraId="2D112CB1">
            <w:pPr>
              <w:jc w:val="center"/>
              <w:rPr>
                <w:rFonts w:ascii="Times New Roman" w:hAnsi="Times New Roman" w:eastAsia="宋体"/>
                <w:color w:val="auto"/>
                <w:szCs w:val="21"/>
              </w:rPr>
            </w:pPr>
            <w:r>
              <w:rPr>
                <w:rFonts w:hint="eastAsia" w:ascii="Times New Roman" w:hAnsi="Times New Roman" w:eastAsia="宋体"/>
                <w:color w:val="auto"/>
                <w:szCs w:val="21"/>
              </w:rPr>
              <w:t>端面承压(刨平顶紧)</w:t>
            </w:r>
          </w:p>
          <w:p w14:paraId="21AE091C">
            <w:pPr>
              <w:jc w:val="center"/>
              <w:rPr>
                <w:rFonts w:ascii="Times New Roman" w:hAnsi="Times New Roman" w:eastAsia="宋体"/>
                <w:color w:val="auto"/>
                <w:szCs w:val="21"/>
              </w:rPr>
            </w:pPr>
            <w:r>
              <w:rPr>
                <w:rFonts w:hint="eastAsia" w:ascii="Times New Roman" w:hAnsi="Times New Roman" w:eastAsia="宋体"/>
                <w:i/>
                <w:iCs/>
                <w:color w:val="auto"/>
                <w:szCs w:val="21"/>
              </w:rPr>
              <w:t>f</w:t>
            </w:r>
            <w:r>
              <w:rPr>
                <w:rFonts w:hint="eastAsia" w:ascii="Times New Roman" w:hAnsi="Times New Roman" w:eastAsia="宋体"/>
                <w:color w:val="auto"/>
                <w:szCs w:val="21"/>
                <w:vertAlign w:val="subscript"/>
              </w:rPr>
              <w:t>ce</w:t>
            </w:r>
          </w:p>
        </w:tc>
      </w:tr>
      <w:tr w14:paraId="0FBFF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Align w:val="center"/>
          </w:tcPr>
          <w:p w14:paraId="45E561B6">
            <w:pPr>
              <w:jc w:val="center"/>
              <w:rPr>
                <w:rFonts w:ascii="Times New Roman" w:hAnsi="Times New Roman" w:eastAsia="宋体"/>
                <w:color w:val="auto"/>
                <w:szCs w:val="21"/>
              </w:rPr>
            </w:pPr>
            <w:r>
              <w:rPr>
                <w:rFonts w:hint="eastAsia" w:ascii="Times New Roman" w:hAnsi="Times New Roman" w:eastAsia="宋体"/>
                <w:color w:val="auto"/>
                <w:szCs w:val="21"/>
              </w:rPr>
              <w:t>牌号</w:t>
            </w:r>
          </w:p>
        </w:tc>
        <w:tc>
          <w:tcPr>
            <w:tcW w:w="1800" w:type="dxa"/>
            <w:vAlign w:val="center"/>
          </w:tcPr>
          <w:p w14:paraId="10304843">
            <w:pPr>
              <w:jc w:val="center"/>
              <w:rPr>
                <w:rFonts w:ascii="Times New Roman" w:hAnsi="Times New Roman" w:eastAsia="宋体"/>
                <w:color w:val="auto"/>
                <w:szCs w:val="21"/>
              </w:rPr>
            </w:pPr>
            <w:r>
              <w:rPr>
                <w:rFonts w:hint="eastAsia" w:ascii="Times New Roman" w:hAnsi="Times New Roman" w:eastAsia="宋体"/>
                <w:color w:val="auto"/>
                <w:szCs w:val="21"/>
              </w:rPr>
              <w:t>厚度或直径(mm)</w:t>
            </w:r>
          </w:p>
        </w:tc>
        <w:tc>
          <w:tcPr>
            <w:tcW w:w="1980" w:type="dxa"/>
            <w:vMerge w:val="continue"/>
            <w:vAlign w:val="center"/>
          </w:tcPr>
          <w:p w14:paraId="080C64D4">
            <w:pPr>
              <w:jc w:val="center"/>
              <w:rPr>
                <w:rFonts w:ascii="Times New Roman" w:hAnsi="Times New Roman" w:eastAsia="宋体"/>
                <w:color w:val="auto"/>
                <w:szCs w:val="21"/>
              </w:rPr>
            </w:pPr>
          </w:p>
        </w:tc>
        <w:tc>
          <w:tcPr>
            <w:tcW w:w="1440" w:type="dxa"/>
            <w:vMerge w:val="continue"/>
            <w:vAlign w:val="center"/>
          </w:tcPr>
          <w:p w14:paraId="31C0B1C5">
            <w:pPr>
              <w:jc w:val="center"/>
              <w:rPr>
                <w:rFonts w:ascii="Times New Roman" w:hAnsi="Times New Roman" w:eastAsia="宋体"/>
                <w:color w:val="auto"/>
                <w:szCs w:val="21"/>
              </w:rPr>
            </w:pPr>
          </w:p>
        </w:tc>
        <w:tc>
          <w:tcPr>
            <w:tcW w:w="2091" w:type="dxa"/>
            <w:vMerge w:val="continue"/>
            <w:vAlign w:val="center"/>
          </w:tcPr>
          <w:p w14:paraId="6F1319D6">
            <w:pPr>
              <w:jc w:val="center"/>
              <w:rPr>
                <w:rFonts w:ascii="Times New Roman" w:hAnsi="Times New Roman" w:eastAsia="宋体"/>
                <w:color w:val="auto"/>
                <w:szCs w:val="21"/>
              </w:rPr>
            </w:pPr>
          </w:p>
        </w:tc>
      </w:tr>
      <w:tr w14:paraId="7DC39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restart"/>
            <w:vAlign w:val="center"/>
          </w:tcPr>
          <w:p w14:paraId="08595C70">
            <w:pPr>
              <w:jc w:val="center"/>
              <w:rPr>
                <w:rFonts w:ascii="Times New Roman" w:hAnsi="Times New Roman" w:eastAsia="宋体"/>
                <w:color w:val="auto"/>
                <w:szCs w:val="21"/>
              </w:rPr>
            </w:pPr>
            <w:r>
              <w:rPr>
                <w:rFonts w:hint="eastAsia" w:ascii="Times New Roman" w:hAnsi="Times New Roman" w:eastAsia="宋体"/>
                <w:color w:val="auto"/>
                <w:szCs w:val="21"/>
              </w:rPr>
              <w:t>Q235钢</w:t>
            </w:r>
          </w:p>
        </w:tc>
        <w:tc>
          <w:tcPr>
            <w:tcW w:w="1800" w:type="dxa"/>
            <w:vAlign w:val="center"/>
          </w:tcPr>
          <w:p w14:paraId="167CD2F9">
            <w:pPr>
              <w:jc w:val="center"/>
              <w:rPr>
                <w:rFonts w:ascii="Times New Roman" w:hAnsi="Times New Roman" w:eastAsia="宋体"/>
                <w:color w:val="auto"/>
                <w:szCs w:val="21"/>
              </w:rPr>
            </w:pPr>
            <w:r>
              <w:rPr>
                <w:rFonts w:hint="eastAsia" w:ascii="Times New Roman" w:hAnsi="Times New Roman" w:eastAsia="宋体"/>
                <w:color w:val="auto"/>
                <w:szCs w:val="21"/>
              </w:rPr>
              <w:t>≤16</w:t>
            </w:r>
          </w:p>
        </w:tc>
        <w:tc>
          <w:tcPr>
            <w:tcW w:w="1980" w:type="dxa"/>
            <w:vAlign w:val="center"/>
          </w:tcPr>
          <w:p w14:paraId="1E8B0C39">
            <w:pPr>
              <w:jc w:val="center"/>
              <w:rPr>
                <w:rFonts w:ascii="Times New Roman" w:hAnsi="Times New Roman" w:eastAsia="宋体"/>
                <w:color w:val="auto"/>
                <w:szCs w:val="21"/>
              </w:rPr>
            </w:pPr>
            <w:r>
              <w:rPr>
                <w:rFonts w:hint="eastAsia" w:ascii="Times New Roman" w:hAnsi="Times New Roman" w:eastAsia="宋体"/>
                <w:color w:val="auto"/>
                <w:szCs w:val="21"/>
              </w:rPr>
              <w:t>215</w:t>
            </w:r>
          </w:p>
        </w:tc>
        <w:tc>
          <w:tcPr>
            <w:tcW w:w="1440" w:type="dxa"/>
            <w:vAlign w:val="center"/>
          </w:tcPr>
          <w:p w14:paraId="699DBBBF">
            <w:pPr>
              <w:jc w:val="center"/>
              <w:rPr>
                <w:rFonts w:ascii="Times New Roman" w:hAnsi="Times New Roman" w:eastAsia="宋体"/>
                <w:color w:val="auto"/>
                <w:szCs w:val="21"/>
              </w:rPr>
            </w:pPr>
            <w:r>
              <w:rPr>
                <w:rFonts w:hint="eastAsia" w:ascii="Times New Roman" w:hAnsi="Times New Roman" w:eastAsia="宋体"/>
                <w:color w:val="auto"/>
                <w:szCs w:val="21"/>
              </w:rPr>
              <w:t>125</w:t>
            </w:r>
          </w:p>
        </w:tc>
        <w:tc>
          <w:tcPr>
            <w:tcW w:w="2091" w:type="dxa"/>
            <w:vMerge w:val="restart"/>
            <w:vAlign w:val="center"/>
          </w:tcPr>
          <w:p w14:paraId="04B1D078">
            <w:pPr>
              <w:jc w:val="center"/>
              <w:rPr>
                <w:rFonts w:ascii="Times New Roman" w:hAnsi="Times New Roman" w:eastAsia="宋体"/>
                <w:color w:val="auto"/>
                <w:szCs w:val="21"/>
              </w:rPr>
            </w:pPr>
            <w:r>
              <w:rPr>
                <w:rFonts w:hint="eastAsia" w:ascii="Times New Roman" w:hAnsi="Times New Roman" w:eastAsia="宋体"/>
                <w:color w:val="auto"/>
                <w:szCs w:val="21"/>
              </w:rPr>
              <w:t>325</w:t>
            </w:r>
          </w:p>
        </w:tc>
      </w:tr>
      <w:tr w14:paraId="0027D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continue"/>
            <w:vAlign w:val="center"/>
          </w:tcPr>
          <w:p w14:paraId="506A3DB0">
            <w:pPr>
              <w:jc w:val="center"/>
              <w:rPr>
                <w:rFonts w:ascii="Times New Roman" w:hAnsi="Times New Roman" w:eastAsia="宋体"/>
                <w:color w:val="auto"/>
                <w:szCs w:val="21"/>
              </w:rPr>
            </w:pPr>
          </w:p>
        </w:tc>
        <w:tc>
          <w:tcPr>
            <w:tcW w:w="1800" w:type="dxa"/>
            <w:vAlign w:val="center"/>
          </w:tcPr>
          <w:p w14:paraId="150B08CB">
            <w:pPr>
              <w:jc w:val="center"/>
              <w:rPr>
                <w:rFonts w:ascii="Times New Roman" w:hAnsi="Times New Roman" w:eastAsia="宋体"/>
                <w:color w:val="auto"/>
                <w:szCs w:val="21"/>
              </w:rPr>
            </w:pPr>
            <w:r>
              <w:rPr>
                <w:rFonts w:hint="eastAsia" w:ascii="Times New Roman" w:hAnsi="Times New Roman" w:eastAsia="宋体"/>
                <w:color w:val="auto"/>
                <w:szCs w:val="21"/>
              </w:rPr>
              <w:t>＞16～40</w:t>
            </w:r>
          </w:p>
        </w:tc>
        <w:tc>
          <w:tcPr>
            <w:tcW w:w="1980" w:type="dxa"/>
            <w:vAlign w:val="center"/>
          </w:tcPr>
          <w:p w14:paraId="41B053F3">
            <w:pPr>
              <w:jc w:val="center"/>
              <w:rPr>
                <w:rFonts w:ascii="Times New Roman" w:hAnsi="Times New Roman" w:eastAsia="宋体"/>
                <w:color w:val="auto"/>
                <w:szCs w:val="21"/>
              </w:rPr>
            </w:pPr>
            <w:r>
              <w:rPr>
                <w:rFonts w:hint="eastAsia" w:ascii="Times New Roman" w:hAnsi="Times New Roman" w:eastAsia="宋体"/>
                <w:color w:val="auto"/>
                <w:szCs w:val="21"/>
              </w:rPr>
              <w:t>205</w:t>
            </w:r>
          </w:p>
        </w:tc>
        <w:tc>
          <w:tcPr>
            <w:tcW w:w="1440" w:type="dxa"/>
            <w:vAlign w:val="center"/>
          </w:tcPr>
          <w:p w14:paraId="15C5C153">
            <w:pPr>
              <w:jc w:val="center"/>
              <w:rPr>
                <w:rFonts w:ascii="Times New Roman" w:hAnsi="Times New Roman" w:eastAsia="宋体"/>
                <w:color w:val="auto"/>
                <w:szCs w:val="21"/>
              </w:rPr>
            </w:pPr>
            <w:r>
              <w:rPr>
                <w:rFonts w:hint="eastAsia" w:ascii="Times New Roman" w:hAnsi="Times New Roman" w:eastAsia="宋体"/>
                <w:color w:val="auto"/>
                <w:szCs w:val="21"/>
              </w:rPr>
              <w:t>120</w:t>
            </w:r>
          </w:p>
        </w:tc>
        <w:tc>
          <w:tcPr>
            <w:tcW w:w="2091" w:type="dxa"/>
            <w:vMerge w:val="continue"/>
            <w:vAlign w:val="center"/>
          </w:tcPr>
          <w:p w14:paraId="24648363">
            <w:pPr>
              <w:jc w:val="center"/>
              <w:rPr>
                <w:rFonts w:ascii="Times New Roman" w:hAnsi="Times New Roman" w:eastAsia="宋体"/>
                <w:color w:val="auto"/>
                <w:szCs w:val="21"/>
              </w:rPr>
            </w:pPr>
          </w:p>
        </w:tc>
      </w:tr>
      <w:tr w14:paraId="28EF3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continue"/>
            <w:vAlign w:val="center"/>
          </w:tcPr>
          <w:p w14:paraId="265294B8">
            <w:pPr>
              <w:jc w:val="center"/>
              <w:rPr>
                <w:rFonts w:ascii="Times New Roman" w:hAnsi="Times New Roman" w:eastAsia="宋体"/>
                <w:color w:val="auto"/>
                <w:szCs w:val="21"/>
              </w:rPr>
            </w:pPr>
          </w:p>
        </w:tc>
        <w:tc>
          <w:tcPr>
            <w:tcW w:w="1800" w:type="dxa"/>
            <w:vAlign w:val="center"/>
          </w:tcPr>
          <w:p w14:paraId="05B604AD">
            <w:pPr>
              <w:jc w:val="center"/>
              <w:rPr>
                <w:rFonts w:ascii="Times New Roman" w:hAnsi="Times New Roman" w:eastAsia="宋体"/>
                <w:color w:val="auto"/>
                <w:szCs w:val="21"/>
              </w:rPr>
            </w:pPr>
            <w:r>
              <w:rPr>
                <w:rFonts w:hint="eastAsia" w:ascii="Times New Roman" w:hAnsi="Times New Roman" w:eastAsia="宋体"/>
                <w:color w:val="auto"/>
                <w:szCs w:val="21"/>
              </w:rPr>
              <w:t>＞40～60</w:t>
            </w:r>
          </w:p>
        </w:tc>
        <w:tc>
          <w:tcPr>
            <w:tcW w:w="1980" w:type="dxa"/>
            <w:vAlign w:val="center"/>
          </w:tcPr>
          <w:p w14:paraId="0C443129">
            <w:pPr>
              <w:jc w:val="center"/>
              <w:rPr>
                <w:rFonts w:ascii="Times New Roman" w:hAnsi="Times New Roman" w:eastAsia="宋体"/>
                <w:color w:val="auto"/>
                <w:szCs w:val="21"/>
              </w:rPr>
            </w:pPr>
            <w:r>
              <w:rPr>
                <w:rFonts w:hint="eastAsia" w:ascii="Times New Roman" w:hAnsi="Times New Roman" w:eastAsia="宋体"/>
                <w:color w:val="auto"/>
                <w:szCs w:val="21"/>
              </w:rPr>
              <w:t>200</w:t>
            </w:r>
          </w:p>
        </w:tc>
        <w:tc>
          <w:tcPr>
            <w:tcW w:w="1440" w:type="dxa"/>
            <w:vAlign w:val="center"/>
          </w:tcPr>
          <w:p w14:paraId="13154B28">
            <w:pPr>
              <w:jc w:val="center"/>
              <w:rPr>
                <w:rFonts w:ascii="Times New Roman" w:hAnsi="Times New Roman" w:eastAsia="宋体"/>
                <w:color w:val="auto"/>
                <w:szCs w:val="21"/>
              </w:rPr>
            </w:pPr>
            <w:r>
              <w:rPr>
                <w:rFonts w:hint="eastAsia" w:ascii="Times New Roman" w:hAnsi="Times New Roman" w:eastAsia="宋体"/>
                <w:color w:val="auto"/>
                <w:szCs w:val="21"/>
              </w:rPr>
              <w:t>115</w:t>
            </w:r>
          </w:p>
        </w:tc>
        <w:tc>
          <w:tcPr>
            <w:tcW w:w="2091" w:type="dxa"/>
            <w:vMerge w:val="continue"/>
            <w:vAlign w:val="center"/>
          </w:tcPr>
          <w:p w14:paraId="7E48DF2A">
            <w:pPr>
              <w:jc w:val="center"/>
              <w:rPr>
                <w:rFonts w:ascii="Times New Roman" w:hAnsi="Times New Roman" w:eastAsia="宋体"/>
                <w:color w:val="auto"/>
                <w:szCs w:val="21"/>
              </w:rPr>
            </w:pPr>
          </w:p>
        </w:tc>
      </w:tr>
      <w:tr w14:paraId="21135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continue"/>
            <w:vAlign w:val="center"/>
          </w:tcPr>
          <w:p w14:paraId="0F9F11C3">
            <w:pPr>
              <w:jc w:val="center"/>
              <w:rPr>
                <w:rFonts w:ascii="Times New Roman" w:hAnsi="Times New Roman" w:eastAsia="宋体"/>
                <w:color w:val="auto"/>
                <w:szCs w:val="21"/>
              </w:rPr>
            </w:pPr>
          </w:p>
        </w:tc>
        <w:tc>
          <w:tcPr>
            <w:tcW w:w="1800" w:type="dxa"/>
            <w:vAlign w:val="center"/>
          </w:tcPr>
          <w:p w14:paraId="2EE744A8">
            <w:pPr>
              <w:jc w:val="center"/>
              <w:rPr>
                <w:rFonts w:ascii="Times New Roman" w:hAnsi="Times New Roman" w:eastAsia="宋体"/>
                <w:color w:val="auto"/>
                <w:szCs w:val="21"/>
              </w:rPr>
            </w:pPr>
            <w:r>
              <w:rPr>
                <w:rFonts w:hint="eastAsia" w:ascii="Times New Roman" w:hAnsi="Times New Roman" w:eastAsia="宋体"/>
                <w:color w:val="auto"/>
                <w:szCs w:val="21"/>
              </w:rPr>
              <w:t>＞60～100</w:t>
            </w:r>
          </w:p>
        </w:tc>
        <w:tc>
          <w:tcPr>
            <w:tcW w:w="1980" w:type="dxa"/>
            <w:vAlign w:val="center"/>
          </w:tcPr>
          <w:p w14:paraId="22777EDB">
            <w:pPr>
              <w:jc w:val="center"/>
              <w:rPr>
                <w:rFonts w:ascii="Times New Roman" w:hAnsi="Times New Roman" w:eastAsia="宋体"/>
                <w:color w:val="auto"/>
                <w:szCs w:val="21"/>
              </w:rPr>
            </w:pPr>
            <w:r>
              <w:rPr>
                <w:rFonts w:hint="eastAsia" w:ascii="Times New Roman" w:hAnsi="Times New Roman" w:eastAsia="宋体"/>
                <w:color w:val="auto"/>
                <w:szCs w:val="21"/>
              </w:rPr>
              <w:t>190</w:t>
            </w:r>
          </w:p>
        </w:tc>
        <w:tc>
          <w:tcPr>
            <w:tcW w:w="1440" w:type="dxa"/>
            <w:vAlign w:val="center"/>
          </w:tcPr>
          <w:p w14:paraId="09A654E4">
            <w:pPr>
              <w:jc w:val="center"/>
              <w:rPr>
                <w:rFonts w:ascii="Times New Roman" w:hAnsi="Times New Roman" w:eastAsia="宋体"/>
                <w:color w:val="auto"/>
                <w:szCs w:val="21"/>
              </w:rPr>
            </w:pPr>
            <w:r>
              <w:rPr>
                <w:rFonts w:hint="eastAsia" w:ascii="Times New Roman" w:hAnsi="Times New Roman" w:eastAsia="宋体"/>
                <w:color w:val="auto"/>
                <w:szCs w:val="21"/>
              </w:rPr>
              <w:t>110</w:t>
            </w:r>
          </w:p>
        </w:tc>
        <w:tc>
          <w:tcPr>
            <w:tcW w:w="2091" w:type="dxa"/>
            <w:vMerge w:val="continue"/>
            <w:vAlign w:val="center"/>
          </w:tcPr>
          <w:p w14:paraId="66C3F30D">
            <w:pPr>
              <w:jc w:val="center"/>
              <w:rPr>
                <w:rFonts w:ascii="Times New Roman" w:hAnsi="Times New Roman" w:eastAsia="宋体"/>
                <w:color w:val="auto"/>
                <w:szCs w:val="21"/>
              </w:rPr>
            </w:pPr>
          </w:p>
        </w:tc>
      </w:tr>
      <w:tr w14:paraId="0D210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restart"/>
            <w:vAlign w:val="center"/>
          </w:tcPr>
          <w:p w14:paraId="60DA89EC">
            <w:pPr>
              <w:jc w:val="center"/>
              <w:rPr>
                <w:rFonts w:ascii="Times New Roman" w:hAnsi="Times New Roman" w:eastAsia="宋体"/>
                <w:color w:val="auto"/>
                <w:szCs w:val="21"/>
              </w:rPr>
            </w:pPr>
            <w:r>
              <w:rPr>
                <w:rFonts w:hint="eastAsia" w:ascii="Times New Roman" w:hAnsi="Times New Roman" w:eastAsia="宋体"/>
                <w:color w:val="auto"/>
                <w:szCs w:val="21"/>
              </w:rPr>
              <w:t>Q345钢</w:t>
            </w:r>
          </w:p>
        </w:tc>
        <w:tc>
          <w:tcPr>
            <w:tcW w:w="1800" w:type="dxa"/>
            <w:vAlign w:val="center"/>
          </w:tcPr>
          <w:p w14:paraId="0E436AC9">
            <w:pPr>
              <w:jc w:val="center"/>
              <w:rPr>
                <w:rFonts w:ascii="Times New Roman" w:hAnsi="Times New Roman" w:eastAsia="宋体"/>
                <w:color w:val="auto"/>
                <w:szCs w:val="21"/>
              </w:rPr>
            </w:pPr>
            <w:r>
              <w:rPr>
                <w:rFonts w:hint="eastAsia" w:ascii="Times New Roman" w:hAnsi="Times New Roman" w:eastAsia="宋体"/>
                <w:color w:val="auto"/>
                <w:szCs w:val="21"/>
              </w:rPr>
              <w:t>≤16</w:t>
            </w:r>
          </w:p>
        </w:tc>
        <w:tc>
          <w:tcPr>
            <w:tcW w:w="1980" w:type="dxa"/>
            <w:vAlign w:val="center"/>
          </w:tcPr>
          <w:p w14:paraId="4BCCBB45">
            <w:pPr>
              <w:jc w:val="center"/>
              <w:rPr>
                <w:rFonts w:ascii="Times New Roman" w:hAnsi="Times New Roman" w:eastAsia="宋体"/>
                <w:color w:val="auto"/>
                <w:szCs w:val="21"/>
              </w:rPr>
            </w:pPr>
            <w:r>
              <w:rPr>
                <w:rFonts w:hint="eastAsia" w:ascii="Times New Roman" w:hAnsi="Times New Roman" w:eastAsia="宋体"/>
                <w:color w:val="auto"/>
                <w:szCs w:val="21"/>
              </w:rPr>
              <w:t>310</w:t>
            </w:r>
          </w:p>
        </w:tc>
        <w:tc>
          <w:tcPr>
            <w:tcW w:w="1440" w:type="dxa"/>
            <w:vAlign w:val="center"/>
          </w:tcPr>
          <w:p w14:paraId="33FD2817">
            <w:pPr>
              <w:jc w:val="center"/>
              <w:rPr>
                <w:rFonts w:ascii="Times New Roman" w:hAnsi="Times New Roman" w:eastAsia="宋体"/>
                <w:color w:val="auto"/>
                <w:szCs w:val="21"/>
              </w:rPr>
            </w:pPr>
            <w:r>
              <w:rPr>
                <w:rFonts w:hint="eastAsia" w:ascii="Times New Roman" w:hAnsi="Times New Roman" w:eastAsia="宋体"/>
                <w:color w:val="auto"/>
                <w:szCs w:val="21"/>
              </w:rPr>
              <w:t>180</w:t>
            </w:r>
          </w:p>
        </w:tc>
        <w:tc>
          <w:tcPr>
            <w:tcW w:w="2091" w:type="dxa"/>
            <w:vMerge w:val="restart"/>
            <w:vAlign w:val="center"/>
          </w:tcPr>
          <w:p w14:paraId="771B8FCC">
            <w:pPr>
              <w:jc w:val="center"/>
              <w:rPr>
                <w:rFonts w:ascii="Times New Roman" w:hAnsi="Times New Roman" w:eastAsia="宋体"/>
                <w:color w:val="auto"/>
                <w:szCs w:val="21"/>
              </w:rPr>
            </w:pPr>
            <w:r>
              <w:rPr>
                <w:rFonts w:hint="eastAsia" w:ascii="Times New Roman" w:hAnsi="Times New Roman" w:eastAsia="宋体"/>
                <w:color w:val="auto"/>
                <w:szCs w:val="21"/>
              </w:rPr>
              <w:t>400</w:t>
            </w:r>
          </w:p>
        </w:tc>
      </w:tr>
      <w:tr w14:paraId="3BD3A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continue"/>
            <w:vAlign w:val="center"/>
          </w:tcPr>
          <w:p w14:paraId="5B71071D">
            <w:pPr>
              <w:jc w:val="center"/>
              <w:rPr>
                <w:rFonts w:ascii="Times New Roman" w:hAnsi="Times New Roman" w:eastAsia="宋体"/>
                <w:color w:val="auto"/>
                <w:szCs w:val="21"/>
              </w:rPr>
            </w:pPr>
          </w:p>
        </w:tc>
        <w:tc>
          <w:tcPr>
            <w:tcW w:w="1800" w:type="dxa"/>
            <w:vAlign w:val="center"/>
          </w:tcPr>
          <w:p w14:paraId="54C8A843">
            <w:pPr>
              <w:jc w:val="center"/>
              <w:rPr>
                <w:rFonts w:ascii="Times New Roman" w:hAnsi="Times New Roman" w:eastAsia="宋体"/>
                <w:color w:val="auto"/>
                <w:szCs w:val="21"/>
              </w:rPr>
            </w:pPr>
            <w:r>
              <w:rPr>
                <w:rFonts w:hint="eastAsia" w:ascii="Times New Roman" w:hAnsi="Times New Roman" w:eastAsia="宋体"/>
                <w:color w:val="auto"/>
                <w:szCs w:val="21"/>
              </w:rPr>
              <w:t>＞16～40</w:t>
            </w:r>
          </w:p>
        </w:tc>
        <w:tc>
          <w:tcPr>
            <w:tcW w:w="1980" w:type="dxa"/>
            <w:vAlign w:val="center"/>
          </w:tcPr>
          <w:p w14:paraId="7CF4782D">
            <w:pPr>
              <w:jc w:val="center"/>
              <w:rPr>
                <w:rFonts w:ascii="Times New Roman" w:hAnsi="Times New Roman" w:eastAsia="宋体"/>
                <w:color w:val="auto"/>
                <w:szCs w:val="21"/>
              </w:rPr>
            </w:pPr>
            <w:r>
              <w:rPr>
                <w:rFonts w:hint="eastAsia" w:ascii="Times New Roman" w:hAnsi="Times New Roman" w:eastAsia="宋体"/>
                <w:color w:val="auto"/>
                <w:szCs w:val="21"/>
              </w:rPr>
              <w:t>295</w:t>
            </w:r>
          </w:p>
        </w:tc>
        <w:tc>
          <w:tcPr>
            <w:tcW w:w="1440" w:type="dxa"/>
            <w:vAlign w:val="center"/>
          </w:tcPr>
          <w:p w14:paraId="63C99C20">
            <w:pPr>
              <w:jc w:val="center"/>
              <w:rPr>
                <w:rFonts w:ascii="Times New Roman" w:hAnsi="Times New Roman" w:eastAsia="宋体"/>
                <w:color w:val="auto"/>
                <w:szCs w:val="21"/>
              </w:rPr>
            </w:pPr>
            <w:r>
              <w:rPr>
                <w:rFonts w:hint="eastAsia" w:ascii="Times New Roman" w:hAnsi="Times New Roman" w:eastAsia="宋体"/>
                <w:color w:val="auto"/>
                <w:szCs w:val="21"/>
              </w:rPr>
              <w:t>170</w:t>
            </w:r>
          </w:p>
        </w:tc>
        <w:tc>
          <w:tcPr>
            <w:tcW w:w="2091" w:type="dxa"/>
            <w:vMerge w:val="continue"/>
            <w:vAlign w:val="center"/>
          </w:tcPr>
          <w:p w14:paraId="27BFF3DD">
            <w:pPr>
              <w:jc w:val="center"/>
              <w:rPr>
                <w:rFonts w:ascii="Times New Roman" w:hAnsi="Times New Roman" w:eastAsia="宋体"/>
                <w:color w:val="auto"/>
                <w:szCs w:val="21"/>
              </w:rPr>
            </w:pPr>
          </w:p>
        </w:tc>
      </w:tr>
      <w:tr w14:paraId="3DFF8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continue"/>
            <w:vAlign w:val="center"/>
          </w:tcPr>
          <w:p w14:paraId="0E8A17DD">
            <w:pPr>
              <w:jc w:val="center"/>
              <w:rPr>
                <w:rFonts w:ascii="Times New Roman" w:hAnsi="Times New Roman" w:eastAsia="宋体"/>
                <w:color w:val="auto"/>
                <w:szCs w:val="21"/>
              </w:rPr>
            </w:pPr>
          </w:p>
        </w:tc>
        <w:tc>
          <w:tcPr>
            <w:tcW w:w="1800" w:type="dxa"/>
            <w:vAlign w:val="center"/>
          </w:tcPr>
          <w:p w14:paraId="114A1C43">
            <w:pPr>
              <w:jc w:val="center"/>
              <w:rPr>
                <w:rFonts w:ascii="Times New Roman" w:hAnsi="Times New Roman" w:eastAsia="宋体"/>
                <w:color w:val="auto"/>
                <w:szCs w:val="21"/>
              </w:rPr>
            </w:pPr>
            <w:r>
              <w:rPr>
                <w:rFonts w:hint="eastAsia" w:ascii="Times New Roman" w:hAnsi="Times New Roman" w:eastAsia="宋体"/>
                <w:color w:val="auto"/>
                <w:szCs w:val="21"/>
              </w:rPr>
              <w:t>＞40～60</w:t>
            </w:r>
          </w:p>
        </w:tc>
        <w:tc>
          <w:tcPr>
            <w:tcW w:w="1980" w:type="dxa"/>
            <w:vAlign w:val="center"/>
          </w:tcPr>
          <w:p w14:paraId="6E66FD1D">
            <w:pPr>
              <w:jc w:val="center"/>
              <w:rPr>
                <w:rFonts w:ascii="Times New Roman" w:hAnsi="Times New Roman" w:eastAsia="宋体"/>
                <w:color w:val="auto"/>
                <w:szCs w:val="21"/>
              </w:rPr>
            </w:pPr>
            <w:r>
              <w:rPr>
                <w:rFonts w:hint="eastAsia" w:ascii="Times New Roman" w:hAnsi="Times New Roman" w:eastAsia="宋体"/>
                <w:color w:val="auto"/>
                <w:szCs w:val="21"/>
              </w:rPr>
              <w:t>265</w:t>
            </w:r>
          </w:p>
        </w:tc>
        <w:tc>
          <w:tcPr>
            <w:tcW w:w="1440" w:type="dxa"/>
            <w:vAlign w:val="center"/>
          </w:tcPr>
          <w:p w14:paraId="11F9D237">
            <w:pPr>
              <w:jc w:val="center"/>
              <w:rPr>
                <w:rFonts w:ascii="Times New Roman" w:hAnsi="Times New Roman" w:eastAsia="宋体"/>
                <w:color w:val="auto"/>
                <w:szCs w:val="21"/>
              </w:rPr>
            </w:pPr>
            <w:r>
              <w:rPr>
                <w:rFonts w:hint="eastAsia" w:ascii="Times New Roman" w:hAnsi="Times New Roman" w:eastAsia="宋体"/>
                <w:color w:val="auto"/>
                <w:szCs w:val="21"/>
              </w:rPr>
              <w:t>155</w:t>
            </w:r>
          </w:p>
        </w:tc>
        <w:tc>
          <w:tcPr>
            <w:tcW w:w="2091" w:type="dxa"/>
            <w:vMerge w:val="continue"/>
            <w:vAlign w:val="center"/>
          </w:tcPr>
          <w:p w14:paraId="6D055E7F">
            <w:pPr>
              <w:jc w:val="center"/>
              <w:rPr>
                <w:rFonts w:ascii="Times New Roman" w:hAnsi="Times New Roman" w:eastAsia="宋体"/>
                <w:color w:val="auto"/>
                <w:szCs w:val="21"/>
              </w:rPr>
            </w:pPr>
          </w:p>
        </w:tc>
      </w:tr>
      <w:tr w14:paraId="38AE8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continue"/>
            <w:vAlign w:val="center"/>
          </w:tcPr>
          <w:p w14:paraId="1CD75B01">
            <w:pPr>
              <w:jc w:val="center"/>
              <w:rPr>
                <w:rFonts w:ascii="Times New Roman" w:hAnsi="Times New Roman" w:eastAsia="宋体"/>
                <w:color w:val="auto"/>
                <w:szCs w:val="21"/>
              </w:rPr>
            </w:pPr>
          </w:p>
        </w:tc>
        <w:tc>
          <w:tcPr>
            <w:tcW w:w="1800" w:type="dxa"/>
            <w:vAlign w:val="center"/>
          </w:tcPr>
          <w:p w14:paraId="22A9462D">
            <w:pPr>
              <w:jc w:val="center"/>
              <w:rPr>
                <w:rFonts w:ascii="Times New Roman" w:hAnsi="Times New Roman" w:eastAsia="宋体"/>
                <w:color w:val="auto"/>
                <w:szCs w:val="21"/>
              </w:rPr>
            </w:pPr>
            <w:r>
              <w:rPr>
                <w:rFonts w:hint="eastAsia" w:ascii="Times New Roman" w:hAnsi="Times New Roman" w:eastAsia="宋体"/>
                <w:color w:val="auto"/>
                <w:szCs w:val="21"/>
              </w:rPr>
              <w:t>＞60～100</w:t>
            </w:r>
          </w:p>
        </w:tc>
        <w:tc>
          <w:tcPr>
            <w:tcW w:w="1980" w:type="dxa"/>
            <w:vAlign w:val="center"/>
          </w:tcPr>
          <w:p w14:paraId="101AB081">
            <w:pPr>
              <w:jc w:val="center"/>
              <w:rPr>
                <w:rFonts w:ascii="Times New Roman" w:hAnsi="Times New Roman" w:eastAsia="宋体"/>
                <w:color w:val="auto"/>
                <w:szCs w:val="21"/>
              </w:rPr>
            </w:pPr>
            <w:r>
              <w:rPr>
                <w:rFonts w:hint="eastAsia" w:ascii="Times New Roman" w:hAnsi="Times New Roman" w:eastAsia="宋体"/>
                <w:color w:val="auto"/>
                <w:szCs w:val="21"/>
              </w:rPr>
              <w:t>250</w:t>
            </w:r>
          </w:p>
        </w:tc>
        <w:tc>
          <w:tcPr>
            <w:tcW w:w="1440" w:type="dxa"/>
            <w:vAlign w:val="center"/>
          </w:tcPr>
          <w:p w14:paraId="1BE4A8AE">
            <w:pPr>
              <w:jc w:val="center"/>
              <w:rPr>
                <w:rFonts w:ascii="Times New Roman" w:hAnsi="Times New Roman" w:eastAsia="宋体"/>
                <w:color w:val="auto"/>
                <w:szCs w:val="21"/>
              </w:rPr>
            </w:pPr>
            <w:r>
              <w:rPr>
                <w:rFonts w:hint="eastAsia" w:ascii="Times New Roman" w:hAnsi="Times New Roman" w:eastAsia="宋体"/>
                <w:color w:val="auto"/>
                <w:szCs w:val="21"/>
              </w:rPr>
              <w:t>145</w:t>
            </w:r>
          </w:p>
        </w:tc>
        <w:tc>
          <w:tcPr>
            <w:tcW w:w="2091" w:type="dxa"/>
            <w:vMerge w:val="continue"/>
            <w:vAlign w:val="center"/>
          </w:tcPr>
          <w:p w14:paraId="62A41C1E">
            <w:pPr>
              <w:jc w:val="center"/>
              <w:rPr>
                <w:rFonts w:ascii="Times New Roman" w:hAnsi="Times New Roman" w:eastAsia="宋体"/>
                <w:color w:val="auto"/>
                <w:szCs w:val="21"/>
              </w:rPr>
            </w:pPr>
          </w:p>
        </w:tc>
      </w:tr>
      <w:tr w14:paraId="48B77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restart"/>
            <w:vAlign w:val="center"/>
          </w:tcPr>
          <w:p w14:paraId="6E4EF88A">
            <w:pPr>
              <w:jc w:val="center"/>
              <w:rPr>
                <w:rFonts w:ascii="Times New Roman" w:hAnsi="Times New Roman" w:eastAsia="宋体"/>
                <w:color w:val="auto"/>
                <w:szCs w:val="21"/>
              </w:rPr>
            </w:pPr>
            <w:r>
              <w:rPr>
                <w:rFonts w:hint="eastAsia" w:ascii="Times New Roman" w:hAnsi="Times New Roman" w:eastAsia="宋体"/>
                <w:color w:val="auto"/>
                <w:szCs w:val="21"/>
              </w:rPr>
              <w:t>Q390钢</w:t>
            </w:r>
          </w:p>
        </w:tc>
        <w:tc>
          <w:tcPr>
            <w:tcW w:w="1800" w:type="dxa"/>
            <w:vAlign w:val="center"/>
          </w:tcPr>
          <w:p w14:paraId="574F12F0">
            <w:pPr>
              <w:jc w:val="center"/>
              <w:rPr>
                <w:rFonts w:ascii="Times New Roman" w:hAnsi="Times New Roman" w:eastAsia="宋体"/>
                <w:color w:val="auto"/>
                <w:szCs w:val="21"/>
              </w:rPr>
            </w:pPr>
            <w:r>
              <w:rPr>
                <w:rFonts w:hint="eastAsia" w:ascii="Times New Roman" w:hAnsi="Times New Roman" w:eastAsia="宋体"/>
                <w:color w:val="auto"/>
                <w:szCs w:val="21"/>
              </w:rPr>
              <w:t>≤16</w:t>
            </w:r>
          </w:p>
        </w:tc>
        <w:tc>
          <w:tcPr>
            <w:tcW w:w="1980" w:type="dxa"/>
            <w:vAlign w:val="center"/>
          </w:tcPr>
          <w:p w14:paraId="7E8AF293">
            <w:pPr>
              <w:jc w:val="center"/>
              <w:rPr>
                <w:rFonts w:ascii="Times New Roman" w:hAnsi="Times New Roman" w:eastAsia="宋体"/>
                <w:color w:val="auto"/>
                <w:szCs w:val="21"/>
              </w:rPr>
            </w:pPr>
            <w:r>
              <w:rPr>
                <w:rFonts w:hint="eastAsia" w:ascii="Times New Roman" w:hAnsi="Times New Roman" w:eastAsia="宋体"/>
                <w:color w:val="auto"/>
                <w:szCs w:val="21"/>
              </w:rPr>
              <w:t>350</w:t>
            </w:r>
          </w:p>
        </w:tc>
        <w:tc>
          <w:tcPr>
            <w:tcW w:w="1440" w:type="dxa"/>
            <w:vAlign w:val="center"/>
          </w:tcPr>
          <w:p w14:paraId="09908BAD">
            <w:pPr>
              <w:jc w:val="center"/>
              <w:rPr>
                <w:rFonts w:ascii="Times New Roman" w:hAnsi="Times New Roman" w:eastAsia="宋体"/>
                <w:color w:val="auto"/>
                <w:szCs w:val="21"/>
              </w:rPr>
            </w:pPr>
            <w:r>
              <w:rPr>
                <w:rFonts w:hint="eastAsia" w:ascii="Times New Roman" w:hAnsi="Times New Roman" w:eastAsia="宋体"/>
                <w:color w:val="auto"/>
                <w:szCs w:val="21"/>
              </w:rPr>
              <w:t>205</w:t>
            </w:r>
          </w:p>
        </w:tc>
        <w:tc>
          <w:tcPr>
            <w:tcW w:w="2091" w:type="dxa"/>
            <w:vMerge w:val="restart"/>
            <w:vAlign w:val="center"/>
          </w:tcPr>
          <w:p w14:paraId="2A46D4D7">
            <w:pPr>
              <w:jc w:val="center"/>
              <w:rPr>
                <w:rFonts w:ascii="Times New Roman" w:hAnsi="Times New Roman" w:eastAsia="宋体"/>
                <w:color w:val="auto"/>
                <w:szCs w:val="21"/>
              </w:rPr>
            </w:pPr>
            <w:r>
              <w:rPr>
                <w:rFonts w:hint="eastAsia" w:ascii="Times New Roman" w:hAnsi="Times New Roman" w:eastAsia="宋体"/>
                <w:color w:val="auto"/>
                <w:szCs w:val="21"/>
              </w:rPr>
              <w:t>415</w:t>
            </w:r>
          </w:p>
        </w:tc>
      </w:tr>
      <w:tr w14:paraId="4CB5F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continue"/>
            <w:vAlign w:val="center"/>
          </w:tcPr>
          <w:p w14:paraId="59F71201">
            <w:pPr>
              <w:jc w:val="center"/>
              <w:rPr>
                <w:rFonts w:ascii="Times New Roman" w:hAnsi="Times New Roman" w:eastAsia="宋体"/>
                <w:color w:val="auto"/>
                <w:szCs w:val="21"/>
              </w:rPr>
            </w:pPr>
          </w:p>
        </w:tc>
        <w:tc>
          <w:tcPr>
            <w:tcW w:w="1800" w:type="dxa"/>
            <w:vAlign w:val="center"/>
          </w:tcPr>
          <w:p w14:paraId="641AD8FA">
            <w:pPr>
              <w:jc w:val="center"/>
              <w:rPr>
                <w:rFonts w:ascii="Times New Roman" w:hAnsi="Times New Roman" w:eastAsia="宋体"/>
                <w:color w:val="auto"/>
                <w:szCs w:val="21"/>
              </w:rPr>
            </w:pPr>
            <w:r>
              <w:rPr>
                <w:rFonts w:hint="eastAsia" w:ascii="Times New Roman" w:hAnsi="Times New Roman" w:eastAsia="宋体"/>
                <w:color w:val="auto"/>
                <w:szCs w:val="21"/>
              </w:rPr>
              <w:t>＞16～40</w:t>
            </w:r>
          </w:p>
        </w:tc>
        <w:tc>
          <w:tcPr>
            <w:tcW w:w="1980" w:type="dxa"/>
            <w:vAlign w:val="center"/>
          </w:tcPr>
          <w:p w14:paraId="6B8699AA">
            <w:pPr>
              <w:jc w:val="center"/>
              <w:rPr>
                <w:rFonts w:ascii="Times New Roman" w:hAnsi="Times New Roman" w:eastAsia="宋体"/>
                <w:color w:val="auto"/>
                <w:szCs w:val="21"/>
              </w:rPr>
            </w:pPr>
            <w:r>
              <w:rPr>
                <w:rFonts w:hint="eastAsia" w:ascii="Times New Roman" w:hAnsi="Times New Roman" w:eastAsia="宋体"/>
                <w:color w:val="auto"/>
                <w:szCs w:val="21"/>
              </w:rPr>
              <w:t>335</w:t>
            </w:r>
          </w:p>
        </w:tc>
        <w:tc>
          <w:tcPr>
            <w:tcW w:w="1440" w:type="dxa"/>
            <w:vAlign w:val="center"/>
          </w:tcPr>
          <w:p w14:paraId="03A7CF64">
            <w:pPr>
              <w:jc w:val="center"/>
              <w:rPr>
                <w:rFonts w:ascii="Times New Roman" w:hAnsi="Times New Roman" w:eastAsia="宋体"/>
                <w:color w:val="auto"/>
                <w:szCs w:val="21"/>
              </w:rPr>
            </w:pPr>
            <w:r>
              <w:rPr>
                <w:rFonts w:hint="eastAsia" w:ascii="Times New Roman" w:hAnsi="Times New Roman" w:eastAsia="宋体"/>
                <w:color w:val="auto"/>
                <w:szCs w:val="21"/>
              </w:rPr>
              <w:t>190</w:t>
            </w:r>
          </w:p>
        </w:tc>
        <w:tc>
          <w:tcPr>
            <w:tcW w:w="2091" w:type="dxa"/>
            <w:vMerge w:val="continue"/>
            <w:vAlign w:val="center"/>
          </w:tcPr>
          <w:p w14:paraId="7C93A0EA">
            <w:pPr>
              <w:jc w:val="center"/>
              <w:rPr>
                <w:rFonts w:ascii="Times New Roman" w:hAnsi="Times New Roman" w:eastAsia="宋体"/>
                <w:color w:val="auto"/>
                <w:szCs w:val="21"/>
              </w:rPr>
            </w:pPr>
          </w:p>
        </w:tc>
      </w:tr>
      <w:tr w14:paraId="45417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continue"/>
            <w:vAlign w:val="center"/>
          </w:tcPr>
          <w:p w14:paraId="3B36A830">
            <w:pPr>
              <w:jc w:val="center"/>
              <w:rPr>
                <w:rFonts w:ascii="Times New Roman" w:hAnsi="Times New Roman" w:eastAsia="宋体"/>
                <w:color w:val="auto"/>
                <w:szCs w:val="21"/>
              </w:rPr>
            </w:pPr>
          </w:p>
        </w:tc>
        <w:tc>
          <w:tcPr>
            <w:tcW w:w="1800" w:type="dxa"/>
            <w:vAlign w:val="center"/>
          </w:tcPr>
          <w:p w14:paraId="19068DF4">
            <w:pPr>
              <w:jc w:val="center"/>
              <w:rPr>
                <w:rFonts w:ascii="Times New Roman" w:hAnsi="Times New Roman" w:eastAsia="宋体"/>
                <w:color w:val="auto"/>
                <w:szCs w:val="21"/>
              </w:rPr>
            </w:pPr>
            <w:r>
              <w:rPr>
                <w:rFonts w:hint="eastAsia" w:ascii="Times New Roman" w:hAnsi="Times New Roman" w:eastAsia="宋体"/>
                <w:color w:val="auto"/>
                <w:szCs w:val="21"/>
              </w:rPr>
              <w:t>＞40～60</w:t>
            </w:r>
          </w:p>
        </w:tc>
        <w:tc>
          <w:tcPr>
            <w:tcW w:w="1980" w:type="dxa"/>
            <w:vAlign w:val="center"/>
          </w:tcPr>
          <w:p w14:paraId="6E36B062">
            <w:pPr>
              <w:jc w:val="center"/>
              <w:rPr>
                <w:rFonts w:ascii="Times New Roman" w:hAnsi="Times New Roman" w:eastAsia="宋体"/>
                <w:color w:val="auto"/>
                <w:szCs w:val="21"/>
              </w:rPr>
            </w:pPr>
            <w:r>
              <w:rPr>
                <w:rFonts w:hint="eastAsia" w:ascii="Times New Roman" w:hAnsi="Times New Roman" w:eastAsia="宋体"/>
                <w:color w:val="auto"/>
                <w:szCs w:val="21"/>
              </w:rPr>
              <w:t>315</w:t>
            </w:r>
          </w:p>
        </w:tc>
        <w:tc>
          <w:tcPr>
            <w:tcW w:w="1440" w:type="dxa"/>
            <w:vAlign w:val="center"/>
          </w:tcPr>
          <w:p w14:paraId="6F8C9E52">
            <w:pPr>
              <w:jc w:val="center"/>
              <w:rPr>
                <w:rFonts w:ascii="Times New Roman" w:hAnsi="Times New Roman" w:eastAsia="宋体"/>
                <w:color w:val="auto"/>
                <w:szCs w:val="21"/>
              </w:rPr>
            </w:pPr>
            <w:r>
              <w:rPr>
                <w:rFonts w:hint="eastAsia" w:ascii="Times New Roman" w:hAnsi="Times New Roman" w:eastAsia="宋体"/>
                <w:color w:val="auto"/>
                <w:szCs w:val="21"/>
              </w:rPr>
              <w:t>180</w:t>
            </w:r>
          </w:p>
        </w:tc>
        <w:tc>
          <w:tcPr>
            <w:tcW w:w="2091" w:type="dxa"/>
            <w:vMerge w:val="continue"/>
            <w:vAlign w:val="center"/>
          </w:tcPr>
          <w:p w14:paraId="638513BA">
            <w:pPr>
              <w:jc w:val="center"/>
              <w:rPr>
                <w:rFonts w:ascii="Times New Roman" w:hAnsi="Times New Roman" w:eastAsia="宋体"/>
                <w:color w:val="auto"/>
                <w:szCs w:val="21"/>
              </w:rPr>
            </w:pPr>
          </w:p>
        </w:tc>
      </w:tr>
      <w:tr w14:paraId="17E3E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continue"/>
            <w:vAlign w:val="center"/>
          </w:tcPr>
          <w:p w14:paraId="67BC3E52">
            <w:pPr>
              <w:jc w:val="center"/>
              <w:rPr>
                <w:rFonts w:ascii="Times New Roman" w:hAnsi="Times New Roman" w:eastAsia="宋体"/>
                <w:color w:val="auto"/>
                <w:szCs w:val="21"/>
              </w:rPr>
            </w:pPr>
          </w:p>
        </w:tc>
        <w:tc>
          <w:tcPr>
            <w:tcW w:w="1800" w:type="dxa"/>
            <w:vAlign w:val="center"/>
          </w:tcPr>
          <w:p w14:paraId="08618AB3">
            <w:pPr>
              <w:jc w:val="center"/>
              <w:rPr>
                <w:rFonts w:ascii="Times New Roman" w:hAnsi="Times New Roman" w:eastAsia="宋体"/>
                <w:color w:val="auto"/>
                <w:szCs w:val="21"/>
              </w:rPr>
            </w:pPr>
            <w:r>
              <w:rPr>
                <w:rFonts w:hint="eastAsia" w:ascii="Times New Roman" w:hAnsi="Times New Roman" w:eastAsia="宋体"/>
                <w:color w:val="auto"/>
                <w:szCs w:val="21"/>
              </w:rPr>
              <w:t>＞60～100</w:t>
            </w:r>
          </w:p>
        </w:tc>
        <w:tc>
          <w:tcPr>
            <w:tcW w:w="1980" w:type="dxa"/>
            <w:vAlign w:val="center"/>
          </w:tcPr>
          <w:p w14:paraId="03B29BA8">
            <w:pPr>
              <w:jc w:val="center"/>
              <w:rPr>
                <w:rFonts w:ascii="Times New Roman" w:hAnsi="Times New Roman" w:eastAsia="宋体"/>
                <w:color w:val="auto"/>
                <w:szCs w:val="21"/>
              </w:rPr>
            </w:pPr>
            <w:r>
              <w:rPr>
                <w:rFonts w:hint="eastAsia" w:ascii="Times New Roman" w:hAnsi="Times New Roman" w:eastAsia="宋体"/>
                <w:color w:val="auto"/>
                <w:szCs w:val="21"/>
              </w:rPr>
              <w:t>295</w:t>
            </w:r>
          </w:p>
        </w:tc>
        <w:tc>
          <w:tcPr>
            <w:tcW w:w="1440" w:type="dxa"/>
            <w:vAlign w:val="center"/>
          </w:tcPr>
          <w:p w14:paraId="55A65F70">
            <w:pPr>
              <w:jc w:val="center"/>
              <w:rPr>
                <w:rFonts w:ascii="Times New Roman" w:hAnsi="Times New Roman" w:eastAsia="宋体"/>
                <w:color w:val="auto"/>
                <w:szCs w:val="21"/>
              </w:rPr>
            </w:pPr>
            <w:r>
              <w:rPr>
                <w:rFonts w:hint="eastAsia" w:ascii="Times New Roman" w:hAnsi="Times New Roman" w:eastAsia="宋体"/>
                <w:color w:val="auto"/>
                <w:szCs w:val="21"/>
              </w:rPr>
              <w:t>170</w:t>
            </w:r>
          </w:p>
        </w:tc>
        <w:tc>
          <w:tcPr>
            <w:tcW w:w="2091" w:type="dxa"/>
            <w:vMerge w:val="continue"/>
            <w:vAlign w:val="center"/>
          </w:tcPr>
          <w:p w14:paraId="2A4A1560">
            <w:pPr>
              <w:jc w:val="center"/>
              <w:rPr>
                <w:rFonts w:ascii="Times New Roman" w:hAnsi="Times New Roman" w:eastAsia="宋体"/>
                <w:color w:val="auto"/>
                <w:szCs w:val="21"/>
              </w:rPr>
            </w:pPr>
          </w:p>
        </w:tc>
      </w:tr>
      <w:tr w14:paraId="10DDC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restart"/>
            <w:vAlign w:val="center"/>
          </w:tcPr>
          <w:p w14:paraId="0E983FBE">
            <w:pPr>
              <w:jc w:val="center"/>
              <w:rPr>
                <w:rFonts w:ascii="Times New Roman" w:hAnsi="Times New Roman" w:eastAsia="宋体"/>
                <w:color w:val="auto"/>
                <w:szCs w:val="21"/>
              </w:rPr>
            </w:pPr>
            <w:r>
              <w:rPr>
                <w:rFonts w:hint="eastAsia" w:ascii="Times New Roman" w:hAnsi="Times New Roman" w:eastAsia="宋体"/>
                <w:color w:val="auto"/>
                <w:szCs w:val="21"/>
              </w:rPr>
              <w:t>Q420钢</w:t>
            </w:r>
          </w:p>
        </w:tc>
        <w:tc>
          <w:tcPr>
            <w:tcW w:w="1800" w:type="dxa"/>
            <w:vAlign w:val="center"/>
          </w:tcPr>
          <w:p w14:paraId="3184EED3">
            <w:pPr>
              <w:jc w:val="center"/>
              <w:rPr>
                <w:rFonts w:ascii="Times New Roman" w:hAnsi="Times New Roman" w:eastAsia="宋体"/>
                <w:color w:val="auto"/>
                <w:szCs w:val="21"/>
              </w:rPr>
            </w:pPr>
            <w:r>
              <w:rPr>
                <w:rFonts w:hint="eastAsia" w:ascii="Times New Roman" w:hAnsi="Times New Roman" w:eastAsia="宋体"/>
                <w:color w:val="auto"/>
                <w:szCs w:val="21"/>
              </w:rPr>
              <w:t>≤16</w:t>
            </w:r>
          </w:p>
        </w:tc>
        <w:tc>
          <w:tcPr>
            <w:tcW w:w="1980" w:type="dxa"/>
            <w:vAlign w:val="center"/>
          </w:tcPr>
          <w:p w14:paraId="756739A1">
            <w:pPr>
              <w:jc w:val="center"/>
              <w:rPr>
                <w:rFonts w:ascii="Times New Roman" w:hAnsi="Times New Roman" w:eastAsia="宋体"/>
                <w:color w:val="auto"/>
                <w:szCs w:val="21"/>
              </w:rPr>
            </w:pPr>
            <w:r>
              <w:rPr>
                <w:rFonts w:hint="eastAsia" w:ascii="Times New Roman" w:hAnsi="Times New Roman" w:eastAsia="宋体"/>
                <w:color w:val="auto"/>
                <w:szCs w:val="21"/>
              </w:rPr>
              <w:t>380</w:t>
            </w:r>
          </w:p>
        </w:tc>
        <w:tc>
          <w:tcPr>
            <w:tcW w:w="1440" w:type="dxa"/>
            <w:vAlign w:val="center"/>
          </w:tcPr>
          <w:p w14:paraId="0F328FA7">
            <w:pPr>
              <w:jc w:val="center"/>
              <w:rPr>
                <w:rFonts w:ascii="Times New Roman" w:hAnsi="Times New Roman" w:eastAsia="宋体"/>
                <w:color w:val="auto"/>
                <w:szCs w:val="21"/>
              </w:rPr>
            </w:pPr>
            <w:r>
              <w:rPr>
                <w:rFonts w:hint="eastAsia" w:ascii="Times New Roman" w:hAnsi="Times New Roman" w:eastAsia="宋体"/>
                <w:color w:val="auto"/>
                <w:szCs w:val="21"/>
              </w:rPr>
              <w:t>220</w:t>
            </w:r>
          </w:p>
        </w:tc>
        <w:tc>
          <w:tcPr>
            <w:tcW w:w="2091" w:type="dxa"/>
            <w:vMerge w:val="restart"/>
            <w:vAlign w:val="center"/>
          </w:tcPr>
          <w:p w14:paraId="06ED9B07">
            <w:pPr>
              <w:jc w:val="center"/>
              <w:rPr>
                <w:rFonts w:ascii="Times New Roman" w:hAnsi="Times New Roman" w:eastAsia="宋体"/>
                <w:color w:val="auto"/>
                <w:szCs w:val="21"/>
              </w:rPr>
            </w:pPr>
            <w:r>
              <w:rPr>
                <w:rFonts w:hint="eastAsia" w:ascii="Times New Roman" w:hAnsi="Times New Roman" w:eastAsia="宋体"/>
                <w:color w:val="auto"/>
                <w:szCs w:val="21"/>
              </w:rPr>
              <w:t>440</w:t>
            </w:r>
          </w:p>
        </w:tc>
      </w:tr>
      <w:tr w14:paraId="6368D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continue"/>
            <w:vAlign w:val="center"/>
          </w:tcPr>
          <w:p w14:paraId="230DC0E5">
            <w:pPr>
              <w:jc w:val="center"/>
              <w:rPr>
                <w:rFonts w:ascii="Times New Roman" w:hAnsi="Times New Roman" w:eastAsia="宋体"/>
                <w:color w:val="auto"/>
                <w:szCs w:val="21"/>
              </w:rPr>
            </w:pPr>
          </w:p>
        </w:tc>
        <w:tc>
          <w:tcPr>
            <w:tcW w:w="1800" w:type="dxa"/>
            <w:vAlign w:val="center"/>
          </w:tcPr>
          <w:p w14:paraId="27773EFF">
            <w:pPr>
              <w:jc w:val="center"/>
              <w:rPr>
                <w:rFonts w:ascii="Times New Roman" w:hAnsi="Times New Roman" w:eastAsia="宋体"/>
                <w:color w:val="auto"/>
                <w:szCs w:val="21"/>
              </w:rPr>
            </w:pPr>
            <w:r>
              <w:rPr>
                <w:rFonts w:hint="eastAsia" w:ascii="Times New Roman" w:hAnsi="Times New Roman" w:eastAsia="宋体"/>
                <w:color w:val="auto"/>
                <w:szCs w:val="21"/>
              </w:rPr>
              <w:t>＞16～40</w:t>
            </w:r>
          </w:p>
        </w:tc>
        <w:tc>
          <w:tcPr>
            <w:tcW w:w="1980" w:type="dxa"/>
            <w:vAlign w:val="center"/>
          </w:tcPr>
          <w:p w14:paraId="7401575F">
            <w:pPr>
              <w:jc w:val="center"/>
              <w:rPr>
                <w:rFonts w:ascii="Times New Roman" w:hAnsi="Times New Roman" w:eastAsia="宋体"/>
                <w:color w:val="auto"/>
                <w:szCs w:val="21"/>
              </w:rPr>
            </w:pPr>
            <w:r>
              <w:rPr>
                <w:rFonts w:hint="eastAsia" w:ascii="Times New Roman" w:hAnsi="Times New Roman" w:eastAsia="宋体"/>
                <w:color w:val="auto"/>
                <w:szCs w:val="21"/>
              </w:rPr>
              <w:t>360</w:t>
            </w:r>
          </w:p>
        </w:tc>
        <w:tc>
          <w:tcPr>
            <w:tcW w:w="1440" w:type="dxa"/>
            <w:vAlign w:val="center"/>
          </w:tcPr>
          <w:p w14:paraId="469051FC">
            <w:pPr>
              <w:jc w:val="center"/>
              <w:rPr>
                <w:rFonts w:ascii="Times New Roman" w:hAnsi="Times New Roman" w:eastAsia="宋体"/>
                <w:color w:val="auto"/>
                <w:szCs w:val="21"/>
              </w:rPr>
            </w:pPr>
            <w:r>
              <w:rPr>
                <w:rFonts w:hint="eastAsia" w:ascii="Times New Roman" w:hAnsi="Times New Roman" w:eastAsia="宋体"/>
                <w:color w:val="auto"/>
                <w:szCs w:val="21"/>
              </w:rPr>
              <w:t>210</w:t>
            </w:r>
          </w:p>
        </w:tc>
        <w:tc>
          <w:tcPr>
            <w:tcW w:w="2091" w:type="dxa"/>
            <w:vMerge w:val="continue"/>
            <w:vAlign w:val="center"/>
          </w:tcPr>
          <w:p w14:paraId="664B7999">
            <w:pPr>
              <w:jc w:val="center"/>
              <w:rPr>
                <w:rFonts w:ascii="Times New Roman" w:hAnsi="Times New Roman" w:eastAsia="宋体"/>
                <w:color w:val="auto"/>
                <w:szCs w:val="21"/>
              </w:rPr>
            </w:pPr>
          </w:p>
        </w:tc>
      </w:tr>
      <w:tr w14:paraId="0978F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continue"/>
            <w:vAlign w:val="center"/>
          </w:tcPr>
          <w:p w14:paraId="26FABBBA">
            <w:pPr>
              <w:jc w:val="center"/>
              <w:rPr>
                <w:rFonts w:ascii="Times New Roman" w:hAnsi="Times New Roman" w:eastAsia="宋体"/>
                <w:color w:val="auto"/>
                <w:szCs w:val="21"/>
              </w:rPr>
            </w:pPr>
          </w:p>
        </w:tc>
        <w:tc>
          <w:tcPr>
            <w:tcW w:w="1800" w:type="dxa"/>
            <w:vAlign w:val="center"/>
          </w:tcPr>
          <w:p w14:paraId="65E69DFA">
            <w:pPr>
              <w:jc w:val="center"/>
              <w:rPr>
                <w:rFonts w:ascii="Times New Roman" w:hAnsi="Times New Roman" w:eastAsia="宋体"/>
                <w:color w:val="auto"/>
                <w:szCs w:val="21"/>
              </w:rPr>
            </w:pPr>
            <w:r>
              <w:rPr>
                <w:rFonts w:hint="eastAsia" w:ascii="Times New Roman" w:hAnsi="Times New Roman" w:eastAsia="宋体"/>
                <w:color w:val="auto"/>
                <w:szCs w:val="21"/>
              </w:rPr>
              <w:t>＞40～60</w:t>
            </w:r>
          </w:p>
        </w:tc>
        <w:tc>
          <w:tcPr>
            <w:tcW w:w="1980" w:type="dxa"/>
            <w:vAlign w:val="center"/>
          </w:tcPr>
          <w:p w14:paraId="2E90A384">
            <w:pPr>
              <w:jc w:val="center"/>
              <w:rPr>
                <w:rFonts w:ascii="Times New Roman" w:hAnsi="Times New Roman" w:eastAsia="宋体"/>
                <w:color w:val="auto"/>
                <w:szCs w:val="21"/>
              </w:rPr>
            </w:pPr>
            <w:r>
              <w:rPr>
                <w:rFonts w:hint="eastAsia" w:ascii="Times New Roman" w:hAnsi="Times New Roman" w:eastAsia="宋体"/>
                <w:color w:val="auto"/>
                <w:szCs w:val="21"/>
              </w:rPr>
              <w:t>340</w:t>
            </w:r>
          </w:p>
        </w:tc>
        <w:tc>
          <w:tcPr>
            <w:tcW w:w="1440" w:type="dxa"/>
            <w:vAlign w:val="center"/>
          </w:tcPr>
          <w:p w14:paraId="2349C1AF">
            <w:pPr>
              <w:jc w:val="center"/>
              <w:rPr>
                <w:rFonts w:ascii="Times New Roman" w:hAnsi="Times New Roman" w:eastAsia="宋体"/>
                <w:color w:val="auto"/>
                <w:szCs w:val="21"/>
              </w:rPr>
            </w:pPr>
            <w:r>
              <w:rPr>
                <w:rFonts w:hint="eastAsia" w:ascii="Times New Roman" w:hAnsi="Times New Roman" w:eastAsia="宋体"/>
                <w:color w:val="auto"/>
                <w:szCs w:val="21"/>
              </w:rPr>
              <w:t>195</w:t>
            </w:r>
          </w:p>
        </w:tc>
        <w:tc>
          <w:tcPr>
            <w:tcW w:w="2091" w:type="dxa"/>
            <w:vMerge w:val="continue"/>
            <w:vAlign w:val="center"/>
          </w:tcPr>
          <w:p w14:paraId="0A46DE9C">
            <w:pPr>
              <w:jc w:val="center"/>
              <w:rPr>
                <w:rFonts w:ascii="Times New Roman" w:hAnsi="Times New Roman" w:eastAsia="宋体"/>
                <w:color w:val="auto"/>
                <w:szCs w:val="21"/>
              </w:rPr>
            </w:pPr>
          </w:p>
        </w:tc>
      </w:tr>
      <w:tr w14:paraId="114EB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vMerge w:val="continue"/>
            <w:vAlign w:val="center"/>
          </w:tcPr>
          <w:p w14:paraId="504E7283">
            <w:pPr>
              <w:jc w:val="center"/>
              <w:rPr>
                <w:rFonts w:ascii="Times New Roman" w:hAnsi="Times New Roman" w:eastAsia="宋体"/>
                <w:color w:val="auto"/>
                <w:szCs w:val="21"/>
              </w:rPr>
            </w:pPr>
          </w:p>
        </w:tc>
        <w:tc>
          <w:tcPr>
            <w:tcW w:w="1800" w:type="dxa"/>
            <w:vAlign w:val="center"/>
          </w:tcPr>
          <w:p w14:paraId="4A1C85F0">
            <w:pPr>
              <w:jc w:val="center"/>
              <w:rPr>
                <w:rFonts w:ascii="Times New Roman" w:hAnsi="Times New Roman" w:eastAsia="宋体"/>
                <w:color w:val="auto"/>
                <w:szCs w:val="21"/>
              </w:rPr>
            </w:pPr>
            <w:r>
              <w:rPr>
                <w:rFonts w:hint="eastAsia" w:ascii="Times New Roman" w:hAnsi="Times New Roman" w:eastAsia="宋体"/>
                <w:color w:val="auto"/>
                <w:szCs w:val="21"/>
              </w:rPr>
              <w:t>＞60～100</w:t>
            </w:r>
          </w:p>
        </w:tc>
        <w:tc>
          <w:tcPr>
            <w:tcW w:w="1980" w:type="dxa"/>
            <w:vAlign w:val="center"/>
          </w:tcPr>
          <w:p w14:paraId="0D010D7F">
            <w:pPr>
              <w:jc w:val="center"/>
              <w:rPr>
                <w:rFonts w:ascii="Times New Roman" w:hAnsi="Times New Roman" w:eastAsia="宋体"/>
                <w:color w:val="auto"/>
                <w:szCs w:val="21"/>
              </w:rPr>
            </w:pPr>
            <w:r>
              <w:rPr>
                <w:rFonts w:hint="eastAsia" w:ascii="Times New Roman" w:hAnsi="Times New Roman" w:eastAsia="宋体"/>
                <w:color w:val="auto"/>
                <w:szCs w:val="21"/>
              </w:rPr>
              <w:t>325</w:t>
            </w:r>
          </w:p>
        </w:tc>
        <w:tc>
          <w:tcPr>
            <w:tcW w:w="1440" w:type="dxa"/>
            <w:vAlign w:val="center"/>
          </w:tcPr>
          <w:p w14:paraId="3B02141A">
            <w:pPr>
              <w:jc w:val="center"/>
              <w:rPr>
                <w:rFonts w:ascii="Times New Roman" w:hAnsi="Times New Roman" w:eastAsia="宋体"/>
                <w:color w:val="auto"/>
                <w:szCs w:val="21"/>
              </w:rPr>
            </w:pPr>
            <w:r>
              <w:rPr>
                <w:rFonts w:hint="eastAsia" w:ascii="Times New Roman" w:hAnsi="Times New Roman" w:eastAsia="宋体"/>
                <w:color w:val="auto"/>
                <w:szCs w:val="21"/>
              </w:rPr>
              <w:t>185</w:t>
            </w:r>
          </w:p>
        </w:tc>
        <w:tc>
          <w:tcPr>
            <w:tcW w:w="2091" w:type="dxa"/>
            <w:vMerge w:val="continue"/>
            <w:vAlign w:val="center"/>
          </w:tcPr>
          <w:p w14:paraId="2585723A">
            <w:pPr>
              <w:jc w:val="center"/>
              <w:rPr>
                <w:rFonts w:ascii="Times New Roman" w:hAnsi="Times New Roman" w:eastAsia="宋体"/>
                <w:color w:val="auto"/>
                <w:szCs w:val="21"/>
              </w:rPr>
            </w:pPr>
          </w:p>
        </w:tc>
      </w:tr>
    </w:tbl>
    <w:p w14:paraId="1FFDD311">
      <w:pPr>
        <w:rPr>
          <w:color w:val="auto"/>
          <w:sz w:val="18"/>
        </w:rPr>
      </w:pPr>
      <w:r>
        <w:rPr>
          <w:rFonts w:hint="eastAsia"/>
          <w:color w:val="auto"/>
          <w:sz w:val="18"/>
        </w:rPr>
        <w:t>注：附表中厚度系指计算点的钢材厚度，对轴心受拉和轴心受压构件系指截面中较厚板件的厚的。</w:t>
      </w:r>
    </w:p>
    <w:p w14:paraId="17C2F7D5">
      <w:pPr>
        <w:spacing w:line="360" w:lineRule="auto"/>
        <w:rPr>
          <w:b/>
          <w:bCs/>
          <w:color w:val="auto"/>
          <w:sz w:val="18"/>
        </w:rPr>
      </w:pPr>
    </w:p>
    <w:p w14:paraId="389A5EAA">
      <w:pPr>
        <w:pStyle w:val="144"/>
        <w:tabs>
          <w:tab w:val="clear" w:pos="1620"/>
        </w:tabs>
        <w:spacing w:before="312" w:after="312"/>
        <w:rPr>
          <w:color w:val="auto"/>
        </w:rPr>
      </w:pPr>
      <w:bookmarkStart w:id="1725" w:name="_Toc16105"/>
      <w:bookmarkStart w:id="1726" w:name="_Toc5690"/>
      <w:bookmarkStart w:id="1727" w:name="_Toc187858734"/>
      <w:r>
        <w:rPr>
          <w:rFonts w:hint="eastAsia"/>
          <w:color w:val="auto"/>
        </w:rPr>
        <w:t>A</w:t>
      </w:r>
      <w:r>
        <w:rPr>
          <w:color w:val="auto"/>
        </w:rPr>
        <w:t xml:space="preserve">.2  </w:t>
      </w:r>
      <w:r>
        <w:rPr>
          <w:rFonts w:hint="eastAsia"/>
          <w:color w:val="auto"/>
        </w:rPr>
        <w:t>木材设计指标</w:t>
      </w:r>
      <w:bookmarkEnd w:id="1725"/>
      <w:bookmarkEnd w:id="1726"/>
      <w:bookmarkEnd w:id="1727"/>
    </w:p>
    <w:p w14:paraId="6101A7CD">
      <w:pPr>
        <w:spacing w:line="360" w:lineRule="auto"/>
        <w:rPr>
          <w:rFonts w:ascii="Times New Roman" w:hAnsi="Times New Roman" w:cs="Times New Roman"/>
          <w:color w:val="auto"/>
          <w:sz w:val="24"/>
        </w:rPr>
      </w:pPr>
      <w:r>
        <w:rPr>
          <w:rFonts w:hint="eastAsia" w:ascii="Times New Roman" w:hAnsi="Times New Roman" w:cs="Times New Roman"/>
          <w:b/>
          <w:bCs/>
          <w:color w:val="auto"/>
          <w:sz w:val="24"/>
        </w:rPr>
        <w:t>A</w:t>
      </w:r>
      <w:r>
        <w:rPr>
          <w:rFonts w:ascii="Times New Roman" w:hAnsi="Times New Roman" w:cs="Times New Roman"/>
          <w:b/>
          <w:bCs/>
          <w:color w:val="auto"/>
          <w:sz w:val="24"/>
        </w:rPr>
        <w:t>.2.1</w:t>
      </w:r>
      <w:r>
        <w:rPr>
          <w:rFonts w:hint="eastAsia" w:ascii="Times New Roman" w:hAnsi="Times New Roman" w:cs="Times New Roman"/>
          <w:color w:val="auto"/>
          <w:sz w:val="24"/>
        </w:rPr>
        <w:t>普通木模板结构用材的设计指标应按下列规定采用：</w:t>
      </w:r>
    </w:p>
    <w:p w14:paraId="0B1B22C3">
      <w:pPr>
        <w:spacing w:line="360" w:lineRule="auto"/>
        <w:ind w:firstLine="482" w:firstLineChars="200"/>
        <w:rPr>
          <w:rFonts w:ascii="Times New Roman" w:hAnsi="Times New Roman" w:eastAsia="宋体" w:cs="Times New Roman"/>
          <w:color w:val="auto"/>
          <w:sz w:val="24"/>
          <w:szCs w:val="24"/>
        </w:rPr>
      </w:pPr>
      <w:r>
        <w:rPr>
          <w:rFonts w:hint="eastAsia" w:ascii="Times New Roman" w:hAnsi="Times New Roman" w:eastAsia="宋体"/>
          <w:b/>
          <w:bCs/>
          <w:color w:val="auto"/>
          <w:sz w:val="24"/>
          <w:szCs w:val="24"/>
        </w:rPr>
        <w:t>1</w:t>
      </w:r>
      <w:r>
        <w:rPr>
          <w:rFonts w:hint="eastAsia" w:ascii="Times New Roman" w:hAnsi="Times New Roman" w:eastAsia="宋体" w:cs="Times New Roman"/>
          <w:color w:val="auto"/>
          <w:sz w:val="24"/>
          <w:szCs w:val="24"/>
        </w:rPr>
        <w:t>在正常情况下，木材的强度设计值及弹性模量，应按表A.2.1-1采用；在不同的使用条件下，木材的强度设计值和弹性模量尚应乘以表A.2.1-2规定的调整系数。</w:t>
      </w:r>
    </w:p>
    <w:p w14:paraId="1BB27A66">
      <w:pPr>
        <w:spacing w:line="360" w:lineRule="auto"/>
        <w:ind w:firstLine="480" w:firstLineChars="200"/>
        <w:rPr>
          <w:rFonts w:ascii="Times New Roman" w:hAnsi="Times New Roman" w:eastAsia="宋体" w:cs="Times New Roman"/>
          <w:color w:val="auto"/>
          <w:sz w:val="24"/>
          <w:szCs w:val="24"/>
        </w:rPr>
      </w:pPr>
    </w:p>
    <w:p w14:paraId="03FB88B6">
      <w:pPr>
        <w:spacing w:line="360" w:lineRule="auto"/>
        <w:rPr>
          <w:rFonts w:ascii="Times New Roman" w:hAnsi="Times New Roman" w:eastAsia="宋体" w:cs="Times New Roman"/>
          <w:color w:val="auto"/>
          <w:sz w:val="24"/>
          <w:szCs w:val="24"/>
        </w:rPr>
      </w:pPr>
    </w:p>
    <w:p w14:paraId="047394E9">
      <w:pPr>
        <w:spacing w:line="360" w:lineRule="auto"/>
        <w:rPr>
          <w:rFonts w:ascii="Times New Roman" w:hAnsi="Times New Roman" w:eastAsia="宋体" w:cs="Times New Roman"/>
          <w:color w:val="auto"/>
          <w:sz w:val="24"/>
          <w:szCs w:val="24"/>
        </w:rPr>
      </w:pPr>
    </w:p>
    <w:p w14:paraId="5AE7C526">
      <w:pPr>
        <w:spacing w:line="360" w:lineRule="auto"/>
        <w:rPr>
          <w:rFonts w:ascii="Times New Roman" w:hAnsi="Times New Roman" w:eastAsia="宋体" w:cs="Times New Roman"/>
          <w:color w:val="auto"/>
          <w:sz w:val="24"/>
          <w:szCs w:val="24"/>
        </w:rPr>
      </w:pPr>
    </w:p>
    <w:p w14:paraId="21498037">
      <w:pPr>
        <w:pStyle w:val="145"/>
        <w:rPr>
          <w:color w:val="auto"/>
        </w:rPr>
      </w:pPr>
    </w:p>
    <w:p w14:paraId="1BFFAE6C">
      <w:pPr>
        <w:pStyle w:val="145"/>
        <w:rPr>
          <w:color w:val="auto"/>
        </w:rPr>
      </w:pPr>
      <w:r>
        <w:rPr>
          <w:rFonts w:hint="eastAsia"/>
          <w:color w:val="auto"/>
        </w:rPr>
        <w:t>表A</w:t>
      </w:r>
      <w:r>
        <w:rPr>
          <w:color w:val="auto"/>
        </w:rPr>
        <w:t xml:space="preserve">.2.1-1  </w:t>
      </w:r>
      <w:r>
        <w:rPr>
          <w:rFonts w:hint="eastAsia"/>
          <w:color w:val="auto"/>
        </w:rPr>
        <w:t>木材的强度设计值和弹性模量（N/m</w:t>
      </w:r>
      <w:r>
        <w:rPr>
          <w:color w:val="auto"/>
        </w:rPr>
        <w:t>m</w:t>
      </w:r>
      <w:r>
        <w:rPr>
          <w:rFonts w:hint="eastAsia"/>
          <w:color w:val="auto"/>
          <w:vertAlign w:val="superscript"/>
        </w:rPr>
        <w:t>2</w:t>
      </w:r>
      <w:r>
        <w:rPr>
          <w:rFonts w:hint="eastAsia"/>
          <w:color w:val="auto"/>
        </w:rPr>
        <w:t>）</w:t>
      </w:r>
    </w:p>
    <w:tbl>
      <w:tblPr>
        <w:tblStyle w:val="89"/>
        <w:tblW w:w="8522" w:type="dxa"/>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959"/>
        <w:gridCol w:w="709"/>
        <w:gridCol w:w="708"/>
        <w:gridCol w:w="851"/>
        <w:gridCol w:w="709"/>
        <w:gridCol w:w="708"/>
        <w:gridCol w:w="851"/>
        <w:gridCol w:w="992"/>
        <w:gridCol w:w="992"/>
        <w:gridCol w:w="1043"/>
      </w:tblGrid>
      <w:tr w14:paraId="4DABBCA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Merge w:val="restart"/>
            <w:vAlign w:val="center"/>
          </w:tcPr>
          <w:p w14:paraId="43702668">
            <w:pPr>
              <w:pStyle w:val="81"/>
              <w:kinsoku w:val="0"/>
              <w:overflowPunct w:val="0"/>
              <w:spacing w:before="86"/>
              <w:jc w:val="center"/>
              <w:textAlignment w:val="baseline"/>
              <w:rPr>
                <w:rFonts w:ascii="Arial" w:hAnsi="Arial" w:eastAsia="宋体" w:cs="Arial"/>
                <w:color w:val="auto"/>
                <w:kern w:val="0"/>
                <w:sz w:val="21"/>
                <w:szCs w:val="21"/>
              </w:rPr>
            </w:pPr>
            <w:r>
              <w:rPr>
                <w:rFonts w:hint="eastAsia" w:cs="Arial"/>
                <w:color w:val="auto"/>
                <w:kern w:val="24"/>
                <w:sz w:val="21"/>
                <w:szCs w:val="21"/>
              </w:rPr>
              <w:t>强度</w:t>
            </w:r>
          </w:p>
          <w:p w14:paraId="5EC5E977">
            <w:pPr>
              <w:spacing w:line="360" w:lineRule="auto"/>
              <w:jc w:val="center"/>
              <w:rPr>
                <w:rFonts w:ascii="Times New Roman" w:hAnsi="Times New Roman" w:eastAsia="宋体" w:cs="Times New Roman"/>
                <w:color w:val="auto"/>
                <w:szCs w:val="21"/>
              </w:rPr>
            </w:pPr>
            <w:r>
              <w:rPr>
                <w:rFonts w:hint="eastAsia" w:ascii="Times New Roman" w:cs="Arial"/>
                <w:color w:val="auto"/>
                <w:kern w:val="24"/>
                <w:szCs w:val="21"/>
              </w:rPr>
              <w:t>等级</w:t>
            </w:r>
          </w:p>
        </w:tc>
        <w:tc>
          <w:tcPr>
            <w:tcW w:w="709" w:type="dxa"/>
            <w:vMerge w:val="restart"/>
            <w:vAlign w:val="center"/>
          </w:tcPr>
          <w:p w14:paraId="3FA13D1F">
            <w:pPr>
              <w:spacing w:line="360" w:lineRule="auto"/>
              <w:jc w:val="center"/>
              <w:rPr>
                <w:rFonts w:ascii="Times New Roman" w:hAnsi="Times New Roman" w:eastAsia="宋体" w:cs="Times New Roman"/>
                <w:color w:val="auto"/>
                <w:szCs w:val="21"/>
              </w:rPr>
            </w:pPr>
            <w:r>
              <w:rPr>
                <w:rFonts w:hint="eastAsia" w:ascii="Times New Roman" w:cs="Arial"/>
                <w:color w:val="auto"/>
                <w:kern w:val="24"/>
                <w:szCs w:val="21"/>
              </w:rPr>
              <w:t>组别</w:t>
            </w:r>
          </w:p>
        </w:tc>
        <w:tc>
          <w:tcPr>
            <w:tcW w:w="708" w:type="dxa"/>
            <w:vMerge w:val="restart"/>
            <w:vAlign w:val="center"/>
          </w:tcPr>
          <w:p w14:paraId="6DF40B58">
            <w:pPr>
              <w:pStyle w:val="81"/>
              <w:kinsoku w:val="0"/>
              <w:overflowPunct w:val="0"/>
              <w:spacing w:before="86"/>
              <w:jc w:val="center"/>
              <w:textAlignment w:val="baseline"/>
              <w:rPr>
                <w:rFonts w:ascii="Arial" w:hAnsi="Arial" w:eastAsia="宋体" w:cs="Arial"/>
                <w:color w:val="auto"/>
                <w:kern w:val="0"/>
                <w:sz w:val="21"/>
                <w:szCs w:val="21"/>
              </w:rPr>
            </w:pPr>
            <w:r>
              <w:rPr>
                <w:rFonts w:hint="eastAsia"/>
                <w:color w:val="auto"/>
                <w:kern w:val="24"/>
                <w:sz w:val="21"/>
                <w:szCs w:val="21"/>
              </w:rPr>
              <w:t>抗弯</w:t>
            </w:r>
          </w:p>
          <w:p w14:paraId="6B8B5CCC">
            <w:pPr>
              <w:spacing w:line="360" w:lineRule="auto"/>
              <w:jc w:val="center"/>
              <w:rPr>
                <w:rFonts w:ascii="Times New Roman" w:hAnsi="Times New Roman" w:eastAsia="宋体" w:cs="Times New Roman"/>
                <w:color w:val="auto"/>
                <w:szCs w:val="21"/>
              </w:rPr>
            </w:pPr>
            <w:r>
              <w:rPr>
                <w:rFonts w:ascii="Times New Roman" w:hAnsi="Times New Roman" w:cs="Times New Roman"/>
                <w:i/>
                <w:iCs/>
                <w:color w:val="auto"/>
                <w:kern w:val="24"/>
                <w:szCs w:val="21"/>
              </w:rPr>
              <w:t>f</w:t>
            </w:r>
            <w:r>
              <w:rPr>
                <w:rFonts w:ascii="Times New Roman" w:hAnsi="Times New Roman" w:cs="Times New Roman"/>
                <w:color w:val="auto"/>
                <w:kern w:val="24"/>
                <w:position w:val="-9"/>
                <w:szCs w:val="21"/>
                <w:vertAlign w:val="subscript"/>
              </w:rPr>
              <w:t>m</w:t>
            </w:r>
          </w:p>
        </w:tc>
        <w:tc>
          <w:tcPr>
            <w:tcW w:w="851" w:type="dxa"/>
            <w:vMerge w:val="restart"/>
            <w:vAlign w:val="center"/>
          </w:tcPr>
          <w:p w14:paraId="74D42A4B">
            <w:pPr>
              <w:spacing w:line="360" w:lineRule="auto"/>
              <w:jc w:val="center"/>
              <w:rPr>
                <w:rFonts w:ascii="Times New Roman" w:hAnsi="Times New Roman" w:eastAsia="宋体" w:cs="Times New Roman"/>
                <w:color w:val="auto"/>
                <w:szCs w:val="21"/>
              </w:rPr>
            </w:pPr>
            <w:r>
              <w:rPr>
                <w:rFonts w:hint="eastAsia" w:ascii="Times New Roman" w:cs="Times New Roman"/>
                <w:color w:val="auto"/>
                <w:kern w:val="24"/>
                <w:szCs w:val="21"/>
              </w:rPr>
              <w:t>顺纹抗压及承压</w:t>
            </w:r>
            <w:r>
              <w:rPr>
                <w:rFonts w:ascii="Times New Roman" w:hAnsi="Times New Roman" w:cs="Times New Roman"/>
                <w:i/>
                <w:iCs/>
                <w:color w:val="auto"/>
                <w:kern w:val="24"/>
                <w:szCs w:val="21"/>
              </w:rPr>
              <w:t>f</w:t>
            </w:r>
            <w:r>
              <w:rPr>
                <w:rFonts w:ascii="Times New Roman" w:hAnsi="Times New Roman" w:cs="Times New Roman"/>
                <w:color w:val="auto"/>
                <w:kern w:val="24"/>
                <w:position w:val="-9"/>
                <w:szCs w:val="21"/>
                <w:vertAlign w:val="subscript"/>
              </w:rPr>
              <w:t>c</w:t>
            </w:r>
          </w:p>
        </w:tc>
        <w:tc>
          <w:tcPr>
            <w:tcW w:w="709" w:type="dxa"/>
            <w:vMerge w:val="restart"/>
            <w:vAlign w:val="center"/>
          </w:tcPr>
          <w:p w14:paraId="045B6B18">
            <w:pPr>
              <w:pStyle w:val="81"/>
              <w:kinsoku w:val="0"/>
              <w:overflowPunct w:val="0"/>
              <w:spacing w:before="86"/>
              <w:jc w:val="center"/>
              <w:textAlignment w:val="baseline"/>
              <w:rPr>
                <w:rFonts w:eastAsia="宋体"/>
                <w:color w:val="auto"/>
                <w:sz w:val="21"/>
                <w:szCs w:val="21"/>
              </w:rPr>
            </w:pPr>
            <w:r>
              <w:rPr>
                <w:rFonts w:hint="eastAsia"/>
                <w:color w:val="auto"/>
                <w:kern w:val="24"/>
                <w:sz w:val="21"/>
                <w:szCs w:val="21"/>
              </w:rPr>
              <w:t>顺纹抗拉</w:t>
            </w:r>
            <w:r>
              <w:rPr>
                <w:i/>
                <w:iCs/>
                <w:color w:val="auto"/>
                <w:kern w:val="24"/>
                <w:sz w:val="21"/>
                <w:szCs w:val="21"/>
              </w:rPr>
              <w:t>f</w:t>
            </w:r>
            <w:r>
              <w:rPr>
                <w:color w:val="auto"/>
                <w:kern w:val="24"/>
                <w:position w:val="-9"/>
                <w:sz w:val="21"/>
                <w:szCs w:val="21"/>
                <w:vertAlign w:val="subscript"/>
              </w:rPr>
              <w:t>t</w:t>
            </w:r>
          </w:p>
        </w:tc>
        <w:tc>
          <w:tcPr>
            <w:tcW w:w="708" w:type="dxa"/>
            <w:vMerge w:val="restart"/>
            <w:vAlign w:val="center"/>
          </w:tcPr>
          <w:p w14:paraId="427EBE88">
            <w:pPr>
              <w:pStyle w:val="81"/>
              <w:kinsoku w:val="0"/>
              <w:overflowPunct w:val="0"/>
              <w:spacing w:before="86"/>
              <w:jc w:val="center"/>
              <w:textAlignment w:val="baseline"/>
              <w:rPr>
                <w:rFonts w:eastAsia="宋体"/>
                <w:color w:val="auto"/>
                <w:sz w:val="21"/>
                <w:szCs w:val="21"/>
              </w:rPr>
            </w:pPr>
            <w:r>
              <w:rPr>
                <w:rFonts w:hint="eastAsia"/>
                <w:color w:val="auto"/>
                <w:kern w:val="24"/>
                <w:sz w:val="21"/>
                <w:szCs w:val="21"/>
              </w:rPr>
              <w:t>顺纹抗剪</w:t>
            </w:r>
            <w:r>
              <w:rPr>
                <w:i/>
                <w:iCs/>
                <w:color w:val="auto"/>
                <w:kern w:val="24"/>
                <w:sz w:val="21"/>
                <w:szCs w:val="21"/>
              </w:rPr>
              <w:t>f</w:t>
            </w:r>
            <w:r>
              <w:rPr>
                <w:color w:val="auto"/>
                <w:kern w:val="24"/>
                <w:position w:val="-9"/>
                <w:sz w:val="21"/>
                <w:szCs w:val="21"/>
                <w:vertAlign w:val="subscript"/>
              </w:rPr>
              <w:t>v</w:t>
            </w:r>
          </w:p>
        </w:tc>
        <w:tc>
          <w:tcPr>
            <w:tcW w:w="2835" w:type="dxa"/>
            <w:gridSpan w:val="3"/>
            <w:vAlign w:val="center"/>
          </w:tcPr>
          <w:p w14:paraId="1FB5F708">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横纹承压</w:t>
            </w:r>
          </w:p>
        </w:tc>
        <w:tc>
          <w:tcPr>
            <w:tcW w:w="1043" w:type="dxa"/>
            <w:vMerge w:val="restart"/>
            <w:vAlign w:val="center"/>
          </w:tcPr>
          <w:p w14:paraId="16912A31">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弹性</w:t>
            </w:r>
          </w:p>
          <w:p w14:paraId="3E3ED30C">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模量</w:t>
            </w:r>
          </w:p>
          <w:p w14:paraId="5AADFDFD">
            <w:pPr>
              <w:spacing w:line="360" w:lineRule="auto"/>
              <w:jc w:val="center"/>
              <w:rPr>
                <w:rFonts w:ascii="Times New Roman" w:hAnsi="Times New Roman" w:eastAsia="宋体" w:cs="Times New Roman"/>
                <w:color w:val="auto"/>
                <w:szCs w:val="21"/>
              </w:rPr>
            </w:pPr>
            <w:r>
              <w:rPr>
                <w:rFonts w:ascii="Times New Roman" w:hAnsi="Times New Roman" w:eastAsia="宋体" w:cs="Times New Roman"/>
                <w:i/>
                <w:iCs/>
                <w:color w:val="auto"/>
                <w:szCs w:val="21"/>
              </w:rPr>
              <w:t>E</w:t>
            </w:r>
          </w:p>
        </w:tc>
      </w:tr>
      <w:tr w14:paraId="0AFC75C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Merge w:val="continue"/>
            <w:vAlign w:val="center"/>
          </w:tcPr>
          <w:p w14:paraId="2BAD3644">
            <w:pPr>
              <w:spacing w:line="360" w:lineRule="auto"/>
              <w:jc w:val="center"/>
              <w:rPr>
                <w:rFonts w:ascii="Times New Roman" w:hAnsi="Times New Roman" w:eastAsia="宋体" w:cs="Times New Roman"/>
                <w:color w:val="auto"/>
                <w:szCs w:val="21"/>
              </w:rPr>
            </w:pPr>
          </w:p>
        </w:tc>
        <w:tc>
          <w:tcPr>
            <w:tcW w:w="709" w:type="dxa"/>
            <w:vMerge w:val="continue"/>
            <w:vAlign w:val="center"/>
          </w:tcPr>
          <w:p w14:paraId="5FE1A14E">
            <w:pPr>
              <w:spacing w:line="360" w:lineRule="auto"/>
              <w:jc w:val="center"/>
              <w:rPr>
                <w:rFonts w:ascii="Times New Roman" w:hAnsi="Times New Roman" w:eastAsia="宋体" w:cs="Times New Roman"/>
                <w:color w:val="auto"/>
                <w:szCs w:val="21"/>
              </w:rPr>
            </w:pPr>
          </w:p>
        </w:tc>
        <w:tc>
          <w:tcPr>
            <w:tcW w:w="708" w:type="dxa"/>
            <w:vMerge w:val="continue"/>
            <w:vAlign w:val="center"/>
          </w:tcPr>
          <w:p w14:paraId="53630629">
            <w:pPr>
              <w:spacing w:line="360" w:lineRule="auto"/>
              <w:jc w:val="center"/>
              <w:rPr>
                <w:rFonts w:ascii="Times New Roman" w:hAnsi="Times New Roman" w:eastAsia="宋体" w:cs="Times New Roman"/>
                <w:color w:val="auto"/>
                <w:szCs w:val="21"/>
              </w:rPr>
            </w:pPr>
          </w:p>
        </w:tc>
        <w:tc>
          <w:tcPr>
            <w:tcW w:w="851" w:type="dxa"/>
            <w:vMerge w:val="continue"/>
            <w:vAlign w:val="center"/>
          </w:tcPr>
          <w:p w14:paraId="0B069A1B">
            <w:pPr>
              <w:spacing w:line="360" w:lineRule="auto"/>
              <w:jc w:val="center"/>
              <w:rPr>
                <w:rFonts w:ascii="Times New Roman" w:hAnsi="Times New Roman" w:eastAsia="宋体" w:cs="Times New Roman"/>
                <w:color w:val="auto"/>
                <w:szCs w:val="21"/>
              </w:rPr>
            </w:pPr>
          </w:p>
        </w:tc>
        <w:tc>
          <w:tcPr>
            <w:tcW w:w="709" w:type="dxa"/>
            <w:vMerge w:val="continue"/>
            <w:vAlign w:val="center"/>
          </w:tcPr>
          <w:p w14:paraId="245462C3">
            <w:pPr>
              <w:spacing w:line="360" w:lineRule="auto"/>
              <w:jc w:val="center"/>
              <w:rPr>
                <w:rFonts w:ascii="Times New Roman" w:hAnsi="Times New Roman" w:eastAsia="宋体" w:cs="Times New Roman"/>
                <w:color w:val="auto"/>
                <w:szCs w:val="21"/>
              </w:rPr>
            </w:pPr>
          </w:p>
        </w:tc>
        <w:tc>
          <w:tcPr>
            <w:tcW w:w="708" w:type="dxa"/>
            <w:vMerge w:val="continue"/>
            <w:vAlign w:val="center"/>
          </w:tcPr>
          <w:p w14:paraId="6903D71F">
            <w:pPr>
              <w:spacing w:line="360" w:lineRule="auto"/>
              <w:jc w:val="center"/>
              <w:rPr>
                <w:rFonts w:ascii="Times New Roman" w:hAnsi="Times New Roman" w:eastAsia="宋体" w:cs="Times New Roman"/>
                <w:color w:val="auto"/>
                <w:szCs w:val="21"/>
              </w:rPr>
            </w:pPr>
          </w:p>
        </w:tc>
        <w:tc>
          <w:tcPr>
            <w:tcW w:w="851" w:type="dxa"/>
            <w:vAlign w:val="center"/>
          </w:tcPr>
          <w:p w14:paraId="54629FCD">
            <w:pPr>
              <w:spacing w:line="360" w:lineRule="auto"/>
              <w:jc w:val="center"/>
              <w:rPr>
                <w:rFonts w:ascii="Times New Roman" w:hAnsi="Times New Roman" w:eastAsia="宋体" w:cs="Times New Roman"/>
                <w:color w:val="auto"/>
                <w:szCs w:val="21"/>
              </w:rPr>
            </w:pPr>
            <w:r>
              <w:rPr>
                <w:rFonts w:hint="eastAsia" w:ascii="Times New Roman" w:cs="Arial"/>
                <w:color w:val="auto"/>
                <w:kern w:val="24"/>
                <w:szCs w:val="21"/>
              </w:rPr>
              <w:t>全表面</w:t>
            </w:r>
          </w:p>
        </w:tc>
        <w:tc>
          <w:tcPr>
            <w:tcW w:w="992" w:type="dxa"/>
            <w:vAlign w:val="center"/>
          </w:tcPr>
          <w:p w14:paraId="36D61FC9">
            <w:pPr>
              <w:spacing w:line="360" w:lineRule="auto"/>
              <w:jc w:val="center"/>
              <w:rPr>
                <w:rFonts w:ascii="Times New Roman" w:cs="Times New Roman"/>
                <w:color w:val="auto"/>
                <w:kern w:val="24"/>
                <w:szCs w:val="21"/>
              </w:rPr>
            </w:pPr>
            <w:r>
              <w:rPr>
                <w:rFonts w:hint="eastAsia" w:ascii="Times New Roman" w:cs="Times New Roman"/>
                <w:color w:val="auto"/>
                <w:kern w:val="24"/>
                <w:szCs w:val="21"/>
              </w:rPr>
              <w:t>局部</w:t>
            </w:r>
          </w:p>
          <w:p w14:paraId="2062C4F4">
            <w:pPr>
              <w:spacing w:line="360" w:lineRule="auto"/>
              <w:jc w:val="center"/>
              <w:rPr>
                <w:rFonts w:ascii="Times New Roman" w:cs="Times New Roman"/>
                <w:color w:val="auto"/>
                <w:kern w:val="24"/>
                <w:szCs w:val="21"/>
              </w:rPr>
            </w:pPr>
            <w:r>
              <w:rPr>
                <w:rFonts w:hint="eastAsia" w:ascii="Times New Roman" w:cs="Times New Roman"/>
                <w:color w:val="auto"/>
                <w:kern w:val="24"/>
                <w:szCs w:val="21"/>
              </w:rPr>
              <w:t>表面</w:t>
            </w:r>
          </w:p>
          <w:p w14:paraId="0E0F24ED">
            <w:pPr>
              <w:spacing w:line="360" w:lineRule="auto"/>
              <w:jc w:val="center"/>
              <w:rPr>
                <w:rFonts w:ascii="Times New Roman" w:hAnsi="Times New Roman" w:eastAsia="宋体" w:cs="Times New Roman"/>
                <w:color w:val="auto"/>
                <w:szCs w:val="21"/>
              </w:rPr>
            </w:pPr>
            <w:r>
              <w:rPr>
                <w:rFonts w:hint="eastAsia" w:ascii="Times New Roman" w:cs="Times New Roman"/>
                <w:color w:val="auto"/>
                <w:kern w:val="24"/>
                <w:szCs w:val="21"/>
              </w:rPr>
              <w:t>和齿面</w:t>
            </w:r>
          </w:p>
        </w:tc>
        <w:tc>
          <w:tcPr>
            <w:tcW w:w="992" w:type="dxa"/>
            <w:vAlign w:val="center"/>
          </w:tcPr>
          <w:p w14:paraId="50E50B44">
            <w:pPr>
              <w:spacing w:line="360" w:lineRule="auto"/>
              <w:jc w:val="center"/>
              <w:rPr>
                <w:rFonts w:ascii="Times New Roman" w:cs="Arial"/>
                <w:color w:val="auto"/>
                <w:kern w:val="24"/>
                <w:szCs w:val="21"/>
              </w:rPr>
            </w:pPr>
            <w:r>
              <w:rPr>
                <w:rFonts w:hint="eastAsia" w:ascii="Times New Roman" w:cs="Arial"/>
                <w:color w:val="auto"/>
                <w:kern w:val="24"/>
                <w:szCs w:val="21"/>
              </w:rPr>
              <w:t>拉力螺栓垫</w:t>
            </w:r>
          </w:p>
          <w:p w14:paraId="03EE1203">
            <w:pPr>
              <w:spacing w:line="360" w:lineRule="auto"/>
              <w:jc w:val="center"/>
              <w:rPr>
                <w:rFonts w:ascii="Times New Roman" w:hAnsi="Times New Roman" w:eastAsia="宋体" w:cs="Times New Roman"/>
                <w:color w:val="auto"/>
                <w:szCs w:val="21"/>
              </w:rPr>
            </w:pPr>
            <w:r>
              <w:rPr>
                <w:rFonts w:hint="eastAsia" w:ascii="Times New Roman" w:cs="Arial"/>
                <w:color w:val="auto"/>
                <w:kern w:val="24"/>
                <w:szCs w:val="21"/>
              </w:rPr>
              <w:t>板下</w:t>
            </w:r>
          </w:p>
        </w:tc>
        <w:tc>
          <w:tcPr>
            <w:tcW w:w="1043" w:type="dxa"/>
            <w:vMerge w:val="continue"/>
            <w:vAlign w:val="center"/>
          </w:tcPr>
          <w:p w14:paraId="53B374CC">
            <w:pPr>
              <w:spacing w:line="360" w:lineRule="auto"/>
              <w:jc w:val="center"/>
              <w:rPr>
                <w:rFonts w:ascii="Times New Roman" w:hAnsi="Times New Roman" w:eastAsia="宋体" w:cs="Times New Roman"/>
                <w:color w:val="auto"/>
                <w:szCs w:val="21"/>
              </w:rPr>
            </w:pPr>
          </w:p>
        </w:tc>
      </w:tr>
      <w:tr w14:paraId="1DD98CE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Merge w:val="restart"/>
            <w:vAlign w:val="center"/>
          </w:tcPr>
          <w:p w14:paraId="68C9C4DA">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TC17</w:t>
            </w:r>
          </w:p>
        </w:tc>
        <w:tc>
          <w:tcPr>
            <w:tcW w:w="709" w:type="dxa"/>
            <w:vAlign w:val="center"/>
          </w:tcPr>
          <w:p w14:paraId="06B5EDCB">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A</w:t>
            </w:r>
          </w:p>
        </w:tc>
        <w:tc>
          <w:tcPr>
            <w:tcW w:w="708" w:type="dxa"/>
            <w:vAlign w:val="center"/>
          </w:tcPr>
          <w:p w14:paraId="3602CB41">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17</w:t>
            </w:r>
          </w:p>
        </w:tc>
        <w:tc>
          <w:tcPr>
            <w:tcW w:w="851" w:type="dxa"/>
            <w:vAlign w:val="center"/>
          </w:tcPr>
          <w:p w14:paraId="1F3A040F">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16</w:t>
            </w:r>
          </w:p>
        </w:tc>
        <w:tc>
          <w:tcPr>
            <w:tcW w:w="709" w:type="dxa"/>
            <w:vAlign w:val="center"/>
          </w:tcPr>
          <w:p w14:paraId="73669C90">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10</w:t>
            </w:r>
          </w:p>
        </w:tc>
        <w:tc>
          <w:tcPr>
            <w:tcW w:w="708" w:type="dxa"/>
            <w:vAlign w:val="center"/>
          </w:tcPr>
          <w:p w14:paraId="39D5D78E">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1.7</w:t>
            </w:r>
          </w:p>
        </w:tc>
        <w:tc>
          <w:tcPr>
            <w:tcW w:w="851" w:type="dxa"/>
            <w:vAlign w:val="center"/>
          </w:tcPr>
          <w:p w14:paraId="22B3FC06">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2</w:t>
            </w:r>
            <w:r>
              <w:rPr>
                <w:rFonts w:ascii="Times New Roman" w:hAnsi="Times New Roman" w:eastAsia="宋体" w:cs="Times New Roman"/>
                <w:color w:val="auto"/>
                <w:szCs w:val="21"/>
              </w:rPr>
              <w:t>.3</w:t>
            </w:r>
          </w:p>
        </w:tc>
        <w:tc>
          <w:tcPr>
            <w:tcW w:w="992" w:type="dxa"/>
            <w:vAlign w:val="center"/>
          </w:tcPr>
          <w:p w14:paraId="756A236D">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3</w:t>
            </w:r>
            <w:r>
              <w:rPr>
                <w:rFonts w:ascii="Times New Roman" w:hAnsi="Times New Roman" w:eastAsia="宋体" w:cs="Times New Roman"/>
                <w:color w:val="auto"/>
                <w:szCs w:val="21"/>
              </w:rPr>
              <w:t>.5</w:t>
            </w:r>
          </w:p>
        </w:tc>
        <w:tc>
          <w:tcPr>
            <w:tcW w:w="992" w:type="dxa"/>
            <w:vAlign w:val="center"/>
          </w:tcPr>
          <w:p w14:paraId="1CDC83AF">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4</w:t>
            </w:r>
            <w:r>
              <w:rPr>
                <w:rFonts w:ascii="Times New Roman" w:hAnsi="Times New Roman" w:eastAsia="宋体" w:cs="Times New Roman"/>
                <w:color w:val="auto"/>
                <w:szCs w:val="21"/>
              </w:rPr>
              <w:t>.6</w:t>
            </w:r>
          </w:p>
        </w:tc>
        <w:tc>
          <w:tcPr>
            <w:tcW w:w="1043" w:type="dxa"/>
            <w:vAlign w:val="center"/>
          </w:tcPr>
          <w:p w14:paraId="26DB6567">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0000</w:t>
            </w:r>
          </w:p>
        </w:tc>
      </w:tr>
      <w:tr w14:paraId="6190717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Merge w:val="continue"/>
            <w:vAlign w:val="center"/>
          </w:tcPr>
          <w:p w14:paraId="10DBAD4E">
            <w:pPr>
              <w:spacing w:line="360" w:lineRule="auto"/>
              <w:jc w:val="center"/>
              <w:rPr>
                <w:rFonts w:ascii="Times New Roman" w:hAnsi="Times New Roman" w:eastAsia="宋体" w:cs="Times New Roman"/>
                <w:color w:val="auto"/>
                <w:szCs w:val="21"/>
              </w:rPr>
            </w:pPr>
          </w:p>
        </w:tc>
        <w:tc>
          <w:tcPr>
            <w:tcW w:w="709" w:type="dxa"/>
            <w:vAlign w:val="center"/>
          </w:tcPr>
          <w:p w14:paraId="3FC0E398">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B</w:t>
            </w:r>
          </w:p>
        </w:tc>
        <w:tc>
          <w:tcPr>
            <w:tcW w:w="708" w:type="dxa"/>
            <w:vAlign w:val="center"/>
          </w:tcPr>
          <w:p w14:paraId="0E349DA5">
            <w:pPr>
              <w:spacing w:line="360" w:lineRule="auto"/>
              <w:jc w:val="center"/>
              <w:rPr>
                <w:rFonts w:ascii="Times New Roman" w:hAnsi="Times New Roman" w:eastAsia="宋体" w:cs="Times New Roman"/>
                <w:color w:val="auto"/>
                <w:szCs w:val="21"/>
              </w:rPr>
            </w:pPr>
          </w:p>
        </w:tc>
        <w:tc>
          <w:tcPr>
            <w:tcW w:w="851" w:type="dxa"/>
            <w:vAlign w:val="center"/>
          </w:tcPr>
          <w:p w14:paraId="31995595">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15</w:t>
            </w:r>
          </w:p>
        </w:tc>
        <w:tc>
          <w:tcPr>
            <w:tcW w:w="709" w:type="dxa"/>
            <w:vAlign w:val="center"/>
          </w:tcPr>
          <w:p w14:paraId="46EFD52C">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9.5</w:t>
            </w:r>
          </w:p>
        </w:tc>
        <w:tc>
          <w:tcPr>
            <w:tcW w:w="708" w:type="dxa"/>
            <w:vAlign w:val="center"/>
          </w:tcPr>
          <w:p w14:paraId="395D3BD6">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1.6</w:t>
            </w:r>
          </w:p>
        </w:tc>
        <w:tc>
          <w:tcPr>
            <w:tcW w:w="851" w:type="dxa"/>
            <w:vAlign w:val="center"/>
          </w:tcPr>
          <w:p w14:paraId="3CCF669D">
            <w:pPr>
              <w:spacing w:line="360" w:lineRule="auto"/>
              <w:jc w:val="center"/>
              <w:rPr>
                <w:rFonts w:ascii="Times New Roman" w:hAnsi="Times New Roman" w:eastAsia="宋体" w:cs="Times New Roman"/>
                <w:color w:val="auto"/>
                <w:szCs w:val="21"/>
              </w:rPr>
            </w:pPr>
          </w:p>
        </w:tc>
        <w:tc>
          <w:tcPr>
            <w:tcW w:w="992" w:type="dxa"/>
            <w:vAlign w:val="center"/>
          </w:tcPr>
          <w:p w14:paraId="3791F9FE">
            <w:pPr>
              <w:spacing w:line="360" w:lineRule="auto"/>
              <w:jc w:val="center"/>
              <w:rPr>
                <w:rFonts w:ascii="Times New Roman" w:hAnsi="Times New Roman" w:eastAsia="宋体" w:cs="Times New Roman"/>
                <w:color w:val="auto"/>
                <w:szCs w:val="21"/>
              </w:rPr>
            </w:pPr>
          </w:p>
        </w:tc>
        <w:tc>
          <w:tcPr>
            <w:tcW w:w="992" w:type="dxa"/>
            <w:vAlign w:val="center"/>
          </w:tcPr>
          <w:p w14:paraId="436827CE">
            <w:pPr>
              <w:spacing w:line="360" w:lineRule="auto"/>
              <w:jc w:val="center"/>
              <w:rPr>
                <w:rFonts w:ascii="Times New Roman" w:hAnsi="Times New Roman" w:eastAsia="宋体" w:cs="Times New Roman"/>
                <w:color w:val="auto"/>
                <w:szCs w:val="21"/>
              </w:rPr>
            </w:pPr>
          </w:p>
        </w:tc>
        <w:tc>
          <w:tcPr>
            <w:tcW w:w="1043" w:type="dxa"/>
            <w:vAlign w:val="center"/>
          </w:tcPr>
          <w:p w14:paraId="3FBF6E68">
            <w:pPr>
              <w:spacing w:line="360" w:lineRule="auto"/>
              <w:jc w:val="center"/>
              <w:rPr>
                <w:rFonts w:ascii="Times New Roman" w:hAnsi="Times New Roman" w:eastAsia="宋体" w:cs="Times New Roman"/>
                <w:color w:val="auto"/>
                <w:szCs w:val="21"/>
              </w:rPr>
            </w:pPr>
          </w:p>
        </w:tc>
      </w:tr>
      <w:tr w14:paraId="50E5EA69">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Merge w:val="restart"/>
            <w:vAlign w:val="center"/>
          </w:tcPr>
          <w:p w14:paraId="7785905F">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TC15</w:t>
            </w:r>
          </w:p>
        </w:tc>
        <w:tc>
          <w:tcPr>
            <w:tcW w:w="709" w:type="dxa"/>
            <w:vAlign w:val="center"/>
          </w:tcPr>
          <w:p w14:paraId="6DB3C5C9">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A</w:t>
            </w:r>
          </w:p>
        </w:tc>
        <w:tc>
          <w:tcPr>
            <w:tcW w:w="708" w:type="dxa"/>
            <w:vMerge w:val="restart"/>
            <w:vAlign w:val="center"/>
          </w:tcPr>
          <w:p w14:paraId="7BEDFDE4">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15</w:t>
            </w:r>
          </w:p>
        </w:tc>
        <w:tc>
          <w:tcPr>
            <w:tcW w:w="851" w:type="dxa"/>
            <w:vAlign w:val="center"/>
          </w:tcPr>
          <w:p w14:paraId="53E6D45F">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13</w:t>
            </w:r>
          </w:p>
        </w:tc>
        <w:tc>
          <w:tcPr>
            <w:tcW w:w="709" w:type="dxa"/>
            <w:vAlign w:val="center"/>
          </w:tcPr>
          <w:p w14:paraId="4F628E3D">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9.0</w:t>
            </w:r>
          </w:p>
        </w:tc>
        <w:tc>
          <w:tcPr>
            <w:tcW w:w="708" w:type="dxa"/>
            <w:vAlign w:val="center"/>
          </w:tcPr>
          <w:p w14:paraId="5008585A">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.6</w:t>
            </w:r>
          </w:p>
        </w:tc>
        <w:tc>
          <w:tcPr>
            <w:tcW w:w="851" w:type="dxa"/>
            <w:vMerge w:val="restart"/>
            <w:vAlign w:val="center"/>
          </w:tcPr>
          <w:p w14:paraId="659318EE">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2</w:t>
            </w:r>
            <w:r>
              <w:rPr>
                <w:rFonts w:ascii="Times New Roman" w:hAnsi="Times New Roman" w:eastAsia="宋体" w:cs="Times New Roman"/>
                <w:color w:val="auto"/>
                <w:szCs w:val="21"/>
              </w:rPr>
              <w:t>.1</w:t>
            </w:r>
          </w:p>
        </w:tc>
        <w:tc>
          <w:tcPr>
            <w:tcW w:w="992" w:type="dxa"/>
            <w:vMerge w:val="restart"/>
            <w:vAlign w:val="center"/>
          </w:tcPr>
          <w:p w14:paraId="31C2BA5E">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3</w:t>
            </w:r>
            <w:r>
              <w:rPr>
                <w:rFonts w:ascii="Times New Roman" w:hAnsi="Times New Roman" w:eastAsia="宋体" w:cs="Times New Roman"/>
                <w:color w:val="auto"/>
                <w:szCs w:val="21"/>
              </w:rPr>
              <w:t>.1</w:t>
            </w:r>
          </w:p>
        </w:tc>
        <w:tc>
          <w:tcPr>
            <w:tcW w:w="992" w:type="dxa"/>
            <w:vMerge w:val="restart"/>
            <w:vAlign w:val="center"/>
          </w:tcPr>
          <w:p w14:paraId="0AC51934">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4</w:t>
            </w:r>
            <w:r>
              <w:rPr>
                <w:rFonts w:ascii="Times New Roman" w:hAnsi="Times New Roman" w:eastAsia="宋体" w:cs="Times New Roman"/>
                <w:color w:val="auto"/>
                <w:szCs w:val="21"/>
              </w:rPr>
              <w:t>.2</w:t>
            </w:r>
          </w:p>
        </w:tc>
        <w:tc>
          <w:tcPr>
            <w:tcW w:w="1043" w:type="dxa"/>
            <w:vMerge w:val="restart"/>
            <w:vAlign w:val="center"/>
          </w:tcPr>
          <w:p w14:paraId="09D67667">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0000</w:t>
            </w:r>
          </w:p>
        </w:tc>
      </w:tr>
      <w:tr w14:paraId="099912FA">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Merge w:val="continue"/>
            <w:vAlign w:val="center"/>
          </w:tcPr>
          <w:p w14:paraId="67711C8D">
            <w:pPr>
              <w:spacing w:line="360" w:lineRule="auto"/>
              <w:jc w:val="center"/>
              <w:rPr>
                <w:rFonts w:ascii="Times New Roman" w:hAnsi="Times New Roman" w:eastAsia="宋体" w:cs="Times New Roman"/>
                <w:color w:val="auto"/>
                <w:szCs w:val="21"/>
              </w:rPr>
            </w:pPr>
          </w:p>
        </w:tc>
        <w:tc>
          <w:tcPr>
            <w:tcW w:w="709" w:type="dxa"/>
            <w:vAlign w:val="center"/>
          </w:tcPr>
          <w:p w14:paraId="6473073F">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B</w:t>
            </w:r>
          </w:p>
        </w:tc>
        <w:tc>
          <w:tcPr>
            <w:tcW w:w="708" w:type="dxa"/>
            <w:vMerge w:val="continue"/>
            <w:vAlign w:val="center"/>
          </w:tcPr>
          <w:p w14:paraId="65937CC7">
            <w:pPr>
              <w:spacing w:line="360" w:lineRule="auto"/>
              <w:jc w:val="center"/>
              <w:rPr>
                <w:rFonts w:ascii="Times New Roman" w:hAnsi="Times New Roman" w:eastAsia="宋体" w:cs="Times New Roman"/>
                <w:color w:val="auto"/>
                <w:szCs w:val="21"/>
              </w:rPr>
            </w:pPr>
          </w:p>
        </w:tc>
        <w:tc>
          <w:tcPr>
            <w:tcW w:w="851" w:type="dxa"/>
            <w:vAlign w:val="center"/>
          </w:tcPr>
          <w:p w14:paraId="069AA3D3">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12</w:t>
            </w:r>
          </w:p>
        </w:tc>
        <w:tc>
          <w:tcPr>
            <w:tcW w:w="709" w:type="dxa"/>
            <w:vAlign w:val="center"/>
          </w:tcPr>
          <w:p w14:paraId="779CA7E8">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9.0</w:t>
            </w:r>
          </w:p>
        </w:tc>
        <w:tc>
          <w:tcPr>
            <w:tcW w:w="708" w:type="dxa"/>
            <w:vAlign w:val="center"/>
          </w:tcPr>
          <w:p w14:paraId="50E56903">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.5</w:t>
            </w:r>
          </w:p>
        </w:tc>
        <w:tc>
          <w:tcPr>
            <w:tcW w:w="851" w:type="dxa"/>
            <w:vMerge w:val="continue"/>
            <w:vAlign w:val="center"/>
          </w:tcPr>
          <w:p w14:paraId="564A59B6">
            <w:pPr>
              <w:spacing w:line="360" w:lineRule="auto"/>
              <w:jc w:val="center"/>
              <w:rPr>
                <w:rFonts w:ascii="Times New Roman" w:hAnsi="Times New Roman" w:eastAsia="宋体" w:cs="Times New Roman"/>
                <w:color w:val="auto"/>
                <w:szCs w:val="21"/>
              </w:rPr>
            </w:pPr>
          </w:p>
        </w:tc>
        <w:tc>
          <w:tcPr>
            <w:tcW w:w="992" w:type="dxa"/>
            <w:vMerge w:val="continue"/>
            <w:vAlign w:val="center"/>
          </w:tcPr>
          <w:p w14:paraId="52A08631">
            <w:pPr>
              <w:spacing w:line="360" w:lineRule="auto"/>
              <w:jc w:val="center"/>
              <w:rPr>
                <w:rFonts w:ascii="Times New Roman" w:hAnsi="Times New Roman" w:eastAsia="宋体" w:cs="Times New Roman"/>
                <w:color w:val="auto"/>
                <w:szCs w:val="21"/>
              </w:rPr>
            </w:pPr>
          </w:p>
        </w:tc>
        <w:tc>
          <w:tcPr>
            <w:tcW w:w="992" w:type="dxa"/>
            <w:vMerge w:val="continue"/>
            <w:vAlign w:val="center"/>
          </w:tcPr>
          <w:p w14:paraId="69ABBC38">
            <w:pPr>
              <w:spacing w:line="360" w:lineRule="auto"/>
              <w:jc w:val="center"/>
              <w:rPr>
                <w:rFonts w:ascii="Times New Roman" w:hAnsi="Times New Roman" w:eastAsia="宋体" w:cs="Times New Roman"/>
                <w:color w:val="auto"/>
                <w:szCs w:val="21"/>
              </w:rPr>
            </w:pPr>
          </w:p>
        </w:tc>
        <w:tc>
          <w:tcPr>
            <w:tcW w:w="1043" w:type="dxa"/>
            <w:vMerge w:val="continue"/>
            <w:vAlign w:val="center"/>
          </w:tcPr>
          <w:p w14:paraId="2E76C895">
            <w:pPr>
              <w:spacing w:line="360" w:lineRule="auto"/>
              <w:jc w:val="center"/>
              <w:rPr>
                <w:rFonts w:ascii="Times New Roman" w:hAnsi="Times New Roman" w:eastAsia="宋体" w:cs="Times New Roman"/>
                <w:color w:val="auto"/>
                <w:szCs w:val="21"/>
              </w:rPr>
            </w:pPr>
          </w:p>
        </w:tc>
      </w:tr>
      <w:tr w14:paraId="66F7AD1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Merge w:val="restart"/>
            <w:vAlign w:val="center"/>
          </w:tcPr>
          <w:p w14:paraId="136DFF4C">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TC13</w:t>
            </w:r>
          </w:p>
        </w:tc>
        <w:tc>
          <w:tcPr>
            <w:tcW w:w="709" w:type="dxa"/>
            <w:vAlign w:val="center"/>
          </w:tcPr>
          <w:p w14:paraId="76E31FEE">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A</w:t>
            </w:r>
          </w:p>
        </w:tc>
        <w:tc>
          <w:tcPr>
            <w:tcW w:w="708" w:type="dxa"/>
            <w:vMerge w:val="restart"/>
            <w:vAlign w:val="center"/>
          </w:tcPr>
          <w:p w14:paraId="14B322E2">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13</w:t>
            </w:r>
          </w:p>
        </w:tc>
        <w:tc>
          <w:tcPr>
            <w:tcW w:w="851" w:type="dxa"/>
            <w:vAlign w:val="center"/>
          </w:tcPr>
          <w:p w14:paraId="7AA9DB69">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12</w:t>
            </w:r>
          </w:p>
        </w:tc>
        <w:tc>
          <w:tcPr>
            <w:tcW w:w="709" w:type="dxa"/>
            <w:vAlign w:val="center"/>
          </w:tcPr>
          <w:p w14:paraId="789B2318">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8.5</w:t>
            </w:r>
          </w:p>
        </w:tc>
        <w:tc>
          <w:tcPr>
            <w:tcW w:w="708" w:type="dxa"/>
            <w:vAlign w:val="center"/>
          </w:tcPr>
          <w:p w14:paraId="7B681803">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.5</w:t>
            </w:r>
          </w:p>
        </w:tc>
        <w:tc>
          <w:tcPr>
            <w:tcW w:w="851" w:type="dxa"/>
            <w:vMerge w:val="restart"/>
            <w:vAlign w:val="center"/>
          </w:tcPr>
          <w:p w14:paraId="556F5D4A">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.9</w:t>
            </w:r>
          </w:p>
        </w:tc>
        <w:tc>
          <w:tcPr>
            <w:tcW w:w="992" w:type="dxa"/>
            <w:vMerge w:val="restart"/>
            <w:vAlign w:val="center"/>
          </w:tcPr>
          <w:p w14:paraId="772570BA">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2</w:t>
            </w:r>
            <w:r>
              <w:rPr>
                <w:rFonts w:ascii="Times New Roman" w:hAnsi="Times New Roman" w:eastAsia="宋体" w:cs="Times New Roman"/>
                <w:color w:val="auto"/>
                <w:szCs w:val="21"/>
              </w:rPr>
              <w:t>.9</w:t>
            </w:r>
          </w:p>
        </w:tc>
        <w:tc>
          <w:tcPr>
            <w:tcW w:w="992" w:type="dxa"/>
            <w:vMerge w:val="restart"/>
            <w:vAlign w:val="center"/>
          </w:tcPr>
          <w:p w14:paraId="5B5303E7">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3</w:t>
            </w:r>
            <w:r>
              <w:rPr>
                <w:rFonts w:ascii="Times New Roman" w:hAnsi="Times New Roman" w:eastAsia="宋体" w:cs="Times New Roman"/>
                <w:color w:val="auto"/>
                <w:szCs w:val="21"/>
              </w:rPr>
              <w:t>.8</w:t>
            </w:r>
          </w:p>
        </w:tc>
        <w:tc>
          <w:tcPr>
            <w:tcW w:w="1043" w:type="dxa"/>
            <w:vAlign w:val="center"/>
          </w:tcPr>
          <w:p w14:paraId="3E1E58EE">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0000</w:t>
            </w:r>
          </w:p>
        </w:tc>
      </w:tr>
      <w:tr w14:paraId="12DF195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Merge w:val="continue"/>
            <w:vAlign w:val="center"/>
          </w:tcPr>
          <w:p w14:paraId="15142112">
            <w:pPr>
              <w:spacing w:line="360" w:lineRule="auto"/>
              <w:jc w:val="center"/>
              <w:rPr>
                <w:rFonts w:ascii="Times New Roman" w:hAnsi="Times New Roman" w:eastAsia="宋体" w:cs="Times New Roman"/>
                <w:color w:val="auto"/>
                <w:szCs w:val="21"/>
              </w:rPr>
            </w:pPr>
          </w:p>
        </w:tc>
        <w:tc>
          <w:tcPr>
            <w:tcW w:w="709" w:type="dxa"/>
            <w:vAlign w:val="center"/>
          </w:tcPr>
          <w:p w14:paraId="77348846">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B</w:t>
            </w:r>
          </w:p>
        </w:tc>
        <w:tc>
          <w:tcPr>
            <w:tcW w:w="708" w:type="dxa"/>
            <w:vMerge w:val="continue"/>
            <w:vAlign w:val="center"/>
          </w:tcPr>
          <w:p w14:paraId="150BE3BF">
            <w:pPr>
              <w:spacing w:line="360" w:lineRule="auto"/>
              <w:jc w:val="center"/>
              <w:rPr>
                <w:rFonts w:ascii="Times New Roman" w:hAnsi="Times New Roman" w:eastAsia="宋体" w:cs="Times New Roman"/>
                <w:color w:val="auto"/>
                <w:szCs w:val="21"/>
              </w:rPr>
            </w:pPr>
          </w:p>
        </w:tc>
        <w:tc>
          <w:tcPr>
            <w:tcW w:w="851" w:type="dxa"/>
            <w:vAlign w:val="center"/>
          </w:tcPr>
          <w:p w14:paraId="40E2B9EC">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10</w:t>
            </w:r>
          </w:p>
        </w:tc>
        <w:tc>
          <w:tcPr>
            <w:tcW w:w="709" w:type="dxa"/>
            <w:vAlign w:val="center"/>
          </w:tcPr>
          <w:p w14:paraId="2E851D2E">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8.0</w:t>
            </w:r>
          </w:p>
        </w:tc>
        <w:tc>
          <w:tcPr>
            <w:tcW w:w="708" w:type="dxa"/>
            <w:vAlign w:val="center"/>
          </w:tcPr>
          <w:p w14:paraId="67C7B4CB">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.4</w:t>
            </w:r>
          </w:p>
        </w:tc>
        <w:tc>
          <w:tcPr>
            <w:tcW w:w="851" w:type="dxa"/>
            <w:vMerge w:val="continue"/>
            <w:vAlign w:val="center"/>
          </w:tcPr>
          <w:p w14:paraId="0E4F0A44">
            <w:pPr>
              <w:spacing w:line="360" w:lineRule="auto"/>
              <w:jc w:val="center"/>
              <w:rPr>
                <w:rFonts w:ascii="Times New Roman" w:hAnsi="Times New Roman" w:eastAsia="宋体" w:cs="Times New Roman"/>
                <w:color w:val="auto"/>
                <w:szCs w:val="21"/>
              </w:rPr>
            </w:pPr>
          </w:p>
        </w:tc>
        <w:tc>
          <w:tcPr>
            <w:tcW w:w="992" w:type="dxa"/>
            <w:vMerge w:val="continue"/>
            <w:vAlign w:val="center"/>
          </w:tcPr>
          <w:p w14:paraId="2ED6C184">
            <w:pPr>
              <w:spacing w:line="360" w:lineRule="auto"/>
              <w:jc w:val="center"/>
              <w:rPr>
                <w:rFonts w:ascii="Times New Roman" w:hAnsi="Times New Roman" w:eastAsia="宋体" w:cs="Times New Roman"/>
                <w:color w:val="auto"/>
                <w:szCs w:val="21"/>
              </w:rPr>
            </w:pPr>
          </w:p>
        </w:tc>
        <w:tc>
          <w:tcPr>
            <w:tcW w:w="992" w:type="dxa"/>
            <w:vMerge w:val="continue"/>
            <w:vAlign w:val="center"/>
          </w:tcPr>
          <w:p w14:paraId="7E19A6F2">
            <w:pPr>
              <w:spacing w:line="360" w:lineRule="auto"/>
              <w:jc w:val="center"/>
              <w:rPr>
                <w:rFonts w:ascii="Times New Roman" w:hAnsi="Times New Roman" w:eastAsia="宋体" w:cs="Times New Roman"/>
                <w:color w:val="auto"/>
                <w:szCs w:val="21"/>
              </w:rPr>
            </w:pPr>
          </w:p>
        </w:tc>
        <w:tc>
          <w:tcPr>
            <w:tcW w:w="1043" w:type="dxa"/>
            <w:vAlign w:val="center"/>
          </w:tcPr>
          <w:p w14:paraId="50151193">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9</w:t>
            </w:r>
            <w:r>
              <w:rPr>
                <w:rFonts w:ascii="Times New Roman" w:hAnsi="Times New Roman" w:eastAsia="宋体" w:cs="Times New Roman"/>
                <w:color w:val="auto"/>
                <w:szCs w:val="21"/>
              </w:rPr>
              <w:t>000</w:t>
            </w:r>
          </w:p>
        </w:tc>
      </w:tr>
      <w:tr w14:paraId="2306CB6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Merge w:val="restart"/>
            <w:vAlign w:val="center"/>
          </w:tcPr>
          <w:p w14:paraId="002BADD7">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TC11</w:t>
            </w:r>
          </w:p>
        </w:tc>
        <w:tc>
          <w:tcPr>
            <w:tcW w:w="709" w:type="dxa"/>
            <w:vAlign w:val="center"/>
          </w:tcPr>
          <w:p w14:paraId="27E3BD80">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A</w:t>
            </w:r>
          </w:p>
        </w:tc>
        <w:tc>
          <w:tcPr>
            <w:tcW w:w="708" w:type="dxa"/>
            <w:vMerge w:val="restart"/>
            <w:vAlign w:val="center"/>
          </w:tcPr>
          <w:p w14:paraId="605E07D1">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11</w:t>
            </w:r>
          </w:p>
        </w:tc>
        <w:tc>
          <w:tcPr>
            <w:tcW w:w="851" w:type="dxa"/>
            <w:vAlign w:val="center"/>
          </w:tcPr>
          <w:p w14:paraId="1C7B5D80">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10</w:t>
            </w:r>
          </w:p>
        </w:tc>
        <w:tc>
          <w:tcPr>
            <w:tcW w:w="709" w:type="dxa"/>
            <w:vAlign w:val="center"/>
          </w:tcPr>
          <w:p w14:paraId="058A41A0">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7.5</w:t>
            </w:r>
          </w:p>
        </w:tc>
        <w:tc>
          <w:tcPr>
            <w:tcW w:w="708" w:type="dxa"/>
            <w:vAlign w:val="center"/>
          </w:tcPr>
          <w:p w14:paraId="31CDA03A">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4</w:t>
            </w:r>
          </w:p>
        </w:tc>
        <w:tc>
          <w:tcPr>
            <w:tcW w:w="851" w:type="dxa"/>
            <w:vMerge w:val="restart"/>
            <w:vAlign w:val="center"/>
          </w:tcPr>
          <w:p w14:paraId="358990B9">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.8</w:t>
            </w:r>
          </w:p>
        </w:tc>
        <w:tc>
          <w:tcPr>
            <w:tcW w:w="992" w:type="dxa"/>
            <w:vMerge w:val="restart"/>
            <w:vAlign w:val="center"/>
          </w:tcPr>
          <w:p w14:paraId="0D611085">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2</w:t>
            </w:r>
            <w:r>
              <w:rPr>
                <w:rFonts w:ascii="Times New Roman" w:hAnsi="Times New Roman" w:eastAsia="宋体" w:cs="Times New Roman"/>
                <w:color w:val="auto"/>
                <w:szCs w:val="21"/>
              </w:rPr>
              <w:t>.7</w:t>
            </w:r>
          </w:p>
        </w:tc>
        <w:tc>
          <w:tcPr>
            <w:tcW w:w="992" w:type="dxa"/>
            <w:vMerge w:val="restart"/>
            <w:vAlign w:val="center"/>
          </w:tcPr>
          <w:p w14:paraId="601C6D7B">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3</w:t>
            </w:r>
            <w:r>
              <w:rPr>
                <w:rFonts w:ascii="Times New Roman" w:hAnsi="Times New Roman" w:eastAsia="宋体" w:cs="Times New Roman"/>
                <w:color w:val="auto"/>
                <w:szCs w:val="21"/>
              </w:rPr>
              <w:t>.6</w:t>
            </w:r>
          </w:p>
        </w:tc>
        <w:tc>
          <w:tcPr>
            <w:tcW w:w="1043" w:type="dxa"/>
            <w:vMerge w:val="restart"/>
            <w:vAlign w:val="center"/>
          </w:tcPr>
          <w:p w14:paraId="1A12102D">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9</w:t>
            </w:r>
            <w:r>
              <w:rPr>
                <w:rFonts w:ascii="Times New Roman" w:hAnsi="Times New Roman" w:eastAsia="宋体" w:cs="Times New Roman"/>
                <w:color w:val="auto"/>
                <w:szCs w:val="21"/>
              </w:rPr>
              <w:t>000</w:t>
            </w:r>
          </w:p>
        </w:tc>
      </w:tr>
      <w:tr w14:paraId="59A73CE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Merge w:val="continue"/>
            <w:vAlign w:val="center"/>
          </w:tcPr>
          <w:p w14:paraId="32AED492">
            <w:pPr>
              <w:spacing w:line="360" w:lineRule="auto"/>
              <w:jc w:val="center"/>
              <w:rPr>
                <w:rFonts w:ascii="Times New Roman" w:hAnsi="Times New Roman" w:eastAsia="宋体" w:cs="Times New Roman"/>
                <w:color w:val="auto"/>
                <w:szCs w:val="21"/>
              </w:rPr>
            </w:pPr>
          </w:p>
        </w:tc>
        <w:tc>
          <w:tcPr>
            <w:tcW w:w="709" w:type="dxa"/>
            <w:vAlign w:val="center"/>
          </w:tcPr>
          <w:p w14:paraId="09510F87">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B</w:t>
            </w:r>
          </w:p>
        </w:tc>
        <w:tc>
          <w:tcPr>
            <w:tcW w:w="708" w:type="dxa"/>
            <w:vMerge w:val="continue"/>
            <w:vAlign w:val="center"/>
          </w:tcPr>
          <w:p w14:paraId="3B893C1E">
            <w:pPr>
              <w:spacing w:line="360" w:lineRule="auto"/>
              <w:jc w:val="center"/>
              <w:rPr>
                <w:rFonts w:ascii="Times New Roman" w:hAnsi="Times New Roman" w:eastAsia="宋体" w:cs="Times New Roman"/>
                <w:color w:val="auto"/>
                <w:szCs w:val="21"/>
              </w:rPr>
            </w:pPr>
          </w:p>
        </w:tc>
        <w:tc>
          <w:tcPr>
            <w:tcW w:w="851" w:type="dxa"/>
            <w:vAlign w:val="center"/>
          </w:tcPr>
          <w:p w14:paraId="096B3031">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10</w:t>
            </w:r>
          </w:p>
        </w:tc>
        <w:tc>
          <w:tcPr>
            <w:tcW w:w="709" w:type="dxa"/>
            <w:vAlign w:val="center"/>
          </w:tcPr>
          <w:p w14:paraId="77A7943F">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7.0</w:t>
            </w:r>
          </w:p>
        </w:tc>
        <w:tc>
          <w:tcPr>
            <w:tcW w:w="708" w:type="dxa"/>
            <w:vAlign w:val="center"/>
          </w:tcPr>
          <w:p w14:paraId="39101C43">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.2</w:t>
            </w:r>
          </w:p>
        </w:tc>
        <w:tc>
          <w:tcPr>
            <w:tcW w:w="851" w:type="dxa"/>
            <w:vMerge w:val="continue"/>
            <w:vAlign w:val="center"/>
          </w:tcPr>
          <w:p w14:paraId="43B68409">
            <w:pPr>
              <w:spacing w:line="360" w:lineRule="auto"/>
              <w:jc w:val="center"/>
              <w:rPr>
                <w:rFonts w:ascii="Times New Roman" w:hAnsi="Times New Roman" w:eastAsia="宋体" w:cs="Times New Roman"/>
                <w:color w:val="auto"/>
                <w:szCs w:val="21"/>
              </w:rPr>
            </w:pPr>
          </w:p>
        </w:tc>
        <w:tc>
          <w:tcPr>
            <w:tcW w:w="992" w:type="dxa"/>
            <w:vMerge w:val="continue"/>
            <w:vAlign w:val="center"/>
          </w:tcPr>
          <w:p w14:paraId="5654CEFC">
            <w:pPr>
              <w:spacing w:line="360" w:lineRule="auto"/>
              <w:jc w:val="center"/>
              <w:rPr>
                <w:rFonts w:ascii="Times New Roman" w:hAnsi="Times New Roman" w:eastAsia="宋体" w:cs="Times New Roman"/>
                <w:color w:val="auto"/>
                <w:szCs w:val="21"/>
              </w:rPr>
            </w:pPr>
          </w:p>
        </w:tc>
        <w:tc>
          <w:tcPr>
            <w:tcW w:w="992" w:type="dxa"/>
            <w:vMerge w:val="continue"/>
            <w:vAlign w:val="center"/>
          </w:tcPr>
          <w:p w14:paraId="6EB59BB9">
            <w:pPr>
              <w:spacing w:line="360" w:lineRule="auto"/>
              <w:jc w:val="center"/>
              <w:rPr>
                <w:rFonts w:ascii="Times New Roman" w:hAnsi="Times New Roman" w:eastAsia="宋体" w:cs="Times New Roman"/>
                <w:color w:val="auto"/>
                <w:szCs w:val="21"/>
              </w:rPr>
            </w:pPr>
          </w:p>
        </w:tc>
        <w:tc>
          <w:tcPr>
            <w:tcW w:w="1043" w:type="dxa"/>
            <w:vMerge w:val="continue"/>
            <w:vAlign w:val="center"/>
          </w:tcPr>
          <w:p w14:paraId="2A8CB492">
            <w:pPr>
              <w:spacing w:line="360" w:lineRule="auto"/>
              <w:jc w:val="center"/>
              <w:rPr>
                <w:rFonts w:ascii="Times New Roman" w:hAnsi="Times New Roman" w:eastAsia="宋体" w:cs="Times New Roman"/>
                <w:color w:val="auto"/>
                <w:szCs w:val="21"/>
              </w:rPr>
            </w:pPr>
          </w:p>
        </w:tc>
      </w:tr>
      <w:tr w14:paraId="4FA1FBF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Align w:val="center"/>
          </w:tcPr>
          <w:p w14:paraId="618F7A9E">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TB20</w:t>
            </w:r>
          </w:p>
        </w:tc>
        <w:tc>
          <w:tcPr>
            <w:tcW w:w="709" w:type="dxa"/>
            <w:vAlign w:val="center"/>
          </w:tcPr>
          <w:p w14:paraId="2130FF68">
            <w:pPr>
              <w:spacing w:line="360" w:lineRule="auto"/>
              <w:jc w:val="center"/>
              <w:rPr>
                <w:rFonts w:ascii="Times New Roman" w:hAnsi="Times New Roman" w:eastAsia="宋体" w:cs="Times New Roman"/>
                <w:color w:val="auto"/>
                <w:szCs w:val="21"/>
              </w:rPr>
            </w:pPr>
            <w:r>
              <w:rPr>
                <w:rFonts w:ascii="Arial" w:hAnsi="Arial" w:cs="Arial"/>
                <w:color w:val="auto"/>
                <w:kern w:val="24"/>
                <w:szCs w:val="21"/>
              </w:rPr>
              <w:t>—</w:t>
            </w:r>
          </w:p>
        </w:tc>
        <w:tc>
          <w:tcPr>
            <w:tcW w:w="708" w:type="dxa"/>
            <w:vAlign w:val="center"/>
          </w:tcPr>
          <w:p w14:paraId="56641E5E">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20</w:t>
            </w:r>
          </w:p>
        </w:tc>
        <w:tc>
          <w:tcPr>
            <w:tcW w:w="851" w:type="dxa"/>
            <w:vAlign w:val="center"/>
          </w:tcPr>
          <w:p w14:paraId="1E9F53FE">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18</w:t>
            </w:r>
          </w:p>
        </w:tc>
        <w:tc>
          <w:tcPr>
            <w:tcW w:w="709" w:type="dxa"/>
            <w:vAlign w:val="center"/>
          </w:tcPr>
          <w:p w14:paraId="224CB1AA">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12</w:t>
            </w:r>
          </w:p>
        </w:tc>
        <w:tc>
          <w:tcPr>
            <w:tcW w:w="708" w:type="dxa"/>
            <w:vAlign w:val="center"/>
          </w:tcPr>
          <w:p w14:paraId="34679324">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2</w:t>
            </w:r>
            <w:r>
              <w:rPr>
                <w:rFonts w:ascii="Times New Roman" w:hAnsi="Times New Roman" w:eastAsia="宋体" w:cs="Times New Roman"/>
                <w:color w:val="auto"/>
                <w:szCs w:val="21"/>
              </w:rPr>
              <w:t>.8</w:t>
            </w:r>
          </w:p>
        </w:tc>
        <w:tc>
          <w:tcPr>
            <w:tcW w:w="851" w:type="dxa"/>
            <w:vAlign w:val="center"/>
          </w:tcPr>
          <w:p w14:paraId="1BCEC908">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4</w:t>
            </w:r>
            <w:r>
              <w:rPr>
                <w:rFonts w:ascii="Times New Roman" w:hAnsi="Times New Roman" w:eastAsia="宋体" w:cs="Times New Roman"/>
                <w:color w:val="auto"/>
                <w:szCs w:val="21"/>
              </w:rPr>
              <w:t>.2</w:t>
            </w:r>
          </w:p>
        </w:tc>
        <w:tc>
          <w:tcPr>
            <w:tcW w:w="992" w:type="dxa"/>
            <w:vAlign w:val="center"/>
          </w:tcPr>
          <w:p w14:paraId="7BD7F2C6">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6</w:t>
            </w:r>
            <w:r>
              <w:rPr>
                <w:rFonts w:ascii="Times New Roman" w:hAnsi="Times New Roman" w:eastAsia="宋体" w:cs="Times New Roman"/>
                <w:color w:val="auto"/>
                <w:szCs w:val="21"/>
              </w:rPr>
              <w:t>.3</w:t>
            </w:r>
          </w:p>
        </w:tc>
        <w:tc>
          <w:tcPr>
            <w:tcW w:w="992" w:type="dxa"/>
            <w:vAlign w:val="center"/>
          </w:tcPr>
          <w:p w14:paraId="638513D3">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8</w:t>
            </w:r>
            <w:r>
              <w:rPr>
                <w:rFonts w:ascii="Times New Roman" w:hAnsi="Times New Roman" w:eastAsia="宋体" w:cs="Times New Roman"/>
                <w:color w:val="auto"/>
                <w:szCs w:val="21"/>
              </w:rPr>
              <w:t>.4</w:t>
            </w:r>
          </w:p>
        </w:tc>
        <w:tc>
          <w:tcPr>
            <w:tcW w:w="1043" w:type="dxa"/>
            <w:vAlign w:val="center"/>
          </w:tcPr>
          <w:p w14:paraId="1EB6CAE9">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2000</w:t>
            </w:r>
          </w:p>
        </w:tc>
      </w:tr>
      <w:tr w14:paraId="51E65B4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Align w:val="center"/>
          </w:tcPr>
          <w:p w14:paraId="3CE445A1">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TB17</w:t>
            </w:r>
          </w:p>
        </w:tc>
        <w:tc>
          <w:tcPr>
            <w:tcW w:w="709" w:type="dxa"/>
            <w:vAlign w:val="center"/>
          </w:tcPr>
          <w:p w14:paraId="1FC84CF9">
            <w:pPr>
              <w:spacing w:line="360" w:lineRule="auto"/>
              <w:jc w:val="center"/>
              <w:rPr>
                <w:rFonts w:ascii="Times New Roman" w:hAnsi="Times New Roman" w:eastAsia="宋体" w:cs="Times New Roman"/>
                <w:color w:val="auto"/>
                <w:szCs w:val="21"/>
              </w:rPr>
            </w:pPr>
            <w:r>
              <w:rPr>
                <w:rFonts w:ascii="Arial" w:hAnsi="Arial" w:cs="Arial"/>
                <w:color w:val="auto"/>
                <w:kern w:val="24"/>
                <w:szCs w:val="21"/>
              </w:rPr>
              <w:t>—</w:t>
            </w:r>
          </w:p>
        </w:tc>
        <w:tc>
          <w:tcPr>
            <w:tcW w:w="708" w:type="dxa"/>
            <w:vAlign w:val="center"/>
          </w:tcPr>
          <w:p w14:paraId="647E7650">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17</w:t>
            </w:r>
          </w:p>
        </w:tc>
        <w:tc>
          <w:tcPr>
            <w:tcW w:w="851" w:type="dxa"/>
            <w:vAlign w:val="center"/>
          </w:tcPr>
          <w:p w14:paraId="5BC6924F">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16</w:t>
            </w:r>
          </w:p>
        </w:tc>
        <w:tc>
          <w:tcPr>
            <w:tcW w:w="709" w:type="dxa"/>
            <w:vAlign w:val="center"/>
          </w:tcPr>
          <w:p w14:paraId="3039B693">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11</w:t>
            </w:r>
          </w:p>
        </w:tc>
        <w:tc>
          <w:tcPr>
            <w:tcW w:w="708" w:type="dxa"/>
            <w:vAlign w:val="center"/>
          </w:tcPr>
          <w:p w14:paraId="48CEFBA5">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2</w:t>
            </w:r>
            <w:r>
              <w:rPr>
                <w:rFonts w:ascii="Times New Roman" w:hAnsi="Times New Roman" w:eastAsia="宋体" w:cs="Times New Roman"/>
                <w:color w:val="auto"/>
                <w:szCs w:val="21"/>
              </w:rPr>
              <w:t>.4</w:t>
            </w:r>
          </w:p>
        </w:tc>
        <w:tc>
          <w:tcPr>
            <w:tcW w:w="851" w:type="dxa"/>
            <w:vAlign w:val="center"/>
          </w:tcPr>
          <w:p w14:paraId="5C5F2740">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3</w:t>
            </w:r>
            <w:r>
              <w:rPr>
                <w:rFonts w:ascii="Times New Roman" w:hAnsi="Times New Roman" w:eastAsia="宋体" w:cs="Times New Roman"/>
                <w:color w:val="auto"/>
                <w:szCs w:val="21"/>
              </w:rPr>
              <w:t>.8</w:t>
            </w:r>
          </w:p>
        </w:tc>
        <w:tc>
          <w:tcPr>
            <w:tcW w:w="992" w:type="dxa"/>
            <w:vAlign w:val="center"/>
          </w:tcPr>
          <w:p w14:paraId="450D0192">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5</w:t>
            </w:r>
            <w:r>
              <w:rPr>
                <w:rFonts w:ascii="Times New Roman" w:hAnsi="Times New Roman" w:eastAsia="宋体" w:cs="Times New Roman"/>
                <w:color w:val="auto"/>
                <w:szCs w:val="21"/>
              </w:rPr>
              <w:t>.7</w:t>
            </w:r>
          </w:p>
        </w:tc>
        <w:tc>
          <w:tcPr>
            <w:tcW w:w="992" w:type="dxa"/>
            <w:vAlign w:val="center"/>
          </w:tcPr>
          <w:p w14:paraId="6E294F4C">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7</w:t>
            </w:r>
            <w:r>
              <w:rPr>
                <w:rFonts w:ascii="Times New Roman" w:hAnsi="Times New Roman" w:eastAsia="宋体" w:cs="Times New Roman"/>
                <w:color w:val="auto"/>
                <w:szCs w:val="21"/>
              </w:rPr>
              <w:t>.6</w:t>
            </w:r>
          </w:p>
        </w:tc>
        <w:tc>
          <w:tcPr>
            <w:tcW w:w="1043" w:type="dxa"/>
            <w:vAlign w:val="center"/>
          </w:tcPr>
          <w:p w14:paraId="5B43C2D3">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1000</w:t>
            </w:r>
          </w:p>
        </w:tc>
      </w:tr>
      <w:tr w14:paraId="6FF4731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Align w:val="center"/>
          </w:tcPr>
          <w:p w14:paraId="5FFE75EC">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TB15</w:t>
            </w:r>
          </w:p>
        </w:tc>
        <w:tc>
          <w:tcPr>
            <w:tcW w:w="709" w:type="dxa"/>
            <w:vAlign w:val="center"/>
          </w:tcPr>
          <w:p w14:paraId="6275A3C1">
            <w:pPr>
              <w:spacing w:line="360" w:lineRule="auto"/>
              <w:jc w:val="center"/>
              <w:rPr>
                <w:rFonts w:ascii="Times New Roman" w:hAnsi="Times New Roman" w:eastAsia="宋体" w:cs="Times New Roman"/>
                <w:color w:val="auto"/>
                <w:szCs w:val="21"/>
              </w:rPr>
            </w:pPr>
            <w:r>
              <w:rPr>
                <w:rFonts w:ascii="Arial" w:hAnsi="Arial" w:cs="Arial"/>
                <w:color w:val="auto"/>
                <w:kern w:val="24"/>
                <w:szCs w:val="21"/>
              </w:rPr>
              <w:t>—</w:t>
            </w:r>
          </w:p>
        </w:tc>
        <w:tc>
          <w:tcPr>
            <w:tcW w:w="708" w:type="dxa"/>
            <w:vAlign w:val="center"/>
          </w:tcPr>
          <w:p w14:paraId="6908BBFA">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15</w:t>
            </w:r>
          </w:p>
        </w:tc>
        <w:tc>
          <w:tcPr>
            <w:tcW w:w="851" w:type="dxa"/>
            <w:vAlign w:val="center"/>
          </w:tcPr>
          <w:p w14:paraId="5C00C27E">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14</w:t>
            </w:r>
          </w:p>
        </w:tc>
        <w:tc>
          <w:tcPr>
            <w:tcW w:w="709" w:type="dxa"/>
            <w:vAlign w:val="center"/>
          </w:tcPr>
          <w:p w14:paraId="7D0C3A63">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10</w:t>
            </w:r>
          </w:p>
        </w:tc>
        <w:tc>
          <w:tcPr>
            <w:tcW w:w="708" w:type="dxa"/>
            <w:vAlign w:val="center"/>
          </w:tcPr>
          <w:p w14:paraId="1242BD59">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2</w:t>
            </w:r>
            <w:r>
              <w:rPr>
                <w:rFonts w:ascii="Times New Roman" w:hAnsi="Times New Roman" w:eastAsia="宋体" w:cs="Times New Roman"/>
                <w:color w:val="auto"/>
                <w:szCs w:val="21"/>
              </w:rPr>
              <w:t>.0</w:t>
            </w:r>
          </w:p>
        </w:tc>
        <w:tc>
          <w:tcPr>
            <w:tcW w:w="851" w:type="dxa"/>
            <w:vAlign w:val="center"/>
          </w:tcPr>
          <w:p w14:paraId="2F05BC3F">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3</w:t>
            </w:r>
            <w:r>
              <w:rPr>
                <w:rFonts w:ascii="Times New Roman" w:hAnsi="Times New Roman" w:eastAsia="宋体" w:cs="Times New Roman"/>
                <w:color w:val="auto"/>
                <w:szCs w:val="21"/>
              </w:rPr>
              <w:t>.1</w:t>
            </w:r>
          </w:p>
        </w:tc>
        <w:tc>
          <w:tcPr>
            <w:tcW w:w="992" w:type="dxa"/>
            <w:vAlign w:val="center"/>
          </w:tcPr>
          <w:p w14:paraId="6DBC44F9">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4</w:t>
            </w:r>
            <w:r>
              <w:rPr>
                <w:rFonts w:ascii="Times New Roman" w:hAnsi="Times New Roman" w:eastAsia="宋体" w:cs="Times New Roman"/>
                <w:color w:val="auto"/>
                <w:szCs w:val="21"/>
              </w:rPr>
              <w:t>.7</w:t>
            </w:r>
          </w:p>
        </w:tc>
        <w:tc>
          <w:tcPr>
            <w:tcW w:w="992" w:type="dxa"/>
            <w:vAlign w:val="center"/>
          </w:tcPr>
          <w:p w14:paraId="31BF7605">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6</w:t>
            </w:r>
            <w:r>
              <w:rPr>
                <w:rFonts w:ascii="Times New Roman" w:hAnsi="Times New Roman" w:eastAsia="宋体" w:cs="Times New Roman"/>
                <w:color w:val="auto"/>
                <w:szCs w:val="21"/>
              </w:rPr>
              <w:t>.2</w:t>
            </w:r>
          </w:p>
        </w:tc>
        <w:tc>
          <w:tcPr>
            <w:tcW w:w="1043" w:type="dxa"/>
            <w:vAlign w:val="center"/>
          </w:tcPr>
          <w:p w14:paraId="47B864E2">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0000</w:t>
            </w:r>
          </w:p>
        </w:tc>
      </w:tr>
      <w:tr w14:paraId="3E99622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Align w:val="center"/>
          </w:tcPr>
          <w:p w14:paraId="21198FD2">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TB13</w:t>
            </w:r>
          </w:p>
        </w:tc>
        <w:tc>
          <w:tcPr>
            <w:tcW w:w="709" w:type="dxa"/>
            <w:vAlign w:val="center"/>
          </w:tcPr>
          <w:p w14:paraId="22AA0913">
            <w:pPr>
              <w:spacing w:line="360" w:lineRule="auto"/>
              <w:jc w:val="center"/>
              <w:rPr>
                <w:rFonts w:ascii="Times New Roman" w:hAnsi="Times New Roman" w:eastAsia="宋体" w:cs="Times New Roman"/>
                <w:color w:val="auto"/>
                <w:szCs w:val="21"/>
              </w:rPr>
            </w:pPr>
            <w:r>
              <w:rPr>
                <w:rFonts w:ascii="Arial" w:hAnsi="Arial" w:cs="Arial"/>
                <w:color w:val="auto"/>
                <w:kern w:val="24"/>
                <w:szCs w:val="21"/>
              </w:rPr>
              <w:t>—</w:t>
            </w:r>
          </w:p>
        </w:tc>
        <w:tc>
          <w:tcPr>
            <w:tcW w:w="708" w:type="dxa"/>
            <w:vAlign w:val="center"/>
          </w:tcPr>
          <w:p w14:paraId="68A71FC9">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13</w:t>
            </w:r>
          </w:p>
        </w:tc>
        <w:tc>
          <w:tcPr>
            <w:tcW w:w="851" w:type="dxa"/>
            <w:vAlign w:val="center"/>
          </w:tcPr>
          <w:p w14:paraId="73B7C91F">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12</w:t>
            </w:r>
          </w:p>
        </w:tc>
        <w:tc>
          <w:tcPr>
            <w:tcW w:w="709" w:type="dxa"/>
            <w:vAlign w:val="center"/>
          </w:tcPr>
          <w:p w14:paraId="4D449724">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9.0</w:t>
            </w:r>
          </w:p>
        </w:tc>
        <w:tc>
          <w:tcPr>
            <w:tcW w:w="708" w:type="dxa"/>
            <w:vAlign w:val="center"/>
          </w:tcPr>
          <w:p w14:paraId="58566988">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.4</w:t>
            </w:r>
          </w:p>
        </w:tc>
        <w:tc>
          <w:tcPr>
            <w:tcW w:w="851" w:type="dxa"/>
            <w:vAlign w:val="center"/>
          </w:tcPr>
          <w:p w14:paraId="3464BD5C">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2</w:t>
            </w:r>
            <w:r>
              <w:rPr>
                <w:rFonts w:ascii="Times New Roman" w:hAnsi="Times New Roman" w:eastAsia="宋体" w:cs="Times New Roman"/>
                <w:color w:val="auto"/>
                <w:szCs w:val="21"/>
              </w:rPr>
              <w:t>.4</w:t>
            </w:r>
          </w:p>
        </w:tc>
        <w:tc>
          <w:tcPr>
            <w:tcW w:w="992" w:type="dxa"/>
            <w:vAlign w:val="center"/>
          </w:tcPr>
          <w:p w14:paraId="37D3A44C">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3</w:t>
            </w:r>
            <w:r>
              <w:rPr>
                <w:rFonts w:ascii="Times New Roman" w:hAnsi="Times New Roman" w:eastAsia="宋体" w:cs="Times New Roman"/>
                <w:color w:val="auto"/>
                <w:szCs w:val="21"/>
              </w:rPr>
              <w:t>.6</w:t>
            </w:r>
          </w:p>
        </w:tc>
        <w:tc>
          <w:tcPr>
            <w:tcW w:w="992" w:type="dxa"/>
            <w:vAlign w:val="center"/>
          </w:tcPr>
          <w:p w14:paraId="796D9F90">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4</w:t>
            </w:r>
            <w:r>
              <w:rPr>
                <w:rFonts w:ascii="Times New Roman" w:hAnsi="Times New Roman" w:eastAsia="宋体" w:cs="Times New Roman"/>
                <w:color w:val="auto"/>
                <w:szCs w:val="21"/>
              </w:rPr>
              <w:t>.8</w:t>
            </w:r>
          </w:p>
        </w:tc>
        <w:tc>
          <w:tcPr>
            <w:tcW w:w="1043" w:type="dxa"/>
            <w:vAlign w:val="center"/>
          </w:tcPr>
          <w:p w14:paraId="16E65D45">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8</w:t>
            </w:r>
            <w:r>
              <w:rPr>
                <w:rFonts w:ascii="Times New Roman" w:hAnsi="Times New Roman" w:eastAsia="宋体" w:cs="Times New Roman"/>
                <w:color w:val="auto"/>
                <w:szCs w:val="21"/>
              </w:rPr>
              <w:t>000</w:t>
            </w:r>
          </w:p>
        </w:tc>
      </w:tr>
      <w:tr w14:paraId="0D0F540B">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959" w:type="dxa"/>
            <w:vAlign w:val="center"/>
          </w:tcPr>
          <w:p w14:paraId="2CF8EC3C">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TB11</w:t>
            </w:r>
          </w:p>
        </w:tc>
        <w:tc>
          <w:tcPr>
            <w:tcW w:w="709" w:type="dxa"/>
            <w:vAlign w:val="center"/>
          </w:tcPr>
          <w:p w14:paraId="6E649E42">
            <w:pPr>
              <w:spacing w:line="360" w:lineRule="auto"/>
              <w:jc w:val="center"/>
              <w:rPr>
                <w:rFonts w:ascii="Times New Roman" w:hAnsi="Times New Roman" w:eastAsia="宋体" w:cs="Times New Roman"/>
                <w:color w:val="auto"/>
                <w:szCs w:val="21"/>
              </w:rPr>
            </w:pPr>
            <w:r>
              <w:rPr>
                <w:rFonts w:ascii="Arial" w:hAnsi="Arial" w:cs="Arial"/>
                <w:color w:val="auto"/>
                <w:kern w:val="24"/>
                <w:szCs w:val="21"/>
              </w:rPr>
              <w:t>—</w:t>
            </w:r>
          </w:p>
        </w:tc>
        <w:tc>
          <w:tcPr>
            <w:tcW w:w="708" w:type="dxa"/>
            <w:vAlign w:val="center"/>
          </w:tcPr>
          <w:p w14:paraId="14F69E25">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11</w:t>
            </w:r>
          </w:p>
        </w:tc>
        <w:tc>
          <w:tcPr>
            <w:tcW w:w="851" w:type="dxa"/>
            <w:vAlign w:val="center"/>
          </w:tcPr>
          <w:p w14:paraId="493751A2">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10</w:t>
            </w:r>
          </w:p>
        </w:tc>
        <w:tc>
          <w:tcPr>
            <w:tcW w:w="709" w:type="dxa"/>
            <w:vAlign w:val="center"/>
          </w:tcPr>
          <w:p w14:paraId="14B01EB6">
            <w:pPr>
              <w:spacing w:line="360" w:lineRule="auto"/>
              <w:jc w:val="center"/>
              <w:rPr>
                <w:rFonts w:ascii="Times New Roman" w:hAnsi="Times New Roman" w:eastAsia="宋体" w:cs="Times New Roman"/>
                <w:color w:val="auto"/>
                <w:szCs w:val="21"/>
              </w:rPr>
            </w:pPr>
            <w:r>
              <w:rPr>
                <w:rFonts w:ascii="Times New Roman" w:hAnsi="Times New Roman" w:cs="Times New Roman"/>
                <w:color w:val="auto"/>
                <w:kern w:val="24"/>
                <w:szCs w:val="21"/>
              </w:rPr>
              <w:t>8.0</w:t>
            </w:r>
          </w:p>
        </w:tc>
        <w:tc>
          <w:tcPr>
            <w:tcW w:w="708" w:type="dxa"/>
            <w:vAlign w:val="center"/>
          </w:tcPr>
          <w:p w14:paraId="132298F2">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.3</w:t>
            </w:r>
          </w:p>
        </w:tc>
        <w:tc>
          <w:tcPr>
            <w:tcW w:w="851" w:type="dxa"/>
            <w:vAlign w:val="center"/>
          </w:tcPr>
          <w:p w14:paraId="7D98E536">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2</w:t>
            </w:r>
            <w:r>
              <w:rPr>
                <w:rFonts w:ascii="Times New Roman" w:hAnsi="Times New Roman" w:eastAsia="宋体" w:cs="Times New Roman"/>
                <w:color w:val="auto"/>
                <w:szCs w:val="21"/>
              </w:rPr>
              <w:t>.1</w:t>
            </w:r>
          </w:p>
        </w:tc>
        <w:tc>
          <w:tcPr>
            <w:tcW w:w="992" w:type="dxa"/>
            <w:vAlign w:val="center"/>
          </w:tcPr>
          <w:p w14:paraId="55A07085">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3</w:t>
            </w:r>
            <w:r>
              <w:rPr>
                <w:rFonts w:ascii="Times New Roman" w:hAnsi="Times New Roman" w:eastAsia="宋体" w:cs="Times New Roman"/>
                <w:color w:val="auto"/>
                <w:szCs w:val="21"/>
              </w:rPr>
              <w:t>.2</w:t>
            </w:r>
          </w:p>
        </w:tc>
        <w:tc>
          <w:tcPr>
            <w:tcW w:w="992" w:type="dxa"/>
            <w:vAlign w:val="center"/>
          </w:tcPr>
          <w:p w14:paraId="53395E02">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4</w:t>
            </w:r>
            <w:r>
              <w:rPr>
                <w:rFonts w:ascii="Times New Roman" w:hAnsi="Times New Roman" w:eastAsia="宋体" w:cs="Times New Roman"/>
                <w:color w:val="auto"/>
                <w:szCs w:val="21"/>
              </w:rPr>
              <w:t>.1</w:t>
            </w:r>
          </w:p>
        </w:tc>
        <w:tc>
          <w:tcPr>
            <w:tcW w:w="1043" w:type="dxa"/>
            <w:vAlign w:val="center"/>
          </w:tcPr>
          <w:p w14:paraId="3C975E5A">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7</w:t>
            </w:r>
            <w:r>
              <w:rPr>
                <w:rFonts w:ascii="Times New Roman" w:hAnsi="Times New Roman" w:eastAsia="宋体" w:cs="Times New Roman"/>
                <w:color w:val="auto"/>
                <w:szCs w:val="21"/>
              </w:rPr>
              <w:t>000</w:t>
            </w:r>
          </w:p>
        </w:tc>
      </w:tr>
    </w:tbl>
    <w:p w14:paraId="70FBFA79">
      <w:pPr>
        <w:spacing w:line="360" w:lineRule="auto"/>
        <w:rPr>
          <w:rFonts w:ascii="Times New Roman" w:hAnsi="Times New Roman" w:eastAsia="宋体" w:cs="Times New Roman"/>
          <w:color w:val="auto"/>
          <w:szCs w:val="21"/>
        </w:rPr>
      </w:pPr>
      <w:r>
        <w:rPr>
          <w:rFonts w:hint="eastAsia" w:ascii="Times New Roman" w:hAnsi="Times New Roman" w:eastAsia="宋体" w:cs="Times New Roman"/>
          <w:color w:val="auto"/>
          <w:szCs w:val="21"/>
        </w:rPr>
        <w:t>注：计算木构件端部（如接头处）的拉力螺栓垫板时，木材横纹承压强度设计值应按“局部表面和齿面”一栏的数值采用。</w:t>
      </w:r>
    </w:p>
    <w:p w14:paraId="569F391C">
      <w:pPr>
        <w:spacing w:line="360" w:lineRule="auto"/>
        <w:rPr>
          <w:rFonts w:ascii="Times New Roman" w:hAnsi="Times New Roman" w:eastAsia="宋体" w:cs="Times New Roman"/>
          <w:color w:val="auto"/>
          <w:sz w:val="24"/>
          <w:szCs w:val="24"/>
        </w:rPr>
      </w:pPr>
    </w:p>
    <w:p w14:paraId="6B298918">
      <w:pPr>
        <w:pStyle w:val="145"/>
        <w:rPr>
          <w:color w:val="auto"/>
        </w:rPr>
      </w:pPr>
      <w:r>
        <w:rPr>
          <w:rFonts w:hint="eastAsia"/>
          <w:color w:val="auto"/>
        </w:rPr>
        <w:t>表A</w:t>
      </w:r>
      <w:r>
        <w:rPr>
          <w:color w:val="auto"/>
        </w:rPr>
        <w:t xml:space="preserve">.2.1-2  </w:t>
      </w:r>
      <w:r>
        <w:rPr>
          <w:rFonts w:hint="eastAsia"/>
          <w:color w:val="auto"/>
        </w:rPr>
        <w:t>木材强度设计值和弹性模量的调整系数</w:t>
      </w:r>
    </w:p>
    <w:tbl>
      <w:tblPr>
        <w:tblStyle w:val="89"/>
        <w:tblW w:w="8522" w:type="dxa"/>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5211"/>
        <w:gridCol w:w="1701"/>
        <w:gridCol w:w="1610"/>
      </w:tblGrid>
      <w:tr w14:paraId="7C95280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5211" w:type="dxa"/>
            <w:vMerge w:val="restart"/>
            <w:vAlign w:val="center"/>
          </w:tcPr>
          <w:p w14:paraId="7328C596">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使用条件</w:t>
            </w:r>
          </w:p>
        </w:tc>
        <w:tc>
          <w:tcPr>
            <w:tcW w:w="3311" w:type="dxa"/>
            <w:gridSpan w:val="2"/>
            <w:vAlign w:val="center"/>
          </w:tcPr>
          <w:p w14:paraId="21D76C5D">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调整系数</w:t>
            </w:r>
          </w:p>
        </w:tc>
      </w:tr>
      <w:tr w14:paraId="44EDDBB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5211" w:type="dxa"/>
            <w:vMerge w:val="continue"/>
            <w:vAlign w:val="center"/>
          </w:tcPr>
          <w:p w14:paraId="0A1540AA">
            <w:pPr>
              <w:spacing w:line="360" w:lineRule="auto"/>
              <w:jc w:val="center"/>
              <w:rPr>
                <w:rFonts w:ascii="Times New Roman" w:hAnsi="Times New Roman" w:eastAsia="宋体" w:cs="Times New Roman"/>
                <w:color w:val="auto"/>
                <w:szCs w:val="21"/>
              </w:rPr>
            </w:pPr>
          </w:p>
        </w:tc>
        <w:tc>
          <w:tcPr>
            <w:tcW w:w="1701" w:type="dxa"/>
            <w:vAlign w:val="center"/>
          </w:tcPr>
          <w:p w14:paraId="2F6FE33B">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强度设计值</w:t>
            </w:r>
          </w:p>
        </w:tc>
        <w:tc>
          <w:tcPr>
            <w:tcW w:w="1610" w:type="dxa"/>
            <w:vAlign w:val="center"/>
          </w:tcPr>
          <w:p w14:paraId="07E241E5">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弹性模量</w:t>
            </w:r>
          </w:p>
        </w:tc>
      </w:tr>
      <w:tr w14:paraId="4C86221C">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5211" w:type="dxa"/>
            <w:vAlign w:val="center"/>
          </w:tcPr>
          <w:p w14:paraId="25DEBB5E">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露天环境</w:t>
            </w:r>
          </w:p>
        </w:tc>
        <w:tc>
          <w:tcPr>
            <w:tcW w:w="1701" w:type="dxa"/>
            <w:vAlign w:val="center"/>
          </w:tcPr>
          <w:p w14:paraId="77B7CDDD">
            <w:pPr>
              <w:spacing w:line="360" w:lineRule="auto"/>
              <w:jc w:val="center"/>
              <w:rPr>
                <w:rFonts w:ascii="Times New Roman" w:hAnsi="Times New Roman" w:eastAsia="宋体" w:cs="Times New Roman"/>
                <w:color w:val="auto"/>
                <w:szCs w:val="21"/>
              </w:rPr>
            </w:pPr>
            <w:r>
              <w:rPr>
                <w:rFonts w:ascii="Times New Roman" w:hAnsi="Times New Roman" w:eastAsia="宋体" w:cs="Times New Roman"/>
                <w:color w:val="auto"/>
                <w:sz w:val="24"/>
                <w:szCs w:val="24"/>
              </w:rPr>
              <w:t>0.9</w:t>
            </w:r>
          </w:p>
        </w:tc>
        <w:tc>
          <w:tcPr>
            <w:tcW w:w="1610" w:type="dxa"/>
            <w:vAlign w:val="center"/>
          </w:tcPr>
          <w:p w14:paraId="4F16A013">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0</w:t>
            </w:r>
            <w:r>
              <w:rPr>
                <w:rFonts w:ascii="Times New Roman" w:hAnsi="Times New Roman" w:eastAsia="宋体" w:cs="Times New Roman"/>
                <w:color w:val="auto"/>
                <w:szCs w:val="21"/>
              </w:rPr>
              <w:t>.85</w:t>
            </w:r>
          </w:p>
        </w:tc>
      </w:tr>
      <w:tr w14:paraId="623CBA9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5211" w:type="dxa"/>
            <w:vAlign w:val="center"/>
          </w:tcPr>
          <w:p w14:paraId="5E12FCC4">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长期生产性高温环境，木材表面温度达</w:t>
            </w:r>
            <w:r>
              <w:rPr>
                <w:rFonts w:ascii="Times New Roman" w:hAnsi="Times New Roman" w:eastAsia="宋体" w:cs="Times New Roman"/>
                <w:color w:val="auto"/>
                <w:szCs w:val="21"/>
              </w:rPr>
              <w:t>40</w:t>
            </w:r>
            <w:r>
              <w:rPr>
                <w:rFonts w:hint="eastAsia" w:ascii="Times New Roman" w:hAnsi="Times New Roman" w:eastAsia="宋体" w:cs="Times New Roman"/>
                <w:color w:val="auto"/>
                <w:szCs w:val="21"/>
              </w:rPr>
              <w:t>~</w:t>
            </w:r>
            <w:r>
              <w:rPr>
                <w:rFonts w:ascii="Times New Roman" w:hAnsi="Times New Roman" w:eastAsia="宋体" w:cs="Times New Roman"/>
                <w:color w:val="auto"/>
                <w:szCs w:val="21"/>
              </w:rPr>
              <w:t>50</w:t>
            </w:r>
            <w:r>
              <w:rPr>
                <w:rFonts w:hint="eastAsia" w:ascii="Times New Roman" w:hAnsi="Times New Roman" w:eastAsia="宋体" w:cs="Times New Roman"/>
                <w:color w:val="auto"/>
                <w:szCs w:val="21"/>
              </w:rPr>
              <w:t>℃</w:t>
            </w:r>
          </w:p>
        </w:tc>
        <w:tc>
          <w:tcPr>
            <w:tcW w:w="1701" w:type="dxa"/>
            <w:vAlign w:val="center"/>
          </w:tcPr>
          <w:p w14:paraId="6EE15D04">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 w:val="24"/>
                <w:szCs w:val="24"/>
              </w:rPr>
              <w:t>0.8</w:t>
            </w:r>
          </w:p>
        </w:tc>
        <w:tc>
          <w:tcPr>
            <w:tcW w:w="1610" w:type="dxa"/>
            <w:vAlign w:val="center"/>
          </w:tcPr>
          <w:p w14:paraId="3139CCC9">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0</w:t>
            </w:r>
            <w:r>
              <w:rPr>
                <w:rFonts w:ascii="Times New Roman" w:hAnsi="Times New Roman" w:eastAsia="宋体" w:cs="Times New Roman"/>
                <w:color w:val="auto"/>
                <w:szCs w:val="21"/>
              </w:rPr>
              <w:t>.8</w:t>
            </w:r>
          </w:p>
        </w:tc>
      </w:tr>
      <w:tr w14:paraId="4228342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5211" w:type="dxa"/>
            <w:vAlign w:val="center"/>
          </w:tcPr>
          <w:p w14:paraId="6724CEB1">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按恒荷载验算时</w:t>
            </w:r>
          </w:p>
        </w:tc>
        <w:tc>
          <w:tcPr>
            <w:tcW w:w="1701" w:type="dxa"/>
            <w:vAlign w:val="center"/>
          </w:tcPr>
          <w:p w14:paraId="60D538BB">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0</w:t>
            </w:r>
            <w:r>
              <w:rPr>
                <w:rFonts w:ascii="Times New Roman" w:hAnsi="Times New Roman" w:eastAsia="宋体" w:cs="Times New Roman"/>
                <w:color w:val="auto"/>
                <w:szCs w:val="21"/>
              </w:rPr>
              <w:t>.8</w:t>
            </w:r>
          </w:p>
        </w:tc>
        <w:tc>
          <w:tcPr>
            <w:tcW w:w="1610" w:type="dxa"/>
            <w:vAlign w:val="center"/>
          </w:tcPr>
          <w:p w14:paraId="49108E88">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0</w:t>
            </w:r>
            <w:r>
              <w:rPr>
                <w:rFonts w:ascii="Times New Roman" w:hAnsi="Times New Roman" w:eastAsia="宋体" w:cs="Times New Roman"/>
                <w:color w:val="auto"/>
                <w:szCs w:val="21"/>
              </w:rPr>
              <w:t>.8</w:t>
            </w:r>
          </w:p>
        </w:tc>
      </w:tr>
      <w:tr w14:paraId="49D821E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5211" w:type="dxa"/>
            <w:vAlign w:val="center"/>
          </w:tcPr>
          <w:p w14:paraId="00B36D02">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用于木构筑物时</w:t>
            </w:r>
          </w:p>
        </w:tc>
        <w:tc>
          <w:tcPr>
            <w:tcW w:w="1701" w:type="dxa"/>
            <w:vAlign w:val="center"/>
          </w:tcPr>
          <w:p w14:paraId="3C295805">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0</w:t>
            </w:r>
            <w:r>
              <w:rPr>
                <w:rFonts w:ascii="Times New Roman" w:hAnsi="Times New Roman" w:eastAsia="宋体" w:cs="Times New Roman"/>
                <w:color w:val="auto"/>
                <w:szCs w:val="21"/>
              </w:rPr>
              <w:t>.9</w:t>
            </w:r>
          </w:p>
        </w:tc>
        <w:tc>
          <w:tcPr>
            <w:tcW w:w="1610" w:type="dxa"/>
            <w:vAlign w:val="center"/>
          </w:tcPr>
          <w:p w14:paraId="1B8B26EF">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.0</w:t>
            </w:r>
          </w:p>
        </w:tc>
      </w:tr>
      <w:tr w14:paraId="33A0A83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5211" w:type="dxa"/>
            <w:vAlign w:val="center"/>
          </w:tcPr>
          <w:p w14:paraId="31148CB8">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施工荷载和维修时的短暂情况</w:t>
            </w:r>
          </w:p>
        </w:tc>
        <w:tc>
          <w:tcPr>
            <w:tcW w:w="1701" w:type="dxa"/>
            <w:vAlign w:val="center"/>
          </w:tcPr>
          <w:p w14:paraId="78314E10">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.2</w:t>
            </w:r>
          </w:p>
        </w:tc>
        <w:tc>
          <w:tcPr>
            <w:tcW w:w="1610" w:type="dxa"/>
            <w:vAlign w:val="center"/>
          </w:tcPr>
          <w:p w14:paraId="4BB07AF7">
            <w:pPr>
              <w:spacing w:line="360" w:lineRule="auto"/>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1</w:t>
            </w:r>
            <w:r>
              <w:rPr>
                <w:rFonts w:ascii="Times New Roman" w:hAnsi="Times New Roman" w:eastAsia="宋体" w:cs="Times New Roman"/>
                <w:color w:val="auto"/>
                <w:szCs w:val="21"/>
              </w:rPr>
              <w:t>.0</w:t>
            </w:r>
          </w:p>
        </w:tc>
      </w:tr>
    </w:tbl>
    <w:p w14:paraId="53CE8E90">
      <w:pPr>
        <w:ind w:left="660" w:hanging="660" w:hangingChars="313"/>
        <w:rPr>
          <w:rFonts w:ascii="Times New Roman" w:hAnsi="Times New Roman" w:eastAsia="宋体" w:cs="Times New Roman"/>
          <w:color w:val="auto"/>
          <w:szCs w:val="21"/>
        </w:rPr>
      </w:pPr>
      <w:r>
        <w:rPr>
          <w:rFonts w:hint="eastAsia" w:ascii="Times New Roman" w:hAnsi="Times New Roman" w:eastAsia="宋体" w:cs="Times New Roman"/>
          <w:b/>
          <w:bCs/>
          <w:color w:val="auto"/>
          <w:szCs w:val="21"/>
        </w:rPr>
        <w:t>注：</w:t>
      </w:r>
      <w:r>
        <w:rPr>
          <w:rFonts w:hint="eastAsia" w:ascii="Times New Roman" w:hAnsi="Times New Roman" w:eastAsia="宋体" w:cs="Times New Roman"/>
          <w:color w:val="auto"/>
          <w:szCs w:val="21"/>
        </w:rPr>
        <w:t>1当仅有恒荷载或恒荷载所产生的内力超过全部荷载所产生的内力的</w:t>
      </w:r>
      <w:r>
        <w:rPr>
          <w:rFonts w:ascii="Times New Roman" w:hAnsi="Times New Roman" w:eastAsia="宋体" w:cs="Times New Roman"/>
          <w:color w:val="auto"/>
          <w:szCs w:val="21"/>
        </w:rPr>
        <w:t>80</w:t>
      </w:r>
      <w:r>
        <w:rPr>
          <w:rFonts w:hint="eastAsia" w:ascii="Times New Roman" w:hAnsi="Times New Roman" w:eastAsia="宋体" w:cs="Times New Roman"/>
          <w:color w:val="auto"/>
          <w:szCs w:val="21"/>
        </w:rPr>
        <w:t>%时，应单独以恒荷载进行验算。</w:t>
      </w:r>
    </w:p>
    <w:p w14:paraId="4DA5CFAD">
      <w:pPr>
        <w:ind w:firstLine="420" w:firstLineChars="200"/>
        <w:rPr>
          <w:rFonts w:ascii="Times New Roman" w:hAnsi="Times New Roman" w:eastAsia="宋体" w:cs="Times New Roman"/>
          <w:color w:val="auto"/>
          <w:szCs w:val="21"/>
        </w:rPr>
      </w:pPr>
      <w:r>
        <w:rPr>
          <w:rFonts w:hint="eastAsia" w:ascii="Times New Roman" w:hAnsi="Times New Roman" w:eastAsia="宋体" w:cs="Times New Roman"/>
          <w:color w:val="auto"/>
          <w:szCs w:val="21"/>
        </w:rPr>
        <w:t>2当若干条件同时出现，表列各系数应连乘。</w:t>
      </w:r>
    </w:p>
    <w:p w14:paraId="5283A231">
      <w:pPr>
        <w:spacing w:line="360" w:lineRule="auto"/>
        <w:rPr>
          <w:rFonts w:ascii="Times New Roman" w:hAnsi="Times New Roman" w:eastAsia="宋体" w:cs="Times New Roman"/>
          <w:color w:val="auto"/>
          <w:sz w:val="24"/>
          <w:szCs w:val="24"/>
        </w:rPr>
      </w:pPr>
    </w:p>
    <w:p w14:paraId="69E5F08D">
      <w:pPr>
        <w:pStyle w:val="146"/>
        <w:spacing w:before="312" w:after="312"/>
        <w:rPr>
          <w:color w:val="auto"/>
        </w:rPr>
      </w:pPr>
      <w:bookmarkStart w:id="1728" w:name="_Toc21781"/>
      <w:bookmarkStart w:id="1729" w:name="_Toc187858735"/>
      <w:bookmarkStart w:id="1730" w:name="_Toc9187"/>
      <w:r>
        <w:rPr>
          <w:rFonts w:hint="eastAsia"/>
          <w:color w:val="auto"/>
        </w:rPr>
        <w:t>附录</w:t>
      </w:r>
      <w:r>
        <w:rPr>
          <w:color w:val="auto"/>
        </w:rPr>
        <w:t xml:space="preserve">B  </w:t>
      </w:r>
      <w:r>
        <w:rPr>
          <w:rFonts w:hint="eastAsia"/>
          <w:color w:val="auto"/>
        </w:rPr>
        <w:t>变形值指标</w:t>
      </w:r>
      <w:bookmarkEnd w:id="1728"/>
      <w:bookmarkEnd w:id="1729"/>
      <w:bookmarkEnd w:id="1730"/>
    </w:p>
    <w:p w14:paraId="7045FAB7">
      <w:pPr>
        <w:spacing w:line="360" w:lineRule="auto"/>
        <w:rPr>
          <w:rFonts w:ascii="Times New Roman" w:hAnsi="Times New Roman" w:cs="Times New Roman"/>
          <w:color w:val="auto"/>
          <w:sz w:val="24"/>
        </w:rPr>
      </w:pPr>
      <w:r>
        <w:rPr>
          <w:rFonts w:ascii="Times New Roman" w:hAnsi="Times New Roman" w:cs="Times New Roman"/>
          <w:b/>
          <w:bCs/>
          <w:color w:val="auto"/>
          <w:sz w:val="24"/>
        </w:rPr>
        <w:t>B.0.1</w:t>
      </w:r>
      <w:r>
        <w:rPr>
          <w:rFonts w:hint="eastAsia" w:ascii="Times New Roman" w:hAnsi="Times New Roman" w:cs="Times New Roman"/>
          <w:color w:val="auto"/>
          <w:sz w:val="24"/>
        </w:rPr>
        <w:t>当验算模板及其支架的刚度时，其最大变形值不得超过下列容许值：</w:t>
      </w:r>
    </w:p>
    <w:p w14:paraId="3ADD4DF6">
      <w:pPr>
        <w:spacing w:line="360" w:lineRule="auto"/>
        <w:ind w:firstLine="480" w:firstLineChars="200"/>
        <w:rPr>
          <w:rFonts w:ascii="Times New Roman" w:hAnsi="Times New Roman" w:cs="Times New Roman"/>
          <w:color w:val="auto"/>
          <w:sz w:val="24"/>
        </w:rPr>
      </w:pPr>
      <w:r>
        <w:rPr>
          <w:rFonts w:hint="eastAsia" w:ascii="Times New Roman" w:hAnsi="Times New Roman" w:cs="Times New Roman"/>
          <w:color w:val="auto"/>
          <w:sz w:val="24"/>
        </w:rPr>
        <w:t>1对结构表面外露的模板，为模板构件计算跨度的1/400；</w:t>
      </w:r>
    </w:p>
    <w:p w14:paraId="569039C5">
      <w:pPr>
        <w:spacing w:line="360" w:lineRule="auto"/>
        <w:ind w:firstLine="480" w:firstLineChars="200"/>
        <w:rPr>
          <w:rFonts w:ascii="Times New Roman" w:hAnsi="Times New Roman" w:cs="Times New Roman"/>
          <w:color w:val="auto"/>
          <w:sz w:val="24"/>
        </w:rPr>
      </w:pPr>
      <w:r>
        <w:rPr>
          <w:rFonts w:hint="eastAsia" w:ascii="Times New Roman" w:hAnsi="Times New Roman" w:cs="Times New Roman"/>
          <w:color w:val="auto"/>
          <w:sz w:val="24"/>
        </w:rPr>
        <w:t>2对结构表面隐蔽的模板，为模板构件计算跨度的1/250；</w:t>
      </w:r>
    </w:p>
    <w:p w14:paraId="7B515E93">
      <w:pPr>
        <w:spacing w:line="360" w:lineRule="auto"/>
        <w:ind w:firstLine="480" w:firstLineChars="200"/>
        <w:rPr>
          <w:rFonts w:ascii="Times New Roman" w:hAnsi="Times New Roman" w:cs="Times New Roman"/>
          <w:color w:val="auto"/>
          <w:sz w:val="24"/>
        </w:rPr>
      </w:pPr>
      <w:r>
        <w:rPr>
          <w:rFonts w:hint="eastAsia" w:ascii="Times New Roman" w:hAnsi="Times New Roman" w:cs="Times New Roman"/>
          <w:color w:val="auto"/>
          <w:sz w:val="24"/>
        </w:rPr>
        <w:t>3支架的压缩变形或弹性挠度，为相应的结构计算跨度的1/1000。</w:t>
      </w:r>
    </w:p>
    <w:p w14:paraId="05751952">
      <w:pPr>
        <w:spacing w:line="360" w:lineRule="auto"/>
        <w:rPr>
          <w:rFonts w:ascii="Times New Roman" w:hAnsi="Times New Roman" w:cs="Times New Roman"/>
          <w:color w:val="auto"/>
          <w:sz w:val="24"/>
        </w:rPr>
      </w:pPr>
      <w:r>
        <w:rPr>
          <w:rFonts w:ascii="Times New Roman" w:hAnsi="Times New Roman" w:cs="Times New Roman"/>
          <w:b/>
          <w:bCs/>
          <w:color w:val="auto"/>
          <w:sz w:val="24"/>
        </w:rPr>
        <w:t>B.0.</w:t>
      </w:r>
      <w:r>
        <w:rPr>
          <w:rFonts w:hint="eastAsia" w:ascii="Times New Roman" w:hAnsi="Times New Roman" w:cs="Times New Roman"/>
          <w:b/>
          <w:bCs/>
          <w:color w:val="auto"/>
          <w:sz w:val="24"/>
        </w:rPr>
        <w:t>2</w:t>
      </w:r>
      <w:r>
        <w:rPr>
          <w:rFonts w:hint="eastAsia" w:ascii="Times New Roman" w:hAnsi="Times New Roman" w:cs="Times New Roman"/>
          <w:color w:val="auto"/>
          <w:sz w:val="24"/>
        </w:rPr>
        <w:t xml:space="preserve"> 当验算保温免拆模板的刚度时，其最大变形值不得超过3mm。</w:t>
      </w:r>
    </w:p>
    <w:p w14:paraId="25988B02">
      <w:pPr>
        <w:spacing w:line="360" w:lineRule="auto"/>
        <w:rPr>
          <w:rFonts w:ascii="Times New Roman" w:hAnsi="Times New Roman" w:cs="Times New Roman"/>
          <w:color w:val="auto"/>
          <w:sz w:val="24"/>
          <w:highlight w:val="none"/>
        </w:rPr>
      </w:pPr>
      <w:r>
        <w:rPr>
          <w:rFonts w:ascii="Times New Roman" w:hAnsi="Times New Roman" w:cs="Times New Roman"/>
          <w:b/>
          <w:bCs/>
          <w:color w:val="auto"/>
          <w:sz w:val="24"/>
          <w:highlight w:val="none"/>
        </w:rPr>
        <w:t>B.0.</w:t>
      </w:r>
      <w:r>
        <w:rPr>
          <w:rFonts w:hint="eastAsia" w:ascii="Times New Roman" w:hAnsi="Times New Roman" w:cs="Times New Roman"/>
          <w:b/>
          <w:bCs/>
          <w:color w:val="auto"/>
          <w:sz w:val="24"/>
          <w:highlight w:val="none"/>
        </w:rPr>
        <w:t>3</w:t>
      </w:r>
      <w:r>
        <w:rPr>
          <w:rFonts w:hint="eastAsia" w:ascii="Times New Roman" w:hAnsi="Times New Roman" w:cs="Times New Roman"/>
          <w:color w:val="auto"/>
          <w:sz w:val="24"/>
          <w:highlight w:val="none"/>
        </w:rPr>
        <w:t xml:space="preserve"> 当验算主、次楞的刚度时，其最大变形值不得超过跨度的1/150与10mm的较小值。</w:t>
      </w:r>
    </w:p>
    <w:p w14:paraId="5E72EE7D">
      <w:pPr>
        <w:spacing w:line="360" w:lineRule="auto"/>
        <w:rPr>
          <w:rFonts w:ascii="Times New Roman" w:hAnsi="Times New Roman" w:cs="Times New Roman"/>
          <w:color w:val="auto"/>
          <w:sz w:val="24"/>
        </w:rPr>
      </w:pPr>
      <w:r>
        <w:rPr>
          <w:rFonts w:ascii="Times New Roman" w:hAnsi="Times New Roman" w:cs="Times New Roman"/>
          <w:b/>
          <w:bCs/>
          <w:color w:val="auto"/>
          <w:sz w:val="24"/>
        </w:rPr>
        <w:t>B.0.</w:t>
      </w:r>
      <w:r>
        <w:rPr>
          <w:rFonts w:hint="eastAsia" w:ascii="Times New Roman" w:hAnsi="Times New Roman" w:cs="Times New Roman"/>
          <w:b/>
          <w:bCs/>
          <w:color w:val="auto"/>
          <w:sz w:val="24"/>
        </w:rPr>
        <w:t>4</w:t>
      </w:r>
      <w:r>
        <w:rPr>
          <w:rFonts w:hint="eastAsia" w:ascii="Times New Roman" w:hAnsi="Times New Roman" w:cs="Times New Roman"/>
          <w:color w:val="auto"/>
          <w:sz w:val="24"/>
        </w:rPr>
        <w:t>组合钢模板结构或其构配件的最大变形值不得超过表B</w:t>
      </w:r>
      <w:r>
        <w:rPr>
          <w:rFonts w:ascii="Times New Roman" w:hAnsi="Times New Roman" w:cs="Times New Roman"/>
          <w:color w:val="auto"/>
          <w:sz w:val="24"/>
        </w:rPr>
        <w:t>.0.2</w:t>
      </w:r>
      <w:r>
        <w:rPr>
          <w:rFonts w:hint="eastAsia" w:ascii="Times New Roman" w:hAnsi="Times New Roman" w:cs="Times New Roman"/>
          <w:color w:val="auto"/>
          <w:sz w:val="24"/>
        </w:rPr>
        <w:t>的规定。</w:t>
      </w:r>
    </w:p>
    <w:p w14:paraId="3A66B2F6">
      <w:pPr>
        <w:rPr>
          <w:rFonts w:hint="eastAsia" w:ascii="宋体" w:hAnsi="宋体"/>
          <w:color w:val="auto"/>
          <w:sz w:val="24"/>
        </w:rPr>
      </w:pPr>
    </w:p>
    <w:p w14:paraId="4DFC2B23">
      <w:pPr>
        <w:pStyle w:val="145"/>
        <w:rPr>
          <w:color w:val="auto"/>
        </w:rPr>
      </w:pPr>
      <w:r>
        <w:rPr>
          <w:rFonts w:hint="eastAsia"/>
          <w:color w:val="auto"/>
        </w:rPr>
        <w:t>表B</w:t>
      </w:r>
      <w:r>
        <w:rPr>
          <w:color w:val="auto"/>
        </w:rPr>
        <w:t xml:space="preserve">.0.2  </w:t>
      </w:r>
      <w:r>
        <w:rPr>
          <w:rFonts w:hint="eastAsia"/>
          <w:color w:val="auto"/>
        </w:rPr>
        <w:t>组合钢模板及构配件的容许变形值（</w:t>
      </w:r>
      <w:r>
        <w:rPr>
          <w:color w:val="auto"/>
        </w:rPr>
        <w:t>mm</w:t>
      </w:r>
      <w:r>
        <w:rPr>
          <w:rFonts w:hint="eastAsia"/>
          <w:color w:val="auto"/>
        </w:rPr>
        <w:t>）</w:t>
      </w:r>
    </w:p>
    <w:tbl>
      <w:tblPr>
        <w:tblStyle w:val="8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14:paraId="2F07A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6D8BD33F">
            <w:pPr>
              <w:spacing w:line="360" w:lineRule="auto"/>
              <w:jc w:val="center"/>
              <w:rPr>
                <w:rFonts w:hint="eastAsia" w:ascii="宋体" w:hAnsi="宋体"/>
                <w:color w:val="auto"/>
                <w:szCs w:val="21"/>
              </w:rPr>
            </w:pPr>
            <w:r>
              <w:rPr>
                <w:rFonts w:hint="eastAsia" w:ascii="宋体" w:hAnsi="宋体"/>
                <w:color w:val="auto"/>
                <w:szCs w:val="21"/>
              </w:rPr>
              <w:t>部 件 名 称</w:t>
            </w:r>
          </w:p>
        </w:tc>
        <w:tc>
          <w:tcPr>
            <w:tcW w:w="4261" w:type="dxa"/>
          </w:tcPr>
          <w:p w14:paraId="13355F5E">
            <w:pPr>
              <w:spacing w:line="360" w:lineRule="auto"/>
              <w:jc w:val="center"/>
              <w:rPr>
                <w:rFonts w:hint="eastAsia" w:ascii="宋体" w:hAnsi="宋体"/>
                <w:color w:val="auto"/>
                <w:szCs w:val="21"/>
              </w:rPr>
            </w:pPr>
            <w:r>
              <w:rPr>
                <w:rFonts w:hint="eastAsia" w:ascii="宋体" w:hAnsi="宋体"/>
                <w:color w:val="auto"/>
                <w:szCs w:val="21"/>
              </w:rPr>
              <w:t>容 许 变 形 值</w:t>
            </w:r>
          </w:p>
        </w:tc>
      </w:tr>
      <w:tr w14:paraId="3AD88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4261" w:type="dxa"/>
          </w:tcPr>
          <w:p w14:paraId="35B16594">
            <w:pPr>
              <w:spacing w:line="360" w:lineRule="auto"/>
              <w:jc w:val="center"/>
              <w:rPr>
                <w:rFonts w:hint="eastAsia" w:ascii="宋体" w:hAnsi="宋体"/>
                <w:color w:val="auto"/>
                <w:szCs w:val="21"/>
              </w:rPr>
            </w:pPr>
            <w:r>
              <w:rPr>
                <w:rFonts w:hint="eastAsia" w:ascii="宋体" w:hAnsi="宋体"/>
                <w:color w:val="auto"/>
                <w:szCs w:val="21"/>
              </w:rPr>
              <w:t>钢模板的面板</w:t>
            </w:r>
          </w:p>
        </w:tc>
        <w:tc>
          <w:tcPr>
            <w:tcW w:w="4261" w:type="dxa"/>
          </w:tcPr>
          <w:p w14:paraId="53C4EFBE">
            <w:pPr>
              <w:spacing w:line="360" w:lineRule="auto"/>
              <w:jc w:val="center"/>
              <w:rPr>
                <w:rFonts w:hint="eastAsia" w:ascii="宋体" w:hAnsi="宋体"/>
                <w:color w:val="auto"/>
                <w:szCs w:val="21"/>
              </w:rPr>
            </w:pPr>
            <w:r>
              <w:rPr>
                <w:rFonts w:hint="eastAsia" w:ascii="宋体" w:hAnsi="宋体"/>
                <w:color w:val="auto"/>
                <w:szCs w:val="21"/>
              </w:rPr>
              <w:t>≤1.5</w:t>
            </w:r>
          </w:p>
        </w:tc>
      </w:tr>
      <w:tr w14:paraId="71595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4261" w:type="dxa"/>
          </w:tcPr>
          <w:p w14:paraId="70E0BAFF">
            <w:pPr>
              <w:spacing w:line="360" w:lineRule="auto"/>
              <w:jc w:val="center"/>
              <w:rPr>
                <w:rFonts w:hint="eastAsia" w:ascii="宋体" w:hAnsi="宋体"/>
                <w:color w:val="auto"/>
                <w:szCs w:val="21"/>
              </w:rPr>
            </w:pPr>
            <w:r>
              <w:rPr>
                <w:rFonts w:hint="eastAsia" w:ascii="宋体" w:hAnsi="宋体"/>
                <w:color w:val="auto"/>
                <w:szCs w:val="21"/>
              </w:rPr>
              <w:t>单块钢模板</w:t>
            </w:r>
          </w:p>
        </w:tc>
        <w:tc>
          <w:tcPr>
            <w:tcW w:w="4261" w:type="dxa"/>
          </w:tcPr>
          <w:p w14:paraId="5BEB4EF5">
            <w:pPr>
              <w:spacing w:line="360" w:lineRule="auto"/>
              <w:jc w:val="center"/>
              <w:rPr>
                <w:rFonts w:hint="eastAsia" w:ascii="宋体" w:hAnsi="宋体"/>
                <w:color w:val="auto"/>
                <w:szCs w:val="21"/>
              </w:rPr>
            </w:pPr>
            <w:r>
              <w:rPr>
                <w:rFonts w:hint="eastAsia" w:ascii="宋体" w:hAnsi="宋体"/>
                <w:color w:val="auto"/>
                <w:szCs w:val="21"/>
              </w:rPr>
              <w:t>≤1.5</w:t>
            </w:r>
          </w:p>
        </w:tc>
      </w:tr>
      <w:tr w14:paraId="1C7B1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261" w:type="dxa"/>
          </w:tcPr>
          <w:p w14:paraId="42516C5E">
            <w:pPr>
              <w:spacing w:line="360" w:lineRule="auto"/>
              <w:jc w:val="center"/>
              <w:rPr>
                <w:rFonts w:hint="eastAsia" w:ascii="宋体" w:hAnsi="宋体"/>
                <w:color w:val="auto"/>
                <w:szCs w:val="21"/>
              </w:rPr>
            </w:pPr>
            <w:r>
              <w:rPr>
                <w:rFonts w:hint="eastAsia" w:ascii="宋体" w:hAnsi="宋体"/>
                <w:color w:val="auto"/>
                <w:szCs w:val="21"/>
              </w:rPr>
              <w:t>钢楞</w:t>
            </w:r>
          </w:p>
        </w:tc>
        <w:tc>
          <w:tcPr>
            <w:tcW w:w="4261" w:type="dxa"/>
          </w:tcPr>
          <w:p w14:paraId="301083DD">
            <w:pPr>
              <w:spacing w:line="360" w:lineRule="auto"/>
              <w:jc w:val="center"/>
              <w:rPr>
                <w:rFonts w:hint="eastAsia" w:ascii="宋体" w:hAnsi="宋体"/>
                <w:color w:val="auto"/>
                <w:szCs w:val="21"/>
              </w:rPr>
            </w:pPr>
            <w:r>
              <w:rPr>
                <w:rFonts w:hint="eastAsia" w:ascii="宋体" w:hAnsi="宋体"/>
                <w:color w:val="auto"/>
                <w:szCs w:val="21"/>
              </w:rPr>
              <w:t>L/500或≤3.0</w:t>
            </w:r>
          </w:p>
        </w:tc>
      </w:tr>
      <w:tr w14:paraId="07B0B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261" w:type="dxa"/>
          </w:tcPr>
          <w:p w14:paraId="58013B89">
            <w:pPr>
              <w:spacing w:line="360" w:lineRule="auto"/>
              <w:jc w:val="center"/>
              <w:rPr>
                <w:rFonts w:hint="eastAsia" w:ascii="宋体" w:hAnsi="宋体"/>
                <w:color w:val="auto"/>
                <w:szCs w:val="21"/>
              </w:rPr>
            </w:pPr>
            <w:r>
              <w:rPr>
                <w:rFonts w:hint="eastAsia" w:ascii="宋体" w:hAnsi="宋体"/>
                <w:color w:val="auto"/>
                <w:szCs w:val="21"/>
              </w:rPr>
              <w:t>柱箍</w:t>
            </w:r>
          </w:p>
        </w:tc>
        <w:tc>
          <w:tcPr>
            <w:tcW w:w="4261" w:type="dxa"/>
          </w:tcPr>
          <w:p w14:paraId="4F633731">
            <w:pPr>
              <w:spacing w:line="360" w:lineRule="auto"/>
              <w:jc w:val="center"/>
              <w:rPr>
                <w:rFonts w:hint="eastAsia" w:ascii="宋体" w:hAnsi="宋体"/>
                <w:color w:val="auto"/>
                <w:szCs w:val="21"/>
              </w:rPr>
            </w:pPr>
            <w:r>
              <w:rPr>
                <w:rFonts w:hint="eastAsia" w:ascii="宋体" w:hAnsi="宋体"/>
                <w:color w:val="auto"/>
                <w:szCs w:val="21"/>
              </w:rPr>
              <w:t>B/500或≤3.0</w:t>
            </w:r>
          </w:p>
        </w:tc>
      </w:tr>
      <w:tr w14:paraId="11AB8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4261" w:type="dxa"/>
          </w:tcPr>
          <w:p w14:paraId="1019FCEC">
            <w:pPr>
              <w:spacing w:line="360" w:lineRule="auto"/>
              <w:jc w:val="center"/>
              <w:rPr>
                <w:rFonts w:hint="eastAsia" w:ascii="宋体" w:hAnsi="宋体"/>
                <w:color w:val="auto"/>
                <w:szCs w:val="21"/>
              </w:rPr>
            </w:pPr>
            <w:r>
              <w:rPr>
                <w:rFonts w:hint="eastAsia" w:ascii="宋体" w:hAnsi="宋体"/>
                <w:color w:val="auto"/>
                <w:szCs w:val="21"/>
              </w:rPr>
              <w:t>桁架、钢模板结构体系</w:t>
            </w:r>
          </w:p>
        </w:tc>
        <w:tc>
          <w:tcPr>
            <w:tcW w:w="4261" w:type="dxa"/>
          </w:tcPr>
          <w:p w14:paraId="609E5132">
            <w:pPr>
              <w:spacing w:line="360" w:lineRule="auto"/>
              <w:jc w:val="center"/>
              <w:rPr>
                <w:rFonts w:hint="eastAsia" w:ascii="宋体" w:hAnsi="宋体"/>
                <w:color w:val="auto"/>
                <w:szCs w:val="21"/>
              </w:rPr>
            </w:pPr>
            <w:r>
              <w:rPr>
                <w:rFonts w:hint="eastAsia" w:ascii="宋体" w:hAnsi="宋体"/>
                <w:color w:val="auto"/>
                <w:szCs w:val="21"/>
              </w:rPr>
              <w:t>L/1000</w:t>
            </w:r>
          </w:p>
        </w:tc>
      </w:tr>
      <w:tr w14:paraId="46D00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4261" w:type="dxa"/>
          </w:tcPr>
          <w:p w14:paraId="2EFC8932">
            <w:pPr>
              <w:spacing w:line="360" w:lineRule="auto"/>
              <w:jc w:val="center"/>
              <w:rPr>
                <w:rFonts w:hint="eastAsia" w:ascii="宋体" w:hAnsi="宋体"/>
                <w:color w:val="auto"/>
                <w:szCs w:val="21"/>
              </w:rPr>
            </w:pPr>
            <w:r>
              <w:rPr>
                <w:rFonts w:hint="eastAsia" w:ascii="宋体" w:hAnsi="宋体"/>
                <w:color w:val="auto"/>
                <w:szCs w:val="21"/>
              </w:rPr>
              <w:t>支撑系统累计</w:t>
            </w:r>
          </w:p>
        </w:tc>
        <w:tc>
          <w:tcPr>
            <w:tcW w:w="4261" w:type="dxa"/>
          </w:tcPr>
          <w:p w14:paraId="153007AE">
            <w:pPr>
              <w:spacing w:line="360" w:lineRule="auto"/>
              <w:jc w:val="center"/>
              <w:rPr>
                <w:rFonts w:hint="eastAsia" w:ascii="宋体" w:hAnsi="宋体"/>
                <w:color w:val="auto"/>
                <w:szCs w:val="21"/>
              </w:rPr>
            </w:pPr>
            <w:r>
              <w:rPr>
                <w:rFonts w:hint="eastAsia" w:ascii="宋体" w:hAnsi="宋体"/>
                <w:color w:val="auto"/>
                <w:szCs w:val="21"/>
              </w:rPr>
              <w:t>≤4.0</w:t>
            </w:r>
          </w:p>
        </w:tc>
      </w:tr>
    </w:tbl>
    <w:p w14:paraId="68B0C0D2">
      <w:pPr>
        <w:rPr>
          <w:rFonts w:hint="eastAsia" w:ascii="宋体" w:hAnsi="宋体"/>
          <w:color w:val="auto"/>
          <w:szCs w:val="21"/>
        </w:rPr>
      </w:pPr>
      <w:r>
        <w:rPr>
          <w:rFonts w:hint="eastAsia" w:ascii="宋体" w:hAnsi="宋体"/>
          <w:color w:val="auto"/>
          <w:szCs w:val="21"/>
        </w:rPr>
        <w:t>注：L为计算跨度，B为柱宽。</w:t>
      </w:r>
    </w:p>
    <w:p w14:paraId="126DEA58">
      <w:pPr>
        <w:spacing w:line="360" w:lineRule="auto"/>
        <w:rPr>
          <w:rFonts w:ascii="Times New Roman" w:hAnsi="Times New Roman" w:eastAsia="宋体" w:cs="Times New Roman"/>
          <w:color w:val="auto"/>
          <w:sz w:val="24"/>
          <w:szCs w:val="24"/>
        </w:rPr>
        <w:sectPr>
          <w:pgSz w:w="11906" w:h="16838"/>
          <w:pgMar w:top="1440" w:right="1800" w:bottom="1440" w:left="1800" w:header="851" w:footer="992" w:gutter="0"/>
          <w:cols w:space="425" w:num="1"/>
          <w:docGrid w:type="lines" w:linePitch="312" w:charSpace="0"/>
        </w:sectPr>
      </w:pPr>
    </w:p>
    <w:p w14:paraId="3B65C376">
      <w:pPr>
        <w:pStyle w:val="146"/>
        <w:spacing w:before="312" w:after="312"/>
        <w:rPr>
          <w:color w:val="auto"/>
        </w:rPr>
      </w:pPr>
      <w:bookmarkStart w:id="1731" w:name="_Toc1667"/>
      <w:bookmarkStart w:id="1732" w:name="_Toc187858736"/>
      <w:r>
        <w:rPr>
          <w:rFonts w:hint="eastAsia"/>
          <w:color w:val="auto"/>
        </w:rPr>
        <w:t>附录</w:t>
      </w:r>
      <w:r>
        <w:rPr>
          <w:color w:val="auto"/>
        </w:rPr>
        <w:t xml:space="preserve">C  </w:t>
      </w:r>
      <w:r>
        <w:rPr>
          <w:rFonts w:hint="eastAsia"/>
          <w:color w:val="auto"/>
        </w:rPr>
        <w:t>等截面连续梁的内力及变形系数</w:t>
      </w:r>
      <w:bookmarkEnd w:id="1731"/>
      <w:bookmarkEnd w:id="1732"/>
    </w:p>
    <w:p w14:paraId="37BE73C6">
      <w:pPr>
        <w:spacing w:line="360" w:lineRule="auto"/>
        <w:rPr>
          <w:rFonts w:ascii="Times New Roman" w:hAnsi="Times New Roman" w:eastAsia="宋体" w:cs="Times New Roman"/>
          <w:color w:val="auto"/>
          <w:sz w:val="24"/>
          <w:szCs w:val="24"/>
        </w:rPr>
      </w:pPr>
      <w:r>
        <w:rPr>
          <w:color w:val="auto"/>
        </w:rPr>
        <w:drawing>
          <wp:inline distT="0" distB="0" distL="0" distR="0">
            <wp:extent cx="5274310" cy="6519545"/>
            <wp:effectExtent l="0" t="0" r="1397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1"/>
                    <a:stretch>
                      <a:fillRect/>
                    </a:stretch>
                  </pic:blipFill>
                  <pic:spPr>
                    <a:xfrm>
                      <a:off x="0" y="0"/>
                      <a:ext cx="5274310" cy="6519545"/>
                    </a:xfrm>
                    <a:prstGeom prst="rect">
                      <a:avLst/>
                    </a:prstGeom>
                  </pic:spPr>
                </pic:pic>
              </a:graphicData>
            </a:graphic>
          </wp:inline>
        </w:drawing>
      </w:r>
    </w:p>
    <w:p w14:paraId="79F44304">
      <w:pPr>
        <w:spacing w:line="360" w:lineRule="auto"/>
        <w:rPr>
          <w:rFonts w:ascii="Times New Roman" w:hAnsi="Times New Roman" w:eastAsia="宋体" w:cs="Times New Roman"/>
          <w:color w:val="auto"/>
          <w:sz w:val="24"/>
          <w:szCs w:val="24"/>
        </w:rPr>
      </w:pPr>
    </w:p>
    <w:p w14:paraId="2B5413AA">
      <w:pPr>
        <w:spacing w:line="360" w:lineRule="auto"/>
        <w:jc w:val="center"/>
        <w:rPr>
          <w:rFonts w:ascii="Times New Roman" w:hAnsi="Times New Roman" w:eastAsia="宋体" w:cs="Times New Roman"/>
          <w:color w:val="auto"/>
          <w:sz w:val="24"/>
          <w:szCs w:val="24"/>
        </w:rPr>
      </w:pPr>
      <w:r>
        <w:rPr>
          <w:color w:val="auto"/>
        </w:rPr>
        <w:drawing>
          <wp:inline distT="0" distB="0" distL="0" distR="0">
            <wp:extent cx="4628515" cy="6837680"/>
            <wp:effectExtent l="0" t="0" r="444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2"/>
                    <a:stretch>
                      <a:fillRect/>
                    </a:stretch>
                  </pic:blipFill>
                  <pic:spPr>
                    <a:xfrm>
                      <a:off x="0" y="0"/>
                      <a:ext cx="4628571" cy="6838095"/>
                    </a:xfrm>
                    <a:prstGeom prst="rect">
                      <a:avLst/>
                    </a:prstGeom>
                  </pic:spPr>
                </pic:pic>
              </a:graphicData>
            </a:graphic>
          </wp:inline>
        </w:drawing>
      </w:r>
    </w:p>
    <w:p w14:paraId="3BAFE7F2">
      <w:pPr>
        <w:spacing w:line="360" w:lineRule="auto"/>
        <w:jc w:val="center"/>
        <w:rPr>
          <w:rFonts w:ascii="Times New Roman" w:hAnsi="Times New Roman" w:eastAsia="宋体" w:cs="Times New Roman"/>
          <w:color w:val="auto"/>
          <w:sz w:val="24"/>
          <w:szCs w:val="24"/>
        </w:rPr>
      </w:pPr>
      <w:r>
        <w:rPr>
          <w:color w:val="auto"/>
        </w:rPr>
        <w:drawing>
          <wp:inline distT="0" distB="0" distL="0" distR="0">
            <wp:extent cx="5274310" cy="7557770"/>
            <wp:effectExtent l="0" t="0" r="1397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3"/>
                    <a:stretch>
                      <a:fillRect/>
                    </a:stretch>
                  </pic:blipFill>
                  <pic:spPr>
                    <a:xfrm>
                      <a:off x="0" y="0"/>
                      <a:ext cx="5274310" cy="7557770"/>
                    </a:xfrm>
                    <a:prstGeom prst="rect">
                      <a:avLst/>
                    </a:prstGeom>
                  </pic:spPr>
                </pic:pic>
              </a:graphicData>
            </a:graphic>
          </wp:inline>
        </w:drawing>
      </w:r>
    </w:p>
    <w:p w14:paraId="3E12D812">
      <w:pPr>
        <w:spacing w:line="360" w:lineRule="auto"/>
        <w:jc w:val="center"/>
        <w:rPr>
          <w:rFonts w:ascii="Times New Roman" w:hAnsi="Times New Roman" w:eastAsia="宋体" w:cs="Times New Roman"/>
          <w:color w:val="auto"/>
          <w:sz w:val="24"/>
          <w:szCs w:val="24"/>
        </w:rPr>
      </w:pPr>
      <w:r>
        <w:rPr>
          <w:color w:val="auto"/>
        </w:rPr>
        <w:drawing>
          <wp:inline distT="0" distB="0" distL="0" distR="0">
            <wp:extent cx="5274310" cy="3223895"/>
            <wp:effectExtent l="0" t="0" r="1397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4"/>
                    <a:stretch>
                      <a:fillRect/>
                    </a:stretch>
                  </pic:blipFill>
                  <pic:spPr>
                    <a:xfrm>
                      <a:off x="0" y="0"/>
                      <a:ext cx="5274310" cy="3223895"/>
                    </a:xfrm>
                    <a:prstGeom prst="rect">
                      <a:avLst/>
                    </a:prstGeom>
                  </pic:spPr>
                </pic:pic>
              </a:graphicData>
            </a:graphic>
          </wp:inline>
        </w:drawing>
      </w:r>
    </w:p>
    <w:p w14:paraId="075ED839">
      <w:pPr>
        <w:spacing w:line="360" w:lineRule="auto"/>
        <w:rPr>
          <w:rFonts w:ascii="Times New Roman" w:hAnsi="Times New Roman" w:eastAsia="宋体" w:cs="Times New Roman"/>
          <w:color w:val="auto"/>
          <w:sz w:val="24"/>
          <w:szCs w:val="24"/>
        </w:rPr>
      </w:pPr>
      <w:r>
        <w:rPr>
          <w:color w:val="auto"/>
        </w:rPr>
        <w:drawing>
          <wp:inline distT="0" distB="0" distL="0" distR="0">
            <wp:extent cx="5274310" cy="3280410"/>
            <wp:effectExtent l="0" t="0" r="13970" b="1143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25"/>
                    <a:stretch>
                      <a:fillRect/>
                    </a:stretch>
                  </pic:blipFill>
                  <pic:spPr>
                    <a:xfrm>
                      <a:off x="0" y="0"/>
                      <a:ext cx="5274310" cy="3280410"/>
                    </a:xfrm>
                    <a:prstGeom prst="rect">
                      <a:avLst/>
                    </a:prstGeom>
                  </pic:spPr>
                </pic:pic>
              </a:graphicData>
            </a:graphic>
          </wp:inline>
        </w:drawing>
      </w:r>
    </w:p>
    <w:p w14:paraId="6D4696B2">
      <w:pPr>
        <w:spacing w:line="360" w:lineRule="auto"/>
        <w:jc w:val="center"/>
        <w:rPr>
          <w:rFonts w:ascii="Times New Roman" w:hAnsi="Times New Roman" w:eastAsia="宋体" w:cs="Times New Roman"/>
          <w:color w:val="auto"/>
          <w:sz w:val="24"/>
          <w:szCs w:val="24"/>
        </w:rPr>
      </w:pPr>
      <w:r>
        <w:rPr>
          <w:color w:val="auto"/>
        </w:rPr>
        <w:drawing>
          <wp:inline distT="0" distB="0" distL="0" distR="0">
            <wp:extent cx="5274310" cy="3172460"/>
            <wp:effectExtent l="0" t="0" r="13970" b="1270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26"/>
                    <a:stretch>
                      <a:fillRect/>
                    </a:stretch>
                  </pic:blipFill>
                  <pic:spPr>
                    <a:xfrm>
                      <a:off x="0" y="0"/>
                      <a:ext cx="5274310" cy="3172460"/>
                    </a:xfrm>
                    <a:prstGeom prst="rect">
                      <a:avLst/>
                    </a:prstGeom>
                  </pic:spPr>
                </pic:pic>
              </a:graphicData>
            </a:graphic>
          </wp:inline>
        </w:drawing>
      </w:r>
    </w:p>
    <w:p w14:paraId="09026D8E">
      <w:pPr>
        <w:spacing w:line="360" w:lineRule="auto"/>
        <w:jc w:val="center"/>
        <w:rPr>
          <w:rFonts w:ascii="Times New Roman" w:hAnsi="Times New Roman" w:eastAsia="宋体" w:cs="Times New Roman"/>
          <w:color w:val="auto"/>
          <w:sz w:val="24"/>
          <w:szCs w:val="24"/>
        </w:rPr>
      </w:pPr>
      <w:r>
        <w:rPr>
          <w:color w:val="auto"/>
        </w:rPr>
        <w:drawing>
          <wp:inline distT="0" distB="0" distL="0" distR="0">
            <wp:extent cx="5274310" cy="7733665"/>
            <wp:effectExtent l="0" t="0" r="1397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27"/>
                    <a:stretch>
                      <a:fillRect/>
                    </a:stretch>
                  </pic:blipFill>
                  <pic:spPr>
                    <a:xfrm>
                      <a:off x="0" y="0"/>
                      <a:ext cx="5274310" cy="7733665"/>
                    </a:xfrm>
                    <a:prstGeom prst="rect">
                      <a:avLst/>
                    </a:prstGeom>
                  </pic:spPr>
                </pic:pic>
              </a:graphicData>
            </a:graphic>
          </wp:inline>
        </w:drawing>
      </w:r>
    </w:p>
    <w:p w14:paraId="5C433EE0">
      <w:pPr>
        <w:pStyle w:val="122"/>
        <w:tabs>
          <w:tab w:val="left" w:pos="1738"/>
        </w:tabs>
        <w:autoSpaceDE w:val="0"/>
        <w:autoSpaceDN w:val="0"/>
        <w:spacing w:line="360" w:lineRule="auto"/>
        <w:ind w:firstLine="0" w:firstLineChars="0"/>
        <w:rPr>
          <w:rFonts w:ascii="Times New Roman" w:hAnsi="Times New Roman" w:eastAsia="宋体" w:cs="Times New Roman"/>
          <w:color w:val="auto"/>
          <w:spacing w:val="-4"/>
          <w:sz w:val="24"/>
          <w:szCs w:val="24"/>
        </w:rPr>
        <w:sectPr>
          <w:pgSz w:w="11906" w:h="16838"/>
          <w:pgMar w:top="1440" w:right="1800" w:bottom="1440" w:left="1800" w:header="851" w:footer="992" w:gutter="0"/>
          <w:cols w:space="425" w:num="1"/>
          <w:docGrid w:type="lines" w:linePitch="312" w:charSpace="0"/>
        </w:sectPr>
      </w:pPr>
    </w:p>
    <w:p w14:paraId="39F29691">
      <w:pPr>
        <w:pStyle w:val="146"/>
        <w:spacing w:before="312" w:after="312"/>
        <w:rPr>
          <w:rFonts w:ascii="Times New Roman" w:hAnsi="Times New Roman" w:cs="Times New Roman"/>
          <w:b/>
          <w:bCs/>
          <w:color w:val="auto"/>
          <w:sz w:val="24"/>
        </w:rPr>
      </w:pPr>
      <w:bookmarkStart w:id="1733" w:name="_Toc187858737"/>
      <w:bookmarkStart w:id="1734" w:name="_Toc16420"/>
      <w:bookmarkStart w:id="1735" w:name="_Toc187858738"/>
      <w:r>
        <w:rPr>
          <w:rFonts w:hint="eastAsia"/>
          <w:color w:val="auto"/>
        </w:rPr>
        <w:t>附录D</w:t>
      </w:r>
      <w:r>
        <w:rPr>
          <w:color w:val="auto"/>
        </w:rPr>
        <w:t xml:space="preserve">  </w:t>
      </w:r>
      <w:r>
        <w:rPr>
          <w:rFonts w:hint="eastAsia"/>
          <w:color w:val="auto"/>
        </w:rPr>
        <w:t>模板计算实例（资料性附录）</w:t>
      </w:r>
      <w:bookmarkEnd w:id="1733"/>
      <w:r>
        <w:rPr>
          <w:rFonts w:hint="eastAsia" w:ascii="Times New Roman" w:hAnsi="Times New Roman" w:cs="Times New Roman"/>
          <w:b/>
          <w:bCs/>
          <w:color w:val="auto"/>
          <w:sz w:val="24"/>
        </w:rPr>
        <w:t>模板计算举例</w:t>
      </w:r>
      <w:bookmarkEnd w:id="1734"/>
    </w:p>
    <w:p w14:paraId="62086FE6">
      <w:pPr>
        <w:rPr>
          <w:rFonts w:ascii="Times New Roman" w:hAnsi="Times New Roman" w:cs="Times New Roman"/>
          <w:color w:val="auto"/>
          <w:sz w:val="24"/>
        </w:rPr>
      </w:pPr>
      <w:r>
        <w:rPr>
          <w:rFonts w:hint="eastAsia" w:ascii="Times New Roman" w:hAnsi="Times New Roman" w:cs="Times New Roman"/>
          <w:b/>
          <w:bCs/>
          <w:color w:val="auto"/>
          <w:sz w:val="24"/>
        </w:rPr>
        <w:t>【例1】</w:t>
      </w:r>
      <w:r>
        <w:rPr>
          <w:rFonts w:ascii="Times New Roman" w:hAnsi="Times New Roman" w:cs="Times New Roman"/>
          <w:color w:val="auto"/>
          <w:sz w:val="24"/>
        </w:rPr>
        <w:t>采用55mm厚</w:t>
      </w:r>
      <w:r>
        <w:rPr>
          <w:rFonts w:hint="eastAsia" w:ascii="Times New Roman" w:hAnsi="Times New Roman" w:cs="Times New Roman"/>
          <w:color w:val="auto"/>
          <w:sz w:val="24"/>
        </w:rPr>
        <w:t>复合Ⅱ型保温免拆模板</w:t>
      </w:r>
      <w:r>
        <w:rPr>
          <w:rFonts w:ascii="Times New Roman" w:hAnsi="Times New Roman" w:cs="Times New Roman"/>
          <w:color w:val="auto"/>
          <w:sz w:val="24"/>
        </w:rPr>
        <w:t>，计算宽度取1000mm，用作浇筑0.3m厚</w:t>
      </w:r>
      <w:r>
        <w:rPr>
          <w:rFonts w:hint="eastAsia" w:ascii="Times New Roman" w:hAnsi="Times New Roman" w:cs="Times New Roman"/>
          <w:color w:val="auto"/>
          <w:sz w:val="24"/>
        </w:rPr>
        <w:t>0</w:t>
      </w:r>
      <w:r>
        <w:rPr>
          <w:rFonts w:ascii="Times New Roman" w:hAnsi="Times New Roman" w:cs="Times New Roman"/>
          <w:color w:val="auto"/>
          <w:sz w:val="24"/>
        </w:rPr>
        <w:t>、3m高的钢筋混凝土墙板，次楞为50×80mm方木，主楞为双钢管，次楞间距取</w:t>
      </w:r>
      <w:r>
        <w:rPr>
          <w:rFonts w:hint="eastAsia" w:ascii="Times New Roman" w:hAnsi="Times New Roman" w:cs="Times New Roman"/>
          <w:color w:val="auto"/>
          <w:sz w:val="24"/>
        </w:rPr>
        <w:t>200</w:t>
      </w:r>
      <w:r>
        <w:rPr>
          <w:rFonts w:ascii="Times New Roman" w:hAnsi="Times New Roman" w:cs="Times New Roman"/>
          <w:color w:val="auto"/>
          <w:sz w:val="24"/>
        </w:rPr>
        <w:t>mm，主楞间距500mm。</w:t>
      </w:r>
    </w:p>
    <w:p w14:paraId="4A7A9A53">
      <w:pPr>
        <w:rPr>
          <w:rFonts w:hint="eastAsia" w:cs="Times New Roman" w:asciiTheme="minorEastAsia" w:hAnsiTheme="minorEastAsia"/>
          <w:b/>
          <w:color w:val="auto"/>
          <w:sz w:val="24"/>
        </w:rPr>
      </w:pPr>
      <w:r>
        <w:rPr>
          <w:rFonts w:hint="eastAsia" w:cs="Times New Roman" w:asciiTheme="minorEastAsia" w:hAnsiTheme="minorEastAsia"/>
          <w:b/>
          <w:color w:val="auto"/>
          <w:sz w:val="24"/>
        </w:rPr>
        <w:t>【解】</w:t>
      </w:r>
    </w:p>
    <w:p w14:paraId="28B71E2E">
      <w:pPr>
        <w:pStyle w:val="149"/>
        <w:numPr>
          <w:ilvl w:val="0"/>
          <w:numId w:val="17"/>
        </w:numPr>
        <w:spacing w:line="360" w:lineRule="auto"/>
        <w:ind w:firstLineChars="0"/>
        <w:rPr>
          <w:rFonts w:ascii="Times New Roman" w:hAnsi="Times New Roman" w:cs="Times New Roman"/>
          <w:color w:val="auto"/>
          <w:sz w:val="24"/>
          <w:szCs w:val="24"/>
        </w:rPr>
      </w:pPr>
      <w:r>
        <w:rPr>
          <w:rFonts w:ascii="Times New Roman" w:hAnsi="Times New Roman" w:cs="Times New Roman"/>
          <w:color w:val="auto"/>
          <w:sz w:val="24"/>
          <w:szCs w:val="24"/>
        </w:rPr>
        <w:t>强度验算</w:t>
      </w:r>
    </w:p>
    <w:p w14:paraId="415DFA57">
      <w:pPr>
        <w:pStyle w:val="149"/>
        <w:numPr>
          <w:ilvl w:val="0"/>
          <w:numId w:val="18"/>
        </w:numPr>
        <w:spacing w:line="360" w:lineRule="auto"/>
        <w:ind w:firstLineChars="0"/>
        <w:rPr>
          <w:rFonts w:ascii="Times New Roman" w:hAnsi="Times New Roman" w:cs="Times New Roman"/>
          <w:color w:val="auto"/>
          <w:sz w:val="24"/>
          <w:szCs w:val="24"/>
        </w:rPr>
      </w:pPr>
      <w:r>
        <w:rPr>
          <w:rFonts w:ascii="Times New Roman" w:hAnsi="Times New Roman" w:cs="Times New Roman"/>
          <w:color w:val="auto"/>
          <w:sz w:val="24"/>
          <w:szCs w:val="24"/>
        </w:rPr>
        <w:t>计算时两端按简支板考虑，其计算跨度取支承面板的次楞间距，L=200mm</w:t>
      </w:r>
    </w:p>
    <w:p w14:paraId="1FF83406">
      <w:pPr>
        <w:pStyle w:val="149"/>
        <w:numPr>
          <w:ilvl w:val="0"/>
          <w:numId w:val="18"/>
        </w:numPr>
        <w:spacing w:line="360" w:lineRule="auto"/>
        <w:ind w:firstLineChars="0"/>
        <w:rPr>
          <w:rFonts w:ascii="Times New Roman" w:hAnsi="Times New Roman" w:cs="Times New Roman"/>
          <w:color w:val="auto"/>
          <w:sz w:val="24"/>
          <w:szCs w:val="24"/>
        </w:rPr>
      </w:pPr>
      <w:r>
        <w:rPr>
          <w:rFonts w:ascii="Times New Roman" w:hAnsi="Times New Roman" w:cs="Times New Roman"/>
          <w:color w:val="auto"/>
          <w:sz w:val="24"/>
          <w:szCs w:val="24"/>
        </w:rPr>
        <w:t>施工时混凝土对免拆保温模板的侧向压应力</w:t>
      </w:r>
      <w:r>
        <w:rPr>
          <w:rFonts w:hint="eastAsia" w:ascii="Times New Roman" w:hAnsi="Times New Roman" w:cs="Times New Roman"/>
          <w:color w:val="auto"/>
          <w:sz w:val="24"/>
          <w:szCs w:val="24"/>
        </w:rPr>
        <w:t>F</w:t>
      </w:r>
      <w:r>
        <w:rPr>
          <w:rFonts w:ascii="Times New Roman" w:hAnsi="Times New Roman" w:cs="Times New Roman"/>
          <w:color w:val="auto"/>
          <w:sz w:val="24"/>
          <w:szCs w:val="24"/>
        </w:rPr>
        <w:t>为</w:t>
      </w:r>
    </w:p>
    <w:p w14:paraId="41E2187D">
      <w:pPr>
        <w:pStyle w:val="149"/>
        <w:spacing w:line="360" w:lineRule="auto"/>
        <w:ind w:left="720" w:firstLine="0" w:firstLineChars="0"/>
        <w:rPr>
          <w:rFonts w:ascii="Times New Roman" w:hAnsi="Times New Roman" w:cs="Times New Roman"/>
          <w:color w:val="auto"/>
          <w:sz w:val="24"/>
          <w:szCs w:val="24"/>
        </w:rPr>
      </w:pPr>
      <w:r>
        <w:rPr>
          <w:rFonts w:ascii="Times New Roman" w:hAnsi="Times New Roman" w:cs="Times New Roman"/>
          <w:color w:val="auto"/>
          <w:position w:val="-12"/>
          <w:sz w:val="24"/>
          <w:szCs w:val="24"/>
        </w:rPr>
        <w:object>
          <v:shape id="_x0000_i1073" o:spt="75" type="#_x0000_t75" style="height:30pt;width:363.75pt;" o:ole="t" filled="f" coordsize="21600,21600">
            <v:path/>
            <v:fill on="f" focussize="0,0"/>
            <v:stroke/>
            <v:imagedata r:id="rId129" o:title=""/>
            <o:lock v:ext="edit" aspectratio="t"/>
            <w10:wrap type="none"/>
            <w10:anchorlock/>
          </v:shape>
          <o:OLEObject Type="Embed" ProgID="Equation.DSMT4" ShapeID="_x0000_i1073" DrawAspect="Content" ObjectID="_1468075773" r:id="rId128">
            <o:LockedField>false</o:LockedField>
          </o:OLEObject>
        </w:object>
      </w:r>
      <w:r>
        <w:rPr>
          <w:rFonts w:ascii="Times New Roman" w:hAnsi="Times New Roman" w:cs="Times New Roman"/>
          <w:color w:val="auto"/>
          <w:sz w:val="24"/>
          <w:szCs w:val="24"/>
        </w:rPr>
        <w:t>，</w:t>
      </w:r>
    </w:p>
    <w:p w14:paraId="396608EF">
      <w:pPr>
        <w:pStyle w:val="149"/>
        <w:spacing w:line="360" w:lineRule="auto"/>
        <w:ind w:left="720" w:firstLine="0" w:firstLineChars="0"/>
        <w:rPr>
          <w:color w:val="auto"/>
        </w:rPr>
      </w:pPr>
      <w:r>
        <w:rPr>
          <w:color w:val="auto"/>
          <w:position w:val="-12"/>
        </w:rPr>
        <w:object>
          <v:shape id="_x0000_i1074" o:spt="75" type="#_x0000_t75" style="height:21.6pt;width:167.95pt;" o:ole="t" filled="f" coordsize="21600,21600">
            <v:path/>
            <v:fill on="f" focussize="0,0"/>
            <v:stroke/>
            <v:imagedata r:id="rId131" o:title=""/>
            <o:lock v:ext="edit" aspectratio="t"/>
            <w10:wrap type="none"/>
            <w10:anchorlock/>
          </v:shape>
          <o:OLEObject Type="Embed" ProgID="Equation.DSMT4" ShapeID="_x0000_i1074" DrawAspect="Content" ObjectID="_1468075774" r:id="rId130">
            <o:LockedField>false</o:LockedField>
          </o:OLEObject>
        </w:object>
      </w:r>
    </w:p>
    <w:p w14:paraId="5523973B">
      <w:pPr>
        <w:pStyle w:val="149"/>
        <w:spacing w:line="360" w:lineRule="auto"/>
        <w:ind w:left="720" w:firstLine="0" w:firstLineChars="0"/>
        <w:rPr>
          <w:rFonts w:ascii="Times New Roman" w:hAnsi="Times New Roman" w:cs="Times New Roman"/>
          <w:color w:val="auto"/>
          <w:sz w:val="24"/>
          <w:szCs w:val="24"/>
        </w:rPr>
      </w:pPr>
      <w:r>
        <w:rPr>
          <w:rFonts w:hint="eastAsia"/>
          <w:color w:val="auto"/>
          <w:position w:val="-12"/>
        </w:rPr>
        <w:object>
          <v:shape id="_x0000_i1075" o:spt="75" type="#_x0000_t75" style="height:21.6pt;width:269.45pt;" o:ole="t" filled="f" coordsize="21600,21600">
            <v:path/>
            <v:fill on="f" focussize="0,0"/>
            <v:stroke/>
            <v:imagedata r:id="rId133" o:title=""/>
            <o:lock v:ext="edit" aspectratio="t"/>
            <w10:wrap type="none"/>
            <w10:anchorlock/>
          </v:shape>
          <o:OLEObject Type="Embed" ProgID="Equation.DSMT4" ShapeID="_x0000_i1075" DrawAspect="Content" ObjectID="_1468075775" r:id="rId132">
            <o:LockedField>false</o:LockedField>
          </o:OLEObject>
        </w:object>
      </w:r>
    </w:p>
    <w:p w14:paraId="241BBF4B">
      <w:pPr>
        <w:pStyle w:val="149"/>
        <w:spacing w:line="360" w:lineRule="auto"/>
        <w:ind w:left="720" w:firstLine="0" w:firstLineChars="0"/>
        <w:rPr>
          <w:rFonts w:ascii="Times New Roman" w:hAnsi="Times New Roman" w:cs="Times New Roman"/>
          <w:color w:val="auto"/>
          <w:sz w:val="24"/>
          <w:szCs w:val="24"/>
        </w:rPr>
      </w:pPr>
      <w:r>
        <w:rPr>
          <w:rFonts w:ascii="Times New Roman" w:hAnsi="Times New Roman" w:cs="Times New Roman"/>
          <w:color w:val="auto"/>
          <w:sz w:val="24"/>
          <w:szCs w:val="24"/>
        </w:rPr>
        <w:t>砼下料产生的水平荷载标准值</w:t>
      </w:r>
      <w:r>
        <w:rPr>
          <w:rFonts w:ascii="Times New Roman" w:hAnsi="Times New Roman" w:cs="Times New Roman"/>
          <w:color w:val="auto"/>
          <w:position w:val="-12"/>
          <w:sz w:val="24"/>
          <w:szCs w:val="24"/>
        </w:rPr>
        <w:object>
          <v:shape id="_x0000_i1076" o:spt="75" type="#_x0000_t75" style="height:20.4pt;width:85.25pt;" o:ole="t" filled="f" coordsize="21600,21600">
            <v:path/>
            <v:fill on="f" focussize="0,0"/>
            <v:stroke/>
            <v:imagedata r:id="rId135" o:title=""/>
            <o:lock v:ext="edit" aspectratio="t"/>
            <w10:wrap type="none"/>
            <w10:anchorlock/>
          </v:shape>
          <o:OLEObject Type="Embed" ProgID="Equation.DSMT4" ShapeID="_x0000_i1076" DrawAspect="Content" ObjectID="_1468075776" r:id="rId134">
            <o:LockedField>false</o:LockedField>
          </o:OLEObject>
        </w:object>
      </w:r>
    </w:p>
    <w:p w14:paraId="2803F77E">
      <w:pPr>
        <w:pStyle w:val="149"/>
        <w:spacing w:line="360" w:lineRule="auto"/>
        <w:ind w:left="720" w:firstLine="0" w:firstLineChars="0"/>
        <w:rPr>
          <w:rFonts w:ascii="Times New Roman" w:hAnsi="Times New Roman" w:cs="Times New Roman"/>
          <w:color w:val="auto"/>
          <w:sz w:val="24"/>
          <w:szCs w:val="24"/>
        </w:rPr>
      </w:pPr>
      <w:r>
        <w:rPr>
          <w:rFonts w:ascii="Times New Roman" w:hAnsi="Times New Roman" w:cs="Times New Roman"/>
          <w:color w:val="auto"/>
          <w:sz w:val="24"/>
          <w:szCs w:val="24"/>
        </w:rPr>
        <w:t>均布线荷载设计值为：</w:t>
      </w:r>
    </w:p>
    <w:p w14:paraId="2BA50F44">
      <w:pPr>
        <w:pStyle w:val="149"/>
        <w:spacing w:line="360" w:lineRule="auto"/>
        <w:ind w:left="720" w:firstLine="0" w:firstLineChars="0"/>
        <w:rPr>
          <w:rFonts w:ascii="Times New Roman" w:hAnsi="Times New Roman" w:cs="Times New Roman"/>
          <w:color w:val="auto"/>
          <w:sz w:val="24"/>
          <w:szCs w:val="24"/>
        </w:rPr>
      </w:pPr>
      <w:r>
        <w:rPr>
          <w:rFonts w:ascii="Times New Roman" w:hAnsi="Times New Roman" w:cs="Times New Roman"/>
          <w:color w:val="auto"/>
          <w:position w:val="-12"/>
          <w:sz w:val="24"/>
          <w:szCs w:val="24"/>
        </w:rPr>
        <w:object>
          <v:shape id="_x0000_i1077" o:spt="75" type="#_x0000_t75" style="height:18pt;width:245.45pt;" o:ole="t" filled="f" coordsize="21600,21600">
            <v:path/>
            <v:fill on="f" focussize="0,0"/>
            <v:stroke/>
            <v:imagedata r:id="rId137" o:title=""/>
            <o:lock v:ext="edit" aspectratio="t"/>
            <w10:wrap type="none"/>
            <w10:anchorlock/>
          </v:shape>
          <o:OLEObject Type="Embed" ProgID="Equation.DSMT4" ShapeID="_x0000_i1077" DrawAspect="Content" ObjectID="_1468075777" r:id="rId136">
            <o:LockedField>false</o:LockedField>
          </o:OLEObject>
        </w:object>
      </w:r>
    </w:p>
    <w:p w14:paraId="4AF3178C">
      <w:pPr>
        <w:pStyle w:val="149"/>
        <w:numPr>
          <w:ilvl w:val="0"/>
          <w:numId w:val="18"/>
        </w:numPr>
        <w:spacing w:line="360" w:lineRule="auto"/>
        <w:ind w:firstLineChars="0"/>
        <w:rPr>
          <w:rFonts w:ascii="Times New Roman" w:hAnsi="Times New Roman" w:cs="Times New Roman"/>
          <w:color w:val="auto"/>
          <w:sz w:val="24"/>
          <w:szCs w:val="24"/>
        </w:rPr>
      </w:pPr>
      <w:r>
        <w:rPr>
          <w:rFonts w:ascii="Times New Roman" w:hAnsi="Times New Roman" w:cs="Times New Roman"/>
          <w:color w:val="auto"/>
          <w:sz w:val="24"/>
          <w:szCs w:val="24"/>
        </w:rPr>
        <w:t>强度验算</w:t>
      </w:r>
    </w:p>
    <w:p w14:paraId="2C7E0FA1">
      <w:pPr>
        <w:pStyle w:val="149"/>
        <w:spacing w:line="360" w:lineRule="auto"/>
        <w:ind w:left="720" w:firstLine="0" w:firstLineChars="0"/>
        <w:rPr>
          <w:rFonts w:ascii="Times New Roman" w:hAnsi="Times New Roman" w:cs="Times New Roman"/>
          <w:color w:val="auto"/>
          <w:sz w:val="24"/>
          <w:szCs w:val="24"/>
        </w:rPr>
      </w:pPr>
      <w:r>
        <w:rPr>
          <w:rFonts w:ascii="Times New Roman" w:hAnsi="Times New Roman" w:cs="Times New Roman"/>
          <w:color w:val="auto"/>
          <w:sz w:val="24"/>
          <w:szCs w:val="24"/>
        </w:rPr>
        <w:t>施工荷载为均布线荷载</w:t>
      </w:r>
    </w:p>
    <w:p w14:paraId="6A66CCC8">
      <w:pPr>
        <w:pStyle w:val="149"/>
        <w:spacing w:line="360" w:lineRule="auto"/>
        <w:ind w:left="720" w:firstLine="0" w:firstLineChars="0"/>
        <w:rPr>
          <w:rFonts w:ascii="Times New Roman" w:hAnsi="Times New Roman" w:cs="Times New Roman"/>
          <w:color w:val="auto"/>
          <w:sz w:val="24"/>
          <w:szCs w:val="24"/>
        </w:rPr>
      </w:pPr>
      <w:r>
        <w:rPr>
          <w:rFonts w:ascii="Times New Roman" w:hAnsi="Times New Roman" w:cs="Times New Roman"/>
          <w:color w:val="auto"/>
          <w:position w:val="-28"/>
          <w:sz w:val="24"/>
          <w:szCs w:val="24"/>
        </w:rPr>
        <w:object>
          <v:shape id="_x0000_i1078" o:spt="75" type="#_x0000_t75" style="height:36.6pt;width:222.05pt;" o:ole="t" filled="f" coordsize="21600,21600">
            <v:path/>
            <v:fill on="f" focussize="0,0"/>
            <v:stroke/>
            <v:imagedata r:id="rId139" o:title=""/>
            <o:lock v:ext="edit" aspectratio="t"/>
            <w10:wrap type="none"/>
            <w10:anchorlock/>
          </v:shape>
          <o:OLEObject Type="Embed" ProgID="Equation.DSMT4" ShapeID="_x0000_i1078" DrawAspect="Content" ObjectID="_1468075778" r:id="rId138">
            <o:LockedField>false</o:LockedField>
          </o:OLEObject>
        </w:object>
      </w:r>
    </w:p>
    <w:p w14:paraId="47E8458F">
      <w:pPr>
        <w:pStyle w:val="149"/>
        <w:autoSpaceDE w:val="0"/>
        <w:autoSpaceDN w:val="0"/>
        <w:adjustRightInd w:val="0"/>
        <w:spacing w:line="360" w:lineRule="auto"/>
        <w:ind w:left="360" w:firstLine="0" w:firstLineChars="0"/>
        <w:jc w:val="left"/>
        <w:rPr>
          <w:rFonts w:ascii="Times New Roman" w:hAnsi="Times New Roman" w:cs="Times New Roman"/>
          <w:color w:val="auto"/>
          <w:kern w:val="0"/>
          <w:sz w:val="24"/>
          <w:szCs w:val="24"/>
        </w:rPr>
      </w:pPr>
      <w:r>
        <w:rPr>
          <w:rFonts w:ascii="Times New Roman" w:hAnsi="Times New Roman" w:cs="Times New Roman"/>
          <w:color w:val="auto"/>
          <w:kern w:val="0"/>
          <w:sz w:val="24"/>
          <w:szCs w:val="24"/>
        </w:rPr>
        <w:t>截面惯性矩</w:t>
      </w:r>
    </w:p>
    <w:p w14:paraId="50D1043B">
      <w:pPr>
        <w:pStyle w:val="149"/>
        <w:autoSpaceDE w:val="0"/>
        <w:autoSpaceDN w:val="0"/>
        <w:adjustRightInd w:val="0"/>
        <w:spacing w:line="360" w:lineRule="auto"/>
        <w:ind w:left="360" w:firstLine="0" w:firstLineChars="0"/>
        <w:jc w:val="left"/>
        <w:rPr>
          <w:rFonts w:ascii="Times New Roman" w:hAnsi="Times New Roman" w:cs="Times New Roman"/>
          <w:color w:val="auto"/>
          <w:kern w:val="0"/>
          <w:sz w:val="24"/>
          <w:szCs w:val="24"/>
        </w:rPr>
      </w:pPr>
      <w:r>
        <w:rPr>
          <w:rFonts w:ascii="Times New Roman" w:hAnsi="Times New Roman" w:cs="Times New Roman"/>
          <w:color w:val="auto"/>
          <w:position w:val="-26"/>
          <w:sz w:val="24"/>
          <w:szCs w:val="24"/>
        </w:rPr>
        <w:object>
          <v:shape id="_x0000_i1079" o:spt="75" type="#_x0000_t75" style="height:36.6pt;width:221.45pt;" o:ole="t" filled="f" coordsize="21600,21600">
            <v:path/>
            <v:fill on="f" focussize="0,0"/>
            <v:stroke/>
            <v:imagedata r:id="rId141" o:title=""/>
            <o:lock v:ext="edit" aspectratio="t"/>
            <w10:wrap type="none"/>
            <w10:anchorlock/>
          </v:shape>
          <o:OLEObject Type="Embed" ProgID="Equation.DSMT4" ShapeID="_x0000_i1079" DrawAspect="Content" ObjectID="_1468075779" r:id="rId140">
            <o:LockedField>false</o:LockedField>
          </o:OLEObject>
        </w:object>
      </w:r>
    </w:p>
    <w:p w14:paraId="6BAFF21E">
      <w:pPr>
        <w:pStyle w:val="149"/>
        <w:autoSpaceDE w:val="0"/>
        <w:autoSpaceDN w:val="0"/>
        <w:adjustRightInd w:val="0"/>
        <w:spacing w:line="360" w:lineRule="auto"/>
        <w:ind w:left="360" w:firstLine="0" w:firstLineChars="0"/>
        <w:jc w:val="left"/>
        <w:rPr>
          <w:rFonts w:ascii="Times New Roman" w:hAnsi="Times New Roman" w:cs="Times New Roman"/>
          <w:color w:val="auto"/>
          <w:kern w:val="0"/>
          <w:sz w:val="24"/>
          <w:szCs w:val="24"/>
        </w:rPr>
      </w:pPr>
      <w:r>
        <w:rPr>
          <w:rFonts w:ascii="Times New Roman" w:hAnsi="Times New Roman" w:cs="Times New Roman"/>
          <w:color w:val="auto"/>
          <w:kern w:val="0"/>
          <w:sz w:val="24"/>
          <w:szCs w:val="24"/>
        </w:rPr>
        <w:t>面板的截面抵抗矩</w:t>
      </w:r>
    </w:p>
    <w:p w14:paraId="2C80DDB0">
      <w:pPr>
        <w:pStyle w:val="149"/>
        <w:autoSpaceDE w:val="0"/>
        <w:autoSpaceDN w:val="0"/>
        <w:adjustRightInd w:val="0"/>
        <w:spacing w:line="360" w:lineRule="auto"/>
        <w:ind w:left="360" w:firstLine="0" w:firstLineChars="0"/>
        <w:jc w:val="left"/>
        <w:rPr>
          <w:rFonts w:ascii="Times New Roman" w:hAnsi="Times New Roman" w:cs="Times New Roman"/>
          <w:color w:val="auto"/>
          <w:kern w:val="0"/>
          <w:sz w:val="24"/>
          <w:szCs w:val="24"/>
        </w:rPr>
      </w:pPr>
      <w:r>
        <w:rPr>
          <w:rFonts w:ascii="Times New Roman" w:hAnsi="Times New Roman" w:cs="Times New Roman"/>
          <w:color w:val="auto"/>
          <w:position w:val="-34"/>
          <w:sz w:val="24"/>
          <w:szCs w:val="24"/>
        </w:rPr>
        <w:object>
          <v:shape id="_x0000_i1080" o:spt="75" type="#_x0000_t75" style="height:40.8pt;width:238.15pt;" o:ole="t" filled="f" coordsize="21600,21600">
            <v:path/>
            <v:fill on="f" focussize="0,0"/>
            <v:stroke/>
            <v:imagedata r:id="rId143" o:title=""/>
            <o:lock v:ext="edit" aspectratio="t"/>
            <w10:wrap type="none"/>
            <w10:anchorlock/>
          </v:shape>
          <o:OLEObject Type="Embed" ProgID="Equation.DSMT4" ShapeID="_x0000_i1080" DrawAspect="Content" ObjectID="_1468075780" r:id="rId142">
            <o:LockedField>false</o:LockedField>
          </o:OLEObject>
        </w:object>
      </w:r>
    </w:p>
    <w:p w14:paraId="093CB581">
      <w:pPr>
        <w:pStyle w:val="149"/>
        <w:autoSpaceDE w:val="0"/>
        <w:autoSpaceDN w:val="0"/>
        <w:adjustRightInd w:val="0"/>
        <w:spacing w:line="360" w:lineRule="auto"/>
        <w:ind w:left="360" w:firstLine="0" w:firstLineChars="0"/>
        <w:jc w:val="left"/>
        <w:rPr>
          <w:rFonts w:ascii="Times New Roman" w:hAnsi="Times New Roman" w:cs="Times New Roman"/>
          <w:color w:val="auto"/>
          <w:kern w:val="0"/>
          <w:sz w:val="24"/>
          <w:szCs w:val="24"/>
        </w:rPr>
      </w:pPr>
      <w:r>
        <w:rPr>
          <w:rFonts w:ascii="Times New Roman" w:hAnsi="Times New Roman" w:cs="Times New Roman"/>
          <w:color w:val="auto"/>
          <w:kern w:val="0"/>
          <w:sz w:val="24"/>
          <w:szCs w:val="24"/>
        </w:rPr>
        <w:t>面板抗弯强度设计值：</w:t>
      </w:r>
      <w:r>
        <w:rPr>
          <w:rFonts w:ascii="Times New Roman" w:hAnsi="Times New Roman" w:cs="Times New Roman"/>
          <w:color w:val="auto"/>
          <w:position w:val="-12"/>
          <w:sz w:val="24"/>
          <w:szCs w:val="24"/>
        </w:rPr>
        <w:object>
          <v:shape id="_x0000_i1081" o:spt="75" type="#_x0000_t75" style="height:18pt;width:69pt;" o:ole="t" filled="f" coordsize="21600,21600">
            <v:path/>
            <v:fill on="f" focussize="0,0"/>
            <v:stroke/>
            <v:imagedata r:id="rId145" o:title=""/>
            <o:lock v:ext="edit" aspectratio="t"/>
            <w10:wrap type="none"/>
            <w10:anchorlock/>
          </v:shape>
          <o:OLEObject Type="Embed" ProgID="Equation.DSMT4" ShapeID="_x0000_i1081" DrawAspect="Content" ObjectID="_1468075781" r:id="rId144">
            <o:LockedField>false</o:LockedField>
          </o:OLEObject>
        </w:object>
      </w:r>
    </w:p>
    <w:p w14:paraId="35C0EC6A">
      <w:pPr>
        <w:pStyle w:val="149"/>
        <w:autoSpaceDE w:val="0"/>
        <w:autoSpaceDN w:val="0"/>
        <w:adjustRightInd w:val="0"/>
        <w:spacing w:line="360" w:lineRule="auto"/>
        <w:ind w:left="360" w:firstLine="0" w:firstLineChars="0"/>
        <w:jc w:val="left"/>
        <w:rPr>
          <w:rFonts w:ascii="Times New Roman" w:hAnsi="Times New Roman" w:cs="Times New Roman"/>
          <w:color w:val="auto"/>
          <w:kern w:val="0"/>
          <w:sz w:val="24"/>
          <w:szCs w:val="24"/>
        </w:rPr>
      </w:pPr>
      <w:r>
        <w:rPr>
          <w:rFonts w:ascii="Times New Roman" w:hAnsi="Times New Roman" w:cs="Times New Roman"/>
          <w:color w:val="auto"/>
          <w:kern w:val="0"/>
          <w:sz w:val="24"/>
          <w:szCs w:val="24"/>
        </w:rPr>
        <w:t>面板抗弯强度：</w:t>
      </w:r>
    </w:p>
    <w:p w14:paraId="5C7F36AB">
      <w:pPr>
        <w:pStyle w:val="149"/>
        <w:autoSpaceDE w:val="0"/>
        <w:autoSpaceDN w:val="0"/>
        <w:adjustRightInd w:val="0"/>
        <w:spacing w:line="360" w:lineRule="auto"/>
        <w:ind w:left="360" w:firstLine="0" w:firstLineChars="0"/>
        <w:jc w:val="left"/>
        <w:rPr>
          <w:rFonts w:ascii="Times New Roman" w:hAnsi="Times New Roman" w:cs="Times New Roman"/>
          <w:color w:val="auto"/>
          <w:kern w:val="0"/>
          <w:sz w:val="24"/>
          <w:szCs w:val="24"/>
        </w:rPr>
      </w:pPr>
      <w:r>
        <w:rPr>
          <w:rFonts w:ascii="Times New Roman" w:hAnsi="Times New Roman" w:cs="Times New Roman"/>
          <w:color w:val="auto"/>
          <w:position w:val="-34"/>
          <w:sz w:val="24"/>
          <w:szCs w:val="24"/>
        </w:rPr>
        <w:object>
          <v:shape id="_x0000_i1082" o:spt="75" type="#_x0000_t75" style="height:40.8pt;width:240.65pt;" o:ole="t" filled="f" coordsize="21600,21600">
            <v:path/>
            <v:fill on="f" focussize="0,0"/>
            <v:stroke/>
            <v:imagedata r:id="rId147" o:title=""/>
            <o:lock v:ext="edit" aspectratio="t"/>
            <w10:wrap type="none"/>
            <w10:anchorlock/>
          </v:shape>
          <o:OLEObject Type="Embed" ProgID="Equation.DSMT4" ShapeID="_x0000_i1082" DrawAspect="Content" ObjectID="_1468075782" r:id="rId146">
            <o:LockedField>false</o:LockedField>
          </o:OLEObject>
        </w:object>
      </w:r>
    </w:p>
    <w:p w14:paraId="1C684BBF">
      <w:pPr>
        <w:pStyle w:val="149"/>
        <w:autoSpaceDE w:val="0"/>
        <w:autoSpaceDN w:val="0"/>
        <w:adjustRightInd w:val="0"/>
        <w:spacing w:line="360" w:lineRule="auto"/>
        <w:ind w:left="360" w:firstLine="0" w:firstLineChars="0"/>
        <w:jc w:val="left"/>
        <w:rPr>
          <w:rFonts w:ascii="Times New Roman" w:hAnsi="Times New Roman" w:cs="Times New Roman"/>
          <w:color w:val="auto"/>
          <w:kern w:val="0"/>
          <w:sz w:val="24"/>
          <w:szCs w:val="24"/>
        </w:rPr>
      </w:pPr>
      <w:r>
        <w:rPr>
          <w:rFonts w:ascii="Times New Roman" w:hAnsi="Times New Roman" w:cs="Times New Roman"/>
          <w:color w:val="auto"/>
          <w:kern w:val="0"/>
          <w:sz w:val="24"/>
          <w:szCs w:val="24"/>
        </w:rPr>
        <w:t>面板强度满足要求。</w:t>
      </w:r>
    </w:p>
    <w:p w14:paraId="57234A25">
      <w:pPr>
        <w:pStyle w:val="149"/>
        <w:numPr>
          <w:ilvl w:val="0"/>
          <w:numId w:val="17"/>
        </w:numPr>
        <w:spacing w:line="360" w:lineRule="auto"/>
        <w:ind w:firstLineChars="0"/>
        <w:rPr>
          <w:rFonts w:ascii="Times New Roman" w:hAnsi="Times New Roman" w:cs="Times New Roman"/>
          <w:color w:val="auto"/>
          <w:sz w:val="24"/>
          <w:szCs w:val="24"/>
        </w:rPr>
      </w:pPr>
      <w:r>
        <w:rPr>
          <w:rFonts w:ascii="Times New Roman" w:hAnsi="Times New Roman" w:cs="Times New Roman"/>
          <w:color w:val="auto"/>
          <w:sz w:val="24"/>
          <w:szCs w:val="24"/>
        </w:rPr>
        <w:t>挠度验算</w:t>
      </w:r>
    </w:p>
    <w:p w14:paraId="0D40AEE9">
      <w:pPr>
        <w:pStyle w:val="149"/>
        <w:spacing w:line="360" w:lineRule="auto"/>
        <w:ind w:left="360" w:firstLine="0" w:firstLineChars="0"/>
        <w:rPr>
          <w:rFonts w:ascii="Times New Roman" w:hAnsi="Times New Roman" w:cs="Times New Roman"/>
          <w:color w:val="auto"/>
          <w:sz w:val="24"/>
          <w:szCs w:val="24"/>
        </w:rPr>
      </w:pPr>
      <w:r>
        <w:rPr>
          <w:rFonts w:ascii="Times New Roman" w:hAnsi="Times New Roman" w:cs="Times New Roman"/>
          <w:color w:val="auto"/>
          <w:sz w:val="24"/>
          <w:szCs w:val="24"/>
        </w:rPr>
        <w:t>验算挠度时不考虑可变荷载值，仅考虑永久荷载标准值，故其作用效应的线荷载设计值如下：</w:t>
      </w:r>
    </w:p>
    <w:p w14:paraId="7D249FA6">
      <w:pPr>
        <w:pStyle w:val="149"/>
        <w:spacing w:line="360" w:lineRule="auto"/>
        <w:ind w:left="360" w:firstLine="0" w:firstLineChars="0"/>
        <w:rPr>
          <w:rFonts w:ascii="Times New Roman" w:hAnsi="Times New Roman" w:cs="Times New Roman"/>
          <w:color w:val="auto"/>
          <w:sz w:val="24"/>
          <w:szCs w:val="24"/>
        </w:rPr>
      </w:pPr>
      <w:r>
        <w:rPr>
          <w:rFonts w:ascii="Times New Roman" w:hAnsi="Times New Roman" w:cs="Times New Roman"/>
          <w:color w:val="auto"/>
          <w:sz w:val="24"/>
          <w:szCs w:val="24"/>
        </w:rPr>
        <w:object>
          <v:shape id="_x0000_i1083" o:spt="75" type="#_x0000_t75" style="height:20.4pt;width:159.65pt;" o:ole="t" filled="f" coordsize="21600,21600">
            <v:path/>
            <v:fill on="f" focussize="0,0"/>
            <v:stroke/>
            <v:imagedata r:id="rId149" o:title=""/>
            <o:lock v:ext="edit" aspectratio="t"/>
            <w10:wrap type="none"/>
            <w10:anchorlock/>
          </v:shape>
          <o:OLEObject Type="Embed" ProgID="Equation.DSMT4" ShapeID="_x0000_i1083" DrawAspect="Content" ObjectID="_1468075783" r:id="rId148">
            <o:LockedField>false</o:LockedField>
          </o:OLEObject>
        </w:object>
      </w:r>
    </w:p>
    <w:p w14:paraId="7F4B374A">
      <w:pPr>
        <w:pStyle w:val="149"/>
        <w:spacing w:line="360" w:lineRule="auto"/>
        <w:ind w:left="360" w:firstLine="0" w:firstLineChars="0"/>
        <w:rPr>
          <w:rFonts w:ascii="Times New Roman" w:hAnsi="Times New Roman" w:cs="Times New Roman"/>
          <w:color w:val="auto"/>
          <w:sz w:val="24"/>
          <w:szCs w:val="24"/>
        </w:rPr>
      </w:pPr>
      <w:r>
        <w:rPr>
          <w:rFonts w:ascii="Times New Roman" w:hAnsi="Times New Roman" w:cs="Times New Roman"/>
          <w:color w:val="auto"/>
          <w:sz w:val="24"/>
          <w:szCs w:val="24"/>
        </w:rPr>
        <w:t xml:space="preserve">面板最大容许挠度值：3mm </w:t>
      </w:r>
    </w:p>
    <w:p w14:paraId="77EEC283">
      <w:pPr>
        <w:pStyle w:val="149"/>
        <w:spacing w:line="360" w:lineRule="auto"/>
        <w:ind w:left="360" w:firstLine="0" w:firstLineChars="0"/>
        <w:rPr>
          <w:rFonts w:ascii="Times New Roman" w:hAnsi="Times New Roman" w:cs="Times New Roman"/>
          <w:color w:val="auto"/>
          <w:sz w:val="24"/>
          <w:szCs w:val="24"/>
        </w:rPr>
      </w:pPr>
      <w:r>
        <w:rPr>
          <w:rFonts w:ascii="Times New Roman" w:hAnsi="Times New Roman" w:cs="Times New Roman"/>
          <w:color w:val="auto"/>
          <w:sz w:val="24"/>
          <w:szCs w:val="24"/>
        </w:rPr>
        <w:t>面板弹性模量：</w:t>
      </w:r>
      <w:r>
        <w:rPr>
          <w:rFonts w:ascii="Times New Roman" w:hAnsi="Times New Roman" w:cs="Times New Roman"/>
          <w:color w:val="auto"/>
          <w:position w:val="-12"/>
          <w:sz w:val="24"/>
          <w:szCs w:val="24"/>
        </w:rPr>
        <w:object>
          <v:shape id="_x0000_i1084" o:spt="75" type="#_x0000_t75" style="height:18pt;width:75pt;" o:ole="t" filled="f" coordsize="21600,21600">
            <v:path/>
            <v:fill on="f" focussize="0,0"/>
            <v:stroke/>
            <v:imagedata r:id="rId151" o:title=""/>
            <o:lock v:ext="edit" aspectratio="t"/>
            <w10:wrap type="none"/>
            <w10:anchorlock/>
          </v:shape>
          <o:OLEObject Type="Embed" ProgID="Equation.DSMT4" ShapeID="_x0000_i1084" DrawAspect="Content" ObjectID="_1468075784" r:id="rId150">
            <o:LockedField>false</o:LockedField>
          </o:OLEObject>
        </w:object>
      </w:r>
    </w:p>
    <w:p w14:paraId="11F26C17">
      <w:pPr>
        <w:pStyle w:val="149"/>
        <w:spacing w:line="360" w:lineRule="auto"/>
        <w:ind w:left="360" w:firstLine="0" w:firstLineChars="0"/>
        <w:rPr>
          <w:rFonts w:ascii="Times New Roman" w:hAnsi="Times New Roman" w:cs="Times New Roman"/>
          <w:color w:val="auto"/>
          <w:sz w:val="24"/>
          <w:szCs w:val="24"/>
        </w:rPr>
      </w:pPr>
      <w:r>
        <w:rPr>
          <w:rFonts w:ascii="Times New Roman" w:hAnsi="Times New Roman" w:cs="Times New Roman"/>
          <w:color w:val="auto"/>
          <w:sz w:val="24"/>
          <w:szCs w:val="24"/>
        </w:rPr>
        <w:t>实际设计挠度值为：</w:t>
      </w:r>
    </w:p>
    <w:p w14:paraId="463A2801">
      <w:pPr>
        <w:pStyle w:val="149"/>
        <w:spacing w:line="360" w:lineRule="auto"/>
        <w:ind w:left="360" w:firstLine="0" w:firstLineChars="0"/>
        <w:rPr>
          <w:rFonts w:ascii="Times New Roman" w:hAnsi="Times New Roman" w:cs="Times New Roman"/>
          <w:color w:val="auto"/>
          <w:sz w:val="24"/>
          <w:szCs w:val="24"/>
        </w:rPr>
      </w:pPr>
      <w:r>
        <w:rPr>
          <w:rFonts w:ascii="Times New Roman" w:hAnsi="Times New Roman" w:cs="Times New Roman"/>
          <w:color w:val="auto"/>
          <w:position w:val="-34"/>
          <w:sz w:val="24"/>
          <w:szCs w:val="24"/>
        </w:rPr>
        <w:object>
          <v:shape id="_x0000_i1085" o:spt="75" type="#_x0000_t75" style="height:42pt;width:299pt;" o:ole="t" filled="f" coordsize="21600,21600">
            <v:path/>
            <v:fill on="f" focussize="0,0"/>
            <v:stroke/>
            <v:imagedata r:id="rId153" o:title=""/>
            <o:lock v:ext="edit" aspectratio="t"/>
            <w10:wrap type="none"/>
            <w10:anchorlock/>
          </v:shape>
          <o:OLEObject Type="Embed" ProgID="Equation.DSMT4" ShapeID="_x0000_i1085" DrawAspect="Content" ObjectID="_1468075785" r:id="rId152">
            <o:LockedField>false</o:LockedField>
          </o:OLEObject>
        </w:object>
      </w:r>
    </w:p>
    <w:p w14:paraId="0D24552B">
      <w:pPr>
        <w:pStyle w:val="149"/>
        <w:spacing w:line="360" w:lineRule="auto"/>
        <w:ind w:left="360" w:firstLine="0" w:firstLineChars="0"/>
        <w:rPr>
          <w:rFonts w:ascii="Times New Roman" w:hAnsi="Times New Roman" w:cs="Times New Roman"/>
          <w:color w:val="auto"/>
          <w:sz w:val="24"/>
          <w:szCs w:val="24"/>
        </w:rPr>
      </w:pPr>
      <w:r>
        <w:rPr>
          <w:rFonts w:ascii="Times New Roman" w:hAnsi="Times New Roman" w:cs="Times New Roman"/>
          <w:color w:val="auto"/>
          <w:sz w:val="24"/>
          <w:szCs w:val="24"/>
        </w:rPr>
        <w:t>满足要求。</w:t>
      </w:r>
    </w:p>
    <w:p w14:paraId="568B6FF8">
      <w:pPr>
        <w:pStyle w:val="149"/>
        <w:spacing w:line="360" w:lineRule="auto"/>
        <w:ind w:left="360" w:firstLine="0" w:firstLineChars="0"/>
        <w:rPr>
          <w:rFonts w:ascii="Times New Roman" w:hAnsi="Times New Roman" w:cs="Times New Roman"/>
          <w:color w:val="auto"/>
          <w:sz w:val="24"/>
          <w:szCs w:val="24"/>
        </w:rPr>
      </w:pPr>
    </w:p>
    <w:p w14:paraId="7DF1917A">
      <w:pPr>
        <w:rPr>
          <w:rFonts w:ascii="Times New Roman" w:hAnsi="Times New Roman" w:cs="Times New Roman"/>
          <w:b/>
          <w:bCs/>
          <w:color w:val="auto"/>
          <w:sz w:val="24"/>
        </w:rPr>
      </w:pPr>
      <w:r>
        <w:rPr>
          <w:rFonts w:hint="eastAsia" w:ascii="Times New Roman" w:hAnsi="Times New Roman" w:cs="Times New Roman"/>
          <w:b/>
          <w:bCs/>
          <w:color w:val="auto"/>
          <w:sz w:val="24"/>
        </w:rPr>
        <w:t>模板支撑系统计算举例</w:t>
      </w:r>
    </w:p>
    <w:p w14:paraId="2DD0DC8F">
      <w:pPr>
        <w:spacing w:line="360" w:lineRule="auto"/>
        <w:rPr>
          <w:rFonts w:ascii="Times New Roman" w:hAnsi="Times New Roman" w:cs="Times New Roman"/>
          <w:color w:val="auto"/>
          <w:sz w:val="24"/>
          <w:szCs w:val="24"/>
        </w:rPr>
      </w:pPr>
      <w:r>
        <w:rPr>
          <w:rFonts w:hint="eastAsia" w:ascii="Times New Roman" w:hAnsi="Times New Roman" w:cs="Times New Roman"/>
          <w:b/>
          <w:bCs/>
          <w:color w:val="auto"/>
          <w:sz w:val="24"/>
        </w:rPr>
        <w:t>【例2】</w:t>
      </w:r>
      <w:r>
        <w:rPr>
          <w:rFonts w:hint="eastAsia" w:ascii="Times New Roman" w:hAnsi="Times New Roman" w:cs="Times New Roman"/>
          <w:color w:val="auto"/>
          <w:sz w:val="24"/>
          <w:szCs w:val="24"/>
        </w:rPr>
        <w:t>按例1的条件，</w:t>
      </w:r>
      <w:r>
        <w:rPr>
          <w:rFonts w:ascii="Times New Roman" w:hAnsi="Times New Roman" w:cs="Times New Roman"/>
          <w:color w:val="auto"/>
          <w:sz w:val="24"/>
          <w:szCs w:val="24"/>
        </w:rPr>
        <w:t>次楞为50×80mm方木，间距为200mm，试验算其抗弯强度、抗剪强度与挠度。</w:t>
      </w:r>
    </w:p>
    <w:p w14:paraId="4CD0B365">
      <w:pPr>
        <w:spacing w:line="360" w:lineRule="auto"/>
        <w:rPr>
          <w:rFonts w:ascii="Times New Roman" w:hAnsi="Times New Roman" w:cs="Times New Roman"/>
          <w:color w:val="auto"/>
          <w:sz w:val="24"/>
          <w:szCs w:val="24"/>
        </w:rPr>
      </w:pPr>
      <w:r>
        <w:rPr>
          <w:rFonts w:hint="eastAsia" w:ascii="Times New Roman" w:hAnsi="Times New Roman" w:cs="Times New Roman"/>
          <w:b/>
          <w:bCs/>
          <w:color w:val="auto"/>
          <w:sz w:val="24"/>
        </w:rPr>
        <w:t>【解】</w:t>
      </w:r>
    </w:p>
    <w:p w14:paraId="4AF9DCDA">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1</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抗弯强度验算</w:t>
      </w:r>
    </w:p>
    <w:p w14:paraId="31CACD1A">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（1）次楞承受面板传递的荷载，按均布荷载作用下三跨连续梁计算，其计算跨度取主楞间距，L=500mm。</w:t>
      </w:r>
    </w:p>
    <w:p w14:paraId="6D15037D">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（2）荷载计算</w:t>
      </w:r>
    </w:p>
    <w:p w14:paraId="4CA8445D">
      <w:pPr>
        <w:pStyle w:val="149"/>
        <w:spacing w:line="360" w:lineRule="auto"/>
        <w:ind w:left="720" w:firstLine="0" w:firstLineChars="0"/>
        <w:rPr>
          <w:rFonts w:ascii="Times New Roman" w:hAnsi="Times New Roman" w:cs="Times New Roman"/>
          <w:color w:val="auto"/>
          <w:sz w:val="24"/>
          <w:szCs w:val="24"/>
        </w:rPr>
      </w:pPr>
      <w:r>
        <w:rPr>
          <w:rFonts w:ascii="Times New Roman" w:hAnsi="Times New Roman" w:cs="Times New Roman"/>
          <w:color w:val="auto"/>
          <w:position w:val="-12"/>
          <w:sz w:val="24"/>
          <w:szCs w:val="24"/>
        </w:rPr>
        <w:object>
          <v:shape id="_x0000_i1086" o:spt="75" type="#_x0000_t75" style="height:30pt;width:363.75pt;" o:ole="t" filled="f" coordsize="21600,21600">
            <v:path/>
            <v:fill on="f" focussize="0,0"/>
            <v:stroke/>
            <v:imagedata r:id="rId129" o:title=""/>
            <o:lock v:ext="edit" aspectratio="t"/>
            <w10:wrap type="none"/>
            <w10:anchorlock/>
          </v:shape>
          <o:OLEObject Type="Embed" ProgID="Equation.DSMT4" ShapeID="_x0000_i1086" DrawAspect="Content" ObjectID="_1468075786" r:id="rId154">
            <o:LockedField>false</o:LockedField>
          </o:OLEObject>
        </w:object>
      </w:r>
      <w:r>
        <w:rPr>
          <w:rFonts w:ascii="Times New Roman" w:hAnsi="Times New Roman" w:cs="Times New Roman"/>
          <w:color w:val="auto"/>
          <w:sz w:val="24"/>
          <w:szCs w:val="24"/>
        </w:rPr>
        <w:t>，</w:t>
      </w:r>
    </w:p>
    <w:p w14:paraId="618521DD">
      <w:pPr>
        <w:pStyle w:val="149"/>
        <w:spacing w:line="360" w:lineRule="auto"/>
        <w:ind w:left="720" w:firstLine="0" w:firstLineChars="0"/>
        <w:rPr>
          <w:color w:val="auto"/>
        </w:rPr>
      </w:pPr>
      <w:r>
        <w:rPr>
          <w:color w:val="auto"/>
          <w:position w:val="-12"/>
        </w:rPr>
        <w:object>
          <v:shape id="_x0000_i1087" o:spt="75" type="#_x0000_t75" style="height:21.6pt;width:167.95pt;" o:ole="t" filled="f" coordsize="21600,21600">
            <v:path/>
            <v:fill on="f" focussize="0,0"/>
            <v:stroke/>
            <v:imagedata r:id="rId131" o:title=""/>
            <o:lock v:ext="edit" aspectratio="t"/>
            <w10:wrap type="none"/>
            <w10:anchorlock/>
          </v:shape>
          <o:OLEObject Type="Embed" ProgID="Equation.DSMT4" ShapeID="_x0000_i1087" DrawAspect="Content" ObjectID="_1468075787" r:id="rId155">
            <o:LockedField>false</o:LockedField>
          </o:OLEObject>
        </w:object>
      </w:r>
    </w:p>
    <w:p w14:paraId="489032EB">
      <w:pPr>
        <w:pStyle w:val="149"/>
        <w:spacing w:line="360" w:lineRule="auto"/>
        <w:ind w:left="720" w:firstLine="0" w:firstLineChars="0"/>
        <w:rPr>
          <w:rFonts w:ascii="Times New Roman" w:hAnsi="Times New Roman" w:cs="Times New Roman"/>
          <w:color w:val="auto"/>
          <w:sz w:val="24"/>
          <w:szCs w:val="24"/>
        </w:rPr>
      </w:pPr>
      <w:r>
        <w:rPr>
          <w:rFonts w:hint="eastAsia"/>
          <w:color w:val="auto"/>
          <w:position w:val="-12"/>
        </w:rPr>
        <w:object>
          <v:shape id="_x0000_i1088" o:spt="75" type="#_x0000_t75" style="height:21.6pt;width:269.45pt;" o:ole="t" filled="f" coordsize="21600,21600">
            <v:path/>
            <v:fill on="f" focussize="0,0"/>
            <v:stroke/>
            <v:imagedata r:id="rId133" o:title=""/>
            <o:lock v:ext="edit" aspectratio="t"/>
            <w10:wrap type="none"/>
            <w10:anchorlock/>
          </v:shape>
          <o:OLEObject Type="Embed" ProgID="Equation.DSMT4" ShapeID="_x0000_i1088" DrawAspect="Content" ObjectID="_1468075788" r:id="rId156">
            <o:LockedField>false</o:LockedField>
          </o:OLEObject>
        </w:object>
      </w:r>
    </w:p>
    <w:p w14:paraId="7E948ACC">
      <w:pPr>
        <w:pStyle w:val="149"/>
        <w:spacing w:line="360" w:lineRule="auto"/>
        <w:ind w:left="720" w:firstLine="0" w:firstLineChars="0"/>
        <w:rPr>
          <w:rFonts w:ascii="Times New Roman" w:hAnsi="Times New Roman" w:cs="Times New Roman"/>
          <w:color w:val="auto"/>
          <w:sz w:val="24"/>
          <w:szCs w:val="24"/>
        </w:rPr>
      </w:pPr>
      <w:r>
        <w:rPr>
          <w:rFonts w:ascii="Times New Roman" w:hAnsi="Times New Roman" w:cs="Times New Roman"/>
          <w:color w:val="auto"/>
          <w:sz w:val="24"/>
          <w:szCs w:val="24"/>
        </w:rPr>
        <w:t>砼下料产生的水平荷载标准值</w:t>
      </w:r>
      <w:r>
        <w:rPr>
          <w:rFonts w:ascii="Times New Roman" w:hAnsi="Times New Roman" w:cs="Times New Roman"/>
          <w:color w:val="auto"/>
          <w:position w:val="-12"/>
          <w:sz w:val="24"/>
          <w:szCs w:val="24"/>
        </w:rPr>
        <w:object>
          <v:shape id="_x0000_i1089" o:spt="75" type="#_x0000_t75" style="height:20.4pt;width:85.25pt;" o:ole="t" filled="f" coordsize="21600,21600">
            <v:path/>
            <v:fill on="f" focussize="0,0"/>
            <v:stroke/>
            <v:imagedata r:id="rId135" o:title=""/>
            <o:lock v:ext="edit" aspectratio="t"/>
            <w10:wrap type="none"/>
            <w10:anchorlock/>
          </v:shape>
          <o:OLEObject Type="Embed" ProgID="Equation.DSMT4" ShapeID="_x0000_i1089" DrawAspect="Content" ObjectID="_1468075789" r:id="rId157">
            <o:LockedField>false</o:LockedField>
          </o:OLEObject>
        </w:object>
      </w:r>
    </w:p>
    <w:p w14:paraId="059E18B7">
      <w:pPr>
        <w:pStyle w:val="149"/>
        <w:spacing w:line="360" w:lineRule="auto"/>
        <w:ind w:left="720" w:firstLine="0" w:firstLineChars="0"/>
        <w:rPr>
          <w:rFonts w:ascii="Times New Roman" w:hAnsi="Times New Roman" w:cs="Times New Roman"/>
          <w:color w:val="auto"/>
          <w:sz w:val="24"/>
          <w:szCs w:val="24"/>
        </w:rPr>
      </w:pPr>
      <w:r>
        <w:rPr>
          <w:rFonts w:ascii="Times New Roman" w:hAnsi="Times New Roman" w:cs="Times New Roman"/>
          <w:color w:val="auto"/>
          <w:sz w:val="24"/>
          <w:szCs w:val="24"/>
        </w:rPr>
        <w:t>均布线荷载设计值为：</w:t>
      </w:r>
    </w:p>
    <w:p w14:paraId="4B4FD840">
      <w:pPr>
        <w:pStyle w:val="149"/>
        <w:spacing w:line="360" w:lineRule="auto"/>
        <w:ind w:left="720" w:firstLine="0" w:firstLineChars="0"/>
        <w:rPr>
          <w:rFonts w:ascii="Times New Roman" w:hAnsi="Times New Roman" w:cs="Times New Roman"/>
          <w:color w:val="auto"/>
          <w:sz w:val="24"/>
          <w:szCs w:val="24"/>
        </w:rPr>
      </w:pPr>
      <w:r>
        <w:rPr>
          <w:rFonts w:ascii="Times New Roman" w:hAnsi="Times New Roman" w:cs="Times New Roman"/>
          <w:color w:val="auto"/>
          <w:position w:val="-12"/>
          <w:sz w:val="24"/>
          <w:szCs w:val="24"/>
        </w:rPr>
        <w:object>
          <v:shape id="_x0000_i1090" o:spt="75" type="#_x0000_t75" style="height:18pt;width:252.55pt;" o:ole="t" filled="f" coordsize="21600,21600">
            <v:path/>
            <v:fill on="f" focussize="0,0"/>
            <v:stroke/>
            <v:imagedata r:id="rId159" o:title=""/>
            <o:lock v:ext="edit" aspectratio="t"/>
            <w10:wrap type="none"/>
            <w10:anchorlock/>
          </v:shape>
          <o:OLEObject Type="Embed" ProgID="Equation.DSMT4" ShapeID="_x0000_i1090" DrawAspect="Content" ObjectID="_1468075790" r:id="rId158">
            <o:LockedField>false</o:LockedField>
          </o:OLEObject>
        </w:object>
      </w:r>
    </w:p>
    <w:p w14:paraId="79D820A7">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drawing>
          <wp:inline distT="0" distB="0" distL="0" distR="0">
            <wp:extent cx="5274310" cy="1102360"/>
            <wp:effectExtent l="0" t="0" r="2540" b="2540"/>
            <wp:docPr id="2419505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50524" name="图片 1"/>
                    <pic:cNvPicPr>
                      <a:picLocks noChangeAspect="1"/>
                    </pic:cNvPicPr>
                  </pic:nvPicPr>
                  <pic:blipFill>
                    <a:blip r:embed="rId160"/>
                    <a:stretch>
                      <a:fillRect/>
                    </a:stretch>
                  </pic:blipFill>
                  <pic:spPr>
                    <a:xfrm>
                      <a:off x="0" y="0"/>
                      <a:ext cx="5274310" cy="1102360"/>
                    </a:xfrm>
                    <a:prstGeom prst="rect">
                      <a:avLst/>
                    </a:prstGeom>
                  </pic:spPr>
                </pic:pic>
              </a:graphicData>
            </a:graphic>
          </wp:inline>
        </w:drawing>
      </w:r>
    </w:p>
    <w:p w14:paraId="6CFCAC5B">
      <w:pPr>
        <w:pStyle w:val="149"/>
        <w:numPr>
          <w:ilvl w:val="0"/>
          <w:numId w:val="18"/>
        </w:numPr>
        <w:spacing w:line="360" w:lineRule="auto"/>
        <w:ind w:firstLineChars="0"/>
        <w:rPr>
          <w:rFonts w:ascii="Times New Roman" w:hAnsi="Times New Roman" w:cs="Times New Roman"/>
          <w:color w:val="auto"/>
          <w:sz w:val="24"/>
          <w:szCs w:val="24"/>
        </w:rPr>
      </w:pPr>
      <w:r>
        <w:rPr>
          <w:rFonts w:ascii="Times New Roman" w:hAnsi="Times New Roman" w:cs="Times New Roman"/>
          <w:color w:val="auto"/>
          <w:sz w:val="24"/>
          <w:szCs w:val="24"/>
        </w:rPr>
        <w:t>强度验算</w:t>
      </w:r>
    </w:p>
    <w:p w14:paraId="32C90AD6">
      <w:pPr>
        <w:pStyle w:val="149"/>
        <w:autoSpaceDE w:val="0"/>
        <w:autoSpaceDN w:val="0"/>
        <w:adjustRightInd w:val="0"/>
        <w:spacing w:line="360" w:lineRule="auto"/>
        <w:ind w:left="720" w:firstLine="0" w:firstLineChars="0"/>
        <w:jc w:val="left"/>
        <w:rPr>
          <w:rFonts w:ascii="Times New Roman" w:hAnsi="Times New Roman" w:cs="Times New Roman"/>
          <w:color w:val="auto"/>
          <w:kern w:val="0"/>
          <w:sz w:val="24"/>
          <w:szCs w:val="24"/>
        </w:rPr>
      </w:pPr>
      <w:r>
        <w:rPr>
          <w:rFonts w:ascii="Times New Roman" w:hAnsi="Times New Roman" w:cs="Times New Roman"/>
          <w:color w:val="auto"/>
          <w:kern w:val="0"/>
          <w:sz w:val="24"/>
          <w:szCs w:val="24"/>
        </w:rPr>
        <w:t>截面惯性矩</w:t>
      </w:r>
    </w:p>
    <w:p w14:paraId="455C3A4D">
      <w:pPr>
        <w:pStyle w:val="149"/>
        <w:autoSpaceDE w:val="0"/>
        <w:autoSpaceDN w:val="0"/>
        <w:adjustRightInd w:val="0"/>
        <w:spacing w:line="360" w:lineRule="auto"/>
        <w:ind w:left="720" w:firstLine="0" w:firstLineChars="0"/>
        <w:jc w:val="left"/>
        <w:rPr>
          <w:rFonts w:ascii="Times New Roman" w:hAnsi="Times New Roman" w:cs="Times New Roman"/>
          <w:color w:val="auto"/>
          <w:kern w:val="0"/>
          <w:sz w:val="24"/>
          <w:szCs w:val="24"/>
        </w:rPr>
      </w:pPr>
      <w:r>
        <w:rPr>
          <w:rFonts w:ascii="Times New Roman" w:hAnsi="Times New Roman" w:cs="Times New Roman"/>
          <w:color w:val="auto"/>
          <w:position w:val="-26"/>
          <w:sz w:val="24"/>
          <w:szCs w:val="24"/>
        </w:rPr>
        <w:object>
          <v:shape id="_x0000_i1091" o:spt="75" type="#_x0000_t75" style="height:37.2pt;width:197.4pt;" o:ole="t" filled="f" coordsize="21600,21600">
            <v:path/>
            <v:fill on="f" focussize="0,0"/>
            <v:stroke/>
            <v:imagedata r:id="rId162" o:title=""/>
            <o:lock v:ext="edit" aspectratio="t"/>
            <w10:wrap type="none"/>
            <w10:anchorlock/>
          </v:shape>
          <o:OLEObject Type="Embed" ProgID="Equation.DSMT4" ShapeID="_x0000_i1091" DrawAspect="Content" ObjectID="_1468075791" r:id="rId161">
            <o:LockedField>false</o:LockedField>
          </o:OLEObject>
        </w:object>
      </w:r>
    </w:p>
    <w:p w14:paraId="4FA79091">
      <w:pPr>
        <w:pStyle w:val="149"/>
        <w:autoSpaceDE w:val="0"/>
        <w:autoSpaceDN w:val="0"/>
        <w:adjustRightInd w:val="0"/>
        <w:spacing w:line="360" w:lineRule="auto"/>
        <w:ind w:left="720" w:firstLine="0" w:firstLineChars="0"/>
        <w:jc w:val="left"/>
        <w:rPr>
          <w:rFonts w:ascii="Times New Roman" w:hAnsi="Times New Roman" w:cs="Times New Roman"/>
          <w:color w:val="auto"/>
          <w:kern w:val="0"/>
          <w:sz w:val="24"/>
          <w:szCs w:val="24"/>
        </w:rPr>
      </w:pPr>
      <w:r>
        <w:rPr>
          <w:rFonts w:ascii="Times New Roman" w:hAnsi="Times New Roman" w:cs="Times New Roman"/>
          <w:color w:val="auto"/>
          <w:kern w:val="0"/>
          <w:sz w:val="24"/>
          <w:szCs w:val="24"/>
        </w:rPr>
        <w:t>面板的截面抵抗矩</w:t>
      </w:r>
    </w:p>
    <w:p w14:paraId="30A7E469">
      <w:pPr>
        <w:pStyle w:val="149"/>
        <w:autoSpaceDE w:val="0"/>
        <w:autoSpaceDN w:val="0"/>
        <w:adjustRightInd w:val="0"/>
        <w:spacing w:line="360" w:lineRule="auto"/>
        <w:ind w:left="720" w:firstLine="0" w:firstLineChars="0"/>
        <w:jc w:val="left"/>
        <w:rPr>
          <w:rFonts w:ascii="Times New Roman" w:hAnsi="Times New Roman" w:cs="Times New Roman"/>
          <w:color w:val="auto"/>
          <w:kern w:val="0"/>
          <w:sz w:val="24"/>
          <w:szCs w:val="24"/>
        </w:rPr>
      </w:pPr>
      <w:r>
        <w:rPr>
          <w:color w:val="auto"/>
          <w:position w:val="-34"/>
        </w:rPr>
        <w:object>
          <v:shape id="_x0000_i1092" o:spt="75" type="#_x0000_t75" style="height:40.8pt;width:221.45pt;" o:ole="t" filled="f" coordsize="21600,21600">
            <v:path/>
            <v:fill on="f" focussize="0,0"/>
            <v:stroke/>
            <v:imagedata r:id="rId164" o:title=""/>
            <o:lock v:ext="edit" aspectratio="t"/>
            <w10:wrap type="none"/>
            <w10:anchorlock/>
          </v:shape>
          <o:OLEObject Type="Embed" ProgID="Equation.DSMT4" ShapeID="_x0000_i1092" DrawAspect="Content" ObjectID="_1468075792" r:id="rId163">
            <o:LockedField>false</o:LockedField>
          </o:OLEObject>
        </w:object>
      </w:r>
    </w:p>
    <w:p w14:paraId="2005292B">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计算最大弯矩：</w:t>
      </w:r>
    </w:p>
    <w:p w14:paraId="7DBDF6C6">
      <w:pPr>
        <w:spacing w:line="360" w:lineRule="auto"/>
        <w:rPr>
          <w:rFonts w:ascii="Times New Roman" w:hAnsi="Times New Roman" w:cs="Times New Roman"/>
          <w:b/>
          <w:bCs/>
          <w:color w:val="auto"/>
          <w:sz w:val="24"/>
          <w:szCs w:val="24"/>
        </w:rPr>
      </w:pPr>
      <w:r>
        <w:rPr>
          <w:rFonts w:ascii="Times New Roman" w:hAnsi="Times New Roman" w:cs="Times New Roman"/>
          <w:color w:val="auto"/>
          <w:position w:val="-12"/>
          <w:sz w:val="24"/>
          <w:szCs w:val="24"/>
        </w:rPr>
        <w:object>
          <v:shape id="_x0000_i1093" o:spt="75" type="#_x0000_t75" style="height:20.4pt;width:256.3pt;" o:ole="t" filled="f" coordsize="21600,21600">
            <v:path/>
            <v:fill on="f" focussize="0,0"/>
            <v:stroke/>
            <v:imagedata r:id="rId166" o:title=""/>
            <o:lock v:ext="edit" aspectratio="t"/>
            <w10:wrap type="none"/>
            <w10:anchorlock/>
          </v:shape>
          <o:OLEObject Type="Embed" ProgID="Equation.DSMT4" ShapeID="_x0000_i1093" DrawAspect="Content" ObjectID="_1468075793" r:id="rId165">
            <o:LockedField>false</o:LockedField>
          </o:OLEObject>
        </w:object>
      </w:r>
    </w:p>
    <w:p w14:paraId="235D52D5">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最大支座力：</w:t>
      </w:r>
    </w:p>
    <w:p w14:paraId="7EAA8BEC">
      <w:pPr>
        <w:spacing w:line="360" w:lineRule="auto"/>
        <w:rPr>
          <w:rFonts w:ascii="Times New Roman" w:hAnsi="Times New Roman" w:cs="Times New Roman"/>
          <w:color w:val="auto"/>
          <w:sz w:val="24"/>
          <w:szCs w:val="24"/>
        </w:rPr>
      </w:pPr>
      <w:r>
        <w:rPr>
          <w:rFonts w:ascii="Times New Roman" w:hAnsi="Times New Roman" w:cs="Times New Roman"/>
          <w:color w:val="auto"/>
          <w:position w:val="-12"/>
          <w:sz w:val="24"/>
          <w:szCs w:val="24"/>
        </w:rPr>
        <w:object>
          <v:shape id="_x0000_i1094" o:spt="75" type="#_x0000_t75" style="height:18pt;width:186.55pt;" o:ole="t" filled="f" coordsize="21600,21600">
            <v:path/>
            <v:fill on="f" focussize="0,0"/>
            <v:stroke/>
            <v:imagedata r:id="rId168" o:title=""/>
            <o:lock v:ext="edit" aspectratio="t"/>
            <w10:wrap type="none"/>
            <w10:anchorlock/>
          </v:shape>
          <o:OLEObject Type="Embed" ProgID="Equation.DSMT4" ShapeID="_x0000_i1094" DrawAspect="Content" ObjectID="_1468075794" r:id="rId167">
            <o:LockedField>false</o:LockedField>
          </o:OLEObject>
        </w:object>
      </w:r>
    </w:p>
    <w:p w14:paraId="189B8CDC">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次楞抗弯强度设计值</w:t>
      </w:r>
      <w:r>
        <w:rPr>
          <w:rFonts w:ascii="Times New Roman" w:hAnsi="Times New Roman" w:cs="Times New Roman"/>
          <w:color w:val="auto"/>
          <w:position w:val="-14"/>
          <w:sz w:val="24"/>
          <w:szCs w:val="24"/>
        </w:rPr>
        <w:object>
          <v:shape id="_x0000_i1095" o:spt="75" type="#_x0000_t75" style="height:22.8pt;width:94.85pt;" o:ole="t" filled="f" coordsize="21600,21600">
            <v:path/>
            <v:fill on="f" focussize="0,0"/>
            <v:stroke/>
            <v:imagedata r:id="rId170" o:title=""/>
            <o:lock v:ext="edit" aspectratio="t"/>
            <w10:wrap type="none"/>
            <w10:anchorlock/>
          </v:shape>
          <o:OLEObject Type="Embed" ProgID="Equation.DSMT4" ShapeID="_x0000_i1095" DrawAspect="Content" ObjectID="_1468075795" r:id="rId169">
            <o:LockedField>false</o:LockedField>
          </o:OLEObject>
        </w:object>
      </w:r>
    </w:p>
    <w:p w14:paraId="26947BBE">
      <w:pPr>
        <w:spacing w:line="360" w:lineRule="auto"/>
        <w:rPr>
          <w:rFonts w:ascii="Times New Roman" w:hAnsi="Times New Roman" w:cs="Times New Roman"/>
          <w:color w:val="auto"/>
          <w:sz w:val="24"/>
          <w:szCs w:val="24"/>
        </w:rPr>
      </w:pPr>
      <w:r>
        <w:rPr>
          <w:rFonts w:ascii="Times New Roman" w:hAnsi="Times New Roman" w:cs="Times New Roman"/>
          <w:color w:val="auto"/>
          <w:position w:val="-28"/>
          <w:sz w:val="24"/>
          <w:szCs w:val="24"/>
        </w:rPr>
        <w:object>
          <v:shape id="_x0000_i1096" o:spt="75" type="#_x0000_t75" style="height:37.8pt;width:285.5pt;" o:ole="t" filled="f" coordsize="21600,21600">
            <v:path/>
            <v:fill on="f" focussize="0,0"/>
            <v:stroke/>
            <v:imagedata r:id="rId172" o:title=""/>
            <o:lock v:ext="edit" aspectratio="t"/>
            <w10:wrap type="none"/>
            <w10:anchorlock/>
          </v:shape>
          <o:OLEObject Type="Embed" ProgID="Equation.DSMT4" ShapeID="_x0000_i1096" DrawAspect="Content" ObjectID="_1468075796" r:id="rId171">
            <o:LockedField>false</o:LockedField>
          </o:OLEObject>
        </w:object>
      </w:r>
    </w:p>
    <w:p w14:paraId="446D598F">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满足要求</w:t>
      </w:r>
      <w:r>
        <w:rPr>
          <w:rFonts w:hint="eastAsia" w:ascii="Times New Roman" w:hAnsi="Times New Roman" w:cs="Times New Roman"/>
          <w:color w:val="auto"/>
          <w:sz w:val="24"/>
          <w:szCs w:val="24"/>
        </w:rPr>
        <w:t>。</w:t>
      </w:r>
    </w:p>
    <w:p w14:paraId="47A8E213">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2</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抗剪强度验算</w:t>
      </w:r>
    </w:p>
    <w:p w14:paraId="4A97DB47">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次楞最大剪力设计值：</w:t>
      </w:r>
    </w:p>
    <w:p w14:paraId="4A72E7C8">
      <w:pPr>
        <w:spacing w:line="360" w:lineRule="auto"/>
        <w:rPr>
          <w:rFonts w:ascii="Times New Roman" w:hAnsi="Times New Roman" w:cs="Times New Roman"/>
          <w:color w:val="auto"/>
          <w:sz w:val="24"/>
          <w:szCs w:val="24"/>
        </w:rPr>
      </w:pPr>
      <w:r>
        <w:rPr>
          <w:rFonts w:ascii="Times New Roman" w:hAnsi="Times New Roman" w:cs="Times New Roman"/>
          <w:color w:val="auto"/>
          <w:position w:val="-12"/>
          <w:sz w:val="24"/>
          <w:szCs w:val="24"/>
        </w:rPr>
        <w:object>
          <v:shape id="_x0000_i1097" o:spt="75" type="#_x0000_t75" style="height:18pt;width:217.25pt;" o:ole="t" filled="f" coordsize="21600,21600">
            <v:path/>
            <v:fill on="f" focussize="0,0"/>
            <v:stroke/>
            <v:imagedata r:id="rId174" o:title=""/>
            <o:lock v:ext="edit" aspectratio="t"/>
            <w10:wrap type="none"/>
            <w10:anchorlock/>
          </v:shape>
          <o:OLEObject Type="Embed" ProgID="Equation.DSMT4" ShapeID="_x0000_i1097" DrawAspect="Content" ObjectID="_1468075797" r:id="rId173">
            <o:LockedField>false</o:LockedField>
          </o:OLEObject>
        </w:object>
      </w:r>
    </w:p>
    <w:p w14:paraId="07C26E78">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木材抗剪强度设计值：</w:t>
      </w:r>
      <w:r>
        <w:rPr>
          <w:rFonts w:ascii="Times New Roman" w:hAnsi="Times New Roman" w:cs="Times New Roman"/>
          <w:color w:val="auto"/>
          <w:position w:val="-12"/>
          <w:sz w:val="24"/>
          <w:szCs w:val="24"/>
        </w:rPr>
        <w:object>
          <v:shape id="_x0000_i1098" o:spt="75" type="#_x0000_t75" style="height:20.4pt;width:91.75pt;" o:ole="t" filled="f" coordsize="21600,21600">
            <v:path/>
            <v:fill on="f" focussize="0,0"/>
            <v:stroke/>
            <v:imagedata r:id="rId176" o:title=""/>
            <o:lock v:ext="edit" aspectratio="t"/>
            <w10:wrap type="none"/>
            <w10:anchorlock/>
          </v:shape>
          <o:OLEObject Type="Embed" ProgID="Equation.DSMT4" ShapeID="_x0000_i1098" DrawAspect="Content" ObjectID="_1468075798" r:id="rId175">
            <o:LockedField>false</o:LockedField>
          </o:OLEObject>
        </w:object>
      </w:r>
    </w:p>
    <w:p w14:paraId="2E030D1E">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抗剪强度按下式计算:</w:t>
      </w:r>
    </w:p>
    <w:p w14:paraId="135AC6AF">
      <w:pPr>
        <w:spacing w:line="360" w:lineRule="auto"/>
        <w:rPr>
          <w:rFonts w:ascii="Times New Roman" w:hAnsi="Times New Roman" w:cs="Times New Roman"/>
          <w:color w:val="auto"/>
          <w:sz w:val="24"/>
          <w:szCs w:val="24"/>
        </w:rPr>
      </w:pPr>
      <w:r>
        <w:rPr>
          <w:rFonts w:ascii="Times New Roman" w:hAnsi="Times New Roman" w:cs="Times New Roman"/>
          <w:color w:val="auto"/>
          <w:position w:val="-28"/>
          <w:sz w:val="24"/>
          <w:szCs w:val="24"/>
        </w:rPr>
        <w:object>
          <v:shape id="_x0000_i1099" o:spt="75" type="#_x0000_t75" style="height:37.8pt;width:245.45pt;" o:ole="t" filled="f" coordsize="21600,21600">
            <v:path/>
            <v:fill on="f" focussize="0,0"/>
            <v:stroke/>
            <v:imagedata r:id="rId178" o:title=""/>
            <o:lock v:ext="edit" aspectratio="t"/>
            <w10:wrap type="none"/>
            <w10:anchorlock/>
          </v:shape>
          <o:OLEObject Type="Embed" ProgID="Equation.DSMT4" ShapeID="_x0000_i1099" DrawAspect="Content" ObjectID="_1468075799" r:id="rId177">
            <o:LockedField>false</o:LockedField>
          </o:OLEObject>
        </w:object>
      </w:r>
    </w:p>
    <w:p w14:paraId="0F4F9AC5">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满足要求</w:t>
      </w:r>
      <w:r>
        <w:rPr>
          <w:rFonts w:hint="eastAsia" w:ascii="Times New Roman" w:hAnsi="Times New Roman" w:cs="Times New Roman"/>
          <w:color w:val="auto"/>
          <w:sz w:val="24"/>
          <w:szCs w:val="24"/>
        </w:rPr>
        <w:t>。</w:t>
      </w:r>
    </w:p>
    <w:p w14:paraId="73979ABD">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3</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挠度验算</w:t>
      </w:r>
    </w:p>
    <w:p w14:paraId="4596FDCC">
      <w:pPr>
        <w:spacing w:line="360" w:lineRule="auto"/>
        <w:ind w:firstLine="480" w:firstLineChars="200"/>
        <w:rPr>
          <w:rFonts w:ascii="Times New Roman" w:hAnsi="Times New Roman" w:cs="Times New Roman"/>
          <w:color w:val="auto"/>
          <w:sz w:val="24"/>
          <w:szCs w:val="24"/>
        </w:rPr>
      </w:pPr>
      <w:r>
        <w:rPr>
          <w:rFonts w:ascii="Times New Roman" w:hAnsi="Times New Roman" w:cs="Times New Roman"/>
          <w:color w:val="auto"/>
          <w:sz w:val="24"/>
          <w:szCs w:val="24"/>
        </w:rPr>
        <w:t>验算挠度时不考虑可变荷载值，仅考虑永久荷载标准值，故其作用效应的线荷载计算如下：</w:t>
      </w:r>
    </w:p>
    <w:p w14:paraId="5E01B6FD">
      <w:pPr>
        <w:spacing w:line="360" w:lineRule="auto"/>
        <w:rPr>
          <w:rFonts w:ascii="Times New Roman" w:hAnsi="Times New Roman" w:cs="Times New Roman"/>
          <w:color w:val="auto"/>
          <w:sz w:val="24"/>
          <w:szCs w:val="24"/>
        </w:rPr>
      </w:pPr>
      <w:r>
        <w:rPr>
          <w:rFonts w:ascii="Times New Roman" w:hAnsi="Times New Roman" w:cs="Times New Roman"/>
          <w:color w:val="auto"/>
          <w:position w:val="-12"/>
          <w:sz w:val="24"/>
          <w:szCs w:val="24"/>
        </w:rPr>
        <w:object>
          <v:shape id="_x0000_i1100" o:spt="75" type="#_x0000_t75" style="height:18pt;width:177pt;" o:ole="t" filled="f" coordsize="21600,21600">
            <v:path/>
            <v:fill on="f" focussize="0,0"/>
            <v:stroke/>
            <v:imagedata r:id="rId180" o:title=""/>
            <o:lock v:ext="edit" aspectratio="t"/>
            <w10:wrap type="none"/>
            <w10:anchorlock/>
          </v:shape>
          <o:OLEObject Type="Embed" ProgID="Equation.DSMT4" ShapeID="_x0000_i1100" DrawAspect="Content" ObjectID="_1468075800" r:id="rId179">
            <o:LockedField>false</o:LockedField>
          </o:OLEObject>
        </w:object>
      </w:r>
    </w:p>
    <w:p w14:paraId="36153CAF">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次楞最大容许挠度值：</w:t>
      </w:r>
    </w:p>
    <w:p w14:paraId="0B19417D">
      <w:pPr>
        <w:spacing w:line="360" w:lineRule="auto"/>
        <w:rPr>
          <w:rFonts w:ascii="Times New Roman" w:hAnsi="Times New Roman" w:cs="Times New Roman"/>
          <w:color w:val="auto"/>
          <w:sz w:val="24"/>
          <w:szCs w:val="24"/>
        </w:rPr>
      </w:pPr>
      <w:r>
        <w:rPr>
          <w:rFonts w:ascii="Times New Roman" w:hAnsi="Times New Roman" w:cs="Times New Roman"/>
          <w:color w:val="auto"/>
          <w:position w:val="-6"/>
          <w:sz w:val="24"/>
          <w:szCs w:val="24"/>
        </w:rPr>
        <w:object>
          <v:shape id="_x0000_i1101" o:spt="75" type="#_x0000_t75" style="height:15pt;width:198pt;" o:ole="t" filled="f" coordsize="21600,21600">
            <v:path/>
            <v:fill on="f" focussize="0,0"/>
            <v:stroke/>
            <v:imagedata r:id="rId182" o:title=""/>
            <o:lock v:ext="edit" aspectratio="t"/>
            <w10:wrap type="none"/>
            <w10:anchorlock/>
          </v:shape>
          <o:OLEObject Type="Embed" ProgID="Equation.DSMT4" ShapeID="_x0000_i1101" DrawAspect="Content" ObjectID="_1468075801" r:id="rId181">
            <o:LockedField>false</o:LockedField>
          </o:OLEObject>
        </w:object>
      </w:r>
    </w:p>
    <w:p w14:paraId="5E44CC6F">
      <w:pPr>
        <w:spacing w:line="360" w:lineRule="auto"/>
        <w:rPr>
          <w:rFonts w:ascii="Times New Roman" w:hAnsi="Times New Roman" w:cs="Times New Roman"/>
          <w:color w:val="auto"/>
          <w:sz w:val="24"/>
          <w:szCs w:val="24"/>
        </w:rPr>
      </w:pPr>
      <w:r>
        <w:rPr>
          <w:rFonts w:hint="eastAsia" w:ascii="Times New Roman" w:hAnsi="Times New Roman" w:cs="Times New Roman"/>
          <w:color w:val="auto"/>
          <w:sz w:val="24"/>
          <w:szCs w:val="24"/>
        </w:rPr>
        <w:t>因此次楞最大容许挠度值为3.3mm</w:t>
      </w:r>
    </w:p>
    <w:p w14:paraId="412C4879">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 xml:space="preserve">次楞弹性模量: </w:t>
      </w:r>
      <w:r>
        <w:rPr>
          <w:rFonts w:ascii="Times New Roman" w:hAnsi="Times New Roman" w:cs="Times New Roman"/>
          <w:color w:val="auto"/>
          <w:position w:val="-6"/>
          <w:sz w:val="24"/>
          <w:szCs w:val="24"/>
        </w:rPr>
        <w:object>
          <v:shape id="_x0000_i1102" o:spt="75" type="#_x0000_t75" style="height:18pt;width:115.85pt;" o:ole="t" filled="f" coordsize="21600,21600">
            <v:path/>
            <v:fill on="f" focussize="0,0"/>
            <v:stroke/>
            <v:imagedata r:id="rId184" o:title=""/>
            <o:lock v:ext="edit" aspectratio="t"/>
            <w10:wrap type="none"/>
            <w10:anchorlock/>
          </v:shape>
          <o:OLEObject Type="Embed" ProgID="Equation.DSMT4" ShapeID="_x0000_i1102" DrawAspect="Content" ObjectID="_1468075802" r:id="rId183">
            <o:LockedField>false</o:LockedField>
          </o:OLEObject>
        </w:object>
      </w:r>
    </w:p>
    <w:p w14:paraId="55C5359C">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实际</w:t>
      </w:r>
      <w:r>
        <w:rPr>
          <w:rFonts w:hint="eastAsia" w:ascii="Times New Roman" w:hAnsi="Times New Roman" w:cs="Times New Roman"/>
          <w:color w:val="auto"/>
          <w:sz w:val="24"/>
          <w:szCs w:val="24"/>
        </w:rPr>
        <w:t>计算</w:t>
      </w:r>
      <w:r>
        <w:rPr>
          <w:rFonts w:ascii="Times New Roman" w:hAnsi="Times New Roman" w:cs="Times New Roman"/>
          <w:color w:val="auto"/>
          <w:sz w:val="24"/>
          <w:szCs w:val="24"/>
        </w:rPr>
        <w:t>挠度：</w:t>
      </w:r>
    </w:p>
    <w:p w14:paraId="117E5D7C">
      <w:pPr>
        <w:spacing w:line="360" w:lineRule="auto"/>
        <w:rPr>
          <w:rFonts w:ascii="Times New Roman" w:hAnsi="Times New Roman" w:cs="Times New Roman"/>
          <w:color w:val="auto"/>
          <w:sz w:val="24"/>
          <w:szCs w:val="24"/>
        </w:rPr>
      </w:pPr>
      <w:r>
        <w:rPr>
          <w:rFonts w:ascii="Times New Roman" w:hAnsi="Times New Roman" w:cs="Times New Roman"/>
          <w:color w:val="auto"/>
          <w:position w:val="-28"/>
          <w:sz w:val="24"/>
          <w:szCs w:val="24"/>
        </w:rPr>
        <w:object>
          <v:shape id="_x0000_i1103" o:spt="75" type="#_x0000_t75" style="height:37.8pt;width:328.65pt;" o:ole="t" filled="f" coordsize="21600,21600">
            <v:path/>
            <v:fill on="f" focussize="0,0"/>
            <v:stroke/>
            <v:imagedata r:id="rId186" o:title=""/>
            <o:lock v:ext="edit" aspectratio="t"/>
            <w10:wrap type="none"/>
            <w10:anchorlock/>
          </v:shape>
          <o:OLEObject Type="Embed" ProgID="Equation.DSMT4" ShapeID="_x0000_i1103" DrawAspect="Content" ObjectID="_1468075803" r:id="rId185">
            <o:LockedField>false</o:LockedField>
          </o:OLEObject>
        </w:object>
      </w:r>
    </w:p>
    <w:p w14:paraId="0B40860C">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满足要求</w:t>
      </w:r>
      <w:r>
        <w:rPr>
          <w:rFonts w:hint="eastAsia" w:ascii="Times New Roman" w:hAnsi="Times New Roman" w:cs="Times New Roman"/>
          <w:color w:val="auto"/>
          <w:sz w:val="24"/>
          <w:szCs w:val="24"/>
        </w:rPr>
        <w:t>。</w:t>
      </w:r>
    </w:p>
    <w:p w14:paraId="1A533D0C">
      <w:pPr>
        <w:spacing w:line="360" w:lineRule="auto"/>
        <w:rPr>
          <w:rFonts w:ascii="Times New Roman" w:hAnsi="Times New Roman" w:cs="Times New Roman"/>
          <w:color w:val="auto"/>
          <w:sz w:val="24"/>
          <w:szCs w:val="24"/>
        </w:rPr>
      </w:pPr>
    </w:p>
    <w:p w14:paraId="2FBB8FEA">
      <w:pPr>
        <w:spacing w:line="360" w:lineRule="auto"/>
        <w:rPr>
          <w:rFonts w:ascii="Times New Roman" w:hAnsi="Times New Roman" w:cs="Times New Roman"/>
          <w:color w:val="auto"/>
          <w:sz w:val="24"/>
          <w:szCs w:val="24"/>
        </w:rPr>
      </w:pPr>
      <w:r>
        <w:rPr>
          <w:rFonts w:hint="eastAsia" w:ascii="Times New Roman" w:hAnsi="Times New Roman" w:cs="Times New Roman"/>
          <w:b/>
          <w:bCs/>
          <w:color w:val="auto"/>
          <w:sz w:val="24"/>
        </w:rPr>
        <w:t>【例3】</w:t>
      </w:r>
      <w:r>
        <w:rPr>
          <w:rFonts w:hint="eastAsia" w:ascii="Times New Roman" w:hAnsi="Times New Roman" w:cs="Times New Roman"/>
          <w:color w:val="auto"/>
          <w:sz w:val="24"/>
          <w:szCs w:val="24"/>
        </w:rPr>
        <w:t>按例2的条件，</w:t>
      </w:r>
      <w:r>
        <w:rPr>
          <w:rFonts w:ascii="Times New Roman" w:hAnsi="Times New Roman" w:cs="Times New Roman"/>
          <w:color w:val="auto"/>
          <w:sz w:val="24"/>
          <w:szCs w:val="24"/>
        </w:rPr>
        <w:t>主楞采用双钢管，间距为500mm，试验算其强度与挠度。</w:t>
      </w:r>
    </w:p>
    <w:p w14:paraId="78D042E7">
      <w:pPr>
        <w:spacing w:line="360" w:lineRule="auto"/>
        <w:rPr>
          <w:rFonts w:ascii="Times New Roman" w:hAnsi="Times New Roman" w:cs="Times New Roman"/>
          <w:color w:val="auto"/>
          <w:sz w:val="24"/>
          <w:szCs w:val="24"/>
        </w:rPr>
      </w:pPr>
      <w:r>
        <w:rPr>
          <w:rFonts w:hint="eastAsia" w:ascii="Times New Roman" w:hAnsi="Times New Roman" w:cs="Times New Roman"/>
          <w:b/>
          <w:bCs/>
          <w:color w:val="auto"/>
          <w:sz w:val="24"/>
        </w:rPr>
        <w:t>【解】</w:t>
      </w:r>
    </w:p>
    <w:p w14:paraId="19572BD9">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1</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强度验算</w:t>
      </w:r>
    </w:p>
    <w:p w14:paraId="1CAF6357">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（1）主楞承受次楞传递的集中荷载P=4.82kN，按集中荷载作用下三跨连续梁计算，其计算跨度取穿墙螺栓间距，L=500mm。</w:t>
      </w:r>
    </w:p>
    <w:p w14:paraId="76875567">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（2）强度验算</w:t>
      </w:r>
    </w:p>
    <w:tbl>
      <w:tblPr>
        <w:tblStyle w:val="89"/>
        <w:tblW w:w="8522"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522"/>
      </w:tblGrid>
      <w:tr w14:paraId="20CF5D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14:paraId="070E3235">
            <w:pPr>
              <w:spacing w:line="360" w:lineRule="auto"/>
              <w:jc w:val="center"/>
              <w:rPr>
                <w:rFonts w:ascii="Times New Roman" w:hAnsi="Times New Roman" w:cs="Times New Roman"/>
                <w:color w:val="auto"/>
                <w:sz w:val="24"/>
                <w:szCs w:val="24"/>
              </w:rPr>
            </w:pPr>
            <w:r>
              <w:rPr>
                <w:rFonts w:ascii="Times New Roman" w:hAnsi="Times New Roman" w:cs="Times New Roman"/>
                <w:color w:val="auto"/>
                <w:sz w:val="24"/>
                <w:szCs w:val="24"/>
              </w:rPr>
              <w:drawing>
                <wp:inline distT="0" distB="0" distL="0" distR="0">
                  <wp:extent cx="5274310" cy="1166495"/>
                  <wp:effectExtent l="0" t="0" r="2540" b="5080"/>
                  <wp:docPr id="7458741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874151" name="图片 1"/>
                          <pic:cNvPicPr>
                            <a:picLocks noChangeAspect="1"/>
                          </pic:cNvPicPr>
                        </pic:nvPicPr>
                        <pic:blipFill>
                          <a:blip r:embed="rId187"/>
                          <a:stretch>
                            <a:fillRect/>
                          </a:stretch>
                        </pic:blipFill>
                        <pic:spPr>
                          <a:xfrm>
                            <a:off x="0" y="0"/>
                            <a:ext cx="5274310" cy="1166495"/>
                          </a:xfrm>
                          <a:prstGeom prst="rect">
                            <a:avLst/>
                          </a:prstGeom>
                        </pic:spPr>
                      </pic:pic>
                    </a:graphicData>
                  </a:graphic>
                </wp:inline>
              </w:drawing>
            </w:r>
          </w:p>
        </w:tc>
      </w:tr>
      <w:tr w14:paraId="06F637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14:paraId="79670A17">
            <w:pPr>
              <w:spacing w:line="360" w:lineRule="auto"/>
              <w:jc w:val="center"/>
              <w:rPr>
                <w:rFonts w:ascii="Times New Roman" w:hAnsi="Times New Roman" w:cs="Times New Roman"/>
                <w:color w:val="auto"/>
                <w:sz w:val="24"/>
                <w:szCs w:val="24"/>
              </w:rPr>
            </w:pPr>
            <w:r>
              <w:rPr>
                <w:rFonts w:ascii="Times New Roman" w:hAnsi="Times New Roman" w:cs="Times New Roman"/>
                <w:color w:val="auto"/>
                <w:sz w:val="24"/>
                <w:szCs w:val="24"/>
              </w:rPr>
              <w:t>主楞计算简图(kN)</w:t>
            </w:r>
          </w:p>
        </w:tc>
      </w:tr>
      <w:tr w14:paraId="56062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14:paraId="49D67946">
            <w:pPr>
              <w:spacing w:line="360" w:lineRule="auto"/>
              <w:jc w:val="center"/>
              <w:rPr>
                <w:rFonts w:ascii="Times New Roman" w:hAnsi="Times New Roman" w:cs="Times New Roman"/>
                <w:color w:val="auto"/>
                <w:sz w:val="24"/>
                <w:szCs w:val="24"/>
              </w:rPr>
            </w:pPr>
            <w:r>
              <w:rPr>
                <w:rFonts w:ascii="Times New Roman" w:hAnsi="Times New Roman" w:cs="Times New Roman"/>
                <w:color w:val="auto"/>
                <w:sz w:val="24"/>
                <w:szCs w:val="24"/>
              </w:rPr>
              <w:drawing>
                <wp:inline distT="0" distB="0" distL="0" distR="0">
                  <wp:extent cx="5274310" cy="1826260"/>
                  <wp:effectExtent l="0" t="0" r="2540" b="2540"/>
                  <wp:docPr id="16255275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527572" name="图片 1"/>
                          <pic:cNvPicPr>
                            <a:picLocks noChangeAspect="1"/>
                          </pic:cNvPicPr>
                        </pic:nvPicPr>
                        <pic:blipFill>
                          <a:blip r:embed="rId188"/>
                          <a:stretch>
                            <a:fillRect/>
                          </a:stretch>
                        </pic:blipFill>
                        <pic:spPr>
                          <a:xfrm>
                            <a:off x="0" y="0"/>
                            <a:ext cx="5274310" cy="1826260"/>
                          </a:xfrm>
                          <a:prstGeom prst="rect">
                            <a:avLst/>
                          </a:prstGeom>
                        </pic:spPr>
                      </pic:pic>
                    </a:graphicData>
                  </a:graphic>
                </wp:inline>
              </w:drawing>
            </w:r>
          </w:p>
        </w:tc>
      </w:tr>
      <w:tr w14:paraId="41F40A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14:paraId="330E3E94">
            <w:pPr>
              <w:spacing w:line="360" w:lineRule="auto"/>
              <w:jc w:val="center"/>
              <w:rPr>
                <w:rFonts w:ascii="Times New Roman" w:hAnsi="Times New Roman" w:cs="Times New Roman"/>
                <w:color w:val="auto"/>
                <w:sz w:val="24"/>
                <w:szCs w:val="24"/>
              </w:rPr>
            </w:pPr>
            <w:r>
              <w:rPr>
                <w:rFonts w:ascii="Times New Roman" w:hAnsi="Times New Roman" w:cs="Times New Roman"/>
                <w:color w:val="auto"/>
                <w:sz w:val="24"/>
                <w:szCs w:val="24"/>
              </w:rPr>
              <w:t>主楞弯矩图(kN·m)</w:t>
            </w:r>
          </w:p>
        </w:tc>
      </w:tr>
      <w:tr w14:paraId="4C87B9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14:paraId="0DC4D700">
            <w:pPr>
              <w:spacing w:line="360" w:lineRule="auto"/>
              <w:jc w:val="center"/>
              <w:rPr>
                <w:rFonts w:ascii="Times New Roman" w:hAnsi="Times New Roman" w:cs="Times New Roman"/>
                <w:color w:val="auto"/>
                <w:sz w:val="24"/>
                <w:szCs w:val="24"/>
              </w:rPr>
            </w:pPr>
            <w:r>
              <w:rPr>
                <w:rFonts w:ascii="Times New Roman" w:hAnsi="Times New Roman" w:cs="Times New Roman"/>
                <w:color w:val="auto"/>
                <w:sz w:val="24"/>
                <w:szCs w:val="24"/>
              </w:rPr>
              <w:object>
                <v:shape id="_x0000_i1104" o:spt="75" type="#_x0000_t75" style="height:109.75pt;width:415.1pt;" o:ole="t" filled="f" coordsize="21600,21600">
                  <v:path/>
                  <v:fill on="f" focussize="0,0"/>
                  <v:stroke/>
                  <v:imagedata r:id="rId190" o:title=""/>
                  <o:lock v:ext="edit" aspectratio="t"/>
                  <w10:wrap type="none"/>
                  <w10:anchorlock/>
                </v:shape>
                <o:OLEObject Type="Embed" ProgID="Visio.Drawing.11" ShapeID="_x0000_i1104" DrawAspect="Content" ObjectID="_1468075804" r:id="rId189">
                  <o:LockedField>false</o:LockedField>
                </o:OLEObject>
              </w:object>
            </w:r>
          </w:p>
        </w:tc>
      </w:tr>
      <w:tr w14:paraId="0A9C4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14:paraId="30A8934C">
            <w:pPr>
              <w:spacing w:line="360" w:lineRule="auto"/>
              <w:jc w:val="center"/>
              <w:rPr>
                <w:rFonts w:ascii="Times New Roman" w:hAnsi="Times New Roman" w:cs="Times New Roman"/>
                <w:color w:val="auto"/>
                <w:sz w:val="24"/>
                <w:szCs w:val="24"/>
              </w:rPr>
            </w:pPr>
            <w:r>
              <w:rPr>
                <w:rFonts w:ascii="Times New Roman" w:hAnsi="Times New Roman" w:cs="Times New Roman"/>
                <w:color w:val="auto"/>
                <w:sz w:val="24"/>
                <w:szCs w:val="24"/>
              </w:rPr>
              <w:t>主楞变形图(mm)</w:t>
            </w:r>
          </w:p>
        </w:tc>
      </w:tr>
    </w:tbl>
    <w:p w14:paraId="03966C0A">
      <w:pPr>
        <w:spacing w:line="360" w:lineRule="auto"/>
        <w:rPr>
          <w:rFonts w:ascii="Times New Roman" w:hAnsi="Times New Roman" w:cs="Times New Roman"/>
          <w:color w:val="auto"/>
          <w:sz w:val="24"/>
          <w:szCs w:val="24"/>
        </w:rPr>
      </w:pPr>
    </w:p>
    <w:p w14:paraId="7C7A8948">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主楞采用双钢管</w:t>
      </w:r>
      <w:r>
        <w:rPr>
          <w:rFonts w:hint="eastAsia" w:ascii="Times New Roman" w:hAnsi="Times New Roman" w:cs="Times New Roman"/>
          <w:color w:val="auto"/>
          <w:sz w:val="24"/>
          <w:szCs w:val="24"/>
        </w:rPr>
        <w:t>，抗弯截面模量W=8990mm²</w:t>
      </w:r>
    </w:p>
    <w:p w14:paraId="0D78E18B">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最大弯矩</w:t>
      </w:r>
      <w:r>
        <w:rPr>
          <w:rFonts w:ascii="Times New Roman" w:hAnsi="Times New Roman" w:cs="Times New Roman"/>
          <w:color w:val="auto"/>
          <w:position w:val="-12"/>
          <w:sz w:val="24"/>
          <w:szCs w:val="24"/>
        </w:rPr>
        <w:object>
          <v:shape id="_x0000_i1105" o:spt="75" type="#_x0000_t75" style="height:18pt;width:101.45pt;" o:ole="t" filled="f" coordsize="21600,21600">
            <v:path/>
            <v:fill on="f" focussize="0,0"/>
            <v:stroke/>
            <v:imagedata r:id="rId192" o:title=""/>
            <o:lock v:ext="edit" aspectratio="t"/>
            <w10:wrap type="none"/>
            <w10:anchorlock/>
          </v:shape>
          <o:OLEObject Type="Embed" ProgID="Equation.DSMT4" ShapeID="_x0000_i1105" DrawAspect="Content" ObjectID="_1468075805" r:id="rId191">
            <o:LockedField>false</o:LockedField>
          </o:OLEObject>
        </w:object>
      </w:r>
    </w:p>
    <w:p w14:paraId="56AB4536">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主楞抗弯强度设计值</w:t>
      </w:r>
      <w:r>
        <w:rPr>
          <w:rFonts w:ascii="Times New Roman" w:hAnsi="Times New Roman" w:cs="Times New Roman"/>
          <w:color w:val="auto"/>
          <w:position w:val="-14"/>
          <w:sz w:val="24"/>
          <w:szCs w:val="24"/>
        </w:rPr>
        <w:object>
          <v:shape id="_x0000_i1106" o:spt="75" type="#_x0000_t75" style="height:22.2pt;width:102.05pt;" o:ole="t" filled="f" coordsize="21600,21600">
            <v:path/>
            <v:fill on="f" focussize="0,0"/>
            <v:stroke/>
            <v:imagedata r:id="rId194" o:title=""/>
            <o:lock v:ext="edit" aspectratio="t"/>
            <w10:wrap type="none"/>
            <w10:anchorlock/>
          </v:shape>
          <o:OLEObject Type="Embed" ProgID="Equation.DSMT4" ShapeID="_x0000_i1106" DrawAspect="Content" ObjectID="_1468075806" r:id="rId193">
            <o:LockedField>false</o:LockedField>
          </o:OLEObject>
        </w:object>
      </w:r>
    </w:p>
    <w:p w14:paraId="2F496FD8">
      <w:pPr>
        <w:spacing w:line="360" w:lineRule="auto"/>
        <w:rPr>
          <w:rFonts w:ascii="Times New Roman" w:hAnsi="Times New Roman" w:cs="Times New Roman"/>
          <w:color w:val="auto"/>
          <w:sz w:val="24"/>
          <w:szCs w:val="24"/>
        </w:rPr>
      </w:pPr>
      <w:r>
        <w:rPr>
          <w:rFonts w:ascii="Times New Roman" w:hAnsi="Times New Roman" w:cs="Times New Roman"/>
          <w:color w:val="auto"/>
          <w:position w:val="-28"/>
          <w:sz w:val="24"/>
          <w:szCs w:val="24"/>
        </w:rPr>
        <w:object>
          <v:shape id="_x0000_i1107" o:spt="75" type="#_x0000_t75" style="height:37.8pt;width:310.85pt;" o:ole="t" filled="f" coordsize="21600,21600">
            <v:path/>
            <v:fill on="f" focussize="0,0"/>
            <v:stroke/>
            <v:imagedata r:id="rId196" o:title=""/>
            <o:lock v:ext="edit" aspectratio="t"/>
            <w10:wrap type="none"/>
            <w10:anchorlock/>
          </v:shape>
          <o:OLEObject Type="Embed" ProgID="Equation.DSMT4" ShapeID="_x0000_i1107" DrawAspect="Content" ObjectID="_1468075807" r:id="rId195">
            <o:LockedField>false</o:LockedField>
          </o:OLEObject>
        </w:object>
      </w:r>
    </w:p>
    <w:p w14:paraId="58F50A79">
      <w:pPr>
        <w:spacing w:line="360" w:lineRule="auto"/>
        <w:rPr>
          <w:rFonts w:ascii="Times New Roman" w:hAnsi="Times New Roman" w:cs="Times New Roman"/>
          <w:b/>
          <w:color w:val="auto"/>
          <w:sz w:val="24"/>
          <w:szCs w:val="24"/>
        </w:rPr>
      </w:pPr>
      <w:r>
        <w:rPr>
          <w:rFonts w:ascii="Times New Roman" w:hAnsi="Times New Roman" w:cs="Times New Roman"/>
          <w:color w:val="auto"/>
          <w:sz w:val="24"/>
          <w:szCs w:val="24"/>
        </w:rPr>
        <w:t>满足要求</w:t>
      </w:r>
      <w:r>
        <w:rPr>
          <w:rFonts w:hint="eastAsia" w:ascii="Times New Roman" w:hAnsi="Times New Roman" w:cs="Times New Roman"/>
          <w:color w:val="auto"/>
          <w:sz w:val="24"/>
          <w:szCs w:val="24"/>
        </w:rPr>
        <w:t>。</w:t>
      </w:r>
    </w:p>
    <w:p w14:paraId="2B1B6822">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2</w:t>
      </w:r>
      <w:r>
        <w:rPr>
          <w:rFonts w:hint="eastAsia" w:ascii="Times New Roman" w:hAnsi="Times New Roman" w:cs="Times New Roman"/>
          <w:color w:val="auto"/>
          <w:sz w:val="24"/>
          <w:szCs w:val="24"/>
        </w:rPr>
        <w:t xml:space="preserve"> </w:t>
      </w:r>
      <w:r>
        <w:rPr>
          <w:rFonts w:ascii="Times New Roman" w:hAnsi="Times New Roman" w:cs="Times New Roman"/>
          <w:color w:val="auto"/>
          <w:sz w:val="24"/>
          <w:szCs w:val="24"/>
        </w:rPr>
        <w:t>挠度验算</w:t>
      </w:r>
    </w:p>
    <w:p w14:paraId="0703E5A4">
      <w:pPr>
        <w:spacing w:line="360" w:lineRule="auto"/>
        <w:ind w:firstLine="480" w:firstLineChars="200"/>
        <w:rPr>
          <w:rFonts w:ascii="Times New Roman" w:hAnsi="Times New Roman" w:cs="Times New Roman"/>
          <w:color w:val="auto"/>
          <w:sz w:val="24"/>
          <w:szCs w:val="24"/>
        </w:rPr>
      </w:pPr>
      <w:r>
        <w:rPr>
          <w:rFonts w:ascii="Times New Roman" w:hAnsi="Times New Roman" w:cs="Times New Roman"/>
          <w:color w:val="auto"/>
          <w:sz w:val="24"/>
          <w:szCs w:val="24"/>
        </w:rPr>
        <w:t>验算挠度时不考虑可变荷载值，仅考虑永久荷载标准值，其作用效应下次楞传递的集中荷载</w:t>
      </w:r>
      <w:r>
        <w:rPr>
          <w:rFonts w:ascii="Times New Roman" w:hAnsi="Times New Roman" w:cs="Times New Roman"/>
          <w:color w:val="auto"/>
          <w:position w:val="-6"/>
          <w:sz w:val="24"/>
          <w:szCs w:val="24"/>
        </w:rPr>
        <w:object>
          <v:shape id="_x0000_i1108" o:spt="75" type="#_x0000_t75" style="height:15pt;width:67.8pt;" o:ole="t" filled="f" coordsize="21600,21600">
            <v:path/>
            <v:fill on="f" focussize="0,0"/>
            <v:stroke/>
            <v:imagedata r:id="rId198" o:title=""/>
            <o:lock v:ext="edit" aspectratio="t"/>
            <w10:wrap type="none"/>
            <w10:anchorlock/>
          </v:shape>
          <o:OLEObject Type="Embed" ProgID="Equation.DSMT4" ShapeID="_x0000_i1108" DrawAspect="Content" ObjectID="_1468075808" r:id="rId197">
            <o:LockedField>false</o:LockedField>
          </o:OLEObject>
        </w:object>
      </w:r>
      <w:r>
        <w:rPr>
          <w:rFonts w:ascii="Times New Roman" w:hAnsi="Times New Roman" w:cs="Times New Roman"/>
          <w:color w:val="auto"/>
          <w:sz w:val="24"/>
          <w:szCs w:val="24"/>
        </w:rPr>
        <w:t xml:space="preserve">，主楞弹性模量: </w:t>
      </w:r>
      <w:r>
        <w:rPr>
          <w:rFonts w:ascii="Times New Roman" w:hAnsi="Times New Roman" w:cs="Times New Roman"/>
          <w:color w:val="auto"/>
          <w:position w:val="-6"/>
          <w:sz w:val="24"/>
          <w:szCs w:val="24"/>
        </w:rPr>
        <w:object>
          <v:shape id="_x0000_i1109" o:spt="75" type="#_x0000_t75" style="height:18pt;width:126pt;" o:ole="t" filled="f" coordsize="21600,21600">
            <v:path/>
            <v:fill on="f" focussize="0,0"/>
            <v:stroke/>
            <v:imagedata r:id="rId200" o:title=""/>
            <o:lock v:ext="edit" aspectratio="t"/>
            <w10:wrap type="none"/>
            <w10:anchorlock/>
          </v:shape>
          <o:OLEObject Type="Embed" ProgID="Equation.DSMT4" ShapeID="_x0000_i1109" DrawAspect="Content" ObjectID="_1468075809" r:id="rId199">
            <o:LockedField>false</o:LockedField>
          </o:OLEObject>
        </w:object>
      </w:r>
    </w:p>
    <w:p w14:paraId="0BC819F2">
      <w:pPr>
        <w:spacing w:line="360" w:lineRule="auto"/>
        <w:rPr>
          <w:rFonts w:ascii="Times New Roman" w:hAnsi="Times New Roman" w:cs="Times New Roman"/>
          <w:color w:val="auto"/>
          <w:sz w:val="24"/>
          <w:szCs w:val="24"/>
        </w:rPr>
      </w:pPr>
      <w:bookmarkStart w:id="1736" w:name="_Hlk190951745"/>
      <w:r>
        <w:rPr>
          <w:rFonts w:ascii="Times New Roman" w:hAnsi="Times New Roman" w:cs="Times New Roman"/>
          <w:color w:val="auto"/>
          <w:sz w:val="24"/>
          <w:szCs w:val="24"/>
        </w:rPr>
        <w:t>主楞最大容许挠度值</w:t>
      </w:r>
      <w:bookmarkEnd w:id="1736"/>
      <w:r>
        <w:rPr>
          <w:rFonts w:ascii="Times New Roman" w:hAnsi="Times New Roman" w:cs="Times New Roman"/>
          <w:color w:val="auto"/>
          <w:sz w:val="24"/>
          <w:szCs w:val="24"/>
        </w:rPr>
        <w:t>：</w:t>
      </w:r>
    </w:p>
    <w:p w14:paraId="4A848763">
      <w:pPr>
        <w:spacing w:line="360" w:lineRule="auto"/>
        <w:rPr>
          <w:rFonts w:ascii="Times New Roman" w:hAnsi="Times New Roman" w:cs="Times New Roman"/>
          <w:color w:val="auto"/>
          <w:sz w:val="24"/>
          <w:szCs w:val="24"/>
        </w:rPr>
      </w:pPr>
      <w:r>
        <w:rPr>
          <w:rFonts w:ascii="Times New Roman" w:hAnsi="Times New Roman" w:cs="Times New Roman"/>
          <w:color w:val="auto"/>
          <w:position w:val="-6"/>
          <w:sz w:val="24"/>
          <w:szCs w:val="24"/>
        </w:rPr>
        <w:object>
          <v:shape id="_x0000_i1110" o:spt="75" type="#_x0000_t75" style="height:15pt;width:198pt;" o:ole="t" filled="f" coordsize="21600,21600">
            <v:path/>
            <v:fill on="f" focussize="0,0"/>
            <v:stroke/>
            <v:imagedata r:id="rId202" o:title=""/>
            <o:lock v:ext="edit" aspectratio="t"/>
            <w10:wrap type="none"/>
            <w10:anchorlock/>
          </v:shape>
          <o:OLEObject Type="Embed" ProgID="Equation.DSMT4" ShapeID="_x0000_i1110" DrawAspect="Content" ObjectID="_1468075810" r:id="rId201">
            <o:LockedField>false</o:LockedField>
          </o:OLEObject>
        </w:object>
      </w:r>
    </w:p>
    <w:p w14:paraId="5D4D1EBF">
      <w:pPr>
        <w:spacing w:line="360" w:lineRule="auto"/>
        <w:rPr>
          <w:rFonts w:ascii="Times New Roman" w:hAnsi="Times New Roman" w:cs="Times New Roman"/>
          <w:color w:val="auto"/>
          <w:sz w:val="24"/>
          <w:szCs w:val="24"/>
        </w:rPr>
      </w:pPr>
      <w:bookmarkStart w:id="1737" w:name="_Hlk190951778"/>
      <w:r>
        <w:rPr>
          <w:rFonts w:hint="eastAsia" w:ascii="Times New Roman" w:hAnsi="Times New Roman" w:cs="Times New Roman"/>
          <w:color w:val="auto"/>
          <w:sz w:val="24"/>
          <w:szCs w:val="24"/>
        </w:rPr>
        <w:t>因此主楞最大容许挠度值为3.3mm</w:t>
      </w:r>
      <w:bookmarkEnd w:id="1737"/>
    </w:p>
    <w:p w14:paraId="75628794">
      <w:pPr>
        <w:spacing w:line="360" w:lineRule="auto"/>
        <w:rPr>
          <w:rFonts w:hint="eastAsia" w:ascii="Times New Roman" w:hAnsi="Times New Roman" w:cs="Times New Roman"/>
          <w:color w:val="auto"/>
          <w:sz w:val="24"/>
          <w:szCs w:val="24"/>
        </w:rPr>
      </w:pPr>
      <w:r>
        <w:rPr>
          <w:rFonts w:ascii="Times New Roman" w:hAnsi="Times New Roman" w:cs="Times New Roman"/>
          <w:color w:val="auto"/>
          <w:sz w:val="24"/>
          <w:szCs w:val="24"/>
        </w:rPr>
        <w:t>经计算主楞最大挠度</w:t>
      </w:r>
      <w:r>
        <w:rPr>
          <w:rFonts w:ascii="Times New Roman" w:hAnsi="Times New Roman" w:cs="Times New Roman"/>
          <w:color w:val="auto"/>
          <w:position w:val="-12"/>
          <w:sz w:val="24"/>
          <w:szCs w:val="24"/>
        </w:rPr>
        <w:object>
          <v:shape id="_x0000_i1111" o:spt="75" type="#_x0000_t75" style="height:19pt;width:142pt;" o:ole="t" filled="f" coordsize="21600,21600">
            <v:path/>
            <v:fill on="f" focussize="0,0"/>
            <v:stroke/>
            <v:imagedata r:id="rId204" o:title=""/>
            <o:lock v:ext="edit" aspectratio="t"/>
            <w10:wrap type="none"/>
            <w10:anchorlock/>
          </v:shape>
          <o:OLEObject Type="Embed" ProgID="Equation.DSMT4" ShapeID="_x0000_i1111" DrawAspect="Content" ObjectID="_1468075811" r:id="rId203">
            <o:LockedField>false</o:LockedField>
          </o:OLEObject>
        </w:object>
      </w:r>
    </w:p>
    <w:p w14:paraId="57745C83">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满足要求</w:t>
      </w:r>
      <w:r>
        <w:rPr>
          <w:rFonts w:hint="eastAsia" w:ascii="Times New Roman" w:hAnsi="Times New Roman" w:cs="Times New Roman"/>
          <w:color w:val="auto"/>
          <w:sz w:val="24"/>
          <w:szCs w:val="24"/>
        </w:rPr>
        <w:t>。</w:t>
      </w:r>
    </w:p>
    <w:p w14:paraId="5B26FB13">
      <w:pPr>
        <w:spacing w:line="360" w:lineRule="auto"/>
        <w:rPr>
          <w:rFonts w:ascii="Times New Roman" w:hAnsi="Times New Roman" w:cs="Times New Roman"/>
          <w:color w:val="auto"/>
          <w:sz w:val="24"/>
          <w:szCs w:val="24"/>
        </w:rPr>
      </w:pPr>
    </w:p>
    <w:p w14:paraId="08301AFA">
      <w:pPr>
        <w:spacing w:line="360" w:lineRule="auto"/>
        <w:rPr>
          <w:rFonts w:ascii="Times New Roman" w:hAnsi="Times New Roman" w:cs="Times New Roman"/>
          <w:color w:val="auto"/>
          <w:sz w:val="24"/>
          <w:szCs w:val="24"/>
        </w:rPr>
      </w:pPr>
      <w:r>
        <w:rPr>
          <w:rFonts w:hint="eastAsia" w:ascii="Times New Roman" w:hAnsi="Times New Roman" w:cs="Times New Roman"/>
          <w:b/>
          <w:bCs/>
          <w:color w:val="auto"/>
          <w:sz w:val="24"/>
        </w:rPr>
        <w:t>【例4】</w:t>
      </w:r>
      <w:r>
        <w:rPr>
          <w:rFonts w:hint="eastAsia" w:ascii="Times New Roman" w:hAnsi="Times New Roman" w:cs="Times New Roman"/>
          <w:color w:val="auto"/>
          <w:sz w:val="24"/>
          <w:szCs w:val="24"/>
        </w:rPr>
        <w:t>按例3的条件，</w:t>
      </w:r>
      <w:r>
        <w:rPr>
          <w:rFonts w:ascii="Times New Roman" w:hAnsi="Times New Roman" w:cs="Times New Roman"/>
          <w:color w:val="auto"/>
          <w:sz w:val="24"/>
          <w:szCs w:val="24"/>
        </w:rPr>
        <w:t>对拉螺栓间距纵向、横向均为500mm，选用M12穿墙螺栓，试验算穿墙螺栓强度是否满足要求。</w:t>
      </w:r>
    </w:p>
    <w:p w14:paraId="318D9EAA">
      <w:pPr>
        <w:spacing w:line="360" w:lineRule="auto"/>
        <w:rPr>
          <w:rFonts w:ascii="Times New Roman" w:hAnsi="Times New Roman" w:cs="Times New Roman"/>
          <w:b/>
          <w:bCs/>
          <w:color w:val="auto"/>
          <w:sz w:val="24"/>
        </w:rPr>
      </w:pPr>
      <w:r>
        <w:rPr>
          <w:rFonts w:hint="eastAsia" w:ascii="Times New Roman" w:hAnsi="Times New Roman" w:cs="Times New Roman"/>
          <w:b/>
          <w:bCs/>
          <w:color w:val="auto"/>
          <w:sz w:val="24"/>
        </w:rPr>
        <w:t>【解】</w:t>
      </w:r>
    </w:p>
    <w:p w14:paraId="1C14C712">
      <w:pPr>
        <w:spacing w:line="360" w:lineRule="auto"/>
        <w:rPr>
          <w:rFonts w:ascii="Times New Roman" w:hAnsi="Times New Roman" w:cs="Times New Roman"/>
          <w:b/>
          <w:bCs/>
          <w:color w:val="auto"/>
          <w:sz w:val="24"/>
        </w:rPr>
      </w:pPr>
      <w:r>
        <w:rPr>
          <w:rFonts w:ascii="Times New Roman" w:hAnsi="Times New Roman" w:cs="Times New Roman"/>
          <w:color w:val="auto"/>
          <w:sz w:val="24"/>
          <w:szCs w:val="24"/>
        </w:rPr>
        <w:t>混凝土对模板的侧压力设计值为F=31.42kN/m</w:t>
      </w:r>
      <w:r>
        <w:rPr>
          <w:rFonts w:ascii="Times New Roman" w:hAnsi="Times New Roman" w:cs="Times New Roman"/>
          <w:color w:val="auto"/>
          <w:sz w:val="24"/>
          <w:szCs w:val="24"/>
          <w:vertAlign w:val="superscript"/>
        </w:rPr>
        <w:t>2</w:t>
      </w:r>
    </w:p>
    <w:p w14:paraId="6749EC0B">
      <w:pPr>
        <w:spacing w:line="360" w:lineRule="auto"/>
        <w:rPr>
          <w:rFonts w:ascii="Times New Roman" w:hAnsi="Times New Roman" w:cs="Times New Roman"/>
          <w:color w:val="auto"/>
          <w:sz w:val="24"/>
          <w:szCs w:val="24"/>
        </w:rPr>
      </w:pPr>
      <w:r>
        <w:rPr>
          <w:rFonts w:ascii="Times New Roman" w:hAnsi="Times New Roman" w:cs="Times New Roman"/>
          <w:color w:val="auto"/>
          <w:position w:val="-6"/>
          <w:sz w:val="24"/>
          <w:szCs w:val="24"/>
        </w:rPr>
        <w:object>
          <v:shape id="_x0000_i1112" o:spt="75" type="#_x0000_t75" style="height:15pt;width:194.5pt;" o:ole="t" filled="f" coordsize="21600,21600">
            <v:path/>
            <v:fill on="f" focussize="0,0"/>
            <v:stroke/>
            <v:imagedata r:id="rId206" o:title=""/>
            <o:lock v:ext="edit" aspectratio="t"/>
            <w10:wrap type="none"/>
            <w10:anchorlock/>
          </v:shape>
          <o:OLEObject Type="Embed" ProgID="Equation.DSMT4" ShapeID="_x0000_i1112" DrawAspect="Content" ObjectID="_1468075812" r:id="rId205">
            <o:LockedField>false</o:LockedField>
          </o:OLEObject>
        </w:object>
      </w:r>
    </w:p>
    <w:p w14:paraId="1D2F7E18">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查表可得M12螺栓</w:t>
      </w:r>
      <w:r>
        <w:rPr>
          <w:rFonts w:ascii="Times New Roman" w:hAnsi="Times New Roman" w:cs="Times New Roman"/>
          <w:color w:val="auto"/>
          <w:position w:val="-12"/>
          <w:sz w:val="24"/>
          <w:szCs w:val="24"/>
        </w:rPr>
        <w:object>
          <v:shape id="_x0000_i1113" o:spt="75" type="#_x0000_t75" style="height:20.4pt;width:81pt;" o:ole="t" filled="f" coordsize="21600,21600">
            <v:path/>
            <v:fill on="f" focussize="0,0"/>
            <v:stroke/>
            <v:imagedata r:id="rId208" o:title=""/>
            <o:lock v:ext="edit" aspectratio="t"/>
            <w10:wrap type="none"/>
            <w10:anchorlock/>
          </v:shape>
          <o:OLEObject Type="Embed" ProgID="Equation.DSMT4" ShapeID="_x0000_i1113" DrawAspect="Content" ObjectID="_1468075813" r:id="rId207">
            <o:LockedField>false</o:LockedField>
          </o:OLEObject>
        </w:object>
      </w:r>
      <w:r>
        <w:rPr>
          <w:rFonts w:ascii="Times New Roman" w:hAnsi="Times New Roman" w:cs="Times New Roman"/>
          <w:color w:val="auto"/>
          <w:sz w:val="24"/>
          <w:szCs w:val="24"/>
        </w:rPr>
        <w:t>，</w:t>
      </w:r>
      <w:r>
        <w:rPr>
          <w:rFonts w:ascii="Times New Roman" w:hAnsi="Times New Roman" w:cs="Times New Roman"/>
          <w:color w:val="auto"/>
          <w:position w:val="-12"/>
          <w:sz w:val="24"/>
          <w:szCs w:val="24"/>
        </w:rPr>
        <w:object>
          <v:shape id="_x0000_i1114" o:spt="75" type="#_x0000_t75" style="height:20.4pt;width:100.15pt;" o:ole="t" filled="f" coordsize="21600,21600">
            <v:path/>
            <v:fill on="f" focussize="0,0"/>
            <v:stroke/>
            <v:imagedata r:id="rId210" o:title=""/>
            <o:lock v:ext="edit" aspectratio="t"/>
            <w10:wrap type="none"/>
            <w10:anchorlock/>
          </v:shape>
          <o:OLEObject Type="Embed" ProgID="Equation.DSMT4" ShapeID="_x0000_i1114" DrawAspect="Content" ObjectID="_1468075814" r:id="rId209">
            <o:LockedField>false</o:LockedField>
          </o:OLEObject>
        </w:object>
      </w:r>
    </w:p>
    <w:p w14:paraId="2E04CFBF">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对拉螺栓可承受的最大轴向拉力设计值</w:t>
      </w:r>
    </w:p>
    <w:p w14:paraId="6CFCC6C9">
      <w:pPr>
        <w:spacing w:line="360" w:lineRule="auto"/>
        <w:rPr>
          <w:rFonts w:ascii="Times New Roman" w:hAnsi="Times New Roman" w:cs="Times New Roman"/>
          <w:color w:val="auto"/>
          <w:sz w:val="24"/>
          <w:szCs w:val="24"/>
        </w:rPr>
      </w:pPr>
      <w:r>
        <w:rPr>
          <w:rFonts w:ascii="Times New Roman" w:hAnsi="Times New Roman" w:cs="Times New Roman"/>
          <w:color w:val="auto"/>
          <w:position w:val="-12"/>
          <w:sz w:val="24"/>
          <w:szCs w:val="24"/>
        </w:rPr>
        <w:object>
          <v:shape id="_x0000_i1115" o:spt="75" type="#_x0000_t75" style="height:20.4pt;width:258.55pt;" o:ole="t" filled="f" coordsize="21600,21600">
            <v:path/>
            <v:fill on="f" focussize="0,0"/>
            <v:stroke/>
            <v:imagedata r:id="rId212" o:title=""/>
            <o:lock v:ext="edit" aspectratio="t"/>
            <w10:wrap type="none"/>
            <w10:anchorlock/>
          </v:shape>
          <o:OLEObject Type="Embed" ProgID="Equation.DSMT4" ShapeID="_x0000_i1115" DrawAspect="Content" ObjectID="_1468075815" r:id="rId211">
            <o:LockedField>false</o:LockedField>
          </o:OLEObject>
        </w:object>
      </w:r>
    </w:p>
    <w:p w14:paraId="555E51EF">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满足要求。</w:t>
      </w:r>
    </w:p>
    <w:p w14:paraId="31A4B109">
      <w:pPr>
        <w:spacing w:line="360" w:lineRule="auto"/>
        <w:rPr>
          <w:rFonts w:ascii="Times New Roman" w:hAnsi="Times New Roman" w:cs="Times New Roman"/>
          <w:color w:val="auto"/>
          <w:sz w:val="24"/>
          <w:szCs w:val="24"/>
        </w:rPr>
      </w:pPr>
    </w:p>
    <w:p w14:paraId="6BBFDBD7">
      <w:pPr>
        <w:rPr>
          <w:rFonts w:ascii="Times New Roman" w:hAnsi="Times New Roman" w:cs="Times New Roman"/>
          <w:color w:val="auto"/>
          <w:sz w:val="24"/>
          <w:szCs w:val="24"/>
        </w:rPr>
      </w:pPr>
      <w:r>
        <w:rPr>
          <w:rFonts w:ascii="Times New Roman" w:hAnsi="Times New Roman" w:cs="Times New Roman"/>
          <w:b/>
          <w:color w:val="auto"/>
          <w:sz w:val="24"/>
          <w:szCs w:val="24"/>
        </w:rPr>
        <w:t>D.0.1.4</w:t>
      </w:r>
      <w:r>
        <w:rPr>
          <w:rFonts w:hint="eastAsia" w:ascii="Times New Roman" w:hAnsi="Times New Roman" w:cs="Times New Roman"/>
          <w:color w:val="auto"/>
          <w:sz w:val="24"/>
          <w:szCs w:val="24"/>
        </w:rPr>
        <w:t>连接锚固件</w:t>
      </w:r>
      <w:r>
        <w:rPr>
          <w:rFonts w:ascii="Times New Roman" w:hAnsi="Times New Roman" w:cs="Times New Roman"/>
          <w:color w:val="auto"/>
          <w:sz w:val="24"/>
          <w:szCs w:val="24"/>
        </w:rPr>
        <w:t>设计</w:t>
      </w:r>
    </w:p>
    <w:p w14:paraId="4CFB88F6">
      <w:pPr>
        <w:spacing w:line="360" w:lineRule="auto"/>
        <w:ind w:firstLine="480" w:firstLineChars="200"/>
        <w:rPr>
          <w:rFonts w:ascii="Times New Roman" w:hAnsi="Times New Roman" w:cs="Times New Roman"/>
          <w:color w:val="auto"/>
          <w:sz w:val="24"/>
          <w:szCs w:val="24"/>
        </w:rPr>
      </w:pPr>
      <w:r>
        <w:rPr>
          <w:rFonts w:ascii="Times New Roman" w:hAnsi="Times New Roman" w:cs="Times New Roman"/>
          <w:color w:val="auto"/>
          <w:sz w:val="24"/>
          <w:szCs w:val="24"/>
        </w:rPr>
        <w:t>外墙免拆保温模板单位面积自重G=245N，锚栓采用Q345B级金属螺杆，直径d=14mm，锚固长度L=</w:t>
      </w:r>
      <w:r>
        <w:rPr>
          <w:rFonts w:hint="eastAsia" w:ascii="Times New Roman" w:hAnsi="Times New Roman" w:cs="Times New Roman"/>
          <w:color w:val="auto"/>
          <w:sz w:val="24"/>
          <w:szCs w:val="24"/>
        </w:rPr>
        <w:t>50</w:t>
      </w:r>
      <w:r>
        <w:rPr>
          <w:rFonts w:ascii="Times New Roman" w:hAnsi="Times New Roman" w:cs="Times New Roman"/>
          <w:color w:val="auto"/>
          <w:sz w:val="24"/>
          <w:szCs w:val="24"/>
        </w:rPr>
        <w:t>mm，三排锚栓布置，锚栓数量为7个，基本风压</w:t>
      </w:r>
      <w:r>
        <w:rPr>
          <w:rFonts w:ascii="Times New Roman" w:hAnsi="Times New Roman" w:cs="Times New Roman"/>
          <w:color w:val="auto"/>
          <w:position w:val="-12"/>
          <w:sz w:val="24"/>
          <w:szCs w:val="24"/>
        </w:rPr>
        <w:object>
          <v:shape id="_x0000_i1116" o:spt="75" type="#_x0000_t75" style="height:21pt;width:97.25pt;" o:ole="t" filled="f" coordsize="21600,21600">
            <v:path/>
            <v:fill on="f" focussize="0,0"/>
            <v:stroke/>
            <v:imagedata r:id="rId214" o:title=""/>
            <o:lock v:ext="edit" aspectratio="t"/>
            <w10:wrap type="none"/>
            <w10:anchorlock/>
          </v:shape>
          <o:OLEObject Type="Embed" ProgID="Equation.DSMT4" ShapeID="_x0000_i1116" DrawAspect="Content" ObjectID="_1468075816" r:id="rId213">
            <o:LockedField>false</o:LockedField>
          </o:OLEObject>
        </w:object>
      </w:r>
      <w:r>
        <w:rPr>
          <w:rFonts w:ascii="Times New Roman" w:hAnsi="Times New Roman" w:cs="Times New Roman"/>
          <w:color w:val="auto"/>
          <w:sz w:val="24"/>
          <w:szCs w:val="24"/>
        </w:rPr>
        <w:t>，建筑高度H=20m，风荷载与地震作用组合S=1.754kN/m</w:t>
      </w:r>
      <w:r>
        <w:rPr>
          <w:rFonts w:ascii="Times New Roman" w:hAnsi="Times New Roman" w:cs="Times New Roman"/>
          <w:color w:val="auto"/>
          <w:sz w:val="24"/>
          <w:szCs w:val="24"/>
          <w:vertAlign w:val="superscript"/>
        </w:rPr>
        <w:t>2</w:t>
      </w:r>
      <w:r>
        <w:rPr>
          <w:rFonts w:ascii="Times New Roman" w:hAnsi="Times New Roman" w:cs="Times New Roman"/>
          <w:color w:val="auto"/>
          <w:sz w:val="24"/>
          <w:szCs w:val="24"/>
        </w:rPr>
        <w:t>。</w:t>
      </w:r>
    </w:p>
    <w:p w14:paraId="2323551D">
      <w:pPr>
        <w:pStyle w:val="149"/>
        <w:numPr>
          <w:ilvl w:val="0"/>
          <w:numId w:val="19"/>
        </w:numPr>
        <w:spacing w:line="360" w:lineRule="auto"/>
        <w:ind w:firstLineChars="0"/>
        <w:rPr>
          <w:rFonts w:ascii="Times New Roman" w:hAnsi="Times New Roman" w:cs="Times New Roman"/>
          <w:color w:val="auto"/>
          <w:sz w:val="24"/>
          <w:szCs w:val="24"/>
        </w:rPr>
      </w:pPr>
      <w:r>
        <w:rPr>
          <w:rFonts w:ascii="Times New Roman" w:hAnsi="Times New Roman" w:cs="Times New Roman"/>
          <w:color w:val="auto"/>
          <w:sz w:val="24"/>
          <w:szCs w:val="24"/>
        </w:rPr>
        <w:t>抗拔强度验算</w:t>
      </w:r>
    </w:p>
    <w:p w14:paraId="06C554B2">
      <w:pPr>
        <w:spacing w:line="360" w:lineRule="auto"/>
        <w:rPr>
          <w:rFonts w:ascii="Times New Roman" w:hAnsi="Times New Roman" w:cs="Times New Roman"/>
          <w:color w:val="auto"/>
          <w:position w:val="-12"/>
          <w:sz w:val="24"/>
          <w:szCs w:val="24"/>
        </w:rPr>
      </w:pPr>
      <w:r>
        <w:rPr>
          <w:rFonts w:ascii="Times New Roman" w:hAnsi="Times New Roman" w:cs="Times New Roman"/>
          <w:color w:val="auto"/>
          <w:sz w:val="24"/>
          <w:szCs w:val="24"/>
        </w:rPr>
        <w:t>锚栓抗拔承载力标准值为</w:t>
      </w:r>
    </w:p>
    <w:p w14:paraId="6A235683">
      <w:pPr>
        <w:spacing w:line="360" w:lineRule="auto"/>
        <w:rPr>
          <w:rFonts w:ascii="Times New Roman" w:hAnsi="Times New Roman" w:cs="Times New Roman"/>
          <w:color w:val="auto"/>
          <w:sz w:val="24"/>
          <w:szCs w:val="24"/>
        </w:rPr>
      </w:pPr>
      <w:r>
        <w:rPr>
          <w:color w:val="auto"/>
          <w:position w:val="-10"/>
        </w:rPr>
        <w:object>
          <v:shape id="_x0000_i1117" o:spt="75" type="#_x0000_t75" style="height:17.4pt;width:257.5pt;" o:ole="t" filled="f" coordsize="21600,21600">
            <v:path/>
            <v:fill on="f" focussize="0,0"/>
            <v:stroke/>
            <v:imagedata r:id="rId216" o:title=""/>
            <o:lock v:ext="edit" aspectratio="t"/>
            <w10:wrap type="none"/>
            <w10:anchorlock/>
          </v:shape>
          <o:OLEObject Type="Embed" ProgID="Equation.DSMT4" ShapeID="_x0000_i1117" DrawAspect="Content" ObjectID="_1468075817" r:id="rId215">
            <o:LockedField>false</o:LockedField>
          </o:OLEObject>
        </w:object>
      </w:r>
    </w:p>
    <w:p w14:paraId="6657AC8C">
      <w:pPr>
        <w:spacing w:line="360" w:lineRule="auto"/>
        <w:rPr>
          <w:rFonts w:ascii="Times New Roman" w:hAnsi="Times New Roman" w:cs="Times New Roman"/>
          <w:color w:val="auto"/>
          <w:sz w:val="24"/>
          <w:szCs w:val="24"/>
        </w:rPr>
      </w:pPr>
      <w:r>
        <w:rPr>
          <w:rFonts w:ascii="Times New Roman" w:hAnsi="Times New Roman" w:cs="Times New Roman"/>
          <w:color w:val="auto"/>
          <w:position w:val="-6"/>
          <w:sz w:val="24"/>
          <w:szCs w:val="24"/>
        </w:rPr>
        <w:object>
          <v:shape id="_x0000_i1118" o:spt="75" type="#_x0000_t75" style="height:15pt;width:189pt;" o:ole="t" filled="f" coordsize="21600,21600">
            <v:path/>
            <v:fill on="f" focussize="0,0"/>
            <v:stroke/>
            <v:imagedata r:id="rId218" o:title=""/>
            <o:lock v:ext="edit" aspectratio="t"/>
            <w10:wrap type="none"/>
            <w10:anchorlock/>
          </v:shape>
          <o:OLEObject Type="Embed" ProgID="Equation.DSMT4" ShapeID="_x0000_i1118" DrawAspect="Content" ObjectID="_1468075818" r:id="rId217">
            <o:LockedField>false</o:LockedField>
          </o:OLEObject>
        </w:object>
      </w:r>
    </w:p>
    <w:p w14:paraId="61635EC3">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满足要求。</w:t>
      </w:r>
    </w:p>
    <w:p w14:paraId="517150ED">
      <w:pPr>
        <w:pStyle w:val="149"/>
        <w:numPr>
          <w:ilvl w:val="0"/>
          <w:numId w:val="19"/>
        </w:numPr>
        <w:spacing w:line="360" w:lineRule="auto"/>
        <w:ind w:firstLineChars="0"/>
        <w:rPr>
          <w:rFonts w:ascii="Times New Roman" w:hAnsi="Times New Roman" w:cs="Times New Roman"/>
          <w:color w:val="auto"/>
          <w:sz w:val="24"/>
          <w:szCs w:val="24"/>
        </w:rPr>
      </w:pPr>
      <w:r>
        <w:rPr>
          <w:rFonts w:ascii="Times New Roman" w:hAnsi="Times New Roman" w:cs="Times New Roman"/>
          <w:color w:val="auto"/>
          <w:sz w:val="24"/>
          <w:szCs w:val="24"/>
        </w:rPr>
        <w:t>抗剪强度验算</w:t>
      </w:r>
    </w:p>
    <w:p w14:paraId="05F60189">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锚栓抗拉强度标准值：</w:t>
      </w:r>
      <w:r>
        <w:rPr>
          <w:rFonts w:ascii="Times New Roman" w:hAnsi="Times New Roman" w:cs="Times New Roman"/>
          <w:color w:val="auto"/>
          <w:position w:val="-12"/>
          <w:sz w:val="24"/>
          <w:szCs w:val="24"/>
        </w:rPr>
        <w:object>
          <v:shape id="_x0000_i1119" o:spt="75" type="#_x0000_t75" style="height:18pt;width:100.15pt;" o:ole="t" filled="f" coordsize="21600,21600">
            <v:path/>
            <v:fill on="f" focussize="0,0"/>
            <v:stroke/>
            <v:imagedata r:id="rId220" o:title=""/>
            <o:lock v:ext="edit" aspectratio="t"/>
            <w10:wrap type="none"/>
            <w10:anchorlock/>
          </v:shape>
          <o:OLEObject Type="Embed" ProgID="Equation.DSMT4" ShapeID="_x0000_i1119" DrawAspect="Content" ObjectID="_1468075819" r:id="rId219">
            <o:LockedField>false</o:LockedField>
          </o:OLEObject>
        </w:object>
      </w:r>
    </w:p>
    <w:p w14:paraId="11552738">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锚栓屈服强度标准值：</w:t>
      </w:r>
      <w:r>
        <w:rPr>
          <w:rFonts w:ascii="Times New Roman" w:hAnsi="Times New Roman" w:cs="Times New Roman"/>
          <w:color w:val="auto"/>
          <w:position w:val="-16"/>
          <w:sz w:val="24"/>
          <w:szCs w:val="24"/>
        </w:rPr>
        <w:object>
          <v:shape id="_x0000_i1120" o:spt="75" type="#_x0000_t75" style="height:20.4pt;width:81pt;" o:ole="t" filled="f" coordsize="21600,21600">
            <v:path/>
            <v:fill on="f" focussize="0,0"/>
            <v:stroke/>
            <v:imagedata r:id="rId222" o:title=""/>
            <o:lock v:ext="edit" aspectratio="t"/>
            <w10:wrap type="none"/>
            <w10:anchorlock/>
          </v:shape>
          <o:OLEObject Type="Embed" ProgID="Equation.DSMT4" ShapeID="_x0000_i1120" DrawAspect="Content" ObjectID="_1468075820" r:id="rId221">
            <o:LockedField>false</o:LockedField>
          </o:OLEObject>
        </w:object>
      </w:r>
    </w:p>
    <w:p w14:paraId="1CBF8242">
      <w:pPr>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受剪承载力分项系数：</w:t>
      </w:r>
      <w:r>
        <w:rPr>
          <w:rFonts w:ascii="Times New Roman" w:hAnsi="Times New Roman" w:cs="Times New Roman"/>
          <w:color w:val="auto"/>
          <w:position w:val="-16"/>
          <w:sz w:val="24"/>
          <w:szCs w:val="24"/>
        </w:rPr>
        <w:object>
          <v:shape id="_x0000_i1121" o:spt="75" type="#_x0000_t75" style="height:20.4pt;width:143.35pt;" o:ole="t" filled="f" coordsize="21600,21600">
            <v:path/>
            <v:fill on="f" focussize="0,0"/>
            <v:stroke/>
            <v:imagedata r:id="rId224" o:title=""/>
            <o:lock v:ext="edit" aspectratio="t"/>
            <w10:wrap type="none"/>
            <w10:anchorlock/>
          </v:shape>
          <o:OLEObject Type="Embed" ProgID="Equation.DSMT4" ShapeID="_x0000_i1121" DrawAspect="Content" ObjectID="_1468075821" r:id="rId223">
            <o:LockedField>false</o:LockedField>
          </o:OLEObject>
        </w:object>
      </w:r>
    </w:p>
    <w:p w14:paraId="1E5E22FA">
      <w:pPr>
        <w:spacing w:line="360" w:lineRule="auto"/>
        <w:rPr>
          <w:rFonts w:ascii="Times New Roman" w:hAnsi="Times New Roman" w:cs="Times New Roman"/>
          <w:color w:val="auto"/>
          <w:sz w:val="24"/>
          <w:szCs w:val="24"/>
        </w:rPr>
      </w:pPr>
      <w:r>
        <w:rPr>
          <w:rFonts w:ascii="Times New Roman" w:hAnsi="Times New Roman" w:cs="Times New Roman"/>
          <w:color w:val="auto"/>
          <w:position w:val="-14"/>
          <w:sz w:val="24"/>
          <w:szCs w:val="24"/>
        </w:rPr>
        <w:object>
          <v:shape id="_x0000_i1122" o:spt="75" type="#_x0000_t75" style="height:20.4pt;width:414.45pt;" o:ole="t" filled="f" coordsize="21600,21600">
            <v:path/>
            <v:fill on="f" focussize="0,0"/>
            <v:stroke/>
            <v:imagedata r:id="rId226" o:title=""/>
            <o:lock v:ext="edit" aspectratio="t"/>
            <w10:wrap type="none"/>
            <w10:anchorlock/>
          </v:shape>
          <o:OLEObject Type="Embed" ProgID="Equation.DSMT4" ShapeID="_x0000_i1122" DrawAspect="Content" ObjectID="_1468075822" r:id="rId225">
            <o:LockedField>false</o:LockedField>
          </o:OLEObject>
        </w:object>
      </w:r>
      <w:r>
        <w:rPr>
          <w:rFonts w:ascii="Times New Roman" w:hAnsi="Times New Roman" w:cs="Times New Roman"/>
          <w:color w:val="auto"/>
          <w:sz w:val="24"/>
          <w:szCs w:val="24"/>
        </w:rPr>
        <w:t>满足要求。</w:t>
      </w:r>
    </w:p>
    <w:p w14:paraId="1CF4B4D7">
      <w:pPr>
        <w:pStyle w:val="146"/>
        <w:spacing w:before="312" w:after="312"/>
        <w:rPr>
          <w:color w:val="auto"/>
        </w:rPr>
      </w:pPr>
      <w:bookmarkStart w:id="1738" w:name="_Toc27695"/>
      <w:r>
        <w:rPr>
          <w:rFonts w:hint="eastAsia"/>
          <w:color w:val="auto"/>
        </w:rPr>
        <w:t>附录E</w:t>
      </w:r>
      <w:r>
        <w:rPr>
          <w:color w:val="auto"/>
        </w:rPr>
        <w:t xml:space="preserve"> </w:t>
      </w:r>
      <w:r>
        <w:rPr>
          <w:rFonts w:hint="eastAsia"/>
          <w:color w:val="auto"/>
        </w:rPr>
        <w:t>保温免拆模板安装检验批质量验收记录</w:t>
      </w:r>
      <w:bookmarkEnd w:id="1735"/>
      <w:bookmarkEnd w:id="1738"/>
    </w:p>
    <w:tbl>
      <w:tblPr>
        <w:tblStyle w:val="88"/>
        <w:tblW w:w="8714" w:type="dxa"/>
        <w:tblInd w:w="-10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55"/>
        <w:gridCol w:w="245"/>
        <w:gridCol w:w="603"/>
        <w:gridCol w:w="38"/>
        <w:gridCol w:w="218"/>
        <w:gridCol w:w="1309"/>
        <w:gridCol w:w="345"/>
        <w:gridCol w:w="1196"/>
        <w:gridCol w:w="1050"/>
        <w:gridCol w:w="491"/>
        <w:gridCol w:w="1432"/>
        <w:gridCol w:w="450"/>
        <w:gridCol w:w="982"/>
      </w:tblGrid>
      <w:tr w14:paraId="4B1B67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1241" w:type="dxa"/>
            <w:gridSpan w:val="4"/>
            <w:tcBorders>
              <w:tl2br w:val="nil"/>
              <w:tr2bl w:val="nil"/>
            </w:tcBorders>
            <w:shd w:val="clear" w:color="auto" w:fill="auto"/>
            <w:vAlign w:val="center"/>
          </w:tcPr>
          <w:p w14:paraId="72857020">
            <w:pPr>
              <w:spacing w:line="22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单位（子单位）工程名称</w:t>
            </w:r>
          </w:p>
        </w:tc>
        <w:tc>
          <w:tcPr>
            <w:tcW w:w="1527" w:type="dxa"/>
            <w:gridSpan w:val="2"/>
            <w:tcBorders>
              <w:tl2br w:val="nil"/>
              <w:tr2bl w:val="nil"/>
            </w:tcBorders>
            <w:shd w:val="clear" w:color="auto" w:fill="auto"/>
            <w:vAlign w:val="center"/>
          </w:tcPr>
          <w:p w14:paraId="31C48CDC">
            <w:pPr>
              <w:jc w:val="center"/>
              <w:rPr>
                <w:rFonts w:hint="eastAsia" w:ascii="新宋体" w:hAnsi="新宋体" w:eastAsia="新宋体" w:cs="新宋体"/>
                <w:color w:val="auto"/>
                <w:sz w:val="18"/>
                <w:szCs w:val="18"/>
              </w:rPr>
            </w:pPr>
          </w:p>
        </w:tc>
        <w:tc>
          <w:tcPr>
            <w:tcW w:w="1541" w:type="dxa"/>
            <w:gridSpan w:val="2"/>
            <w:tcBorders>
              <w:tl2br w:val="nil"/>
              <w:tr2bl w:val="nil"/>
            </w:tcBorders>
            <w:shd w:val="clear" w:color="auto" w:fill="auto"/>
            <w:vAlign w:val="center"/>
          </w:tcPr>
          <w:p w14:paraId="2B900BF5">
            <w:pPr>
              <w:spacing w:line="22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分部（子分部）工程名称</w:t>
            </w:r>
          </w:p>
        </w:tc>
        <w:tc>
          <w:tcPr>
            <w:tcW w:w="1541" w:type="dxa"/>
            <w:gridSpan w:val="2"/>
            <w:tcBorders>
              <w:tl2br w:val="nil"/>
              <w:tr2bl w:val="nil"/>
            </w:tcBorders>
            <w:shd w:val="clear" w:color="auto" w:fill="auto"/>
            <w:vAlign w:val="center"/>
          </w:tcPr>
          <w:p w14:paraId="26755488">
            <w:pPr>
              <w:spacing w:line="220" w:lineRule="exact"/>
              <w:jc w:val="center"/>
              <w:rPr>
                <w:rFonts w:hint="eastAsia" w:ascii="新宋体" w:hAnsi="新宋体" w:eastAsia="新宋体" w:cs="新宋体"/>
                <w:color w:val="auto"/>
                <w:sz w:val="18"/>
                <w:szCs w:val="18"/>
              </w:rPr>
            </w:pPr>
          </w:p>
        </w:tc>
        <w:tc>
          <w:tcPr>
            <w:tcW w:w="1432" w:type="dxa"/>
            <w:tcBorders>
              <w:tl2br w:val="nil"/>
              <w:tr2bl w:val="nil"/>
            </w:tcBorders>
            <w:shd w:val="clear" w:color="auto" w:fill="auto"/>
            <w:vAlign w:val="center"/>
          </w:tcPr>
          <w:p w14:paraId="0247097C">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分项工程名称</w:t>
            </w:r>
          </w:p>
        </w:tc>
        <w:tc>
          <w:tcPr>
            <w:tcW w:w="1432" w:type="dxa"/>
            <w:gridSpan w:val="2"/>
            <w:tcBorders>
              <w:tl2br w:val="nil"/>
              <w:tr2bl w:val="nil"/>
            </w:tcBorders>
            <w:shd w:val="clear" w:color="auto" w:fill="auto"/>
            <w:vAlign w:val="center"/>
          </w:tcPr>
          <w:p w14:paraId="4A3A99D7">
            <w:pPr>
              <w:jc w:val="center"/>
              <w:rPr>
                <w:rFonts w:hint="eastAsia" w:ascii="新宋体" w:hAnsi="新宋体" w:eastAsia="新宋体" w:cs="新宋体"/>
                <w:color w:val="auto"/>
                <w:sz w:val="18"/>
                <w:szCs w:val="18"/>
              </w:rPr>
            </w:pPr>
          </w:p>
        </w:tc>
      </w:tr>
      <w:tr w14:paraId="7F428B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1241" w:type="dxa"/>
            <w:gridSpan w:val="4"/>
            <w:tcBorders>
              <w:tl2br w:val="nil"/>
              <w:tr2bl w:val="nil"/>
            </w:tcBorders>
            <w:shd w:val="clear" w:color="auto" w:fill="auto"/>
            <w:vAlign w:val="center"/>
          </w:tcPr>
          <w:p w14:paraId="3F2C1A17">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施工单位</w:t>
            </w:r>
          </w:p>
        </w:tc>
        <w:tc>
          <w:tcPr>
            <w:tcW w:w="1527" w:type="dxa"/>
            <w:gridSpan w:val="2"/>
            <w:tcBorders>
              <w:tl2br w:val="nil"/>
              <w:tr2bl w:val="nil"/>
            </w:tcBorders>
            <w:shd w:val="clear" w:color="auto" w:fill="auto"/>
            <w:vAlign w:val="center"/>
          </w:tcPr>
          <w:p w14:paraId="13DCED39">
            <w:pPr>
              <w:spacing w:line="220" w:lineRule="exact"/>
              <w:jc w:val="center"/>
              <w:rPr>
                <w:rFonts w:hint="eastAsia" w:ascii="新宋体" w:hAnsi="新宋体" w:eastAsia="新宋体" w:cs="新宋体"/>
                <w:color w:val="auto"/>
                <w:sz w:val="18"/>
                <w:szCs w:val="18"/>
              </w:rPr>
            </w:pPr>
          </w:p>
        </w:tc>
        <w:tc>
          <w:tcPr>
            <w:tcW w:w="1541" w:type="dxa"/>
            <w:gridSpan w:val="2"/>
            <w:tcBorders>
              <w:tl2br w:val="nil"/>
              <w:tr2bl w:val="nil"/>
            </w:tcBorders>
            <w:shd w:val="clear" w:color="auto" w:fill="auto"/>
            <w:vAlign w:val="center"/>
          </w:tcPr>
          <w:p w14:paraId="498B4DF3">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项目负责人</w:t>
            </w:r>
          </w:p>
        </w:tc>
        <w:tc>
          <w:tcPr>
            <w:tcW w:w="1541" w:type="dxa"/>
            <w:gridSpan w:val="2"/>
            <w:tcBorders>
              <w:tl2br w:val="nil"/>
              <w:tr2bl w:val="nil"/>
            </w:tcBorders>
            <w:shd w:val="clear" w:color="auto" w:fill="auto"/>
            <w:vAlign w:val="center"/>
          </w:tcPr>
          <w:p w14:paraId="7C045382">
            <w:pPr>
              <w:jc w:val="center"/>
              <w:rPr>
                <w:rFonts w:hint="eastAsia" w:ascii="新宋体" w:hAnsi="新宋体" w:eastAsia="新宋体" w:cs="新宋体"/>
                <w:color w:val="auto"/>
                <w:sz w:val="18"/>
                <w:szCs w:val="18"/>
              </w:rPr>
            </w:pPr>
          </w:p>
        </w:tc>
        <w:tc>
          <w:tcPr>
            <w:tcW w:w="1432" w:type="dxa"/>
            <w:tcBorders>
              <w:tl2br w:val="nil"/>
              <w:tr2bl w:val="nil"/>
            </w:tcBorders>
            <w:shd w:val="clear" w:color="auto" w:fill="auto"/>
            <w:vAlign w:val="center"/>
          </w:tcPr>
          <w:p w14:paraId="57C721D0">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检验批容量</w:t>
            </w:r>
          </w:p>
        </w:tc>
        <w:tc>
          <w:tcPr>
            <w:tcW w:w="1432" w:type="dxa"/>
            <w:gridSpan w:val="2"/>
            <w:tcBorders>
              <w:tl2br w:val="nil"/>
              <w:tr2bl w:val="nil"/>
            </w:tcBorders>
            <w:shd w:val="clear" w:color="auto" w:fill="auto"/>
            <w:vAlign w:val="center"/>
          </w:tcPr>
          <w:p w14:paraId="5B015C1C">
            <w:pPr>
              <w:jc w:val="center"/>
              <w:rPr>
                <w:rFonts w:hint="eastAsia" w:ascii="新宋体" w:hAnsi="新宋体" w:eastAsia="新宋体" w:cs="新宋体"/>
                <w:color w:val="auto"/>
                <w:sz w:val="18"/>
                <w:szCs w:val="18"/>
              </w:rPr>
            </w:pPr>
          </w:p>
        </w:tc>
      </w:tr>
      <w:tr w14:paraId="6621E7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1241" w:type="dxa"/>
            <w:gridSpan w:val="4"/>
            <w:tcBorders>
              <w:tl2br w:val="nil"/>
              <w:tr2bl w:val="nil"/>
            </w:tcBorders>
            <w:shd w:val="clear" w:color="auto" w:fill="auto"/>
            <w:vAlign w:val="center"/>
          </w:tcPr>
          <w:p w14:paraId="491D312F">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分包单位</w:t>
            </w:r>
          </w:p>
        </w:tc>
        <w:tc>
          <w:tcPr>
            <w:tcW w:w="1527" w:type="dxa"/>
            <w:gridSpan w:val="2"/>
            <w:tcBorders>
              <w:tl2br w:val="nil"/>
              <w:tr2bl w:val="nil"/>
            </w:tcBorders>
            <w:shd w:val="clear" w:color="auto" w:fill="auto"/>
            <w:vAlign w:val="center"/>
          </w:tcPr>
          <w:p w14:paraId="0821CAA2">
            <w:pPr>
              <w:jc w:val="center"/>
              <w:rPr>
                <w:rFonts w:hint="eastAsia" w:ascii="新宋体" w:hAnsi="新宋体" w:eastAsia="新宋体" w:cs="新宋体"/>
                <w:color w:val="auto"/>
                <w:sz w:val="18"/>
                <w:szCs w:val="18"/>
              </w:rPr>
            </w:pPr>
          </w:p>
        </w:tc>
        <w:tc>
          <w:tcPr>
            <w:tcW w:w="1541" w:type="dxa"/>
            <w:gridSpan w:val="2"/>
            <w:tcBorders>
              <w:tl2br w:val="nil"/>
              <w:tr2bl w:val="nil"/>
            </w:tcBorders>
            <w:shd w:val="clear" w:color="auto" w:fill="auto"/>
            <w:vAlign w:val="center"/>
          </w:tcPr>
          <w:p w14:paraId="3C442973">
            <w:pPr>
              <w:spacing w:line="22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分包单位</w:t>
            </w:r>
          </w:p>
          <w:p w14:paraId="7D25AAB2">
            <w:pPr>
              <w:spacing w:line="22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项目负责人</w:t>
            </w:r>
          </w:p>
        </w:tc>
        <w:tc>
          <w:tcPr>
            <w:tcW w:w="1541" w:type="dxa"/>
            <w:gridSpan w:val="2"/>
            <w:tcBorders>
              <w:tl2br w:val="nil"/>
              <w:tr2bl w:val="nil"/>
            </w:tcBorders>
            <w:shd w:val="clear" w:color="auto" w:fill="auto"/>
            <w:vAlign w:val="center"/>
          </w:tcPr>
          <w:p w14:paraId="554B494E">
            <w:pPr>
              <w:jc w:val="center"/>
              <w:rPr>
                <w:rFonts w:hint="eastAsia" w:ascii="新宋体" w:hAnsi="新宋体" w:eastAsia="新宋体" w:cs="新宋体"/>
                <w:color w:val="auto"/>
                <w:sz w:val="18"/>
                <w:szCs w:val="18"/>
              </w:rPr>
            </w:pPr>
          </w:p>
        </w:tc>
        <w:tc>
          <w:tcPr>
            <w:tcW w:w="1432" w:type="dxa"/>
            <w:tcBorders>
              <w:tl2br w:val="nil"/>
              <w:tr2bl w:val="nil"/>
            </w:tcBorders>
            <w:shd w:val="clear" w:color="auto" w:fill="auto"/>
            <w:vAlign w:val="center"/>
          </w:tcPr>
          <w:p w14:paraId="7E909543">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检验批部位</w:t>
            </w:r>
          </w:p>
        </w:tc>
        <w:tc>
          <w:tcPr>
            <w:tcW w:w="1432" w:type="dxa"/>
            <w:gridSpan w:val="2"/>
            <w:tcBorders>
              <w:tl2br w:val="nil"/>
              <w:tr2bl w:val="nil"/>
            </w:tcBorders>
            <w:shd w:val="clear" w:color="auto" w:fill="auto"/>
            <w:vAlign w:val="center"/>
          </w:tcPr>
          <w:p w14:paraId="0FDB5424">
            <w:pPr>
              <w:spacing w:line="200" w:lineRule="exact"/>
              <w:jc w:val="center"/>
              <w:rPr>
                <w:rFonts w:hint="eastAsia" w:ascii="新宋体" w:hAnsi="新宋体" w:eastAsia="新宋体" w:cs="新宋体"/>
                <w:color w:val="auto"/>
                <w:sz w:val="18"/>
                <w:szCs w:val="18"/>
              </w:rPr>
            </w:pPr>
          </w:p>
        </w:tc>
      </w:tr>
      <w:tr w14:paraId="173DB9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1241" w:type="dxa"/>
            <w:gridSpan w:val="4"/>
            <w:tcBorders>
              <w:tl2br w:val="nil"/>
              <w:tr2bl w:val="nil"/>
            </w:tcBorders>
            <w:shd w:val="clear" w:color="auto" w:fill="auto"/>
            <w:vAlign w:val="center"/>
          </w:tcPr>
          <w:p w14:paraId="4EA0E328">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施工依据</w:t>
            </w:r>
          </w:p>
        </w:tc>
        <w:tc>
          <w:tcPr>
            <w:tcW w:w="3068" w:type="dxa"/>
            <w:gridSpan w:val="4"/>
            <w:tcBorders>
              <w:tl2br w:val="nil"/>
              <w:tr2bl w:val="nil"/>
            </w:tcBorders>
            <w:shd w:val="clear" w:color="auto" w:fill="auto"/>
            <w:vAlign w:val="center"/>
          </w:tcPr>
          <w:p w14:paraId="595EF808">
            <w:pPr>
              <w:spacing w:line="220" w:lineRule="exact"/>
              <w:jc w:val="center"/>
              <w:rPr>
                <w:rFonts w:hint="eastAsia" w:ascii="新宋体" w:hAnsi="新宋体" w:eastAsia="新宋体" w:cs="新宋体"/>
                <w:color w:val="auto"/>
                <w:sz w:val="18"/>
                <w:szCs w:val="18"/>
              </w:rPr>
            </w:pPr>
          </w:p>
        </w:tc>
        <w:tc>
          <w:tcPr>
            <w:tcW w:w="1050" w:type="dxa"/>
            <w:tcBorders>
              <w:tl2br w:val="nil"/>
              <w:tr2bl w:val="nil"/>
            </w:tcBorders>
            <w:shd w:val="clear" w:color="auto" w:fill="auto"/>
            <w:vAlign w:val="center"/>
          </w:tcPr>
          <w:p w14:paraId="51B850B7">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验收依据</w:t>
            </w:r>
          </w:p>
        </w:tc>
        <w:tc>
          <w:tcPr>
            <w:tcW w:w="3355" w:type="dxa"/>
            <w:gridSpan w:val="4"/>
            <w:tcBorders>
              <w:tl2br w:val="nil"/>
              <w:tr2bl w:val="nil"/>
            </w:tcBorders>
            <w:shd w:val="clear" w:color="auto" w:fill="auto"/>
            <w:vAlign w:val="center"/>
          </w:tcPr>
          <w:p w14:paraId="4B71DD52">
            <w:pPr>
              <w:spacing w:line="220" w:lineRule="exact"/>
              <w:jc w:val="center"/>
              <w:rPr>
                <w:rFonts w:hint="eastAsia" w:ascii="新宋体" w:hAnsi="新宋体" w:eastAsia="新宋体" w:cs="新宋体"/>
                <w:color w:val="auto"/>
                <w:sz w:val="18"/>
                <w:szCs w:val="18"/>
              </w:rPr>
            </w:pPr>
          </w:p>
        </w:tc>
      </w:tr>
      <w:tr w14:paraId="374636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3113" w:type="dxa"/>
            <w:gridSpan w:val="7"/>
            <w:tcBorders>
              <w:tl2br w:val="nil"/>
              <w:tr2bl w:val="nil"/>
            </w:tcBorders>
            <w:shd w:val="clear" w:color="auto" w:fill="auto"/>
            <w:vAlign w:val="center"/>
          </w:tcPr>
          <w:p w14:paraId="561FFE54">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验收项目</w:t>
            </w:r>
          </w:p>
        </w:tc>
        <w:tc>
          <w:tcPr>
            <w:tcW w:w="1196" w:type="dxa"/>
            <w:tcBorders>
              <w:tl2br w:val="nil"/>
              <w:tr2bl w:val="nil"/>
            </w:tcBorders>
            <w:shd w:val="clear" w:color="auto" w:fill="auto"/>
            <w:vAlign w:val="center"/>
          </w:tcPr>
          <w:p w14:paraId="362EFD37">
            <w:pPr>
              <w:spacing w:line="22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设计要求及规程规定</w:t>
            </w:r>
          </w:p>
        </w:tc>
        <w:tc>
          <w:tcPr>
            <w:tcW w:w="1050" w:type="dxa"/>
            <w:tcBorders>
              <w:tl2br w:val="nil"/>
              <w:tr2bl w:val="nil"/>
            </w:tcBorders>
            <w:shd w:val="clear" w:color="auto" w:fill="auto"/>
            <w:vAlign w:val="center"/>
          </w:tcPr>
          <w:p w14:paraId="58115D40">
            <w:pPr>
              <w:spacing w:line="220" w:lineRule="exac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最小/实际抽样数量</w:t>
            </w:r>
          </w:p>
        </w:tc>
        <w:tc>
          <w:tcPr>
            <w:tcW w:w="2373" w:type="dxa"/>
            <w:gridSpan w:val="3"/>
            <w:tcBorders>
              <w:tl2br w:val="nil"/>
              <w:tr2bl w:val="nil"/>
            </w:tcBorders>
            <w:shd w:val="clear" w:color="auto" w:fill="auto"/>
            <w:vAlign w:val="center"/>
          </w:tcPr>
          <w:p w14:paraId="2AB5FE0B">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检查记录</w:t>
            </w:r>
          </w:p>
        </w:tc>
        <w:tc>
          <w:tcPr>
            <w:tcW w:w="982" w:type="dxa"/>
            <w:tcBorders>
              <w:tl2br w:val="nil"/>
              <w:tr2bl w:val="nil"/>
            </w:tcBorders>
            <w:shd w:val="clear" w:color="auto" w:fill="auto"/>
            <w:vAlign w:val="center"/>
          </w:tcPr>
          <w:p w14:paraId="359D6F23">
            <w:pPr>
              <w:spacing w:line="22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检查</w:t>
            </w:r>
          </w:p>
          <w:p w14:paraId="256DDFFB">
            <w:pPr>
              <w:spacing w:line="22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结果</w:t>
            </w:r>
          </w:p>
        </w:tc>
      </w:tr>
      <w:tr w14:paraId="1D833B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restart"/>
            <w:tcBorders>
              <w:tl2br w:val="nil"/>
              <w:tr2bl w:val="nil"/>
            </w:tcBorders>
            <w:shd w:val="clear" w:color="auto" w:fill="auto"/>
            <w:vAlign w:val="center"/>
          </w:tcPr>
          <w:p w14:paraId="091CF914">
            <w:pPr>
              <w:spacing w:line="18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主</w:t>
            </w:r>
          </w:p>
          <w:p w14:paraId="194812BC">
            <w:pPr>
              <w:spacing w:line="18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控</w:t>
            </w:r>
          </w:p>
          <w:p w14:paraId="21E9FB57">
            <w:pPr>
              <w:spacing w:line="18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项</w:t>
            </w:r>
          </w:p>
          <w:p w14:paraId="6FAEB348">
            <w:pPr>
              <w:spacing w:line="18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目</w:t>
            </w:r>
          </w:p>
        </w:tc>
        <w:tc>
          <w:tcPr>
            <w:tcW w:w="245" w:type="dxa"/>
            <w:tcBorders>
              <w:tl2br w:val="nil"/>
              <w:tr2bl w:val="nil"/>
            </w:tcBorders>
            <w:shd w:val="clear" w:color="auto" w:fill="auto"/>
            <w:vAlign w:val="center"/>
          </w:tcPr>
          <w:p w14:paraId="7C0F4750">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1</w:t>
            </w:r>
          </w:p>
        </w:tc>
        <w:tc>
          <w:tcPr>
            <w:tcW w:w="2513" w:type="dxa"/>
            <w:gridSpan w:val="5"/>
            <w:tcBorders>
              <w:tl2br w:val="nil"/>
              <w:tr2bl w:val="nil"/>
            </w:tcBorders>
            <w:shd w:val="clear" w:color="auto" w:fill="auto"/>
            <w:vAlign w:val="center"/>
          </w:tcPr>
          <w:p w14:paraId="57545536">
            <w:pPr>
              <w:spacing w:line="220" w:lineRule="exact"/>
              <w:jc w:val="lef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保温免拆模板材料</w:t>
            </w:r>
          </w:p>
        </w:tc>
        <w:tc>
          <w:tcPr>
            <w:tcW w:w="1196" w:type="dxa"/>
            <w:tcBorders>
              <w:tl2br w:val="nil"/>
              <w:tr2bl w:val="nil"/>
            </w:tcBorders>
            <w:shd w:val="clear" w:color="auto" w:fill="auto"/>
            <w:vAlign w:val="center"/>
          </w:tcPr>
          <w:p w14:paraId="5DAD665F">
            <w:pPr>
              <w:spacing w:line="20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第8.2.1条</w:t>
            </w:r>
          </w:p>
        </w:tc>
        <w:tc>
          <w:tcPr>
            <w:tcW w:w="1050" w:type="dxa"/>
            <w:tcBorders>
              <w:tl2br w:val="nil"/>
              <w:tr2bl w:val="nil"/>
            </w:tcBorders>
            <w:shd w:val="clear" w:color="auto" w:fill="auto"/>
            <w:vAlign w:val="center"/>
          </w:tcPr>
          <w:p w14:paraId="215CE43D">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03F8E1E8">
            <w:pPr>
              <w:spacing w:line="220" w:lineRule="exact"/>
              <w:jc w:val="center"/>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12EE32AC">
            <w:pPr>
              <w:jc w:val="center"/>
              <w:rPr>
                <w:rFonts w:hint="eastAsia" w:ascii="新宋体" w:hAnsi="新宋体" w:eastAsia="新宋体" w:cs="新宋体"/>
                <w:color w:val="auto"/>
                <w:sz w:val="18"/>
                <w:szCs w:val="18"/>
              </w:rPr>
            </w:pPr>
          </w:p>
        </w:tc>
      </w:tr>
      <w:tr w14:paraId="106A0F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continue"/>
            <w:tcBorders>
              <w:tl2br w:val="nil"/>
              <w:tr2bl w:val="nil"/>
            </w:tcBorders>
            <w:shd w:val="clear" w:color="auto" w:fill="auto"/>
            <w:vAlign w:val="center"/>
          </w:tcPr>
          <w:p w14:paraId="077F7294">
            <w:pPr>
              <w:spacing w:line="180" w:lineRule="exact"/>
              <w:jc w:val="center"/>
              <w:rPr>
                <w:rFonts w:hint="eastAsia" w:ascii="新宋体" w:hAnsi="新宋体" w:eastAsia="新宋体" w:cs="新宋体"/>
                <w:color w:val="auto"/>
                <w:sz w:val="18"/>
                <w:szCs w:val="18"/>
              </w:rPr>
            </w:pPr>
          </w:p>
        </w:tc>
        <w:tc>
          <w:tcPr>
            <w:tcW w:w="245" w:type="dxa"/>
            <w:tcBorders>
              <w:tl2br w:val="nil"/>
              <w:tr2bl w:val="nil"/>
            </w:tcBorders>
            <w:shd w:val="clear" w:color="auto" w:fill="auto"/>
            <w:vAlign w:val="center"/>
          </w:tcPr>
          <w:p w14:paraId="2E1A4183">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2</w:t>
            </w:r>
          </w:p>
        </w:tc>
        <w:tc>
          <w:tcPr>
            <w:tcW w:w="2513" w:type="dxa"/>
            <w:gridSpan w:val="5"/>
            <w:tcBorders>
              <w:tl2br w:val="nil"/>
              <w:tr2bl w:val="nil"/>
            </w:tcBorders>
            <w:shd w:val="clear" w:color="auto" w:fill="auto"/>
            <w:vAlign w:val="center"/>
          </w:tcPr>
          <w:p w14:paraId="0107763B">
            <w:pPr>
              <w:spacing w:line="220" w:lineRule="exact"/>
              <w:jc w:val="lef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模板机支架安装质量</w:t>
            </w:r>
          </w:p>
        </w:tc>
        <w:tc>
          <w:tcPr>
            <w:tcW w:w="1196" w:type="dxa"/>
            <w:tcBorders>
              <w:tl2br w:val="nil"/>
              <w:tr2bl w:val="nil"/>
            </w:tcBorders>
            <w:shd w:val="clear" w:color="auto" w:fill="auto"/>
            <w:vAlign w:val="center"/>
          </w:tcPr>
          <w:p w14:paraId="2FB4E236">
            <w:pPr>
              <w:spacing w:line="20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第8.2.2条</w:t>
            </w:r>
          </w:p>
        </w:tc>
        <w:tc>
          <w:tcPr>
            <w:tcW w:w="1050" w:type="dxa"/>
            <w:tcBorders>
              <w:tl2br w:val="nil"/>
              <w:tr2bl w:val="nil"/>
            </w:tcBorders>
            <w:shd w:val="clear" w:color="auto" w:fill="auto"/>
            <w:vAlign w:val="center"/>
          </w:tcPr>
          <w:p w14:paraId="4AD628F0">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5530344B">
            <w:pPr>
              <w:spacing w:line="220" w:lineRule="exact"/>
              <w:jc w:val="center"/>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29393A3F">
            <w:pPr>
              <w:jc w:val="center"/>
              <w:rPr>
                <w:rFonts w:hint="eastAsia" w:ascii="新宋体" w:hAnsi="新宋体" w:eastAsia="新宋体" w:cs="新宋体"/>
                <w:color w:val="auto"/>
                <w:sz w:val="18"/>
                <w:szCs w:val="18"/>
              </w:rPr>
            </w:pPr>
          </w:p>
        </w:tc>
      </w:tr>
      <w:tr w14:paraId="0E6F47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continue"/>
            <w:tcBorders>
              <w:tl2br w:val="nil"/>
              <w:tr2bl w:val="nil"/>
            </w:tcBorders>
            <w:shd w:val="clear" w:color="auto" w:fill="auto"/>
            <w:vAlign w:val="center"/>
          </w:tcPr>
          <w:p w14:paraId="0F1C5EA3">
            <w:pPr>
              <w:jc w:val="center"/>
              <w:rPr>
                <w:rFonts w:hint="eastAsia" w:ascii="新宋体" w:hAnsi="新宋体" w:eastAsia="新宋体" w:cs="新宋体"/>
                <w:color w:val="auto"/>
                <w:sz w:val="18"/>
                <w:szCs w:val="18"/>
              </w:rPr>
            </w:pPr>
          </w:p>
        </w:tc>
        <w:tc>
          <w:tcPr>
            <w:tcW w:w="245" w:type="dxa"/>
            <w:tcBorders>
              <w:tl2br w:val="nil"/>
              <w:tr2bl w:val="nil"/>
            </w:tcBorders>
            <w:shd w:val="clear" w:color="auto" w:fill="auto"/>
            <w:vAlign w:val="center"/>
          </w:tcPr>
          <w:p w14:paraId="6BDF9F35">
            <w:pP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3</w:t>
            </w:r>
          </w:p>
        </w:tc>
        <w:tc>
          <w:tcPr>
            <w:tcW w:w="2513" w:type="dxa"/>
            <w:gridSpan w:val="5"/>
            <w:tcBorders>
              <w:tl2br w:val="nil"/>
              <w:tr2bl w:val="nil"/>
            </w:tcBorders>
            <w:shd w:val="clear" w:color="auto" w:fill="auto"/>
            <w:vAlign w:val="center"/>
          </w:tcPr>
          <w:p w14:paraId="4EDE4173">
            <w:pPr>
              <w:spacing w:line="220" w:lineRule="exact"/>
              <w:jc w:val="lef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后浇带位置模板及支架</w:t>
            </w:r>
          </w:p>
        </w:tc>
        <w:tc>
          <w:tcPr>
            <w:tcW w:w="1196" w:type="dxa"/>
            <w:tcBorders>
              <w:tl2br w:val="nil"/>
              <w:tr2bl w:val="nil"/>
            </w:tcBorders>
            <w:shd w:val="clear" w:color="auto" w:fill="auto"/>
            <w:vAlign w:val="center"/>
          </w:tcPr>
          <w:p w14:paraId="2E0055C2">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第8.2.3条</w:t>
            </w:r>
          </w:p>
        </w:tc>
        <w:tc>
          <w:tcPr>
            <w:tcW w:w="1050" w:type="dxa"/>
            <w:tcBorders>
              <w:tl2br w:val="nil"/>
              <w:tr2bl w:val="nil"/>
            </w:tcBorders>
            <w:shd w:val="clear" w:color="auto" w:fill="auto"/>
            <w:vAlign w:val="center"/>
          </w:tcPr>
          <w:p w14:paraId="2A82A099">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756EA0A2">
            <w:pPr>
              <w:spacing w:line="200" w:lineRule="exact"/>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377E7DC2">
            <w:pPr>
              <w:rPr>
                <w:rFonts w:hint="eastAsia" w:ascii="新宋体" w:hAnsi="新宋体" w:eastAsia="新宋体" w:cs="新宋体"/>
                <w:color w:val="auto"/>
                <w:sz w:val="18"/>
                <w:szCs w:val="18"/>
              </w:rPr>
            </w:pPr>
          </w:p>
        </w:tc>
      </w:tr>
      <w:tr w14:paraId="69B96F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restart"/>
            <w:tcBorders>
              <w:tl2br w:val="nil"/>
              <w:tr2bl w:val="nil"/>
            </w:tcBorders>
            <w:shd w:val="clear" w:color="auto" w:fill="auto"/>
            <w:vAlign w:val="center"/>
          </w:tcPr>
          <w:p w14:paraId="517AA9D1">
            <w:pPr>
              <w:spacing w:line="200" w:lineRule="exac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一</w:t>
            </w:r>
          </w:p>
          <w:p w14:paraId="521394D4">
            <w:pPr>
              <w:spacing w:line="20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般</w:t>
            </w:r>
          </w:p>
          <w:p w14:paraId="6F1B4EA7">
            <w:pPr>
              <w:spacing w:line="20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项</w:t>
            </w:r>
          </w:p>
          <w:p w14:paraId="433FAC4D">
            <w:pPr>
              <w:spacing w:line="20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目</w:t>
            </w:r>
          </w:p>
        </w:tc>
        <w:tc>
          <w:tcPr>
            <w:tcW w:w="245" w:type="dxa"/>
            <w:tcBorders>
              <w:tl2br w:val="nil"/>
              <w:tr2bl w:val="nil"/>
            </w:tcBorders>
            <w:shd w:val="clear" w:color="auto" w:fill="auto"/>
            <w:vAlign w:val="center"/>
          </w:tcPr>
          <w:p w14:paraId="5221060B">
            <w:pP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1</w:t>
            </w:r>
          </w:p>
        </w:tc>
        <w:tc>
          <w:tcPr>
            <w:tcW w:w="2513" w:type="dxa"/>
            <w:gridSpan w:val="5"/>
            <w:tcBorders>
              <w:tl2br w:val="nil"/>
              <w:tr2bl w:val="nil"/>
            </w:tcBorders>
            <w:shd w:val="clear" w:color="auto" w:fill="auto"/>
            <w:vAlign w:val="center"/>
          </w:tcPr>
          <w:p w14:paraId="36DE2CF7">
            <w:pPr>
              <w:spacing w:line="220" w:lineRule="exact"/>
              <w:jc w:val="lef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模板安装一般要求</w:t>
            </w:r>
          </w:p>
        </w:tc>
        <w:tc>
          <w:tcPr>
            <w:tcW w:w="1196" w:type="dxa"/>
            <w:tcBorders>
              <w:tl2br w:val="nil"/>
              <w:tr2bl w:val="nil"/>
            </w:tcBorders>
            <w:shd w:val="clear" w:color="auto" w:fill="auto"/>
            <w:vAlign w:val="center"/>
          </w:tcPr>
          <w:p w14:paraId="45C2B0C8">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第8.2.4条</w:t>
            </w:r>
          </w:p>
        </w:tc>
        <w:tc>
          <w:tcPr>
            <w:tcW w:w="1050" w:type="dxa"/>
            <w:tcBorders>
              <w:tl2br w:val="nil"/>
              <w:tr2bl w:val="nil"/>
            </w:tcBorders>
            <w:shd w:val="clear" w:color="auto" w:fill="auto"/>
            <w:vAlign w:val="center"/>
          </w:tcPr>
          <w:p w14:paraId="660221F4">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7A30EF17">
            <w:pPr>
              <w:spacing w:line="200" w:lineRule="exact"/>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19828CAD">
            <w:pPr>
              <w:jc w:val="center"/>
              <w:rPr>
                <w:rFonts w:hint="eastAsia" w:ascii="新宋体" w:hAnsi="新宋体" w:eastAsia="新宋体" w:cs="新宋体"/>
                <w:color w:val="auto"/>
                <w:sz w:val="18"/>
                <w:szCs w:val="18"/>
              </w:rPr>
            </w:pPr>
          </w:p>
        </w:tc>
      </w:tr>
      <w:tr w14:paraId="57940A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continue"/>
            <w:tcBorders>
              <w:tl2br w:val="nil"/>
              <w:tr2bl w:val="nil"/>
            </w:tcBorders>
            <w:shd w:val="clear" w:color="auto" w:fill="auto"/>
            <w:vAlign w:val="center"/>
          </w:tcPr>
          <w:p w14:paraId="03F2BF34">
            <w:pPr>
              <w:jc w:val="center"/>
              <w:rPr>
                <w:rFonts w:hint="eastAsia" w:ascii="新宋体" w:hAnsi="新宋体" w:eastAsia="新宋体" w:cs="新宋体"/>
                <w:color w:val="auto"/>
                <w:sz w:val="18"/>
                <w:szCs w:val="18"/>
              </w:rPr>
            </w:pPr>
          </w:p>
        </w:tc>
        <w:tc>
          <w:tcPr>
            <w:tcW w:w="245" w:type="dxa"/>
            <w:tcBorders>
              <w:tl2br w:val="nil"/>
              <w:tr2bl w:val="nil"/>
            </w:tcBorders>
            <w:shd w:val="clear" w:color="auto" w:fill="auto"/>
            <w:vAlign w:val="center"/>
          </w:tcPr>
          <w:p w14:paraId="4C241A5D">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2</w:t>
            </w:r>
          </w:p>
        </w:tc>
        <w:tc>
          <w:tcPr>
            <w:tcW w:w="2513" w:type="dxa"/>
            <w:gridSpan w:val="5"/>
            <w:tcBorders>
              <w:tl2br w:val="nil"/>
              <w:tr2bl w:val="nil"/>
            </w:tcBorders>
            <w:shd w:val="clear" w:color="auto" w:fill="auto"/>
            <w:vAlign w:val="center"/>
          </w:tcPr>
          <w:p w14:paraId="0FE3808A">
            <w:pPr>
              <w:spacing w:line="220" w:lineRule="exact"/>
              <w:jc w:val="lef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模板起拱高度</w:t>
            </w:r>
          </w:p>
        </w:tc>
        <w:tc>
          <w:tcPr>
            <w:tcW w:w="1196" w:type="dxa"/>
            <w:tcBorders>
              <w:tl2br w:val="nil"/>
              <w:tr2bl w:val="nil"/>
            </w:tcBorders>
            <w:shd w:val="clear" w:color="auto" w:fill="auto"/>
            <w:vAlign w:val="center"/>
          </w:tcPr>
          <w:p w14:paraId="31046C00">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第8.2.5条</w:t>
            </w:r>
          </w:p>
        </w:tc>
        <w:tc>
          <w:tcPr>
            <w:tcW w:w="1050" w:type="dxa"/>
            <w:tcBorders>
              <w:tl2br w:val="nil"/>
              <w:tr2bl w:val="nil"/>
            </w:tcBorders>
            <w:shd w:val="clear" w:color="auto" w:fill="auto"/>
            <w:vAlign w:val="center"/>
          </w:tcPr>
          <w:p w14:paraId="7D560414">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48ACE76D">
            <w:pPr>
              <w:spacing w:line="220" w:lineRule="exact"/>
              <w:jc w:val="center"/>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1EC9A8AA">
            <w:pPr>
              <w:jc w:val="center"/>
              <w:rPr>
                <w:rFonts w:hint="eastAsia" w:ascii="新宋体" w:hAnsi="新宋体" w:eastAsia="新宋体" w:cs="新宋体"/>
                <w:color w:val="auto"/>
                <w:sz w:val="18"/>
                <w:szCs w:val="18"/>
              </w:rPr>
            </w:pPr>
          </w:p>
        </w:tc>
      </w:tr>
      <w:tr w14:paraId="32D505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continue"/>
            <w:tcBorders>
              <w:tl2br w:val="nil"/>
              <w:tr2bl w:val="nil"/>
            </w:tcBorders>
            <w:shd w:val="clear" w:color="auto" w:fill="auto"/>
            <w:vAlign w:val="center"/>
          </w:tcPr>
          <w:p w14:paraId="75C603E8">
            <w:pPr>
              <w:jc w:val="center"/>
              <w:rPr>
                <w:rFonts w:hint="eastAsia" w:ascii="新宋体" w:hAnsi="新宋体" w:eastAsia="新宋体" w:cs="新宋体"/>
                <w:color w:val="auto"/>
                <w:sz w:val="18"/>
                <w:szCs w:val="18"/>
              </w:rPr>
            </w:pPr>
          </w:p>
        </w:tc>
        <w:tc>
          <w:tcPr>
            <w:tcW w:w="245" w:type="dxa"/>
            <w:tcBorders>
              <w:tl2br w:val="nil"/>
              <w:tr2bl w:val="nil"/>
            </w:tcBorders>
            <w:shd w:val="clear" w:color="auto" w:fill="auto"/>
            <w:vAlign w:val="center"/>
          </w:tcPr>
          <w:p w14:paraId="355DE8A2">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3</w:t>
            </w:r>
          </w:p>
        </w:tc>
        <w:tc>
          <w:tcPr>
            <w:tcW w:w="2513" w:type="dxa"/>
            <w:gridSpan w:val="5"/>
            <w:tcBorders>
              <w:tl2br w:val="nil"/>
              <w:tr2bl w:val="nil"/>
            </w:tcBorders>
            <w:shd w:val="clear" w:color="auto" w:fill="auto"/>
            <w:vAlign w:val="center"/>
          </w:tcPr>
          <w:p w14:paraId="7EFEB53F">
            <w:pPr>
              <w:spacing w:line="220" w:lineRule="exact"/>
              <w:jc w:val="lef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多层连续支模</w:t>
            </w:r>
          </w:p>
        </w:tc>
        <w:tc>
          <w:tcPr>
            <w:tcW w:w="1196" w:type="dxa"/>
            <w:tcBorders>
              <w:tl2br w:val="nil"/>
              <w:tr2bl w:val="nil"/>
            </w:tcBorders>
            <w:shd w:val="clear" w:color="auto" w:fill="auto"/>
            <w:vAlign w:val="center"/>
          </w:tcPr>
          <w:p w14:paraId="476341FE">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第8.2.6条</w:t>
            </w:r>
          </w:p>
        </w:tc>
        <w:tc>
          <w:tcPr>
            <w:tcW w:w="1050" w:type="dxa"/>
            <w:tcBorders>
              <w:tl2br w:val="nil"/>
              <w:tr2bl w:val="nil"/>
            </w:tcBorders>
            <w:shd w:val="clear" w:color="auto" w:fill="auto"/>
            <w:vAlign w:val="center"/>
          </w:tcPr>
          <w:p w14:paraId="2B7CDD7D">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1052E456">
            <w:pPr>
              <w:spacing w:line="220" w:lineRule="exact"/>
              <w:jc w:val="center"/>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56799CCD">
            <w:pPr>
              <w:jc w:val="center"/>
              <w:rPr>
                <w:rFonts w:hint="eastAsia" w:ascii="新宋体" w:hAnsi="新宋体" w:eastAsia="新宋体" w:cs="新宋体"/>
                <w:color w:val="auto"/>
                <w:sz w:val="18"/>
                <w:szCs w:val="18"/>
              </w:rPr>
            </w:pPr>
          </w:p>
        </w:tc>
      </w:tr>
      <w:tr w14:paraId="38C36E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continue"/>
            <w:tcBorders>
              <w:tl2br w:val="nil"/>
              <w:tr2bl w:val="nil"/>
            </w:tcBorders>
            <w:shd w:val="clear" w:color="auto" w:fill="auto"/>
            <w:vAlign w:val="center"/>
          </w:tcPr>
          <w:p w14:paraId="517D7A21">
            <w:pPr>
              <w:jc w:val="center"/>
              <w:rPr>
                <w:rFonts w:hint="eastAsia" w:ascii="新宋体" w:hAnsi="新宋体" w:eastAsia="新宋体" w:cs="新宋体"/>
                <w:color w:val="auto"/>
                <w:sz w:val="18"/>
                <w:szCs w:val="18"/>
              </w:rPr>
            </w:pPr>
          </w:p>
        </w:tc>
        <w:tc>
          <w:tcPr>
            <w:tcW w:w="245" w:type="dxa"/>
            <w:tcBorders>
              <w:tl2br w:val="nil"/>
              <w:tr2bl w:val="nil"/>
            </w:tcBorders>
            <w:shd w:val="clear" w:color="auto" w:fill="auto"/>
            <w:vAlign w:val="center"/>
          </w:tcPr>
          <w:p w14:paraId="51EE75F0">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4</w:t>
            </w:r>
          </w:p>
        </w:tc>
        <w:tc>
          <w:tcPr>
            <w:tcW w:w="2513" w:type="dxa"/>
            <w:gridSpan w:val="5"/>
            <w:tcBorders>
              <w:tl2br w:val="nil"/>
              <w:tr2bl w:val="nil"/>
            </w:tcBorders>
            <w:shd w:val="clear" w:color="auto" w:fill="auto"/>
            <w:vAlign w:val="center"/>
          </w:tcPr>
          <w:p w14:paraId="2F9B881F">
            <w:pPr>
              <w:spacing w:line="220" w:lineRule="exact"/>
              <w:jc w:val="lef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预埋件和预留孔洞</w:t>
            </w:r>
          </w:p>
        </w:tc>
        <w:tc>
          <w:tcPr>
            <w:tcW w:w="1196" w:type="dxa"/>
            <w:tcBorders>
              <w:tl2br w:val="nil"/>
              <w:tr2bl w:val="nil"/>
            </w:tcBorders>
            <w:shd w:val="clear" w:color="auto" w:fill="auto"/>
            <w:vAlign w:val="center"/>
          </w:tcPr>
          <w:p w14:paraId="461FF245">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第8.2.7条</w:t>
            </w:r>
          </w:p>
        </w:tc>
        <w:tc>
          <w:tcPr>
            <w:tcW w:w="1050" w:type="dxa"/>
            <w:tcBorders>
              <w:tl2br w:val="nil"/>
              <w:tr2bl w:val="nil"/>
            </w:tcBorders>
            <w:shd w:val="clear" w:color="auto" w:fill="auto"/>
            <w:vAlign w:val="center"/>
          </w:tcPr>
          <w:p w14:paraId="4A20FB42">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5C88C683">
            <w:pPr>
              <w:spacing w:line="220" w:lineRule="exact"/>
              <w:jc w:val="center"/>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6E58AB42">
            <w:pPr>
              <w:jc w:val="center"/>
              <w:rPr>
                <w:rFonts w:hint="eastAsia" w:ascii="新宋体" w:hAnsi="新宋体" w:eastAsia="新宋体" w:cs="新宋体"/>
                <w:color w:val="auto"/>
                <w:sz w:val="18"/>
                <w:szCs w:val="18"/>
              </w:rPr>
            </w:pPr>
          </w:p>
        </w:tc>
      </w:tr>
      <w:tr w14:paraId="3CC3D0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continue"/>
            <w:tcBorders>
              <w:tl2br w:val="nil"/>
              <w:tr2bl w:val="nil"/>
            </w:tcBorders>
            <w:shd w:val="clear" w:color="auto" w:fill="auto"/>
            <w:vAlign w:val="center"/>
          </w:tcPr>
          <w:p w14:paraId="4125B37A">
            <w:pPr>
              <w:jc w:val="center"/>
              <w:rPr>
                <w:rFonts w:hint="eastAsia" w:ascii="新宋体" w:hAnsi="新宋体" w:eastAsia="新宋体" w:cs="新宋体"/>
                <w:color w:val="auto"/>
                <w:sz w:val="18"/>
                <w:szCs w:val="18"/>
              </w:rPr>
            </w:pPr>
          </w:p>
        </w:tc>
        <w:tc>
          <w:tcPr>
            <w:tcW w:w="245" w:type="dxa"/>
            <w:vMerge w:val="restart"/>
            <w:tcBorders>
              <w:tl2br w:val="nil"/>
              <w:tr2bl w:val="nil"/>
            </w:tcBorders>
            <w:shd w:val="clear" w:color="auto" w:fill="auto"/>
            <w:vAlign w:val="center"/>
          </w:tcPr>
          <w:p w14:paraId="25C77D2E">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5</w:t>
            </w:r>
          </w:p>
        </w:tc>
        <w:tc>
          <w:tcPr>
            <w:tcW w:w="603" w:type="dxa"/>
            <w:vMerge w:val="restart"/>
            <w:tcBorders>
              <w:tl2br w:val="nil"/>
              <w:tr2bl w:val="nil"/>
            </w:tcBorders>
            <w:shd w:val="clear" w:color="auto" w:fill="auto"/>
            <w:vAlign w:val="center"/>
          </w:tcPr>
          <w:p w14:paraId="12929CCF">
            <w:pPr>
              <w:spacing w:line="220" w:lineRule="exact"/>
              <w:jc w:val="lef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模板安装尺寸允许偏差</w:t>
            </w:r>
            <w:r>
              <w:rPr>
                <w:rFonts w:hint="eastAsia" w:ascii="新宋体" w:hAnsi="新宋体" w:eastAsia="新宋体" w:cs="新宋体"/>
                <w:color w:val="auto"/>
                <w:sz w:val="15"/>
                <w:szCs w:val="15"/>
              </w:rPr>
              <w:t>（mm）</w:t>
            </w:r>
          </w:p>
        </w:tc>
        <w:tc>
          <w:tcPr>
            <w:tcW w:w="1910" w:type="dxa"/>
            <w:gridSpan w:val="4"/>
            <w:tcBorders>
              <w:tl2br w:val="nil"/>
              <w:tr2bl w:val="nil"/>
            </w:tcBorders>
            <w:shd w:val="clear" w:color="auto" w:fill="auto"/>
            <w:vAlign w:val="center"/>
          </w:tcPr>
          <w:p w14:paraId="122DCBDE">
            <w:pPr>
              <w:spacing w:line="220" w:lineRule="exac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轴线位置</w:t>
            </w:r>
          </w:p>
        </w:tc>
        <w:tc>
          <w:tcPr>
            <w:tcW w:w="1196" w:type="dxa"/>
            <w:tcBorders>
              <w:tl2br w:val="nil"/>
              <w:tr2bl w:val="nil"/>
            </w:tcBorders>
            <w:shd w:val="clear" w:color="auto" w:fill="auto"/>
            <w:vAlign w:val="center"/>
          </w:tcPr>
          <w:p w14:paraId="68F036F4">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5</w:t>
            </w:r>
          </w:p>
        </w:tc>
        <w:tc>
          <w:tcPr>
            <w:tcW w:w="1050" w:type="dxa"/>
            <w:tcBorders>
              <w:tl2br w:val="nil"/>
              <w:tr2bl w:val="nil"/>
            </w:tcBorders>
            <w:shd w:val="clear" w:color="auto" w:fill="auto"/>
            <w:vAlign w:val="center"/>
          </w:tcPr>
          <w:p w14:paraId="620B1511">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74F75893">
            <w:pPr>
              <w:spacing w:line="220" w:lineRule="exact"/>
              <w:jc w:val="center"/>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4E86AA16">
            <w:pPr>
              <w:jc w:val="center"/>
              <w:rPr>
                <w:rFonts w:hint="eastAsia" w:ascii="新宋体" w:hAnsi="新宋体" w:eastAsia="新宋体" w:cs="新宋体"/>
                <w:color w:val="auto"/>
                <w:sz w:val="18"/>
                <w:szCs w:val="18"/>
              </w:rPr>
            </w:pPr>
          </w:p>
        </w:tc>
      </w:tr>
      <w:tr w14:paraId="59291A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continue"/>
            <w:tcBorders>
              <w:tl2br w:val="nil"/>
              <w:tr2bl w:val="nil"/>
            </w:tcBorders>
            <w:shd w:val="clear" w:color="auto" w:fill="auto"/>
            <w:vAlign w:val="center"/>
          </w:tcPr>
          <w:p w14:paraId="7D03423D">
            <w:pPr>
              <w:jc w:val="center"/>
              <w:rPr>
                <w:rFonts w:hint="eastAsia" w:ascii="新宋体" w:hAnsi="新宋体" w:eastAsia="新宋体" w:cs="新宋体"/>
                <w:color w:val="auto"/>
                <w:sz w:val="18"/>
                <w:szCs w:val="18"/>
              </w:rPr>
            </w:pPr>
          </w:p>
        </w:tc>
        <w:tc>
          <w:tcPr>
            <w:tcW w:w="245" w:type="dxa"/>
            <w:vMerge w:val="continue"/>
            <w:tcBorders>
              <w:tl2br w:val="nil"/>
              <w:tr2bl w:val="nil"/>
            </w:tcBorders>
            <w:shd w:val="clear" w:color="auto" w:fill="auto"/>
            <w:vAlign w:val="center"/>
          </w:tcPr>
          <w:p w14:paraId="6F7BD0C9">
            <w:pPr>
              <w:jc w:val="center"/>
              <w:rPr>
                <w:rFonts w:hint="eastAsia" w:ascii="新宋体" w:hAnsi="新宋体" w:eastAsia="新宋体" w:cs="新宋体"/>
                <w:color w:val="auto"/>
                <w:sz w:val="18"/>
                <w:szCs w:val="18"/>
              </w:rPr>
            </w:pPr>
          </w:p>
        </w:tc>
        <w:tc>
          <w:tcPr>
            <w:tcW w:w="603" w:type="dxa"/>
            <w:vMerge w:val="continue"/>
            <w:tcBorders>
              <w:tl2br w:val="nil"/>
              <w:tr2bl w:val="nil"/>
            </w:tcBorders>
            <w:shd w:val="clear" w:color="auto" w:fill="auto"/>
            <w:vAlign w:val="center"/>
          </w:tcPr>
          <w:p w14:paraId="2EAF96C5">
            <w:pPr>
              <w:spacing w:line="220" w:lineRule="exact"/>
              <w:jc w:val="left"/>
              <w:rPr>
                <w:rFonts w:hint="eastAsia" w:ascii="新宋体" w:hAnsi="新宋体" w:eastAsia="新宋体" w:cs="新宋体"/>
                <w:color w:val="auto"/>
                <w:sz w:val="18"/>
                <w:szCs w:val="18"/>
              </w:rPr>
            </w:pPr>
          </w:p>
        </w:tc>
        <w:tc>
          <w:tcPr>
            <w:tcW w:w="1910" w:type="dxa"/>
            <w:gridSpan w:val="4"/>
            <w:tcBorders>
              <w:tl2br w:val="nil"/>
              <w:tr2bl w:val="nil"/>
            </w:tcBorders>
            <w:shd w:val="clear" w:color="auto" w:fill="auto"/>
            <w:vAlign w:val="center"/>
          </w:tcPr>
          <w:p w14:paraId="3FC56347">
            <w:pPr>
              <w:spacing w:line="220" w:lineRule="exac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底模上表面标高</w:t>
            </w:r>
          </w:p>
        </w:tc>
        <w:tc>
          <w:tcPr>
            <w:tcW w:w="1196" w:type="dxa"/>
            <w:tcBorders>
              <w:tl2br w:val="nil"/>
              <w:tr2bl w:val="nil"/>
            </w:tcBorders>
            <w:shd w:val="clear" w:color="auto" w:fill="auto"/>
            <w:vAlign w:val="center"/>
          </w:tcPr>
          <w:p w14:paraId="74335CC7">
            <w:pPr>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±5</w:t>
            </w:r>
          </w:p>
        </w:tc>
        <w:tc>
          <w:tcPr>
            <w:tcW w:w="1050" w:type="dxa"/>
            <w:tcBorders>
              <w:tl2br w:val="nil"/>
              <w:tr2bl w:val="nil"/>
            </w:tcBorders>
            <w:shd w:val="clear" w:color="auto" w:fill="auto"/>
            <w:vAlign w:val="center"/>
          </w:tcPr>
          <w:p w14:paraId="37DF4AF6">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41BF4D70">
            <w:pPr>
              <w:spacing w:line="220" w:lineRule="exact"/>
              <w:jc w:val="center"/>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27145DC2">
            <w:pPr>
              <w:jc w:val="center"/>
              <w:rPr>
                <w:rFonts w:hint="eastAsia" w:ascii="新宋体" w:hAnsi="新宋体" w:eastAsia="新宋体" w:cs="新宋体"/>
                <w:color w:val="auto"/>
                <w:sz w:val="18"/>
                <w:szCs w:val="18"/>
              </w:rPr>
            </w:pPr>
          </w:p>
        </w:tc>
      </w:tr>
      <w:tr w14:paraId="34DD25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continue"/>
            <w:tcBorders>
              <w:tl2br w:val="nil"/>
              <w:tr2bl w:val="nil"/>
            </w:tcBorders>
            <w:shd w:val="clear" w:color="auto" w:fill="auto"/>
            <w:vAlign w:val="center"/>
          </w:tcPr>
          <w:p w14:paraId="38043890">
            <w:pPr>
              <w:jc w:val="center"/>
              <w:rPr>
                <w:rFonts w:hint="eastAsia" w:ascii="新宋体" w:hAnsi="新宋体" w:eastAsia="新宋体" w:cs="新宋体"/>
                <w:color w:val="auto"/>
                <w:sz w:val="18"/>
                <w:szCs w:val="18"/>
              </w:rPr>
            </w:pPr>
          </w:p>
        </w:tc>
        <w:tc>
          <w:tcPr>
            <w:tcW w:w="245" w:type="dxa"/>
            <w:vMerge w:val="continue"/>
            <w:tcBorders>
              <w:tl2br w:val="nil"/>
              <w:tr2bl w:val="nil"/>
            </w:tcBorders>
            <w:shd w:val="clear" w:color="auto" w:fill="auto"/>
            <w:vAlign w:val="center"/>
          </w:tcPr>
          <w:p w14:paraId="6984E110">
            <w:pPr>
              <w:jc w:val="center"/>
              <w:rPr>
                <w:rFonts w:hint="eastAsia" w:ascii="新宋体" w:hAnsi="新宋体" w:eastAsia="新宋体" w:cs="新宋体"/>
                <w:color w:val="auto"/>
                <w:sz w:val="18"/>
                <w:szCs w:val="18"/>
              </w:rPr>
            </w:pPr>
          </w:p>
        </w:tc>
        <w:tc>
          <w:tcPr>
            <w:tcW w:w="603" w:type="dxa"/>
            <w:vMerge w:val="continue"/>
            <w:tcBorders>
              <w:tl2br w:val="nil"/>
              <w:tr2bl w:val="nil"/>
            </w:tcBorders>
            <w:shd w:val="clear" w:color="auto" w:fill="auto"/>
            <w:vAlign w:val="center"/>
          </w:tcPr>
          <w:p w14:paraId="0A7E12E9">
            <w:pPr>
              <w:spacing w:line="220" w:lineRule="exact"/>
              <w:jc w:val="left"/>
              <w:rPr>
                <w:rFonts w:hint="eastAsia" w:ascii="新宋体" w:hAnsi="新宋体" w:eastAsia="新宋体" w:cs="新宋体"/>
                <w:color w:val="auto"/>
                <w:sz w:val="18"/>
                <w:szCs w:val="18"/>
              </w:rPr>
            </w:pPr>
          </w:p>
        </w:tc>
        <w:tc>
          <w:tcPr>
            <w:tcW w:w="1910" w:type="dxa"/>
            <w:gridSpan w:val="4"/>
            <w:tcBorders>
              <w:tl2br w:val="nil"/>
              <w:tr2bl w:val="nil"/>
            </w:tcBorders>
            <w:shd w:val="clear" w:color="auto" w:fill="auto"/>
            <w:vAlign w:val="center"/>
          </w:tcPr>
          <w:p w14:paraId="6B151777">
            <w:pPr>
              <w:rPr>
                <w:color w:val="auto"/>
                <w:sz w:val="18"/>
                <w:szCs w:val="18"/>
              </w:rPr>
            </w:pPr>
            <w:r>
              <w:rPr>
                <w:rFonts w:hint="eastAsia"/>
                <w:color w:val="auto"/>
                <w:sz w:val="18"/>
                <w:szCs w:val="18"/>
              </w:rPr>
              <w:t>外表面垂直度</w:t>
            </w:r>
          </w:p>
        </w:tc>
        <w:tc>
          <w:tcPr>
            <w:tcW w:w="1196" w:type="dxa"/>
            <w:tcBorders>
              <w:tl2br w:val="nil"/>
              <w:tr2bl w:val="nil"/>
            </w:tcBorders>
            <w:shd w:val="clear" w:color="auto" w:fill="auto"/>
            <w:vAlign w:val="center"/>
          </w:tcPr>
          <w:p w14:paraId="34AE99D7">
            <w:pPr>
              <w:jc w:val="center"/>
              <w:rPr>
                <w:color w:val="auto"/>
                <w:sz w:val="18"/>
                <w:szCs w:val="18"/>
              </w:rPr>
            </w:pPr>
            <w:r>
              <w:rPr>
                <w:rFonts w:hint="eastAsia"/>
                <w:color w:val="auto"/>
                <w:sz w:val="18"/>
                <w:szCs w:val="18"/>
              </w:rPr>
              <w:t>3</w:t>
            </w:r>
          </w:p>
        </w:tc>
        <w:tc>
          <w:tcPr>
            <w:tcW w:w="1050" w:type="dxa"/>
            <w:tcBorders>
              <w:tl2br w:val="nil"/>
              <w:tr2bl w:val="nil"/>
            </w:tcBorders>
            <w:shd w:val="clear" w:color="auto" w:fill="auto"/>
            <w:vAlign w:val="center"/>
          </w:tcPr>
          <w:p w14:paraId="1A31A371">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4316DB38">
            <w:pPr>
              <w:spacing w:line="220" w:lineRule="exact"/>
              <w:jc w:val="center"/>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50F82347">
            <w:pPr>
              <w:jc w:val="center"/>
              <w:rPr>
                <w:rFonts w:hint="eastAsia" w:ascii="新宋体" w:hAnsi="新宋体" w:eastAsia="新宋体" w:cs="新宋体"/>
                <w:color w:val="auto"/>
                <w:sz w:val="18"/>
                <w:szCs w:val="18"/>
              </w:rPr>
            </w:pPr>
          </w:p>
        </w:tc>
      </w:tr>
      <w:tr w14:paraId="106033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continue"/>
            <w:tcBorders>
              <w:tl2br w:val="nil"/>
              <w:tr2bl w:val="nil"/>
            </w:tcBorders>
            <w:shd w:val="clear" w:color="auto" w:fill="auto"/>
            <w:vAlign w:val="center"/>
          </w:tcPr>
          <w:p w14:paraId="76229696">
            <w:pPr>
              <w:jc w:val="center"/>
              <w:rPr>
                <w:rFonts w:hint="eastAsia" w:ascii="新宋体" w:hAnsi="新宋体" w:eastAsia="新宋体" w:cs="新宋体"/>
                <w:color w:val="auto"/>
                <w:sz w:val="18"/>
                <w:szCs w:val="18"/>
              </w:rPr>
            </w:pPr>
          </w:p>
        </w:tc>
        <w:tc>
          <w:tcPr>
            <w:tcW w:w="245" w:type="dxa"/>
            <w:vMerge w:val="continue"/>
            <w:tcBorders>
              <w:tl2br w:val="nil"/>
              <w:tr2bl w:val="nil"/>
            </w:tcBorders>
            <w:shd w:val="clear" w:color="auto" w:fill="auto"/>
            <w:vAlign w:val="center"/>
          </w:tcPr>
          <w:p w14:paraId="3102DF65">
            <w:pPr>
              <w:jc w:val="center"/>
              <w:rPr>
                <w:rFonts w:hint="eastAsia" w:ascii="新宋体" w:hAnsi="新宋体" w:eastAsia="新宋体" w:cs="新宋体"/>
                <w:color w:val="auto"/>
                <w:sz w:val="18"/>
                <w:szCs w:val="18"/>
              </w:rPr>
            </w:pPr>
          </w:p>
        </w:tc>
        <w:tc>
          <w:tcPr>
            <w:tcW w:w="603" w:type="dxa"/>
            <w:vMerge w:val="continue"/>
            <w:tcBorders>
              <w:tl2br w:val="nil"/>
              <w:tr2bl w:val="nil"/>
            </w:tcBorders>
            <w:shd w:val="clear" w:color="auto" w:fill="auto"/>
            <w:vAlign w:val="center"/>
          </w:tcPr>
          <w:p w14:paraId="633367E7">
            <w:pPr>
              <w:spacing w:line="220" w:lineRule="exact"/>
              <w:jc w:val="left"/>
              <w:rPr>
                <w:rFonts w:hint="eastAsia" w:ascii="新宋体" w:hAnsi="新宋体" w:eastAsia="新宋体" w:cs="新宋体"/>
                <w:color w:val="auto"/>
                <w:sz w:val="18"/>
                <w:szCs w:val="18"/>
              </w:rPr>
            </w:pPr>
          </w:p>
        </w:tc>
        <w:tc>
          <w:tcPr>
            <w:tcW w:w="1910" w:type="dxa"/>
            <w:gridSpan w:val="4"/>
            <w:tcBorders>
              <w:tl2br w:val="nil"/>
              <w:tr2bl w:val="nil"/>
            </w:tcBorders>
            <w:shd w:val="clear" w:color="auto" w:fill="auto"/>
            <w:vAlign w:val="center"/>
          </w:tcPr>
          <w:p w14:paraId="2F085E11">
            <w:pPr>
              <w:rPr>
                <w:color w:val="auto"/>
                <w:sz w:val="18"/>
                <w:szCs w:val="18"/>
              </w:rPr>
            </w:pPr>
            <w:r>
              <w:rPr>
                <w:rFonts w:hint="eastAsia"/>
                <w:color w:val="auto"/>
                <w:sz w:val="18"/>
                <w:szCs w:val="18"/>
              </w:rPr>
              <w:t>相邻两块模板表面高差</w:t>
            </w:r>
          </w:p>
        </w:tc>
        <w:tc>
          <w:tcPr>
            <w:tcW w:w="1196" w:type="dxa"/>
            <w:tcBorders>
              <w:tl2br w:val="nil"/>
              <w:tr2bl w:val="nil"/>
            </w:tcBorders>
            <w:shd w:val="clear" w:color="auto" w:fill="auto"/>
            <w:vAlign w:val="center"/>
          </w:tcPr>
          <w:p w14:paraId="24D1CEB9">
            <w:pPr>
              <w:jc w:val="center"/>
              <w:rPr>
                <w:color w:val="auto"/>
                <w:sz w:val="18"/>
                <w:szCs w:val="18"/>
              </w:rPr>
            </w:pPr>
            <w:r>
              <w:rPr>
                <w:rFonts w:hint="eastAsia"/>
                <w:color w:val="auto"/>
                <w:sz w:val="18"/>
                <w:szCs w:val="18"/>
              </w:rPr>
              <w:t>2</w:t>
            </w:r>
          </w:p>
        </w:tc>
        <w:tc>
          <w:tcPr>
            <w:tcW w:w="1050" w:type="dxa"/>
            <w:tcBorders>
              <w:tl2br w:val="nil"/>
              <w:tr2bl w:val="nil"/>
            </w:tcBorders>
            <w:shd w:val="clear" w:color="auto" w:fill="auto"/>
            <w:vAlign w:val="center"/>
          </w:tcPr>
          <w:p w14:paraId="36CEA157">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48DD05E1">
            <w:pPr>
              <w:spacing w:line="220" w:lineRule="exact"/>
              <w:jc w:val="center"/>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527DAA5D">
            <w:pPr>
              <w:jc w:val="center"/>
              <w:rPr>
                <w:rFonts w:hint="eastAsia" w:ascii="新宋体" w:hAnsi="新宋体" w:eastAsia="新宋体" w:cs="新宋体"/>
                <w:color w:val="auto"/>
                <w:sz w:val="18"/>
                <w:szCs w:val="18"/>
              </w:rPr>
            </w:pPr>
          </w:p>
        </w:tc>
      </w:tr>
      <w:tr w14:paraId="4C4541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continue"/>
            <w:tcBorders>
              <w:tl2br w:val="nil"/>
              <w:tr2bl w:val="nil"/>
            </w:tcBorders>
            <w:shd w:val="clear" w:color="auto" w:fill="auto"/>
            <w:vAlign w:val="center"/>
          </w:tcPr>
          <w:p w14:paraId="05D461C2">
            <w:pPr>
              <w:jc w:val="center"/>
              <w:rPr>
                <w:rFonts w:hint="eastAsia" w:ascii="新宋体" w:hAnsi="新宋体" w:eastAsia="新宋体" w:cs="新宋体"/>
                <w:color w:val="auto"/>
                <w:sz w:val="18"/>
                <w:szCs w:val="18"/>
              </w:rPr>
            </w:pPr>
          </w:p>
        </w:tc>
        <w:tc>
          <w:tcPr>
            <w:tcW w:w="245" w:type="dxa"/>
            <w:vMerge w:val="continue"/>
            <w:tcBorders>
              <w:tl2br w:val="nil"/>
              <w:tr2bl w:val="nil"/>
            </w:tcBorders>
            <w:shd w:val="clear" w:color="auto" w:fill="auto"/>
            <w:vAlign w:val="center"/>
          </w:tcPr>
          <w:p w14:paraId="6D14BD99">
            <w:pPr>
              <w:jc w:val="center"/>
              <w:rPr>
                <w:rFonts w:hint="eastAsia" w:ascii="新宋体" w:hAnsi="新宋体" w:eastAsia="新宋体" w:cs="新宋体"/>
                <w:color w:val="auto"/>
                <w:sz w:val="18"/>
                <w:szCs w:val="18"/>
              </w:rPr>
            </w:pPr>
          </w:p>
        </w:tc>
        <w:tc>
          <w:tcPr>
            <w:tcW w:w="603" w:type="dxa"/>
            <w:vMerge w:val="continue"/>
            <w:tcBorders>
              <w:tl2br w:val="nil"/>
              <w:tr2bl w:val="nil"/>
            </w:tcBorders>
            <w:shd w:val="clear" w:color="auto" w:fill="auto"/>
            <w:vAlign w:val="center"/>
          </w:tcPr>
          <w:p w14:paraId="4EEFA9F4">
            <w:pPr>
              <w:spacing w:line="220" w:lineRule="exact"/>
              <w:jc w:val="left"/>
              <w:rPr>
                <w:rFonts w:hint="eastAsia" w:ascii="新宋体" w:hAnsi="新宋体" w:eastAsia="新宋体" w:cs="新宋体"/>
                <w:color w:val="auto"/>
                <w:sz w:val="18"/>
                <w:szCs w:val="18"/>
              </w:rPr>
            </w:pPr>
          </w:p>
        </w:tc>
        <w:tc>
          <w:tcPr>
            <w:tcW w:w="1910" w:type="dxa"/>
            <w:gridSpan w:val="4"/>
            <w:tcBorders>
              <w:tl2br w:val="nil"/>
              <w:tr2bl w:val="nil"/>
            </w:tcBorders>
            <w:shd w:val="clear" w:color="auto" w:fill="auto"/>
            <w:vAlign w:val="center"/>
          </w:tcPr>
          <w:p w14:paraId="3F667FB4">
            <w:pPr>
              <w:spacing w:line="260" w:lineRule="exact"/>
              <w:rPr>
                <w:color w:val="auto"/>
                <w:sz w:val="18"/>
                <w:szCs w:val="18"/>
              </w:rPr>
            </w:pPr>
            <w:r>
              <w:rPr>
                <w:rFonts w:hint="eastAsia"/>
                <w:color w:val="auto"/>
                <w:sz w:val="18"/>
                <w:szCs w:val="18"/>
              </w:rPr>
              <w:t>模板拼缝缝宽不大于1mm</w:t>
            </w:r>
          </w:p>
        </w:tc>
        <w:tc>
          <w:tcPr>
            <w:tcW w:w="1196" w:type="dxa"/>
            <w:tcBorders>
              <w:tl2br w:val="nil"/>
              <w:tr2bl w:val="nil"/>
            </w:tcBorders>
            <w:shd w:val="clear" w:color="auto" w:fill="auto"/>
            <w:vAlign w:val="center"/>
          </w:tcPr>
          <w:p w14:paraId="6FF52AEF">
            <w:pPr>
              <w:jc w:val="center"/>
              <w:rPr>
                <w:color w:val="auto"/>
                <w:sz w:val="18"/>
                <w:szCs w:val="18"/>
              </w:rPr>
            </w:pPr>
            <w:r>
              <w:rPr>
                <w:rFonts w:hint="eastAsia"/>
                <w:color w:val="auto"/>
                <w:sz w:val="18"/>
                <w:szCs w:val="18"/>
              </w:rPr>
              <w:t>±1</w:t>
            </w:r>
          </w:p>
        </w:tc>
        <w:tc>
          <w:tcPr>
            <w:tcW w:w="1050" w:type="dxa"/>
            <w:tcBorders>
              <w:tl2br w:val="nil"/>
              <w:tr2bl w:val="nil"/>
            </w:tcBorders>
            <w:shd w:val="clear" w:color="auto" w:fill="auto"/>
            <w:vAlign w:val="center"/>
          </w:tcPr>
          <w:p w14:paraId="70916785">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18413E10">
            <w:pPr>
              <w:spacing w:line="220" w:lineRule="exact"/>
              <w:jc w:val="center"/>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5B9DA599">
            <w:pPr>
              <w:jc w:val="center"/>
              <w:rPr>
                <w:rFonts w:hint="eastAsia" w:ascii="新宋体" w:hAnsi="新宋体" w:eastAsia="新宋体" w:cs="新宋体"/>
                <w:color w:val="auto"/>
                <w:sz w:val="18"/>
                <w:szCs w:val="18"/>
              </w:rPr>
            </w:pPr>
          </w:p>
        </w:tc>
      </w:tr>
      <w:tr w14:paraId="5073BE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55" w:type="dxa"/>
            <w:vMerge w:val="continue"/>
            <w:tcBorders>
              <w:tl2br w:val="nil"/>
              <w:tr2bl w:val="nil"/>
            </w:tcBorders>
            <w:shd w:val="clear" w:color="auto" w:fill="auto"/>
            <w:vAlign w:val="center"/>
          </w:tcPr>
          <w:p w14:paraId="5B5BBB1F">
            <w:pPr>
              <w:jc w:val="center"/>
              <w:rPr>
                <w:rFonts w:hint="eastAsia" w:ascii="新宋体" w:hAnsi="新宋体" w:eastAsia="新宋体" w:cs="新宋体"/>
                <w:color w:val="auto"/>
                <w:sz w:val="18"/>
                <w:szCs w:val="18"/>
              </w:rPr>
            </w:pPr>
          </w:p>
        </w:tc>
        <w:tc>
          <w:tcPr>
            <w:tcW w:w="245" w:type="dxa"/>
            <w:vMerge w:val="continue"/>
            <w:tcBorders>
              <w:tl2br w:val="nil"/>
              <w:tr2bl w:val="nil"/>
            </w:tcBorders>
            <w:shd w:val="clear" w:color="auto" w:fill="auto"/>
            <w:vAlign w:val="center"/>
          </w:tcPr>
          <w:p w14:paraId="40D77D52">
            <w:pPr>
              <w:jc w:val="center"/>
              <w:rPr>
                <w:rFonts w:hint="eastAsia" w:ascii="新宋体" w:hAnsi="新宋体" w:eastAsia="新宋体" w:cs="新宋体"/>
                <w:color w:val="auto"/>
                <w:sz w:val="18"/>
                <w:szCs w:val="18"/>
              </w:rPr>
            </w:pPr>
          </w:p>
        </w:tc>
        <w:tc>
          <w:tcPr>
            <w:tcW w:w="603" w:type="dxa"/>
            <w:vMerge w:val="continue"/>
            <w:tcBorders>
              <w:tl2br w:val="nil"/>
              <w:tr2bl w:val="nil"/>
            </w:tcBorders>
            <w:shd w:val="clear" w:color="auto" w:fill="auto"/>
            <w:vAlign w:val="center"/>
          </w:tcPr>
          <w:p w14:paraId="21748401">
            <w:pPr>
              <w:spacing w:line="220" w:lineRule="exact"/>
              <w:jc w:val="left"/>
              <w:rPr>
                <w:rFonts w:hint="eastAsia" w:ascii="新宋体" w:hAnsi="新宋体" w:eastAsia="新宋体" w:cs="新宋体"/>
                <w:color w:val="auto"/>
                <w:sz w:val="18"/>
                <w:szCs w:val="18"/>
              </w:rPr>
            </w:pPr>
          </w:p>
        </w:tc>
        <w:tc>
          <w:tcPr>
            <w:tcW w:w="1910" w:type="dxa"/>
            <w:gridSpan w:val="4"/>
            <w:tcBorders>
              <w:tl2br w:val="nil"/>
              <w:tr2bl w:val="nil"/>
            </w:tcBorders>
            <w:shd w:val="clear" w:color="auto" w:fill="auto"/>
            <w:vAlign w:val="center"/>
          </w:tcPr>
          <w:p w14:paraId="0CCAA5DC">
            <w:pPr>
              <w:rPr>
                <w:color w:val="auto"/>
                <w:sz w:val="18"/>
                <w:szCs w:val="18"/>
              </w:rPr>
            </w:pPr>
            <w:r>
              <w:rPr>
                <w:rFonts w:hint="eastAsia"/>
                <w:color w:val="auto"/>
                <w:sz w:val="18"/>
                <w:szCs w:val="18"/>
              </w:rPr>
              <w:t>表面平整度</w:t>
            </w:r>
          </w:p>
        </w:tc>
        <w:tc>
          <w:tcPr>
            <w:tcW w:w="1196" w:type="dxa"/>
            <w:tcBorders>
              <w:tl2br w:val="nil"/>
              <w:tr2bl w:val="nil"/>
            </w:tcBorders>
            <w:shd w:val="clear" w:color="auto" w:fill="auto"/>
            <w:vAlign w:val="center"/>
          </w:tcPr>
          <w:p w14:paraId="6930B3E2">
            <w:pPr>
              <w:jc w:val="center"/>
              <w:rPr>
                <w:color w:val="auto"/>
                <w:sz w:val="18"/>
                <w:szCs w:val="18"/>
              </w:rPr>
            </w:pPr>
            <w:r>
              <w:rPr>
                <w:rFonts w:hint="eastAsia"/>
                <w:color w:val="auto"/>
                <w:sz w:val="18"/>
                <w:szCs w:val="18"/>
              </w:rPr>
              <w:t>3</w:t>
            </w:r>
          </w:p>
        </w:tc>
        <w:tc>
          <w:tcPr>
            <w:tcW w:w="1050" w:type="dxa"/>
            <w:tcBorders>
              <w:tl2br w:val="nil"/>
              <w:tr2bl w:val="nil"/>
            </w:tcBorders>
            <w:shd w:val="clear" w:color="auto" w:fill="auto"/>
            <w:vAlign w:val="center"/>
          </w:tcPr>
          <w:p w14:paraId="1BAA7B38">
            <w:pPr>
              <w:jc w:val="center"/>
              <w:rPr>
                <w:rFonts w:hint="eastAsia" w:ascii="新宋体" w:hAnsi="新宋体" w:eastAsia="新宋体" w:cs="新宋体"/>
                <w:color w:val="auto"/>
                <w:sz w:val="18"/>
                <w:szCs w:val="18"/>
              </w:rPr>
            </w:pPr>
          </w:p>
        </w:tc>
        <w:tc>
          <w:tcPr>
            <w:tcW w:w="2373" w:type="dxa"/>
            <w:gridSpan w:val="3"/>
            <w:tcBorders>
              <w:tl2br w:val="nil"/>
              <w:tr2bl w:val="nil"/>
            </w:tcBorders>
            <w:shd w:val="clear" w:color="auto" w:fill="auto"/>
            <w:vAlign w:val="center"/>
          </w:tcPr>
          <w:p w14:paraId="381CA2D3">
            <w:pPr>
              <w:spacing w:line="220" w:lineRule="exact"/>
              <w:jc w:val="center"/>
              <w:rPr>
                <w:rFonts w:hint="eastAsia" w:ascii="新宋体" w:hAnsi="新宋体" w:eastAsia="新宋体" w:cs="新宋体"/>
                <w:color w:val="auto"/>
                <w:sz w:val="18"/>
                <w:szCs w:val="18"/>
              </w:rPr>
            </w:pPr>
          </w:p>
        </w:tc>
        <w:tc>
          <w:tcPr>
            <w:tcW w:w="982" w:type="dxa"/>
            <w:tcBorders>
              <w:tl2br w:val="nil"/>
              <w:tr2bl w:val="nil"/>
            </w:tcBorders>
            <w:shd w:val="clear" w:color="auto" w:fill="auto"/>
            <w:vAlign w:val="center"/>
          </w:tcPr>
          <w:p w14:paraId="41C96DD5">
            <w:pPr>
              <w:jc w:val="center"/>
              <w:rPr>
                <w:rFonts w:hint="eastAsia" w:ascii="新宋体" w:hAnsi="新宋体" w:eastAsia="新宋体" w:cs="新宋体"/>
                <w:color w:val="auto"/>
                <w:sz w:val="18"/>
                <w:szCs w:val="18"/>
              </w:rPr>
            </w:pPr>
          </w:p>
        </w:tc>
      </w:tr>
      <w:tr w14:paraId="0FE2F0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98" w:hRule="atLeast"/>
        </w:trPr>
        <w:tc>
          <w:tcPr>
            <w:tcW w:w="1459" w:type="dxa"/>
            <w:gridSpan w:val="5"/>
            <w:tcBorders>
              <w:tl2br w:val="nil"/>
              <w:tr2bl w:val="nil"/>
            </w:tcBorders>
            <w:shd w:val="clear" w:color="auto" w:fill="auto"/>
            <w:vAlign w:val="center"/>
          </w:tcPr>
          <w:p w14:paraId="5F11B9A1">
            <w:pPr>
              <w:spacing w:line="220" w:lineRule="exact"/>
              <w:rPr>
                <w:rFonts w:hint="eastAsia" w:ascii="新宋体" w:hAnsi="新宋体" w:eastAsia="新宋体" w:cs="新宋体"/>
                <w:color w:val="auto"/>
                <w:sz w:val="18"/>
                <w:szCs w:val="18"/>
              </w:rPr>
            </w:pPr>
          </w:p>
          <w:p w14:paraId="46C9BDE5">
            <w:pPr>
              <w:spacing w:line="22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施工单位</w:t>
            </w:r>
          </w:p>
          <w:p w14:paraId="73B3A243">
            <w:pPr>
              <w:spacing w:line="22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 xml:space="preserve">检查结果                                           </w:t>
            </w:r>
          </w:p>
        </w:tc>
        <w:tc>
          <w:tcPr>
            <w:tcW w:w="7255" w:type="dxa"/>
            <w:gridSpan w:val="8"/>
            <w:tcBorders>
              <w:tl2br w:val="nil"/>
              <w:tr2bl w:val="nil"/>
            </w:tcBorders>
            <w:shd w:val="clear" w:color="auto" w:fill="auto"/>
            <w:vAlign w:val="center"/>
          </w:tcPr>
          <w:p w14:paraId="0CAE52EE">
            <w:pPr>
              <w:spacing w:line="220" w:lineRule="exact"/>
              <w:rPr>
                <w:rFonts w:hint="eastAsia" w:ascii="新宋体" w:hAnsi="新宋体" w:eastAsia="新宋体" w:cs="新宋体"/>
                <w:color w:val="auto"/>
                <w:sz w:val="18"/>
                <w:szCs w:val="18"/>
              </w:rPr>
            </w:pPr>
          </w:p>
          <w:p w14:paraId="5F9DA003">
            <w:pPr>
              <w:spacing w:line="220" w:lineRule="exac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 xml:space="preserve">                                         专业工长：</w:t>
            </w:r>
          </w:p>
          <w:p w14:paraId="1B557773">
            <w:pPr>
              <w:spacing w:line="220" w:lineRule="exact"/>
              <w:rPr>
                <w:rFonts w:hint="eastAsia" w:ascii="新宋体" w:hAnsi="新宋体" w:eastAsia="新宋体" w:cs="新宋体"/>
                <w:color w:val="auto"/>
                <w:sz w:val="18"/>
                <w:szCs w:val="18"/>
              </w:rPr>
            </w:pPr>
          </w:p>
          <w:p w14:paraId="6045BB4E">
            <w:pPr>
              <w:spacing w:line="220" w:lineRule="exac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 xml:space="preserve">                                         项目专业质量检查员：</w:t>
            </w:r>
          </w:p>
          <w:p w14:paraId="14D663E3">
            <w:pPr>
              <w:spacing w:line="220" w:lineRule="exact"/>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 xml:space="preserve">                                                       </w:t>
            </w:r>
          </w:p>
          <w:p w14:paraId="55D956D4">
            <w:pPr>
              <w:spacing w:line="22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 xml:space="preserve">                                      年    月    日 </w:t>
            </w:r>
          </w:p>
        </w:tc>
      </w:tr>
      <w:tr w14:paraId="01EA00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24" w:hRule="atLeast"/>
        </w:trPr>
        <w:tc>
          <w:tcPr>
            <w:tcW w:w="1459" w:type="dxa"/>
            <w:gridSpan w:val="5"/>
            <w:tcBorders>
              <w:tl2br w:val="nil"/>
              <w:tr2bl w:val="nil"/>
            </w:tcBorders>
            <w:shd w:val="clear" w:color="auto" w:fill="auto"/>
            <w:vAlign w:val="center"/>
          </w:tcPr>
          <w:p w14:paraId="7B164740">
            <w:pPr>
              <w:spacing w:line="220" w:lineRule="exact"/>
              <w:jc w:val="center"/>
              <w:rPr>
                <w:rFonts w:hint="eastAsia" w:ascii="新宋体" w:hAnsi="新宋体" w:eastAsia="新宋体" w:cs="新宋体"/>
                <w:color w:val="auto"/>
                <w:sz w:val="18"/>
                <w:szCs w:val="18"/>
              </w:rPr>
            </w:pPr>
            <w:r>
              <w:rPr>
                <w:rFonts w:hint="eastAsia" w:ascii="新宋体" w:hAnsi="新宋体" w:eastAsia="新宋体" w:cs="新宋体"/>
                <w:color w:val="auto"/>
                <w:sz w:val="18"/>
                <w:szCs w:val="18"/>
              </w:rPr>
              <w:t>监理单位</w:t>
            </w:r>
          </w:p>
          <w:p w14:paraId="5ED3FBDA">
            <w:pPr>
              <w:spacing w:line="220" w:lineRule="exact"/>
              <w:jc w:val="center"/>
              <w:rPr>
                <w:color w:val="auto"/>
                <w:sz w:val="18"/>
                <w:szCs w:val="18"/>
              </w:rPr>
            </w:pPr>
            <w:r>
              <w:rPr>
                <w:rFonts w:hint="eastAsia" w:ascii="新宋体" w:hAnsi="新宋体" w:eastAsia="新宋体" w:cs="新宋体"/>
                <w:color w:val="auto"/>
                <w:sz w:val="18"/>
                <w:szCs w:val="18"/>
              </w:rPr>
              <w:t>验收结论</w:t>
            </w:r>
          </w:p>
        </w:tc>
        <w:tc>
          <w:tcPr>
            <w:tcW w:w="7255" w:type="dxa"/>
            <w:gridSpan w:val="8"/>
            <w:tcBorders>
              <w:tl2br w:val="nil"/>
              <w:tr2bl w:val="nil"/>
            </w:tcBorders>
            <w:shd w:val="clear" w:color="auto" w:fill="auto"/>
            <w:vAlign w:val="center"/>
          </w:tcPr>
          <w:p w14:paraId="3EE20EFD">
            <w:pPr>
              <w:spacing w:line="220" w:lineRule="exact"/>
              <w:rPr>
                <w:color w:val="auto"/>
                <w:sz w:val="18"/>
                <w:szCs w:val="18"/>
              </w:rPr>
            </w:pPr>
          </w:p>
          <w:p w14:paraId="27894787">
            <w:pPr>
              <w:spacing w:line="220" w:lineRule="exact"/>
              <w:rPr>
                <w:color w:val="auto"/>
                <w:sz w:val="18"/>
                <w:szCs w:val="18"/>
              </w:rPr>
            </w:pPr>
          </w:p>
          <w:p w14:paraId="2ECAAE12">
            <w:pPr>
              <w:spacing w:line="220" w:lineRule="exact"/>
              <w:rPr>
                <w:color w:val="auto"/>
                <w:sz w:val="18"/>
                <w:szCs w:val="18"/>
              </w:rPr>
            </w:pPr>
          </w:p>
          <w:p w14:paraId="7D3901BA">
            <w:pPr>
              <w:spacing w:line="220" w:lineRule="exact"/>
              <w:rPr>
                <w:rFonts w:hint="eastAsia" w:ascii="新宋体" w:hAnsi="新宋体" w:eastAsia="新宋体" w:cs="新宋体"/>
                <w:color w:val="auto"/>
                <w:sz w:val="18"/>
                <w:szCs w:val="18"/>
              </w:rPr>
            </w:pPr>
            <w:r>
              <w:rPr>
                <w:rFonts w:hint="eastAsia"/>
                <w:color w:val="auto"/>
                <w:sz w:val="18"/>
                <w:szCs w:val="18"/>
              </w:rPr>
              <w:t xml:space="preserve">      </w:t>
            </w:r>
            <w:r>
              <w:rPr>
                <w:rFonts w:hint="eastAsia" w:ascii="新宋体" w:hAnsi="新宋体" w:eastAsia="新宋体" w:cs="新宋体"/>
                <w:color w:val="auto"/>
                <w:sz w:val="18"/>
                <w:szCs w:val="18"/>
              </w:rPr>
              <w:t xml:space="preserve">                                    专业监理工程师：</w:t>
            </w:r>
          </w:p>
          <w:p w14:paraId="45159DE1">
            <w:pPr>
              <w:rPr>
                <w:color w:val="auto"/>
                <w:sz w:val="18"/>
                <w:szCs w:val="18"/>
              </w:rPr>
            </w:pPr>
            <w:r>
              <w:rPr>
                <w:rFonts w:hint="eastAsia" w:ascii="新宋体" w:hAnsi="新宋体" w:eastAsia="新宋体" w:cs="新宋体"/>
                <w:color w:val="auto"/>
                <w:sz w:val="18"/>
                <w:szCs w:val="18"/>
              </w:rPr>
              <w:t xml:space="preserve">                                                   年    月    日</w:t>
            </w:r>
          </w:p>
        </w:tc>
      </w:tr>
    </w:tbl>
    <w:p w14:paraId="0A077DD4">
      <w:pPr>
        <w:spacing w:line="360" w:lineRule="auto"/>
        <w:rPr>
          <w:rFonts w:ascii="Times New Roman" w:hAnsi="Times New Roman" w:cs="Times New Roman"/>
          <w:color w:val="auto"/>
          <w:sz w:val="24"/>
          <w:szCs w:val="24"/>
        </w:rPr>
        <w:sectPr>
          <w:pgSz w:w="11906" w:h="16838"/>
          <w:pgMar w:top="1440" w:right="1800" w:bottom="1440" w:left="1800" w:header="851" w:footer="992" w:gutter="0"/>
          <w:cols w:space="720" w:num="1"/>
          <w:docGrid w:type="lines" w:linePitch="312" w:charSpace="0"/>
        </w:sectPr>
      </w:pPr>
    </w:p>
    <w:p w14:paraId="2B661374">
      <w:pPr>
        <w:pStyle w:val="4"/>
        <w:spacing w:before="312" w:beforeLines="100" w:after="312" w:afterLines="100"/>
        <w:jc w:val="center"/>
        <w:rPr>
          <w:color w:val="auto"/>
        </w:rPr>
      </w:pPr>
      <w:bookmarkStart w:id="1739" w:name="_Toc28318"/>
      <w:bookmarkStart w:id="1740" w:name="_Toc9461"/>
      <w:bookmarkStart w:id="1741" w:name="_Toc57193557"/>
      <w:bookmarkStart w:id="1742" w:name="_Toc57193770"/>
      <w:bookmarkStart w:id="1743" w:name="_Toc5745"/>
      <w:bookmarkStart w:id="1744" w:name="_Toc13185"/>
      <w:bookmarkStart w:id="1745" w:name="_Toc8893"/>
      <w:bookmarkStart w:id="1746" w:name="_Toc13831"/>
      <w:bookmarkStart w:id="1747" w:name="_Toc17404"/>
      <w:bookmarkStart w:id="1748" w:name="_Toc114512231"/>
      <w:bookmarkStart w:id="1749" w:name="_Toc30672"/>
      <w:bookmarkStart w:id="1750" w:name="_Toc20046"/>
      <w:bookmarkStart w:id="1751" w:name="_Toc21799"/>
      <w:bookmarkStart w:id="1752" w:name="_Toc4653"/>
      <w:bookmarkStart w:id="1753" w:name="_Toc29216"/>
      <w:bookmarkStart w:id="1754" w:name="_Toc114512232"/>
      <w:r>
        <w:rPr>
          <w:rFonts w:hAnsi="宋体"/>
          <w:color w:val="auto"/>
        </w:rPr>
        <w:t>本规程用词说明</w:t>
      </w:r>
      <w:bookmarkEnd w:id="1739"/>
      <w:bookmarkEnd w:id="1740"/>
      <w:bookmarkEnd w:id="1741"/>
      <w:bookmarkEnd w:id="1742"/>
    </w:p>
    <w:p w14:paraId="3A31121D">
      <w:pPr>
        <w:spacing w:line="520" w:lineRule="exact"/>
        <w:rPr>
          <w:bCs/>
          <w:color w:val="auto"/>
          <w:sz w:val="24"/>
        </w:rPr>
      </w:pPr>
      <w:r>
        <w:rPr>
          <w:b/>
          <w:bCs/>
          <w:color w:val="auto"/>
          <w:sz w:val="24"/>
        </w:rPr>
        <w:t xml:space="preserve">1  </w:t>
      </w:r>
      <w:r>
        <w:rPr>
          <w:rFonts w:hAnsi="宋体"/>
          <w:bCs/>
          <w:color w:val="auto"/>
          <w:sz w:val="24"/>
        </w:rPr>
        <w:t>为便于在执行本规程条文时区别对待，对于要求严格程度不同的用词说明如下：</w:t>
      </w:r>
    </w:p>
    <w:p w14:paraId="6D02D9AD">
      <w:pPr>
        <w:spacing w:line="520" w:lineRule="exact"/>
        <w:rPr>
          <w:bCs/>
          <w:color w:val="auto"/>
          <w:sz w:val="24"/>
        </w:rPr>
      </w:pPr>
      <w:r>
        <w:rPr>
          <w:b/>
          <w:bCs/>
          <w:color w:val="auto"/>
          <w:sz w:val="24"/>
        </w:rPr>
        <w:t xml:space="preserve">  </w:t>
      </w:r>
      <w:r>
        <w:rPr>
          <w:bCs/>
          <w:color w:val="auto"/>
          <w:sz w:val="24"/>
        </w:rPr>
        <w:t xml:space="preserve"> 1</w:t>
      </w:r>
      <w:r>
        <w:rPr>
          <w:rFonts w:hAnsi="宋体"/>
          <w:bCs/>
          <w:color w:val="auto"/>
          <w:sz w:val="24"/>
        </w:rPr>
        <w:t>）</w:t>
      </w:r>
      <w:r>
        <w:rPr>
          <w:bCs/>
          <w:color w:val="auto"/>
          <w:sz w:val="24"/>
        </w:rPr>
        <w:t xml:space="preserve"> </w:t>
      </w:r>
      <w:r>
        <w:rPr>
          <w:rFonts w:hAnsi="宋体"/>
          <w:bCs/>
          <w:color w:val="auto"/>
          <w:sz w:val="24"/>
        </w:rPr>
        <w:t>表示很严格，非这样做不可的：</w:t>
      </w:r>
    </w:p>
    <w:p w14:paraId="28FB26BB">
      <w:pPr>
        <w:spacing w:line="520" w:lineRule="exact"/>
        <w:rPr>
          <w:bCs/>
          <w:color w:val="auto"/>
          <w:sz w:val="24"/>
        </w:rPr>
      </w:pPr>
      <w:r>
        <w:rPr>
          <w:bCs/>
          <w:color w:val="auto"/>
          <w:sz w:val="24"/>
        </w:rPr>
        <w:t xml:space="preserve">        </w:t>
      </w:r>
      <w:r>
        <w:rPr>
          <w:rFonts w:hAnsi="宋体"/>
          <w:bCs/>
          <w:color w:val="auto"/>
          <w:sz w:val="24"/>
        </w:rPr>
        <w:t>正面词采用</w:t>
      </w:r>
      <w:r>
        <w:rPr>
          <w:bCs/>
          <w:color w:val="auto"/>
          <w:sz w:val="24"/>
        </w:rPr>
        <w:t>“</w:t>
      </w:r>
      <w:r>
        <w:rPr>
          <w:rFonts w:hAnsi="宋体"/>
          <w:bCs/>
          <w:color w:val="auto"/>
          <w:sz w:val="24"/>
        </w:rPr>
        <w:t>必须</w:t>
      </w:r>
      <w:r>
        <w:rPr>
          <w:bCs/>
          <w:color w:val="auto"/>
          <w:sz w:val="24"/>
        </w:rPr>
        <w:t>”</w:t>
      </w:r>
      <w:r>
        <w:rPr>
          <w:rFonts w:hAnsi="宋体"/>
          <w:bCs/>
          <w:color w:val="auto"/>
          <w:sz w:val="24"/>
        </w:rPr>
        <w:t>；反面词采用</w:t>
      </w:r>
      <w:r>
        <w:rPr>
          <w:bCs/>
          <w:color w:val="auto"/>
          <w:sz w:val="24"/>
        </w:rPr>
        <w:t>“</w:t>
      </w:r>
      <w:r>
        <w:rPr>
          <w:rFonts w:hAnsi="宋体"/>
          <w:bCs/>
          <w:color w:val="auto"/>
          <w:sz w:val="24"/>
        </w:rPr>
        <w:t>严禁</w:t>
      </w:r>
      <w:r>
        <w:rPr>
          <w:bCs/>
          <w:color w:val="auto"/>
          <w:sz w:val="24"/>
        </w:rPr>
        <w:t>”</w:t>
      </w:r>
      <w:r>
        <w:rPr>
          <w:rFonts w:hAnsi="宋体"/>
          <w:bCs/>
          <w:color w:val="auto"/>
          <w:sz w:val="24"/>
        </w:rPr>
        <w:t>；</w:t>
      </w:r>
    </w:p>
    <w:p w14:paraId="7FFA57F6">
      <w:pPr>
        <w:spacing w:line="520" w:lineRule="exact"/>
        <w:rPr>
          <w:bCs/>
          <w:color w:val="auto"/>
          <w:sz w:val="24"/>
        </w:rPr>
      </w:pPr>
      <w:r>
        <w:rPr>
          <w:bCs/>
          <w:color w:val="auto"/>
          <w:sz w:val="24"/>
        </w:rPr>
        <w:t xml:space="preserve">   2</w:t>
      </w:r>
      <w:r>
        <w:rPr>
          <w:rFonts w:hAnsi="宋体"/>
          <w:bCs/>
          <w:color w:val="auto"/>
          <w:sz w:val="24"/>
        </w:rPr>
        <w:t>）</w:t>
      </w:r>
      <w:r>
        <w:rPr>
          <w:bCs/>
          <w:color w:val="auto"/>
          <w:sz w:val="24"/>
        </w:rPr>
        <w:t xml:space="preserve"> </w:t>
      </w:r>
      <w:r>
        <w:rPr>
          <w:rFonts w:hAnsi="宋体"/>
          <w:bCs/>
          <w:color w:val="auto"/>
          <w:sz w:val="24"/>
        </w:rPr>
        <w:t>表示严格，在正常情况下均应这样做的：</w:t>
      </w:r>
    </w:p>
    <w:p w14:paraId="5FED044A">
      <w:pPr>
        <w:spacing w:line="520" w:lineRule="exact"/>
        <w:rPr>
          <w:bCs/>
          <w:color w:val="auto"/>
          <w:sz w:val="24"/>
        </w:rPr>
      </w:pPr>
      <w:r>
        <w:rPr>
          <w:bCs/>
          <w:color w:val="auto"/>
          <w:sz w:val="24"/>
        </w:rPr>
        <w:t xml:space="preserve">        </w:t>
      </w:r>
      <w:r>
        <w:rPr>
          <w:rFonts w:hAnsi="宋体"/>
          <w:bCs/>
          <w:color w:val="auto"/>
          <w:sz w:val="24"/>
        </w:rPr>
        <w:t>正面词采用</w:t>
      </w:r>
      <w:r>
        <w:rPr>
          <w:bCs/>
          <w:color w:val="auto"/>
          <w:sz w:val="24"/>
        </w:rPr>
        <w:t>“</w:t>
      </w:r>
      <w:r>
        <w:rPr>
          <w:rFonts w:hAnsi="宋体"/>
          <w:bCs/>
          <w:color w:val="auto"/>
          <w:sz w:val="24"/>
        </w:rPr>
        <w:t>应</w:t>
      </w:r>
      <w:r>
        <w:rPr>
          <w:bCs/>
          <w:color w:val="auto"/>
          <w:sz w:val="24"/>
        </w:rPr>
        <w:t>”</w:t>
      </w:r>
      <w:r>
        <w:rPr>
          <w:rFonts w:hAnsi="宋体"/>
          <w:bCs/>
          <w:color w:val="auto"/>
          <w:sz w:val="24"/>
        </w:rPr>
        <w:t>；反面词采用</w:t>
      </w:r>
      <w:r>
        <w:rPr>
          <w:bCs/>
          <w:color w:val="auto"/>
          <w:sz w:val="24"/>
        </w:rPr>
        <w:t>“</w:t>
      </w:r>
      <w:r>
        <w:rPr>
          <w:rFonts w:hAnsi="宋体"/>
          <w:bCs/>
          <w:color w:val="auto"/>
          <w:sz w:val="24"/>
        </w:rPr>
        <w:t>不应</w:t>
      </w:r>
      <w:r>
        <w:rPr>
          <w:bCs/>
          <w:color w:val="auto"/>
          <w:sz w:val="24"/>
        </w:rPr>
        <w:t>”</w:t>
      </w:r>
      <w:r>
        <w:rPr>
          <w:rFonts w:hAnsi="宋体"/>
          <w:bCs/>
          <w:color w:val="auto"/>
          <w:sz w:val="24"/>
        </w:rPr>
        <w:t>或</w:t>
      </w:r>
      <w:r>
        <w:rPr>
          <w:bCs/>
          <w:color w:val="auto"/>
          <w:sz w:val="24"/>
        </w:rPr>
        <w:t>“</w:t>
      </w:r>
      <w:r>
        <w:rPr>
          <w:rFonts w:hAnsi="宋体"/>
          <w:bCs/>
          <w:color w:val="auto"/>
          <w:sz w:val="24"/>
        </w:rPr>
        <w:t>不得</w:t>
      </w:r>
      <w:r>
        <w:rPr>
          <w:bCs/>
          <w:color w:val="auto"/>
          <w:sz w:val="24"/>
        </w:rPr>
        <w:t>”</w:t>
      </w:r>
      <w:r>
        <w:rPr>
          <w:rFonts w:hAnsi="宋体"/>
          <w:bCs/>
          <w:color w:val="auto"/>
          <w:sz w:val="24"/>
        </w:rPr>
        <w:t>；</w:t>
      </w:r>
    </w:p>
    <w:p w14:paraId="7437B690">
      <w:pPr>
        <w:spacing w:line="520" w:lineRule="exact"/>
        <w:rPr>
          <w:bCs/>
          <w:color w:val="auto"/>
          <w:sz w:val="24"/>
        </w:rPr>
      </w:pPr>
      <w:r>
        <w:rPr>
          <w:bCs/>
          <w:color w:val="auto"/>
          <w:sz w:val="24"/>
        </w:rPr>
        <w:t xml:space="preserve">   3</w:t>
      </w:r>
      <w:r>
        <w:rPr>
          <w:rFonts w:hAnsi="宋体"/>
          <w:bCs/>
          <w:color w:val="auto"/>
          <w:sz w:val="24"/>
        </w:rPr>
        <w:t>）</w:t>
      </w:r>
      <w:r>
        <w:rPr>
          <w:bCs/>
          <w:color w:val="auto"/>
          <w:sz w:val="24"/>
        </w:rPr>
        <w:t xml:space="preserve"> </w:t>
      </w:r>
      <w:r>
        <w:rPr>
          <w:rFonts w:hAnsi="宋体"/>
          <w:bCs/>
          <w:color w:val="auto"/>
          <w:sz w:val="24"/>
        </w:rPr>
        <w:t>表示允许稍有选择，在条件许可时首先应这样做的：</w:t>
      </w:r>
    </w:p>
    <w:p w14:paraId="4A46068D">
      <w:pPr>
        <w:spacing w:line="520" w:lineRule="exact"/>
        <w:rPr>
          <w:bCs/>
          <w:color w:val="auto"/>
          <w:sz w:val="24"/>
        </w:rPr>
      </w:pPr>
      <w:r>
        <w:rPr>
          <w:bCs/>
          <w:color w:val="auto"/>
          <w:sz w:val="24"/>
        </w:rPr>
        <w:t xml:space="preserve">        </w:t>
      </w:r>
      <w:r>
        <w:rPr>
          <w:rFonts w:hAnsi="宋体"/>
          <w:bCs/>
          <w:color w:val="auto"/>
          <w:sz w:val="24"/>
        </w:rPr>
        <w:t>正面词采用</w:t>
      </w:r>
      <w:r>
        <w:rPr>
          <w:bCs/>
          <w:color w:val="auto"/>
          <w:sz w:val="24"/>
        </w:rPr>
        <w:t>“</w:t>
      </w:r>
      <w:r>
        <w:rPr>
          <w:rFonts w:hAnsi="宋体"/>
          <w:bCs/>
          <w:color w:val="auto"/>
          <w:sz w:val="24"/>
        </w:rPr>
        <w:t>宜</w:t>
      </w:r>
      <w:r>
        <w:rPr>
          <w:bCs/>
          <w:color w:val="auto"/>
          <w:sz w:val="24"/>
        </w:rPr>
        <w:t>”</w:t>
      </w:r>
      <w:r>
        <w:rPr>
          <w:rFonts w:hAnsi="宋体"/>
          <w:bCs/>
          <w:color w:val="auto"/>
          <w:sz w:val="24"/>
        </w:rPr>
        <w:t>；反面词采用</w:t>
      </w:r>
      <w:r>
        <w:rPr>
          <w:bCs/>
          <w:color w:val="auto"/>
          <w:sz w:val="24"/>
        </w:rPr>
        <w:t>“</w:t>
      </w:r>
      <w:r>
        <w:rPr>
          <w:rFonts w:hAnsi="宋体"/>
          <w:bCs/>
          <w:color w:val="auto"/>
          <w:sz w:val="24"/>
        </w:rPr>
        <w:t>不宜</w:t>
      </w:r>
      <w:r>
        <w:rPr>
          <w:bCs/>
          <w:color w:val="auto"/>
          <w:sz w:val="24"/>
        </w:rPr>
        <w:t>”</w:t>
      </w:r>
      <w:r>
        <w:rPr>
          <w:rFonts w:hAnsi="宋体"/>
          <w:bCs/>
          <w:color w:val="auto"/>
          <w:sz w:val="24"/>
        </w:rPr>
        <w:t>；</w:t>
      </w:r>
    </w:p>
    <w:p w14:paraId="6B718959">
      <w:pPr>
        <w:spacing w:line="520" w:lineRule="exact"/>
        <w:rPr>
          <w:bCs/>
          <w:color w:val="auto"/>
          <w:sz w:val="24"/>
        </w:rPr>
      </w:pPr>
      <w:r>
        <w:rPr>
          <w:bCs/>
          <w:color w:val="auto"/>
          <w:sz w:val="24"/>
        </w:rPr>
        <w:t xml:space="preserve">   4</w:t>
      </w:r>
      <w:r>
        <w:rPr>
          <w:rFonts w:hAnsi="宋体"/>
          <w:bCs/>
          <w:color w:val="auto"/>
          <w:sz w:val="24"/>
        </w:rPr>
        <w:t>）</w:t>
      </w:r>
      <w:r>
        <w:rPr>
          <w:bCs/>
          <w:color w:val="auto"/>
          <w:sz w:val="24"/>
        </w:rPr>
        <w:t xml:space="preserve"> </w:t>
      </w:r>
      <w:r>
        <w:rPr>
          <w:rFonts w:hAnsi="宋体"/>
          <w:bCs/>
          <w:color w:val="auto"/>
          <w:sz w:val="24"/>
        </w:rPr>
        <w:t>表示有选择，在一定条件下可以这样做的，采用</w:t>
      </w:r>
      <w:r>
        <w:rPr>
          <w:bCs/>
          <w:color w:val="auto"/>
          <w:sz w:val="24"/>
        </w:rPr>
        <w:t>“</w:t>
      </w:r>
      <w:r>
        <w:rPr>
          <w:rFonts w:hAnsi="宋体"/>
          <w:bCs/>
          <w:color w:val="auto"/>
          <w:sz w:val="24"/>
        </w:rPr>
        <w:t>可</w:t>
      </w:r>
      <w:r>
        <w:rPr>
          <w:bCs/>
          <w:color w:val="auto"/>
          <w:sz w:val="24"/>
        </w:rPr>
        <w:t>”</w:t>
      </w:r>
      <w:r>
        <w:rPr>
          <w:rFonts w:hAnsi="宋体"/>
          <w:bCs/>
          <w:color w:val="auto"/>
          <w:sz w:val="24"/>
        </w:rPr>
        <w:t>。</w:t>
      </w:r>
    </w:p>
    <w:p w14:paraId="16C14FD3">
      <w:pPr>
        <w:spacing w:line="520" w:lineRule="exact"/>
        <w:rPr>
          <w:b/>
          <w:bCs/>
          <w:color w:val="auto"/>
          <w:sz w:val="24"/>
        </w:rPr>
      </w:pPr>
      <w:r>
        <w:rPr>
          <w:b/>
          <w:bCs/>
          <w:color w:val="auto"/>
          <w:sz w:val="24"/>
        </w:rPr>
        <w:t xml:space="preserve">2  </w:t>
      </w:r>
      <w:r>
        <w:rPr>
          <w:rFonts w:hAnsi="宋体"/>
          <w:bCs/>
          <w:color w:val="auto"/>
          <w:sz w:val="24"/>
        </w:rPr>
        <w:t>条文中指明应按其他有关标准执行的写法为：</w:t>
      </w:r>
      <w:r>
        <w:rPr>
          <w:bCs/>
          <w:color w:val="auto"/>
          <w:sz w:val="24"/>
        </w:rPr>
        <w:t>“</w:t>
      </w:r>
      <w:r>
        <w:rPr>
          <w:rFonts w:hAnsi="宋体"/>
          <w:bCs/>
          <w:color w:val="auto"/>
          <w:sz w:val="24"/>
        </w:rPr>
        <w:t>应符合</w:t>
      </w:r>
      <w:r>
        <w:rPr>
          <w:bCs/>
          <w:color w:val="auto"/>
          <w:sz w:val="24"/>
        </w:rPr>
        <w:t>……</w:t>
      </w:r>
      <w:r>
        <w:rPr>
          <w:rFonts w:hAnsi="宋体"/>
          <w:bCs/>
          <w:color w:val="auto"/>
          <w:sz w:val="24"/>
        </w:rPr>
        <w:t>的规定</w:t>
      </w:r>
      <w:r>
        <w:rPr>
          <w:bCs/>
          <w:color w:val="auto"/>
          <w:sz w:val="24"/>
        </w:rPr>
        <w:t>”</w:t>
      </w:r>
      <w:r>
        <w:rPr>
          <w:rFonts w:hAnsi="宋体"/>
          <w:bCs/>
          <w:color w:val="auto"/>
          <w:sz w:val="24"/>
        </w:rPr>
        <w:t>或</w:t>
      </w:r>
      <w:r>
        <w:rPr>
          <w:bCs/>
          <w:color w:val="auto"/>
          <w:sz w:val="24"/>
        </w:rPr>
        <w:t>“</w:t>
      </w:r>
      <w:r>
        <w:rPr>
          <w:rFonts w:hAnsi="宋体"/>
          <w:bCs/>
          <w:color w:val="auto"/>
          <w:sz w:val="24"/>
        </w:rPr>
        <w:t>应按</w:t>
      </w:r>
      <w:r>
        <w:rPr>
          <w:bCs/>
          <w:color w:val="auto"/>
          <w:sz w:val="24"/>
        </w:rPr>
        <w:t>……</w:t>
      </w:r>
      <w:r>
        <w:rPr>
          <w:rFonts w:hAnsi="宋体"/>
          <w:bCs/>
          <w:color w:val="auto"/>
          <w:sz w:val="24"/>
        </w:rPr>
        <w:t>执行</w:t>
      </w:r>
      <w:r>
        <w:rPr>
          <w:bCs/>
          <w:color w:val="auto"/>
          <w:sz w:val="24"/>
        </w:rPr>
        <w:t>”</w:t>
      </w:r>
      <w:r>
        <w:rPr>
          <w:rFonts w:hAnsi="宋体"/>
          <w:bCs/>
          <w:color w:val="auto"/>
          <w:sz w:val="24"/>
        </w:rPr>
        <w:t>。</w:t>
      </w:r>
    </w:p>
    <w:p w14:paraId="7CBF74D1">
      <w:pPr>
        <w:spacing w:line="360" w:lineRule="auto"/>
        <w:rPr>
          <w:color w:val="auto"/>
        </w:rPr>
      </w:pPr>
      <w:r>
        <w:rPr>
          <w:color w:val="auto"/>
        </w:rPr>
        <w:t xml:space="preserve"> </w:t>
      </w:r>
    </w:p>
    <w:p w14:paraId="1FBC05A2">
      <w:pPr>
        <w:spacing w:line="360" w:lineRule="auto"/>
        <w:rPr>
          <w:color w:val="auto"/>
        </w:rPr>
      </w:pPr>
      <w:r>
        <w:rPr>
          <w:color w:val="auto"/>
        </w:rPr>
        <w:t xml:space="preserve"> </w:t>
      </w:r>
    </w:p>
    <w:p w14:paraId="58D752C6">
      <w:pPr>
        <w:spacing w:line="360" w:lineRule="auto"/>
        <w:jc w:val="center"/>
        <w:outlineLvl w:val="0"/>
        <w:rPr>
          <w:rFonts w:ascii="Times New Roman" w:hAnsi="Times New Roman"/>
          <w:b/>
          <w:color w:val="auto"/>
          <w:sz w:val="36"/>
          <w:szCs w:val="36"/>
        </w:rPr>
      </w:pPr>
    </w:p>
    <w:p w14:paraId="264C7BD1">
      <w:pPr>
        <w:spacing w:line="360" w:lineRule="auto"/>
        <w:jc w:val="center"/>
        <w:outlineLvl w:val="0"/>
        <w:rPr>
          <w:rFonts w:ascii="Times New Roman" w:hAnsi="Times New Roman"/>
          <w:b/>
          <w:color w:val="auto"/>
          <w:sz w:val="36"/>
          <w:szCs w:val="36"/>
        </w:rPr>
      </w:pPr>
    </w:p>
    <w:p w14:paraId="22CAB824">
      <w:pPr>
        <w:spacing w:line="360" w:lineRule="auto"/>
        <w:jc w:val="center"/>
        <w:outlineLvl w:val="0"/>
        <w:rPr>
          <w:rFonts w:ascii="Times New Roman" w:hAnsi="Times New Roman"/>
          <w:b/>
          <w:color w:val="auto"/>
          <w:sz w:val="36"/>
          <w:szCs w:val="36"/>
        </w:rPr>
      </w:pPr>
    </w:p>
    <w:p w14:paraId="6A219C4D">
      <w:pPr>
        <w:spacing w:line="360" w:lineRule="auto"/>
        <w:jc w:val="center"/>
        <w:outlineLvl w:val="0"/>
        <w:rPr>
          <w:rFonts w:ascii="Times New Roman" w:hAnsi="Times New Roman"/>
          <w:b/>
          <w:color w:val="auto"/>
          <w:sz w:val="36"/>
          <w:szCs w:val="36"/>
        </w:rPr>
      </w:pPr>
    </w:p>
    <w:p w14:paraId="2E0E4107">
      <w:pPr>
        <w:spacing w:line="360" w:lineRule="auto"/>
        <w:jc w:val="center"/>
        <w:outlineLvl w:val="0"/>
        <w:rPr>
          <w:rFonts w:ascii="Times New Roman" w:hAnsi="Times New Roman"/>
          <w:b/>
          <w:color w:val="auto"/>
          <w:sz w:val="36"/>
          <w:szCs w:val="36"/>
        </w:rPr>
      </w:pPr>
    </w:p>
    <w:p w14:paraId="07D6CA27">
      <w:pPr>
        <w:spacing w:line="360" w:lineRule="auto"/>
        <w:jc w:val="center"/>
        <w:outlineLvl w:val="0"/>
        <w:rPr>
          <w:rFonts w:ascii="Times New Roman" w:hAnsi="Times New Roman"/>
          <w:b/>
          <w:color w:val="auto"/>
          <w:sz w:val="36"/>
          <w:szCs w:val="36"/>
        </w:rPr>
      </w:pPr>
    </w:p>
    <w:p w14:paraId="7C85BF12">
      <w:pPr>
        <w:spacing w:line="360" w:lineRule="auto"/>
        <w:jc w:val="center"/>
        <w:outlineLvl w:val="0"/>
        <w:rPr>
          <w:rFonts w:ascii="Times New Roman" w:hAnsi="Times New Roman"/>
          <w:b/>
          <w:color w:val="auto"/>
          <w:sz w:val="36"/>
          <w:szCs w:val="36"/>
        </w:rPr>
      </w:pPr>
    </w:p>
    <w:p w14:paraId="7C86F1A9">
      <w:pPr>
        <w:spacing w:line="360" w:lineRule="auto"/>
        <w:jc w:val="center"/>
        <w:outlineLvl w:val="0"/>
        <w:rPr>
          <w:rFonts w:ascii="Times New Roman" w:hAnsi="Times New Roman"/>
          <w:b/>
          <w:color w:val="auto"/>
          <w:sz w:val="36"/>
          <w:szCs w:val="36"/>
        </w:rPr>
      </w:pPr>
    </w:p>
    <w:p w14:paraId="6F538827">
      <w:pPr>
        <w:spacing w:line="360" w:lineRule="auto"/>
        <w:jc w:val="center"/>
        <w:outlineLvl w:val="0"/>
        <w:rPr>
          <w:rFonts w:ascii="Times New Roman" w:hAnsi="Times New Roman"/>
          <w:b/>
          <w:color w:val="auto"/>
          <w:sz w:val="36"/>
          <w:szCs w:val="36"/>
        </w:rPr>
      </w:pPr>
    </w:p>
    <w:p w14:paraId="1D5F9F13">
      <w:pPr>
        <w:spacing w:line="360" w:lineRule="auto"/>
        <w:jc w:val="center"/>
        <w:outlineLvl w:val="0"/>
        <w:rPr>
          <w:rFonts w:ascii="Times New Roman" w:hAnsi="Times New Roman"/>
          <w:b/>
          <w:color w:val="auto"/>
          <w:sz w:val="36"/>
          <w:szCs w:val="36"/>
        </w:rPr>
      </w:pPr>
      <w:bookmarkStart w:id="1755" w:name="_Toc11491"/>
      <w:r>
        <w:rPr>
          <w:rFonts w:hint="eastAsia" w:ascii="Times New Roman" w:hAnsi="Times New Roman"/>
          <w:b/>
          <w:color w:val="auto"/>
          <w:sz w:val="36"/>
          <w:szCs w:val="36"/>
        </w:rPr>
        <w:t>引用标准名录</w:t>
      </w:r>
      <w:bookmarkEnd w:id="1743"/>
      <w:bookmarkEnd w:id="1744"/>
      <w:bookmarkEnd w:id="1745"/>
      <w:bookmarkEnd w:id="1746"/>
      <w:bookmarkEnd w:id="1747"/>
      <w:bookmarkEnd w:id="1748"/>
      <w:bookmarkEnd w:id="1749"/>
      <w:bookmarkEnd w:id="1750"/>
      <w:bookmarkEnd w:id="1755"/>
    </w:p>
    <w:p w14:paraId="4B96438F">
      <w:pPr>
        <w:pStyle w:val="149"/>
        <w:numPr>
          <w:ilvl w:val="0"/>
          <w:numId w:val="20"/>
        </w:numPr>
        <w:spacing w:line="360" w:lineRule="auto"/>
        <w:ind w:firstLineChars="0"/>
        <w:jc w:val="left"/>
        <w:rPr>
          <w:rFonts w:ascii="Times New Roman" w:hAnsi="Times New Roman"/>
          <w:vanish/>
          <w:color w:val="auto"/>
          <w:sz w:val="30"/>
          <w:szCs w:val="30"/>
        </w:rPr>
      </w:pPr>
    </w:p>
    <w:p w14:paraId="4555B70E">
      <w:pPr>
        <w:pStyle w:val="149"/>
        <w:numPr>
          <w:ilvl w:val="0"/>
          <w:numId w:val="20"/>
        </w:numPr>
        <w:spacing w:line="360" w:lineRule="auto"/>
        <w:ind w:firstLineChars="0"/>
        <w:jc w:val="left"/>
        <w:rPr>
          <w:rFonts w:ascii="Times New Roman" w:hAnsi="Times New Roman"/>
          <w:vanish/>
          <w:color w:val="auto"/>
          <w:sz w:val="30"/>
          <w:szCs w:val="30"/>
        </w:rPr>
      </w:pPr>
    </w:p>
    <w:p w14:paraId="1F0344F5">
      <w:pPr>
        <w:pStyle w:val="149"/>
        <w:numPr>
          <w:ilvl w:val="1"/>
          <w:numId w:val="20"/>
        </w:numPr>
        <w:spacing w:line="360" w:lineRule="auto"/>
        <w:ind w:firstLineChars="0"/>
        <w:jc w:val="left"/>
        <w:rPr>
          <w:rFonts w:ascii="Times New Roman" w:hAnsi="Times New Roman"/>
          <w:vanish/>
          <w:color w:val="auto"/>
          <w:sz w:val="30"/>
          <w:szCs w:val="30"/>
        </w:rPr>
      </w:pPr>
    </w:p>
    <w:p w14:paraId="4BE51021">
      <w:pPr>
        <w:pStyle w:val="87"/>
        <w:rPr>
          <w:color w:val="auto"/>
        </w:rPr>
      </w:pPr>
    </w:p>
    <w:p w14:paraId="7DF8D93A">
      <w:pPr>
        <w:pStyle w:val="149"/>
        <w:numPr>
          <w:ilvl w:val="0"/>
          <w:numId w:val="21"/>
        </w:numPr>
        <w:spacing w:line="360" w:lineRule="auto"/>
        <w:ind w:firstLineChars="0"/>
        <w:jc w:val="left"/>
        <w:rPr>
          <w:rFonts w:hint="eastAsia" w:ascii="宋体" w:hAnsi="宋体" w:eastAsia="宋体" w:cs="宋体"/>
          <w:iCs/>
          <w:color w:val="auto"/>
          <w:sz w:val="24"/>
          <w:szCs w:val="24"/>
        </w:rPr>
      </w:pPr>
      <w:r>
        <w:rPr>
          <w:rFonts w:hint="eastAsia" w:ascii="宋体" w:hAnsi="宋体" w:eastAsia="宋体" w:cs="宋体"/>
          <w:iCs/>
          <w:color w:val="auto"/>
          <w:sz w:val="24"/>
          <w:szCs w:val="24"/>
        </w:rPr>
        <w:t>《绿色建筑评价标准》GB/T 50378</w:t>
      </w:r>
    </w:p>
    <w:p w14:paraId="648101AB">
      <w:pPr>
        <w:pStyle w:val="87"/>
        <w:numPr>
          <w:ilvl w:val="0"/>
          <w:numId w:val="21"/>
        </w:numPr>
        <w:spacing w:after="0" w:line="360" w:lineRule="auto"/>
        <w:ind w:leftChars="0" w:firstLineChars="0"/>
        <w:rPr>
          <w:rFonts w:hint="eastAsia" w:ascii="宋体" w:hAnsi="宋体" w:eastAsia="宋体" w:cs="宋体"/>
          <w:bCs/>
          <w:iCs/>
          <w:color w:val="auto"/>
          <w:kern w:val="0"/>
          <w:sz w:val="24"/>
          <w:szCs w:val="24"/>
        </w:rPr>
      </w:pPr>
      <w:r>
        <w:rPr>
          <w:rFonts w:hint="eastAsia" w:ascii="宋体" w:hAnsi="宋体" w:eastAsia="宋体" w:cs="宋体"/>
          <w:bCs/>
          <w:iCs/>
          <w:color w:val="auto"/>
          <w:kern w:val="0"/>
          <w:sz w:val="24"/>
          <w:szCs w:val="24"/>
        </w:rPr>
        <w:t>《外墙外保温工程技术标准》JGJ144</w:t>
      </w:r>
    </w:p>
    <w:p w14:paraId="6071087A">
      <w:pPr>
        <w:pStyle w:val="87"/>
        <w:numPr>
          <w:ilvl w:val="0"/>
          <w:numId w:val="21"/>
        </w:numPr>
        <w:spacing w:after="0" w:line="360" w:lineRule="auto"/>
        <w:ind w:leftChars="0" w:firstLineChars="0"/>
        <w:rPr>
          <w:rFonts w:hint="eastAsia" w:ascii="宋体" w:hAnsi="宋体" w:eastAsia="宋体" w:cs="宋体"/>
          <w:bCs/>
          <w:iCs/>
          <w:color w:val="auto"/>
          <w:kern w:val="0"/>
          <w:sz w:val="24"/>
          <w:szCs w:val="24"/>
        </w:rPr>
      </w:pPr>
      <w:r>
        <w:rPr>
          <w:rFonts w:hint="eastAsia" w:ascii="宋体" w:hAnsi="宋体" w:eastAsia="宋体" w:cs="宋体"/>
          <w:iCs/>
          <w:color w:val="auto"/>
          <w:sz w:val="24"/>
          <w:szCs w:val="24"/>
        </w:rPr>
        <w:t>《混凝土结构工程施工规范》GB50666</w:t>
      </w:r>
    </w:p>
    <w:p w14:paraId="4C5A3E08">
      <w:pPr>
        <w:pStyle w:val="87"/>
        <w:numPr>
          <w:ilvl w:val="0"/>
          <w:numId w:val="21"/>
        </w:numPr>
        <w:spacing w:after="0" w:line="360" w:lineRule="auto"/>
        <w:ind w:leftChars="0" w:firstLineChars="0"/>
        <w:rPr>
          <w:rFonts w:hint="eastAsia" w:ascii="宋体" w:hAnsi="宋体" w:eastAsia="宋体" w:cs="宋体"/>
          <w:bCs/>
          <w:iCs/>
          <w:color w:val="auto"/>
          <w:kern w:val="0"/>
          <w:sz w:val="24"/>
          <w:szCs w:val="24"/>
        </w:rPr>
      </w:pPr>
      <w:r>
        <w:rPr>
          <w:rFonts w:hint="eastAsia" w:ascii="宋体" w:hAnsi="宋体" w:eastAsia="宋体" w:cs="宋体"/>
          <w:iCs/>
          <w:color w:val="auto"/>
          <w:sz w:val="24"/>
          <w:szCs w:val="24"/>
        </w:rPr>
        <w:t>《建筑施工模板安全技术规范》JGJ162</w:t>
      </w:r>
    </w:p>
    <w:p w14:paraId="6FAA5B6B">
      <w:pPr>
        <w:pStyle w:val="87"/>
        <w:numPr>
          <w:ilvl w:val="0"/>
          <w:numId w:val="21"/>
        </w:numPr>
        <w:spacing w:after="0" w:line="360" w:lineRule="auto"/>
        <w:ind w:leftChars="0" w:firstLineChars="0"/>
        <w:rPr>
          <w:rFonts w:hint="eastAsia" w:ascii="宋体" w:hAnsi="宋体" w:eastAsia="宋体" w:cs="宋体"/>
          <w:bCs/>
          <w:iCs/>
          <w:color w:val="auto"/>
          <w:kern w:val="0"/>
          <w:sz w:val="24"/>
          <w:szCs w:val="24"/>
        </w:rPr>
      </w:pPr>
      <w:r>
        <w:rPr>
          <w:rFonts w:hint="eastAsia" w:ascii="宋体" w:hAnsi="宋体" w:eastAsia="宋体" w:cs="宋体"/>
          <w:iCs/>
          <w:color w:val="auto"/>
          <w:sz w:val="24"/>
          <w:szCs w:val="24"/>
        </w:rPr>
        <w:t>《建筑材料放射性核素限量》GB 6566</w:t>
      </w:r>
    </w:p>
    <w:p w14:paraId="5A86405E">
      <w:pPr>
        <w:pStyle w:val="87"/>
        <w:numPr>
          <w:ilvl w:val="0"/>
          <w:numId w:val="21"/>
        </w:numPr>
        <w:spacing w:after="0" w:line="360" w:lineRule="auto"/>
        <w:ind w:leftChars="0" w:firstLineChars="0"/>
        <w:rPr>
          <w:rFonts w:hint="eastAsia" w:ascii="宋体" w:hAnsi="宋体" w:eastAsia="宋体" w:cs="宋体"/>
          <w:bCs/>
          <w:iCs/>
          <w:color w:val="auto"/>
          <w:kern w:val="0"/>
          <w:sz w:val="24"/>
          <w:szCs w:val="24"/>
        </w:rPr>
      </w:pPr>
      <w:r>
        <w:rPr>
          <w:rFonts w:hint="eastAsia" w:ascii="宋体" w:hAnsi="宋体" w:eastAsia="宋体" w:cs="宋体"/>
          <w:iCs/>
          <w:color w:val="auto"/>
          <w:sz w:val="24"/>
          <w:szCs w:val="24"/>
        </w:rPr>
        <w:t xml:space="preserve">《建筑结构荷载规范》GB 50009 </w:t>
      </w:r>
    </w:p>
    <w:p w14:paraId="30D37A77">
      <w:pPr>
        <w:pStyle w:val="87"/>
        <w:numPr>
          <w:ilvl w:val="0"/>
          <w:numId w:val="21"/>
        </w:numPr>
        <w:spacing w:after="0" w:line="360" w:lineRule="auto"/>
        <w:ind w:leftChars="0" w:firstLineChars="0"/>
        <w:rPr>
          <w:rFonts w:hint="eastAsia" w:ascii="宋体" w:hAnsi="宋体" w:eastAsia="宋体" w:cs="宋体"/>
          <w:bCs/>
          <w:iCs/>
          <w:color w:val="auto"/>
          <w:kern w:val="0"/>
          <w:sz w:val="24"/>
          <w:szCs w:val="24"/>
        </w:rPr>
      </w:pPr>
      <w:r>
        <w:rPr>
          <w:rFonts w:hint="eastAsia" w:ascii="宋体" w:hAnsi="宋体" w:eastAsia="宋体" w:cs="宋体"/>
          <w:bCs/>
          <w:iCs/>
          <w:color w:val="auto"/>
          <w:kern w:val="0"/>
          <w:sz w:val="24"/>
          <w:szCs w:val="24"/>
        </w:rPr>
        <w:t>《建筑设计防火规范》GB 50016</w:t>
      </w:r>
    </w:p>
    <w:p w14:paraId="3E6F8304">
      <w:pPr>
        <w:pStyle w:val="87"/>
        <w:numPr>
          <w:ilvl w:val="0"/>
          <w:numId w:val="21"/>
        </w:numPr>
        <w:spacing w:after="0" w:line="360" w:lineRule="auto"/>
        <w:ind w:leftChars="0" w:firstLineChars="0"/>
        <w:rPr>
          <w:rFonts w:hint="eastAsia" w:ascii="宋体" w:hAnsi="宋体" w:eastAsia="宋体" w:cs="宋体"/>
          <w:bCs/>
          <w:iCs/>
          <w:color w:val="auto"/>
          <w:kern w:val="0"/>
          <w:sz w:val="24"/>
          <w:szCs w:val="24"/>
        </w:rPr>
      </w:pPr>
      <w:r>
        <w:rPr>
          <w:rFonts w:hint="eastAsia" w:ascii="宋体" w:hAnsi="宋体" w:eastAsia="宋体" w:cs="宋体"/>
          <w:bCs/>
          <w:iCs/>
          <w:color w:val="auto"/>
          <w:kern w:val="0"/>
          <w:sz w:val="24"/>
          <w:szCs w:val="24"/>
        </w:rPr>
        <w:t>《夏热冬冷地区居住建筑节能设计标准》JGJ 134</w:t>
      </w:r>
    </w:p>
    <w:p w14:paraId="26AE95FA">
      <w:pPr>
        <w:pStyle w:val="87"/>
        <w:numPr>
          <w:ilvl w:val="0"/>
          <w:numId w:val="21"/>
        </w:numPr>
        <w:spacing w:after="0" w:line="360" w:lineRule="auto"/>
        <w:ind w:leftChars="0" w:firstLineChars="0"/>
        <w:rPr>
          <w:rFonts w:hint="eastAsia" w:ascii="宋体" w:hAnsi="宋体" w:eastAsia="宋体" w:cs="宋体"/>
          <w:bCs/>
          <w:iCs/>
          <w:color w:val="auto"/>
          <w:kern w:val="0"/>
          <w:sz w:val="24"/>
          <w:szCs w:val="24"/>
        </w:rPr>
      </w:pPr>
      <w:r>
        <w:rPr>
          <w:rFonts w:hint="eastAsia" w:ascii="宋体" w:hAnsi="宋体" w:eastAsia="宋体" w:cs="宋体"/>
          <w:bCs/>
          <w:iCs/>
          <w:color w:val="auto"/>
          <w:kern w:val="0"/>
          <w:sz w:val="24"/>
          <w:szCs w:val="24"/>
        </w:rPr>
        <w:t>《民用建筑热工设计规范》GB 50176</w:t>
      </w:r>
    </w:p>
    <w:p w14:paraId="732E40DB">
      <w:pPr>
        <w:pStyle w:val="87"/>
        <w:numPr>
          <w:ilvl w:val="0"/>
          <w:numId w:val="21"/>
        </w:numPr>
        <w:spacing w:after="0" w:line="360" w:lineRule="auto"/>
        <w:ind w:leftChars="0" w:firstLineChars="0"/>
        <w:rPr>
          <w:rFonts w:hint="eastAsia" w:ascii="宋体" w:hAnsi="宋体" w:eastAsia="宋体" w:cs="宋体"/>
          <w:bCs/>
          <w:iCs/>
          <w:color w:val="auto"/>
          <w:kern w:val="0"/>
          <w:sz w:val="24"/>
          <w:szCs w:val="24"/>
        </w:rPr>
      </w:pPr>
      <w:r>
        <w:rPr>
          <w:rFonts w:hint="eastAsia" w:ascii="宋体" w:hAnsi="宋体" w:eastAsia="宋体" w:cs="宋体"/>
          <w:bCs/>
          <w:iCs/>
          <w:color w:val="auto"/>
          <w:kern w:val="0"/>
          <w:sz w:val="24"/>
          <w:szCs w:val="24"/>
        </w:rPr>
        <w:t>安徽省《居住建筑节能设计标准》DB34-1466</w:t>
      </w:r>
    </w:p>
    <w:p w14:paraId="086040F7">
      <w:pPr>
        <w:pStyle w:val="87"/>
        <w:numPr>
          <w:ilvl w:val="0"/>
          <w:numId w:val="21"/>
        </w:numPr>
        <w:spacing w:after="0" w:line="360" w:lineRule="auto"/>
        <w:ind w:leftChars="0" w:firstLineChars="0"/>
        <w:rPr>
          <w:rFonts w:hint="eastAsia" w:ascii="宋体" w:hAnsi="宋体" w:eastAsia="宋体" w:cs="宋体"/>
          <w:bCs/>
          <w:iCs/>
          <w:color w:val="auto"/>
          <w:kern w:val="0"/>
          <w:sz w:val="24"/>
          <w:szCs w:val="24"/>
        </w:rPr>
      </w:pPr>
      <w:r>
        <w:rPr>
          <w:rFonts w:hint="eastAsia" w:ascii="宋体" w:hAnsi="宋体" w:eastAsia="宋体" w:cs="宋体"/>
          <w:bCs/>
          <w:iCs/>
          <w:color w:val="auto"/>
          <w:kern w:val="0"/>
          <w:sz w:val="24"/>
          <w:szCs w:val="24"/>
        </w:rPr>
        <w:t>《公共建筑节能设计标准》DB34-5076</w:t>
      </w:r>
    </w:p>
    <w:p w14:paraId="503A9435">
      <w:pPr>
        <w:pStyle w:val="87"/>
        <w:numPr>
          <w:ilvl w:val="0"/>
          <w:numId w:val="21"/>
        </w:numPr>
        <w:spacing w:after="0" w:line="360" w:lineRule="auto"/>
        <w:ind w:leftChars="0" w:firstLineChars="0"/>
        <w:rPr>
          <w:rFonts w:hint="eastAsia" w:ascii="宋体" w:hAnsi="宋体" w:eastAsia="宋体" w:cs="宋体"/>
          <w:iCs/>
          <w:color w:val="auto"/>
          <w:sz w:val="24"/>
          <w:szCs w:val="24"/>
        </w:rPr>
      </w:pPr>
      <w:r>
        <w:rPr>
          <w:rFonts w:hint="eastAsia" w:ascii="宋体" w:hAnsi="宋体" w:eastAsia="宋体" w:cs="宋体"/>
          <w:iCs/>
          <w:color w:val="auto"/>
          <w:sz w:val="24"/>
          <w:szCs w:val="24"/>
        </w:rPr>
        <w:t>《绝热稳态传热性质的测定标定和防护热箱法》GB/T 13475</w:t>
      </w:r>
    </w:p>
    <w:p w14:paraId="7277165C">
      <w:pPr>
        <w:pStyle w:val="87"/>
        <w:numPr>
          <w:ilvl w:val="0"/>
          <w:numId w:val="21"/>
        </w:numPr>
        <w:spacing w:after="0" w:line="360" w:lineRule="auto"/>
        <w:ind w:leftChars="0" w:firstLineChars="0"/>
        <w:rPr>
          <w:rFonts w:hint="eastAsia" w:ascii="宋体" w:hAnsi="宋体" w:eastAsia="宋体" w:cs="宋体"/>
          <w:bCs/>
          <w:iCs/>
          <w:color w:val="auto"/>
          <w:kern w:val="0"/>
          <w:sz w:val="24"/>
          <w:szCs w:val="24"/>
        </w:rPr>
      </w:pPr>
      <w:r>
        <w:rPr>
          <w:rFonts w:hint="eastAsia" w:ascii="宋体" w:hAnsi="宋体" w:eastAsia="宋体" w:cs="宋体"/>
          <w:bCs/>
          <w:iCs/>
          <w:color w:val="auto"/>
          <w:kern w:val="0"/>
          <w:sz w:val="24"/>
          <w:szCs w:val="24"/>
        </w:rPr>
        <w:t>《混凝土结构工程施工质量验收规范》GB 50204</w:t>
      </w:r>
    </w:p>
    <w:p w14:paraId="2A43CFC8">
      <w:pPr>
        <w:pStyle w:val="87"/>
        <w:numPr>
          <w:ilvl w:val="0"/>
          <w:numId w:val="21"/>
        </w:numPr>
        <w:spacing w:after="0" w:line="360" w:lineRule="auto"/>
        <w:ind w:leftChars="0" w:firstLineChars="0"/>
        <w:rPr>
          <w:rFonts w:hint="eastAsia" w:ascii="宋体" w:hAnsi="宋体" w:eastAsia="宋体" w:cs="宋体"/>
          <w:iCs/>
          <w:color w:val="auto"/>
          <w:sz w:val="24"/>
          <w:szCs w:val="24"/>
        </w:rPr>
      </w:pPr>
      <w:r>
        <w:rPr>
          <w:rFonts w:hint="eastAsia" w:ascii="宋体" w:hAnsi="宋体" w:eastAsia="宋体" w:cs="宋体"/>
          <w:bCs/>
          <w:iCs/>
          <w:color w:val="auto"/>
          <w:kern w:val="0"/>
          <w:sz w:val="24"/>
          <w:szCs w:val="24"/>
        </w:rPr>
        <w:t>《建筑用免拆复合保温模板》JC</w:t>
      </w:r>
      <w:r>
        <w:rPr>
          <w:rFonts w:hint="eastAsia" w:ascii="宋体" w:hAnsi="宋体" w:eastAsia="宋体" w:cs="宋体"/>
          <w:iCs/>
          <w:color w:val="auto"/>
          <w:sz w:val="24"/>
          <w:szCs w:val="24"/>
        </w:rPr>
        <w:t>/T 2493</w:t>
      </w:r>
    </w:p>
    <w:p w14:paraId="371FD78D">
      <w:pPr>
        <w:pStyle w:val="87"/>
        <w:numPr>
          <w:ilvl w:val="0"/>
          <w:numId w:val="21"/>
        </w:numPr>
        <w:spacing w:after="0" w:line="360" w:lineRule="auto"/>
        <w:ind w:leftChars="0" w:firstLineChars="0"/>
        <w:rPr>
          <w:rFonts w:hint="eastAsia" w:ascii="宋体" w:hAnsi="宋体" w:eastAsia="宋体" w:cs="宋体"/>
          <w:bCs/>
          <w:iCs/>
          <w:color w:val="auto"/>
          <w:sz w:val="24"/>
          <w:szCs w:val="24"/>
        </w:rPr>
      </w:pPr>
      <w:r>
        <w:rPr>
          <w:rFonts w:hint="eastAsia" w:ascii="宋体" w:hAnsi="宋体" w:eastAsia="宋体" w:cs="宋体"/>
          <w:bCs/>
          <w:iCs/>
          <w:color w:val="auto"/>
          <w:sz w:val="24"/>
          <w:szCs w:val="24"/>
        </w:rPr>
        <w:t>《</w:t>
      </w:r>
      <w:r>
        <w:rPr>
          <w:color w:val="auto"/>
        </w:rPr>
        <w:fldChar w:fldCharType="begin"/>
      </w:r>
      <w:r>
        <w:rPr>
          <w:color w:val="auto"/>
        </w:rPr>
        <w:instrText xml:space="preserve"> HYPERLINK "http://www.jianbiaoku.com/webarbs/book/89762/2811876.shtml" \t "_self" </w:instrText>
      </w:r>
      <w:r>
        <w:rPr>
          <w:color w:val="auto"/>
        </w:rPr>
        <w:fldChar w:fldCharType="separate"/>
      </w:r>
      <w:r>
        <w:rPr>
          <w:rFonts w:hint="eastAsia" w:ascii="宋体" w:hAnsi="宋体" w:eastAsia="宋体" w:cs="宋体"/>
          <w:bCs/>
          <w:iCs/>
          <w:color w:val="auto"/>
          <w:sz w:val="24"/>
          <w:szCs w:val="24"/>
        </w:rPr>
        <w:t>热固复合聚苯乙烯泡沫保温板》</w:t>
      </w:r>
      <w:r>
        <w:rPr>
          <w:rFonts w:hint="eastAsia" w:ascii="宋体" w:hAnsi="宋体" w:eastAsia="宋体" w:cs="宋体"/>
          <w:bCs/>
          <w:iCs/>
          <w:color w:val="auto"/>
          <w:sz w:val="24"/>
          <w:szCs w:val="24"/>
        </w:rPr>
        <w:fldChar w:fldCharType="end"/>
      </w:r>
      <w:r>
        <w:rPr>
          <w:rFonts w:hint="eastAsia" w:ascii="宋体" w:hAnsi="宋体" w:eastAsia="宋体" w:cs="宋体"/>
          <w:bCs/>
          <w:iCs/>
          <w:color w:val="auto"/>
          <w:sz w:val="24"/>
          <w:szCs w:val="24"/>
        </w:rPr>
        <w:t>JG／T 536</w:t>
      </w:r>
    </w:p>
    <w:p w14:paraId="556BA489">
      <w:pPr>
        <w:pStyle w:val="87"/>
        <w:numPr>
          <w:ilvl w:val="0"/>
          <w:numId w:val="21"/>
        </w:numPr>
        <w:spacing w:after="0" w:line="360" w:lineRule="auto"/>
        <w:ind w:leftChars="0" w:firstLineChars="0"/>
        <w:rPr>
          <w:rFonts w:hint="eastAsia" w:ascii="宋体" w:hAnsi="宋体" w:eastAsia="宋体" w:cs="宋体"/>
          <w:bCs/>
          <w:iCs/>
          <w:color w:val="auto"/>
          <w:sz w:val="24"/>
          <w:szCs w:val="24"/>
        </w:rPr>
      </w:pPr>
      <w:r>
        <w:rPr>
          <w:rFonts w:hint="eastAsia" w:ascii="宋体" w:hAnsi="宋体" w:eastAsia="宋体" w:cs="宋体"/>
          <w:bCs/>
          <w:iCs/>
          <w:color w:val="auto"/>
          <w:sz w:val="24"/>
          <w:szCs w:val="24"/>
        </w:rPr>
        <w:t>《</w:t>
      </w:r>
      <w:r>
        <w:rPr>
          <w:color w:val="auto"/>
        </w:rPr>
        <w:fldChar w:fldCharType="begin"/>
      </w:r>
      <w:r>
        <w:rPr>
          <w:color w:val="auto"/>
        </w:rPr>
        <w:instrText xml:space="preserve"> HYPERLINK "http://www.jianbiaoku.com/webarbs/book/89762/2811876.shtml" \t "_self" </w:instrText>
      </w:r>
      <w:r>
        <w:rPr>
          <w:color w:val="auto"/>
        </w:rPr>
        <w:fldChar w:fldCharType="separate"/>
      </w:r>
      <w:r>
        <w:rPr>
          <w:rFonts w:hint="eastAsia" w:ascii="宋体" w:hAnsi="宋体" w:eastAsia="宋体" w:cs="宋体"/>
          <w:bCs/>
          <w:iCs/>
          <w:color w:val="auto"/>
          <w:sz w:val="24"/>
          <w:szCs w:val="24"/>
        </w:rPr>
        <w:t>挤塑聚苯板(XPS)薄抹灰外墙外保温系统材料》</w:t>
      </w:r>
      <w:r>
        <w:rPr>
          <w:rFonts w:hint="eastAsia" w:ascii="宋体" w:hAnsi="宋体" w:eastAsia="宋体" w:cs="宋体"/>
          <w:bCs/>
          <w:iCs/>
          <w:color w:val="auto"/>
          <w:sz w:val="24"/>
          <w:szCs w:val="24"/>
        </w:rPr>
        <w:fldChar w:fldCharType="end"/>
      </w:r>
      <w:r>
        <w:rPr>
          <w:rFonts w:hint="eastAsia" w:ascii="宋体" w:hAnsi="宋体" w:eastAsia="宋体" w:cs="宋体"/>
          <w:bCs/>
          <w:iCs/>
          <w:color w:val="auto"/>
          <w:sz w:val="24"/>
          <w:szCs w:val="24"/>
        </w:rPr>
        <w:t>GB／T 30595</w:t>
      </w:r>
    </w:p>
    <w:p w14:paraId="0C1D9060">
      <w:pPr>
        <w:pStyle w:val="87"/>
        <w:numPr>
          <w:ilvl w:val="0"/>
          <w:numId w:val="21"/>
        </w:numPr>
        <w:spacing w:after="0" w:line="360" w:lineRule="auto"/>
        <w:ind w:leftChars="0" w:firstLineChars="0"/>
        <w:rPr>
          <w:rFonts w:hint="eastAsia" w:ascii="宋体" w:hAnsi="宋体" w:eastAsia="宋体" w:cs="宋体"/>
          <w:bCs/>
          <w:iCs/>
          <w:color w:val="auto"/>
          <w:sz w:val="24"/>
          <w:szCs w:val="24"/>
        </w:rPr>
      </w:pPr>
      <w:r>
        <w:rPr>
          <w:rFonts w:hint="eastAsia" w:ascii="宋体" w:hAnsi="宋体" w:eastAsia="宋体" w:cs="宋体"/>
          <w:bCs/>
          <w:iCs/>
          <w:color w:val="auto"/>
          <w:sz w:val="24"/>
          <w:szCs w:val="24"/>
        </w:rPr>
        <w:t>《绝热用</w:t>
      </w:r>
      <w:r>
        <w:rPr>
          <w:color w:val="auto"/>
        </w:rPr>
        <w:fldChar w:fldCharType="begin"/>
      </w:r>
      <w:r>
        <w:rPr>
          <w:color w:val="auto"/>
        </w:rPr>
        <w:instrText xml:space="preserve"> HYPERLINK "http://www.jianbiaoku.com/webarbs/book/89762/2811876.shtml" \t "_self" </w:instrText>
      </w:r>
      <w:r>
        <w:rPr>
          <w:color w:val="auto"/>
        </w:rPr>
        <w:fldChar w:fldCharType="separate"/>
      </w:r>
      <w:r>
        <w:rPr>
          <w:rFonts w:hint="eastAsia" w:ascii="宋体" w:hAnsi="宋体" w:eastAsia="宋体" w:cs="宋体"/>
          <w:bCs/>
          <w:iCs/>
          <w:color w:val="auto"/>
          <w:sz w:val="24"/>
          <w:szCs w:val="24"/>
        </w:rPr>
        <w:t>挤塑聚苯乙烯泡沫塑料》</w:t>
      </w:r>
      <w:r>
        <w:rPr>
          <w:rFonts w:hint="eastAsia" w:ascii="宋体" w:hAnsi="宋体" w:eastAsia="宋体" w:cs="宋体"/>
          <w:bCs/>
          <w:iCs/>
          <w:color w:val="auto"/>
          <w:sz w:val="24"/>
          <w:szCs w:val="24"/>
        </w:rPr>
        <w:fldChar w:fldCharType="end"/>
      </w:r>
      <w:r>
        <w:rPr>
          <w:rFonts w:hint="eastAsia" w:ascii="宋体" w:hAnsi="宋体" w:eastAsia="宋体" w:cs="宋体"/>
          <w:bCs/>
          <w:iCs/>
          <w:color w:val="auto"/>
          <w:sz w:val="24"/>
          <w:szCs w:val="24"/>
        </w:rPr>
        <w:t>GB／T 10801.2</w:t>
      </w:r>
    </w:p>
    <w:p w14:paraId="06CB64B9">
      <w:pPr>
        <w:pStyle w:val="87"/>
        <w:numPr>
          <w:ilvl w:val="0"/>
          <w:numId w:val="21"/>
        </w:numPr>
        <w:spacing w:after="0" w:line="360" w:lineRule="auto"/>
        <w:ind w:leftChars="0" w:firstLineChars="0"/>
        <w:rPr>
          <w:rFonts w:hint="eastAsia" w:ascii="宋体" w:hAnsi="宋体" w:eastAsia="宋体" w:cs="宋体"/>
          <w:iCs/>
          <w:color w:val="auto"/>
          <w:sz w:val="24"/>
          <w:szCs w:val="24"/>
        </w:rPr>
      </w:pPr>
      <w:r>
        <w:rPr>
          <w:rFonts w:hint="eastAsia" w:ascii="宋体" w:hAnsi="宋体" w:eastAsia="宋体" w:cs="宋体"/>
          <w:iCs/>
          <w:color w:val="auto"/>
          <w:sz w:val="24"/>
          <w:szCs w:val="24"/>
        </w:rPr>
        <w:t>《耐碱玻璃纤维网布》JC/T 841</w:t>
      </w:r>
    </w:p>
    <w:p w14:paraId="793D42B9">
      <w:pPr>
        <w:pStyle w:val="87"/>
        <w:numPr>
          <w:ilvl w:val="0"/>
          <w:numId w:val="21"/>
        </w:numPr>
        <w:spacing w:after="0" w:line="360" w:lineRule="auto"/>
        <w:ind w:leftChars="0" w:firstLineChars="0"/>
        <w:rPr>
          <w:rFonts w:hint="eastAsia" w:ascii="宋体" w:hAnsi="宋体" w:eastAsia="宋体" w:cs="宋体"/>
          <w:bCs/>
          <w:iCs/>
          <w:color w:val="auto"/>
          <w:kern w:val="0"/>
          <w:sz w:val="24"/>
          <w:szCs w:val="24"/>
        </w:rPr>
      </w:pPr>
      <w:r>
        <w:rPr>
          <w:rFonts w:hint="eastAsia" w:ascii="宋体" w:hAnsi="宋体" w:eastAsia="宋体" w:cs="宋体"/>
          <w:bCs/>
          <w:iCs/>
          <w:color w:val="auto"/>
          <w:kern w:val="0"/>
          <w:sz w:val="24"/>
          <w:szCs w:val="24"/>
        </w:rPr>
        <w:t>《建筑外墙用腻子》JG/T 157</w:t>
      </w:r>
    </w:p>
    <w:p w14:paraId="687D00E4">
      <w:pPr>
        <w:pStyle w:val="87"/>
        <w:numPr>
          <w:ilvl w:val="0"/>
          <w:numId w:val="21"/>
        </w:numPr>
        <w:spacing w:after="0" w:line="360" w:lineRule="auto"/>
        <w:ind w:leftChars="0" w:firstLineChars="0"/>
        <w:rPr>
          <w:rFonts w:hint="eastAsia" w:ascii="宋体" w:hAnsi="宋体" w:eastAsia="宋体" w:cs="宋体"/>
          <w:iCs/>
          <w:color w:val="auto"/>
          <w:sz w:val="24"/>
          <w:szCs w:val="24"/>
        </w:rPr>
      </w:pPr>
      <w:r>
        <w:rPr>
          <w:rFonts w:hint="eastAsia" w:ascii="宋体" w:hAnsi="宋体" w:eastAsia="宋体" w:cs="宋体"/>
          <w:iCs/>
          <w:color w:val="auto"/>
          <w:sz w:val="24"/>
          <w:szCs w:val="24"/>
        </w:rPr>
        <w:t>《建筑外墙涂料通用技术要求》JG/T 512</w:t>
      </w:r>
    </w:p>
    <w:p w14:paraId="228353A5">
      <w:pPr>
        <w:pStyle w:val="87"/>
        <w:numPr>
          <w:ilvl w:val="0"/>
          <w:numId w:val="21"/>
        </w:numPr>
        <w:spacing w:after="0" w:line="360" w:lineRule="auto"/>
        <w:ind w:leftChars="0" w:firstLineChars="0"/>
        <w:rPr>
          <w:rFonts w:hint="eastAsia" w:ascii="宋体" w:hAnsi="宋体" w:eastAsia="宋体" w:cs="宋体"/>
          <w:color w:val="auto"/>
          <w:sz w:val="24"/>
          <w:szCs w:val="24"/>
        </w:rPr>
      </w:pPr>
      <w:r>
        <w:rPr>
          <w:rFonts w:hint="eastAsia" w:ascii="宋体" w:hAnsi="宋体" w:eastAsia="宋体" w:cs="宋体"/>
          <w:color w:val="auto"/>
          <w:sz w:val="24"/>
          <w:szCs w:val="24"/>
        </w:rPr>
        <w:t>《墙体饰面砂浆》JC/T 1024</w:t>
      </w:r>
    </w:p>
    <w:p w14:paraId="37403290">
      <w:pPr>
        <w:pStyle w:val="87"/>
        <w:numPr>
          <w:ilvl w:val="0"/>
          <w:numId w:val="21"/>
        </w:numPr>
        <w:spacing w:after="0" w:line="360" w:lineRule="auto"/>
        <w:ind w:leftChars="0" w:firstLineChars="0"/>
        <w:rPr>
          <w:rFonts w:hint="eastAsia" w:ascii="宋体" w:hAnsi="宋体" w:eastAsia="宋体" w:cs="宋体"/>
          <w:color w:val="auto"/>
          <w:sz w:val="24"/>
          <w:szCs w:val="24"/>
        </w:rPr>
      </w:pPr>
      <w:r>
        <w:rPr>
          <w:rFonts w:hint="eastAsia" w:ascii="宋体" w:hAnsi="宋体" w:eastAsia="宋体" w:cs="宋体"/>
          <w:color w:val="auto"/>
          <w:sz w:val="24"/>
          <w:szCs w:val="24"/>
        </w:rPr>
        <w:t>《柔性饰面砖》JG/T 311</w:t>
      </w:r>
    </w:p>
    <w:p w14:paraId="09F8B3B0">
      <w:pPr>
        <w:pStyle w:val="87"/>
        <w:numPr>
          <w:ilvl w:val="0"/>
          <w:numId w:val="21"/>
        </w:numPr>
        <w:spacing w:after="0" w:line="360" w:lineRule="auto"/>
        <w:ind w:leftChars="0" w:firstLineChars="0"/>
        <w:rPr>
          <w:rFonts w:hint="eastAsia" w:ascii="宋体" w:hAnsi="宋体" w:eastAsia="宋体" w:cs="宋体"/>
          <w:bCs/>
          <w:color w:val="auto"/>
          <w:kern w:val="0"/>
          <w:sz w:val="24"/>
          <w:szCs w:val="24"/>
        </w:rPr>
      </w:pPr>
      <w:r>
        <w:rPr>
          <w:rFonts w:hint="eastAsia" w:ascii="宋体" w:hAnsi="宋体" w:eastAsia="宋体" w:cs="宋体"/>
          <w:bCs/>
          <w:color w:val="auto"/>
          <w:kern w:val="0"/>
          <w:sz w:val="24"/>
          <w:szCs w:val="24"/>
        </w:rPr>
        <w:t>《硅酮和改性硅酮建筑密封胶》GB/T 14683</w:t>
      </w:r>
    </w:p>
    <w:p w14:paraId="6C93775D">
      <w:pPr>
        <w:pStyle w:val="87"/>
        <w:numPr>
          <w:ilvl w:val="0"/>
          <w:numId w:val="21"/>
        </w:numPr>
        <w:spacing w:after="0" w:line="360" w:lineRule="auto"/>
        <w:ind w:leftChars="0" w:firstLineChars="0"/>
        <w:rPr>
          <w:rFonts w:hint="eastAsia" w:ascii="宋体" w:hAnsi="宋体" w:eastAsia="宋体" w:cs="宋体"/>
          <w:bCs/>
          <w:color w:val="auto"/>
          <w:kern w:val="0"/>
          <w:sz w:val="24"/>
          <w:szCs w:val="24"/>
        </w:rPr>
      </w:pPr>
      <w:r>
        <w:rPr>
          <w:rFonts w:hint="eastAsia" w:ascii="宋体" w:hAnsi="宋体" w:eastAsia="宋体" w:cs="宋体"/>
          <w:bCs/>
          <w:color w:val="auto"/>
          <w:kern w:val="0"/>
          <w:sz w:val="24"/>
          <w:szCs w:val="24"/>
        </w:rPr>
        <w:t>《聚氨酯建筑密封胶》JC/T 482</w:t>
      </w:r>
    </w:p>
    <w:p w14:paraId="66849AF7">
      <w:pPr>
        <w:pStyle w:val="87"/>
        <w:numPr>
          <w:ilvl w:val="0"/>
          <w:numId w:val="21"/>
        </w:numPr>
        <w:spacing w:after="0" w:line="360" w:lineRule="auto"/>
        <w:ind w:leftChars="0" w:firstLineChars="0"/>
        <w:rPr>
          <w:rFonts w:hint="eastAsia" w:ascii="宋体" w:hAnsi="宋体" w:eastAsia="宋体" w:cs="宋体"/>
          <w:color w:val="auto"/>
          <w:sz w:val="24"/>
          <w:szCs w:val="24"/>
        </w:rPr>
      </w:pPr>
      <w:r>
        <w:rPr>
          <w:rFonts w:hint="eastAsia" w:ascii="宋体" w:hAnsi="宋体" w:eastAsia="宋体" w:cs="宋体"/>
          <w:color w:val="auto"/>
          <w:sz w:val="24"/>
          <w:szCs w:val="24"/>
        </w:rPr>
        <w:t>《民用建筑热工设计规范》GB 50176</w:t>
      </w:r>
    </w:p>
    <w:p w14:paraId="3F156359">
      <w:pPr>
        <w:pStyle w:val="87"/>
        <w:numPr>
          <w:ilvl w:val="0"/>
          <w:numId w:val="21"/>
        </w:numPr>
        <w:spacing w:after="0" w:line="360" w:lineRule="auto"/>
        <w:ind w:leftChars="0" w:firstLineChars="0"/>
        <w:rPr>
          <w:rFonts w:hint="eastAsia" w:ascii="宋体" w:hAnsi="宋体" w:eastAsia="宋体" w:cs="宋体"/>
          <w:color w:val="auto"/>
          <w:sz w:val="24"/>
          <w:szCs w:val="24"/>
        </w:rPr>
      </w:pPr>
      <w:r>
        <w:rPr>
          <w:rFonts w:hint="eastAsia" w:ascii="宋体" w:hAnsi="宋体" w:eastAsia="宋体" w:cs="宋体"/>
          <w:color w:val="auto"/>
          <w:sz w:val="24"/>
          <w:szCs w:val="24"/>
        </w:rPr>
        <w:t>《建筑与市政工程防水通用规范》GB 55030</w:t>
      </w:r>
    </w:p>
    <w:p w14:paraId="48C9A48A">
      <w:pPr>
        <w:pStyle w:val="87"/>
        <w:numPr>
          <w:ilvl w:val="0"/>
          <w:numId w:val="21"/>
        </w:numPr>
        <w:spacing w:after="0" w:line="360" w:lineRule="auto"/>
        <w:ind w:leftChars="0" w:firstLineChars="0"/>
        <w:rPr>
          <w:rFonts w:hint="eastAsia" w:ascii="宋体" w:hAnsi="宋体" w:eastAsia="宋体" w:cs="宋体"/>
          <w:color w:val="auto"/>
          <w:sz w:val="24"/>
          <w:szCs w:val="24"/>
        </w:rPr>
      </w:pPr>
      <w:r>
        <w:rPr>
          <w:rFonts w:hint="eastAsia" w:ascii="宋体" w:hAnsi="宋体" w:eastAsia="宋体" w:cs="宋体"/>
          <w:color w:val="auto"/>
          <w:sz w:val="24"/>
          <w:szCs w:val="24"/>
        </w:rPr>
        <w:t>《建筑防火通用规范》GB 55037</w:t>
      </w:r>
    </w:p>
    <w:p w14:paraId="744683B1">
      <w:pPr>
        <w:pStyle w:val="87"/>
        <w:numPr>
          <w:ilvl w:val="0"/>
          <w:numId w:val="21"/>
        </w:numPr>
        <w:spacing w:after="0" w:line="360" w:lineRule="auto"/>
        <w:ind w:leftChars="0" w:firstLineChars="0"/>
        <w:rPr>
          <w:rFonts w:hint="eastAsia" w:ascii="宋体" w:hAnsi="宋体" w:eastAsia="宋体" w:cs="宋体"/>
          <w:color w:val="auto"/>
          <w:sz w:val="24"/>
          <w:szCs w:val="24"/>
        </w:rPr>
      </w:pPr>
      <w:r>
        <w:rPr>
          <w:rFonts w:hint="eastAsia" w:ascii="宋体" w:hAnsi="宋体" w:eastAsia="宋体" w:cs="宋体"/>
          <w:color w:val="auto"/>
          <w:sz w:val="24"/>
          <w:szCs w:val="24"/>
        </w:rPr>
        <w:t>《工业建筑节能设计统一标准》GB 51245</w:t>
      </w:r>
    </w:p>
    <w:p w14:paraId="230E50E4">
      <w:pPr>
        <w:pStyle w:val="87"/>
        <w:numPr>
          <w:ilvl w:val="0"/>
          <w:numId w:val="21"/>
        </w:numPr>
        <w:spacing w:after="0" w:line="360" w:lineRule="auto"/>
        <w:ind w:leftChars="0" w:firstLineChars="0"/>
        <w:rPr>
          <w:rFonts w:hint="eastAsia" w:ascii="宋体" w:hAnsi="宋体" w:eastAsia="宋体" w:cs="宋体"/>
          <w:color w:val="auto"/>
          <w:sz w:val="24"/>
          <w:szCs w:val="24"/>
        </w:rPr>
      </w:pPr>
      <w:r>
        <w:rPr>
          <w:rFonts w:hint="eastAsia" w:ascii="宋体" w:hAnsi="宋体" w:eastAsia="宋体" w:cs="宋体"/>
          <w:color w:val="auto"/>
          <w:sz w:val="24"/>
          <w:szCs w:val="24"/>
        </w:rPr>
        <w:t>《建筑门窗附框技术要求》GB/T39866</w:t>
      </w:r>
    </w:p>
    <w:p w14:paraId="2575C94B">
      <w:pPr>
        <w:pStyle w:val="87"/>
        <w:numPr>
          <w:ilvl w:val="0"/>
          <w:numId w:val="21"/>
        </w:numPr>
        <w:spacing w:after="0" w:line="360" w:lineRule="auto"/>
        <w:ind w:leftChars="0" w:firstLineChars="0"/>
        <w:rPr>
          <w:rFonts w:hint="eastAsia" w:ascii="宋体" w:hAnsi="宋体" w:eastAsia="宋体" w:cs="宋体"/>
          <w:bCs/>
          <w:color w:val="auto"/>
          <w:sz w:val="24"/>
          <w:szCs w:val="24"/>
        </w:rPr>
      </w:pPr>
      <w:r>
        <w:rPr>
          <w:rFonts w:hint="eastAsia" w:ascii="宋体" w:hAnsi="宋体" w:eastAsia="宋体" w:cs="宋体"/>
          <w:bCs/>
          <w:color w:val="auto"/>
          <w:sz w:val="24"/>
          <w:szCs w:val="24"/>
        </w:rPr>
        <w:t>《建筑外墙防水工程技术规程》JGJ/T235</w:t>
      </w:r>
    </w:p>
    <w:p w14:paraId="1C3CA49E">
      <w:pPr>
        <w:pStyle w:val="87"/>
        <w:numPr>
          <w:ilvl w:val="0"/>
          <w:numId w:val="21"/>
        </w:numPr>
        <w:spacing w:after="0" w:line="360" w:lineRule="auto"/>
        <w:ind w:leftChars="0" w:firstLineChars="0"/>
        <w:rPr>
          <w:rFonts w:hint="eastAsia" w:ascii="宋体" w:hAnsi="宋体" w:eastAsia="宋体" w:cs="宋体"/>
          <w:bCs/>
          <w:color w:val="auto"/>
          <w:sz w:val="24"/>
          <w:szCs w:val="24"/>
        </w:rPr>
      </w:pPr>
      <w:r>
        <w:rPr>
          <w:rFonts w:hint="eastAsia" w:ascii="宋体" w:hAnsi="宋体" w:eastAsia="宋体" w:cs="宋体"/>
          <w:bCs/>
          <w:color w:val="auto"/>
          <w:sz w:val="24"/>
          <w:szCs w:val="24"/>
        </w:rPr>
        <w:t>《自承重砌体墙技术规程》CECS281</w:t>
      </w:r>
    </w:p>
    <w:p w14:paraId="5B3B0A57">
      <w:pPr>
        <w:pStyle w:val="87"/>
        <w:numPr>
          <w:ilvl w:val="0"/>
          <w:numId w:val="21"/>
        </w:numPr>
        <w:spacing w:after="0" w:line="360" w:lineRule="auto"/>
        <w:ind w:leftChars="0" w:firstLineChars="0"/>
        <w:rPr>
          <w:rFonts w:hint="eastAsia" w:ascii="宋体" w:hAnsi="宋体" w:eastAsia="宋体" w:cs="宋体"/>
          <w:bCs/>
          <w:color w:val="auto"/>
          <w:sz w:val="24"/>
          <w:szCs w:val="24"/>
        </w:rPr>
      </w:pPr>
      <w:r>
        <w:rPr>
          <w:rFonts w:hint="eastAsia" w:ascii="宋体" w:hAnsi="宋体" w:eastAsia="宋体" w:cs="宋体"/>
          <w:bCs/>
          <w:color w:val="auto"/>
          <w:sz w:val="24"/>
          <w:szCs w:val="24"/>
        </w:rPr>
        <w:t>《建筑抗震设计标准》</w:t>
      </w:r>
      <w:r>
        <w:rPr>
          <w:rFonts w:hint="eastAsia" w:ascii="宋体" w:hAnsi="宋体" w:eastAsia="宋体" w:cs="宋体"/>
          <w:bCs/>
          <w:color w:val="auto"/>
          <w:sz w:val="24"/>
          <w:szCs w:val="24"/>
          <w:lang w:eastAsia="zh-CN"/>
        </w:rPr>
        <w:t>GB/T 50011-2010[2024年版]</w:t>
      </w:r>
    </w:p>
    <w:p w14:paraId="1B4108CA">
      <w:pPr>
        <w:pStyle w:val="87"/>
        <w:numPr>
          <w:ilvl w:val="0"/>
          <w:numId w:val="21"/>
        </w:numPr>
        <w:spacing w:after="0" w:line="360" w:lineRule="auto"/>
        <w:ind w:leftChars="0" w:firstLineChars="0"/>
        <w:rPr>
          <w:rFonts w:hint="eastAsia" w:ascii="宋体" w:hAnsi="宋体" w:eastAsia="宋体" w:cs="宋体"/>
          <w:bCs/>
          <w:color w:val="auto"/>
          <w:sz w:val="24"/>
          <w:szCs w:val="24"/>
        </w:rPr>
      </w:pPr>
      <w:r>
        <w:rPr>
          <w:rFonts w:hint="eastAsia" w:ascii="宋体" w:hAnsi="宋体" w:eastAsia="宋体" w:cs="宋体"/>
          <w:bCs/>
          <w:color w:val="auto"/>
          <w:sz w:val="24"/>
          <w:szCs w:val="24"/>
        </w:rPr>
        <w:t>《建筑施工模板安全技术规范》 JGJ 162</w:t>
      </w:r>
    </w:p>
    <w:p w14:paraId="0E6E3553">
      <w:pPr>
        <w:pStyle w:val="87"/>
        <w:numPr>
          <w:ilvl w:val="0"/>
          <w:numId w:val="21"/>
        </w:numPr>
        <w:spacing w:after="0" w:line="360" w:lineRule="auto"/>
        <w:ind w:leftChars="0" w:firstLineChars="0"/>
        <w:rPr>
          <w:rFonts w:hint="eastAsia" w:ascii="宋体" w:hAnsi="宋体" w:eastAsia="宋体" w:cs="宋体"/>
          <w:bCs/>
          <w:color w:val="auto"/>
          <w:sz w:val="24"/>
          <w:szCs w:val="24"/>
        </w:rPr>
      </w:pPr>
      <w:r>
        <w:rPr>
          <w:rFonts w:hint="eastAsia" w:ascii="宋体" w:hAnsi="宋体" w:eastAsia="宋体" w:cs="宋体"/>
          <w:bCs/>
          <w:color w:val="auto"/>
          <w:sz w:val="24"/>
          <w:szCs w:val="24"/>
        </w:rPr>
        <w:t>《钢结构工程施工质量验收标准》GB 50205</w:t>
      </w:r>
    </w:p>
    <w:p w14:paraId="68E31124">
      <w:pPr>
        <w:pStyle w:val="87"/>
        <w:numPr>
          <w:ilvl w:val="0"/>
          <w:numId w:val="21"/>
        </w:numPr>
        <w:spacing w:after="0" w:line="360" w:lineRule="auto"/>
        <w:ind w:leftChars="0" w:firstLineChars="0"/>
        <w:rPr>
          <w:rFonts w:hint="eastAsia" w:ascii="宋体" w:hAnsi="宋体" w:eastAsia="宋体" w:cs="宋体"/>
          <w:color w:val="auto"/>
          <w:sz w:val="24"/>
          <w:szCs w:val="24"/>
        </w:rPr>
      </w:pPr>
      <w:r>
        <w:rPr>
          <w:rFonts w:hint="eastAsia" w:ascii="宋体" w:hAnsi="宋体" w:eastAsia="宋体" w:cs="宋体"/>
          <w:color w:val="auto"/>
          <w:sz w:val="24"/>
          <w:szCs w:val="24"/>
        </w:rPr>
        <w:t>《</w:t>
      </w:r>
      <w:r>
        <w:rPr>
          <w:rFonts w:hint="eastAsia" w:ascii="宋体" w:hAnsi="宋体" w:eastAsia="宋体" w:cs="宋体"/>
          <w:color w:val="auto"/>
          <w:sz w:val="24"/>
          <w:szCs w:val="24"/>
          <w:lang w:eastAsia="zh-CN"/>
        </w:rPr>
        <w:t>混凝土结构设计标准</w:t>
      </w:r>
      <w:r>
        <w:rPr>
          <w:rFonts w:hint="eastAsia" w:ascii="宋体" w:hAnsi="宋体" w:eastAsia="宋体" w:cs="宋体"/>
          <w:color w:val="auto"/>
          <w:sz w:val="24"/>
          <w:szCs w:val="24"/>
        </w:rPr>
        <w:t>》（</w:t>
      </w:r>
      <w:r>
        <w:rPr>
          <w:rFonts w:hint="eastAsia" w:ascii="宋体" w:hAnsi="宋体" w:eastAsia="宋体" w:cs="宋体"/>
          <w:color w:val="auto"/>
          <w:sz w:val="24"/>
          <w:szCs w:val="24"/>
          <w:lang w:eastAsia="zh-CN"/>
        </w:rPr>
        <w:t>GB/T 50010-2010[2024年版]</w:t>
      </w:r>
      <w:r>
        <w:rPr>
          <w:rFonts w:hint="eastAsia" w:ascii="宋体" w:hAnsi="宋体" w:eastAsia="宋体" w:cs="宋体"/>
          <w:color w:val="auto"/>
          <w:sz w:val="24"/>
          <w:szCs w:val="24"/>
        </w:rPr>
        <w:t>）</w:t>
      </w:r>
    </w:p>
    <w:p w14:paraId="5F3AC029">
      <w:pPr>
        <w:pStyle w:val="87"/>
        <w:numPr>
          <w:ilvl w:val="0"/>
          <w:numId w:val="21"/>
        </w:numPr>
        <w:spacing w:after="0" w:line="360" w:lineRule="auto"/>
        <w:ind w:leftChars="0" w:firstLineChars="0"/>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《建筑装饰装修工程质量验收标准》（GB 50210）</w:t>
      </w:r>
    </w:p>
    <w:p w14:paraId="3932B458">
      <w:pPr>
        <w:pStyle w:val="87"/>
        <w:numPr>
          <w:ilvl w:val="0"/>
          <w:numId w:val="21"/>
        </w:numPr>
        <w:spacing w:after="0" w:line="360" w:lineRule="auto"/>
        <w:ind w:leftChars="0" w:firstLineChars="0"/>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《复合轻集料匀质保温板外墙外保温系统建筑构造》皖2021JZ139</w:t>
      </w:r>
    </w:p>
    <w:p w14:paraId="0667E19F">
      <w:pPr>
        <w:pStyle w:val="87"/>
        <w:numPr>
          <w:ilvl w:val="0"/>
          <w:numId w:val="21"/>
        </w:numPr>
        <w:spacing w:after="0" w:line="360" w:lineRule="auto"/>
        <w:ind w:leftChars="0" w:firstLineChars="0"/>
        <w:rPr>
          <w:rFonts w:hint="eastAsia" w:ascii="宋体" w:hAnsi="宋体" w:eastAsia="宋体" w:cs="宋体"/>
          <w:color w:val="auto"/>
          <w:sz w:val="24"/>
          <w:szCs w:val="24"/>
        </w:rPr>
      </w:pPr>
      <w:r>
        <w:rPr>
          <w:rFonts w:hint="eastAsia" w:ascii="宋体" w:hAnsi="宋体" w:eastAsia="宋体" w:cs="宋体"/>
          <w:color w:val="auto"/>
          <w:sz w:val="24"/>
          <w:szCs w:val="24"/>
        </w:rPr>
        <w:t>《建筑节能与可再生能源利用通用规范》GB55015</w:t>
      </w:r>
    </w:p>
    <w:p w14:paraId="5E6E691E">
      <w:pPr>
        <w:pStyle w:val="87"/>
        <w:numPr>
          <w:ilvl w:val="0"/>
          <w:numId w:val="21"/>
        </w:numPr>
        <w:spacing w:after="0" w:line="360" w:lineRule="auto"/>
        <w:ind w:leftChars="0" w:firstLineChars="0"/>
        <w:rPr>
          <w:rFonts w:hint="eastAsia" w:ascii="宋体" w:hAnsi="宋体" w:eastAsia="宋体" w:cs="宋体"/>
          <w:color w:val="auto"/>
          <w:sz w:val="24"/>
          <w:szCs w:val="24"/>
        </w:rPr>
      </w:pPr>
      <w:r>
        <w:rPr>
          <w:rFonts w:hint="eastAsia" w:ascii="宋体" w:hAnsi="宋体" w:eastAsia="宋体" w:cs="宋体"/>
          <w:color w:val="auto"/>
          <w:sz w:val="24"/>
          <w:szCs w:val="24"/>
        </w:rPr>
        <w:t>《建筑工程施工质量验收统一标准》GB50300</w:t>
      </w:r>
    </w:p>
    <w:p w14:paraId="6B2A7EB7">
      <w:pPr>
        <w:pStyle w:val="87"/>
        <w:numPr>
          <w:ilvl w:val="0"/>
          <w:numId w:val="21"/>
        </w:numPr>
        <w:spacing w:after="0" w:line="360" w:lineRule="auto"/>
        <w:ind w:leftChars="0" w:firstLineChars="0"/>
        <w:rPr>
          <w:rFonts w:hint="eastAsia" w:ascii="宋体" w:hAnsi="宋体" w:eastAsia="宋体" w:cs="宋体"/>
          <w:color w:val="auto"/>
          <w:sz w:val="24"/>
          <w:szCs w:val="24"/>
        </w:rPr>
      </w:pPr>
      <w:r>
        <w:rPr>
          <w:rFonts w:hint="eastAsia" w:ascii="宋体" w:hAnsi="宋体" w:eastAsia="宋体" w:cs="宋体"/>
          <w:color w:val="auto"/>
          <w:sz w:val="24"/>
          <w:szCs w:val="24"/>
        </w:rPr>
        <w:t>《混凝土结构工程施工质量验收规范》GB50204</w:t>
      </w:r>
    </w:p>
    <w:p w14:paraId="3E3DF605">
      <w:pPr>
        <w:pStyle w:val="87"/>
        <w:numPr>
          <w:ilvl w:val="0"/>
          <w:numId w:val="21"/>
        </w:numPr>
        <w:spacing w:after="0" w:line="360" w:lineRule="auto"/>
        <w:ind w:leftChars="0" w:firstLineChars="0"/>
        <w:rPr>
          <w:rFonts w:hint="eastAsia" w:ascii="宋体" w:hAnsi="宋体" w:eastAsia="宋体" w:cs="宋体"/>
          <w:color w:val="auto"/>
          <w:sz w:val="24"/>
          <w:szCs w:val="24"/>
        </w:rPr>
      </w:pPr>
      <w:r>
        <w:rPr>
          <w:rFonts w:hint="eastAsia" w:ascii="宋体" w:hAnsi="宋体" w:eastAsia="宋体" w:cs="宋体"/>
          <w:color w:val="auto"/>
          <w:sz w:val="24"/>
          <w:szCs w:val="24"/>
        </w:rPr>
        <w:t>《建筑节能工程施工质量验收标准》GB50411</w:t>
      </w:r>
    </w:p>
    <w:bookmarkEnd w:id="1751"/>
    <w:bookmarkEnd w:id="1752"/>
    <w:bookmarkEnd w:id="1753"/>
    <w:bookmarkEnd w:id="1754"/>
    <w:p w14:paraId="4C1A79AC">
      <w:pPr>
        <w:pStyle w:val="34"/>
        <w:rPr>
          <w:color w:val="auto"/>
        </w:rPr>
      </w:pPr>
    </w:p>
    <w:p w14:paraId="2F02C4E7">
      <w:pPr>
        <w:pStyle w:val="34"/>
        <w:rPr>
          <w:color w:val="auto"/>
        </w:rPr>
      </w:pPr>
    </w:p>
    <w:p w14:paraId="310C6F09">
      <w:pPr>
        <w:pStyle w:val="34"/>
        <w:rPr>
          <w:color w:val="auto"/>
        </w:rPr>
      </w:pPr>
    </w:p>
    <w:p w14:paraId="12699B04">
      <w:pPr>
        <w:pStyle w:val="34"/>
        <w:rPr>
          <w:color w:val="auto"/>
        </w:rPr>
      </w:pPr>
    </w:p>
    <w:p w14:paraId="0B439E87">
      <w:pPr>
        <w:pStyle w:val="34"/>
        <w:rPr>
          <w:color w:val="auto"/>
        </w:rPr>
      </w:pPr>
    </w:p>
    <w:p w14:paraId="11AC37E2">
      <w:pPr>
        <w:pStyle w:val="34"/>
        <w:rPr>
          <w:color w:val="auto"/>
        </w:rPr>
      </w:pPr>
    </w:p>
    <w:p w14:paraId="25A572FB">
      <w:pPr>
        <w:pStyle w:val="34"/>
        <w:rPr>
          <w:color w:val="auto"/>
        </w:rPr>
      </w:pPr>
    </w:p>
    <w:p w14:paraId="3BC75250">
      <w:pPr>
        <w:pStyle w:val="34"/>
        <w:rPr>
          <w:color w:val="auto"/>
        </w:rPr>
      </w:pPr>
    </w:p>
    <w:p w14:paraId="2A61211E">
      <w:pPr>
        <w:pStyle w:val="34"/>
        <w:rPr>
          <w:color w:val="auto"/>
        </w:rPr>
      </w:pPr>
    </w:p>
    <w:p w14:paraId="721F963F">
      <w:pPr>
        <w:pStyle w:val="34"/>
        <w:rPr>
          <w:color w:val="auto"/>
        </w:rPr>
      </w:pPr>
    </w:p>
    <w:p w14:paraId="4866C3E4">
      <w:pPr>
        <w:pStyle w:val="34"/>
        <w:rPr>
          <w:color w:val="auto"/>
        </w:rPr>
      </w:pPr>
    </w:p>
    <w:p w14:paraId="385BE00C">
      <w:pPr>
        <w:pStyle w:val="34"/>
        <w:rPr>
          <w:color w:val="auto"/>
        </w:rPr>
      </w:pPr>
    </w:p>
    <w:p w14:paraId="13B68E80">
      <w:pPr>
        <w:pStyle w:val="34"/>
        <w:rPr>
          <w:color w:val="auto"/>
        </w:rPr>
      </w:pPr>
    </w:p>
    <w:p w14:paraId="2E681CE7">
      <w:pPr>
        <w:pStyle w:val="34"/>
        <w:rPr>
          <w:color w:val="auto"/>
        </w:rPr>
      </w:pPr>
    </w:p>
    <w:p w14:paraId="52FAC89A">
      <w:pPr>
        <w:pStyle w:val="34"/>
        <w:rPr>
          <w:color w:val="auto"/>
        </w:rPr>
      </w:pPr>
    </w:p>
    <w:p w14:paraId="29C7F3B8">
      <w:pPr>
        <w:pStyle w:val="34"/>
        <w:rPr>
          <w:color w:val="auto"/>
        </w:rPr>
      </w:pPr>
    </w:p>
    <w:p w14:paraId="6179EC76">
      <w:pPr>
        <w:spacing w:after="156" w:afterLines="50"/>
        <w:jc w:val="center"/>
        <w:rPr>
          <w:rFonts w:ascii="宋体"/>
          <w:b/>
          <w:color w:val="auto"/>
          <w:spacing w:val="52"/>
          <w:sz w:val="36"/>
          <w:szCs w:val="36"/>
        </w:rPr>
      </w:pPr>
      <w:r>
        <w:rPr>
          <w:rFonts w:hint="eastAsia" w:ascii="宋体" w:hAnsi="宋体"/>
          <w:b/>
          <w:color w:val="auto"/>
          <w:spacing w:val="52"/>
          <w:sz w:val="36"/>
          <w:szCs w:val="36"/>
        </w:rPr>
        <w:t xml:space="preserve">  安徽省地方标准</w:t>
      </w:r>
    </w:p>
    <w:p w14:paraId="51BC297A">
      <w:pPr>
        <w:rPr>
          <w:rFonts w:ascii="黑体" w:eastAsia="黑体"/>
          <w:b/>
          <w:color w:val="auto"/>
          <w:sz w:val="30"/>
          <w:szCs w:val="30"/>
          <w:lang w:val="de-DE"/>
        </w:rPr>
      </w:pPr>
    </w:p>
    <w:p w14:paraId="610757C6">
      <w:pPr>
        <w:spacing w:line="360" w:lineRule="auto"/>
        <w:jc w:val="center"/>
        <w:rPr>
          <w:rFonts w:hint="eastAsia" w:ascii="宋体" w:hAnsi="宋体"/>
          <w:b/>
          <w:snapToGrid w:val="0"/>
          <w:color w:val="auto"/>
          <w:spacing w:val="-8"/>
          <w:kern w:val="0"/>
          <w:sz w:val="52"/>
          <w:szCs w:val="52"/>
          <w:lang w:val="de-DE"/>
        </w:rPr>
      </w:pPr>
    </w:p>
    <w:p w14:paraId="3DCD2E52">
      <w:pPr>
        <w:spacing w:line="360" w:lineRule="auto"/>
        <w:jc w:val="center"/>
        <w:rPr>
          <w:rFonts w:hint="eastAsia" w:ascii="宋体" w:hAnsi="宋体"/>
          <w:b/>
          <w:snapToGrid w:val="0"/>
          <w:color w:val="auto"/>
          <w:spacing w:val="-8"/>
          <w:kern w:val="0"/>
          <w:sz w:val="52"/>
          <w:szCs w:val="52"/>
        </w:rPr>
      </w:pPr>
      <w:r>
        <w:rPr>
          <w:rFonts w:hint="eastAsia" w:ascii="宋体" w:hAnsi="宋体"/>
          <w:b/>
          <w:snapToGrid w:val="0"/>
          <w:color w:val="auto"/>
          <w:spacing w:val="-8"/>
          <w:kern w:val="0"/>
          <w:sz w:val="52"/>
          <w:szCs w:val="52"/>
        </w:rPr>
        <w:t xml:space="preserve">  建筑用保温免拆模板应用技术规程   </w:t>
      </w:r>
    </w:p>
    <w:p w14:paraId="5F2883D2">
      <w:pPr>
        <w:snapToGrid w:val="0"/>
        <w:spacing w:before="312" w:beforeLines="100" w:after="312" w:afterLines="100"/>
        <w:jc w:val="center"/>
        <w:rPr>
          <w:rFonts w:ascii="宋体"/>
          <w:b/>
          <w:snapToGrid w:val="0"/>
          <w:color w:val="auto"/>
          <w:kern w:val="0"/>
          <w:sz w:val="36"/>
          <w:szCs w:val="36"/>
        </w:rPr>
      </w:pPr>
      <w:r>
        <w:rPr>
          <w:rFonts w:ascii="宋体" w:hAnsi="宋体"/>
          <w:b/>
          <w:snapToGrid w:val="0"/>
          <w:color w:val="auto"/>
          <w:kern w:val="0"/>
          <w:sz w:val="36"/>
          <w:szCs w:val="36"/>
        </w:rPr>
        <w:t>(</w:t>
      </w:r>
      <w:r>
        <w:rPr>
          <w:rFonts w:hint="eastAsia" w:ascii="宋体" w:hAnsi="宋体"/>
          <w:b/>
          <w:snapToGrid w:val="0"/>
          <w:color w:val="auto"/>
          <w:kern w:val="0"/>
          <w:sz w:val="36"/>
          <w:szCs w:val="36"/>
        </w:rPr>
        <w:t xml:space="preserve"> 征求意见稿</w:t>
      </w:r>
      <w:r>
        <w:rPr>
          <w:rFonts w:ascii="宋体" w:hAnsi="宋体"/>
          <w:b/>
          <w:snapToGrid w:val="0"/>
          <w:color w:val="auto"/>
          <w:kern w:val="0"/>
          <w:sz w:val="36"/>
          <w:szCs w:val="36"/>
        </w:rPr>
        <w:t>)</w:t>
      </w:r>
    </w:p>
    <w:p w14:paraId="43DA7274">
      <w:pPr>
        <w:rPr>
          <w:color w:val="auto"/>
          <w:sz w:val="32"/>
          <w:szCs w:val="32"/>
        </w:rPr>
      </w:pPr>
    </w:p>
    <w:p w14:paraId="7DC6772A">
      <w:pPr>
        <w:rPr>
          <w:color w:val="auto"/>
        </w:rPr>
      </w:pPr>
    </w:p>
    <w:p w14:paraId="1AC8C25A">
      <w:pPr>
        <w:spacing w:line="360" w:lineRule="auto"/>
        <w:jc w:val="center"/>
        <w:rPr>
          <w:rFonts w:hint="eastAsia" w:ascii="宋体" w:hAnsi="宋体"/>
          <w:b/>
          <w:snapToGrid w:val="0"/>
          <w:color w:val="auto"/>
          <w:spacing w:val="-8"/>
          <w:kern w:val="0"/>
          <w:sz w:val="52"/>
          <w:szCs w:val="52"/>
        </w:rPr>
      </w:pPr>
    </w:p>
    <w:p w14:paraId="69EE5A1F">
      <w:pPr>
        <w:spacing w:line="360" w:lineRule="auto"/>
        <w:jc w:val="center"/>
        <w:rPr>
          <w:rFonts w:hint="eastAsia" w:ascii="宋体" w:hAnsi="宋体"/>
          <w:b/>
          <w:snapToGrid w:val="0"/>
          <w:color w:val="auto"/>
          <w:spacing w:val="-8"/>
          <w:kern w:val="0"/>
          <w:sz w:val="52"/>
          <w:szCs w:val="52"/>
        </w:rPr>
      </w:pPr>
      <w:r>
        <w:rPr>
          <w:rFonts w:hint="eastAsia" w:ascii="宋体" w:hAnsi="宋体"/>
          <w:b/>
          <w:snapToGrid w:val="0"/>
          <w:color w:val="auto"/>
          <w:spacing w:val="-8"/>
          <w:kern w:val="0"/>
          <w:sz w:val="52"/>
          <w:szCs w:val="52"/>
        </w:rPr>
        <w:t>条 文 说 明</w:t>
      </w:r>
    </w:p>
    <w:p w14:paraId="5771A973">
      <w:pPr>
        <w:rPr>
          <w:rFonts w:ascii="宋体"/>
          <w:b/>
          <w:color w:val="auto"/>
          <w:sz w:val="24"/>
        </w:rPr>
      </w:pPr>
    </w:p>
    <w:p w14:paraId="30A151EA">
      <w:pPr>
        <w:rPr>
          <w:rFonts w:ascii="宋体"/>
          <w:b/>
          <w:color w:val="auto"/>
          <w:sz w:val="24"/>
        </w:rPr>
      </w:pPr>
    </w:p>
    <w:p w14:paraId="4985C966">
      <w:pPr>
        <w:pStyle w:val="34"/>
        <w:rPr>
          <w:color w:val="auto"/>
        </w:rPr>
      </w:pPr>
    </w:p>
    <w:p w14:paraId="1738DB4A">
      <w:pPr>
        <w:spacing w:line="360" w:lineRule="auto"/>
        <w:jc w:val="center"/>
        <w:outlineLvl w:val="0"/>
        <w:rPr>
          <w:rFonts w:ascii="Times New Roman" w:hAnsi="Times New Roman"/>
          <w:b/>
          <w:color w:val="auto"/>
          <w:sz w:val="36"/>
          <w:szCs w:val="36"/>
        </w:rPr>
      </w:pPr>
    </w:p>
    <w:p w14:paraId="5B4FC6B1">
      <w:pPr>
        <w:spacing w:line="360" w:lineRule="auto"/>
        <w:jc w:val="center"/>
        <w:rPr>
          <w:rFonts w:ascii="Times New Roman" w:hAnsi="Times New Roman"/>
          <w:b/>
          <w:color w:val="auto"/>
          <w:sz w:val="36"/>
          <w:szCs w:val="36"/>
        </w:rPr>
        <w:sectPr>
          <w:pgSz w:w="11906" w:h="16838"/>
          <w:pgMar w:top="1440" w:right="1800" w:bottom="1440" w:left="1800" w:header="851" w:footer="992" w:gutter="0"/>
          <w:cols w:space="720" w:num="1"/>
          <w:docGrid w:type="lines" w:linePitch="312" w:charSpace="0"/>
        </w:sectPr>
      </w:pPr>
    </w:p>
    <w:p w14:paraId="37E254CD">
      <w:pPr>
        <w:pStyle w:val="4"/>
        <w:jc w:val="center"/>
        <w:rPr>
          <w:rFonts w:ascii="Times New Roman" w:hAnsi="Times New Roman" w:cs="Times New Roman"/>
          <w:color w:val="auto"/>
          <w:sz w:val="28"/>
        </w:rPr>
      </w:pPr>
      <w:bookmarkStart w:id="1756" w:name="_Toc904"/>
      <w:r>
        <w:rPr>
          <w:rFonts w:ascii="Times New Roman" w:hAnsi="Times New Roman" w:cs="Times New Roman"/>
          <w:color w:val="auto"/>
          <w:sz w:val="28"/>
        </w:rPr>
        <w:t>1</w:t>
      </w:r>
      <w:r>
        <w:rPr>
          <w:rFonts w:ascii="Times New Roman" w:cs="Times New Roman" w:hAnsiTheme="minorEastAsia"/>
          <w:color w:val="auto"/>
          <w:sz w:val="28"/>
        </w:rPr>
        <w:t>总则</w:t>
      </w:r>
      <w:bookmarkEnd w:id="1756"/>
    </w:p>
    <w:p w14:paraId="0538B067">
      <w:pPr>
        <w:spacing w:line="360" w:lineRule="auto"/>
        <w:ind w:firstLine="482" w:firstLineChars="200"/>
        <w:jc w:val="left"/>
        <w:rPr>
          <w:rFonts w:ascii="Times New Roman" w:cs="Times New Roman"/>
          <w:i w:val="0"/>
          <w:iCs w:val="0"/>
          <w:color w:val="auto"/>
          <w:sz w:val="24"/>
        </w:rPr>
      </w:pPr>
      <w:r>
        <w:rPr>
          <w:rFonts w:hint="eastAsia" w:ascii="宋体" w:hAnsi="宋体" w:eastAsia="宋体" w:cs="Times New Roman"/>
          <w:b/>
          <w:i w:val="0"/>
          <w:iCs w:val="0"/>
          <w:color w:val="auto"/>
          <w:sz w:val="24"/>
          <w:szCs w:val="24"/>
        </w:rPr>
        <w:t>1.0.1</w:t>
      </w:r>
      <w:r>
        <w:rPr>
          <w:rFonts w:hint="eastAsia" w:ascii="宋体" w:hAnsi="宋体" w:eastAsia="宋体" w:cs="Times New Roman"/>
          <w:i w:val="0"/>
          <w:iCs w:val="0"/>
          <w:color w:val="auto"/>
          <w:sz w:val="24"/>
          <w:szCs w:val="24"/>
          <w:u w:val="single"/>
        </w:rPr>
        <w:t>当前，安徽省建筑工程墙体保温技术普遍采用外墙外保温技术，国家新版标准《绿色建筑评价标准》GB/T 50378-2019[</w:t>
      </w:r>
      <w:r>
        <w:rPr>
          <w:rFonts w:ascii="宋体" w:hAnsi="宋体" w:eastAsia="宋体" w:cs="Times New Roman"/>
          <w:i w:val="0"/>
          <w:iCs w:val="0"/>
          <w:color w:val="auto"/>
          <w:sz w:val="24"/>
          <w:szCs w:val="24"/>
          <w:u w:val="single"/>
        </w:rPr>
        <w:t>2024</w:t>
      </w:r>
      <w:r>
        <w:rPr>
          <w:rFonts w:hint="eastAsia" w:ascii="宋体" w:hAnsi="宋体" w:eastAsia="宋体" w:cs="Times New Roman"/>
          <w:i w:val="0"/>
          <w:iCs w:val="0"/>
          <w:color w:val="auto"/>
          <w:sz w:val="24"/>
          <w:szCs w:val="24"/>
          <w:u w:val="single"/>
        </w:rPr>
        <w:t>年修订]明确提出了围护结构的安全、耐久及防护的要求，为进一步完善我省绿色建筑技术路线，研发完善了结构保温一体化施工应用技术体系。保温免拆模板兼有建筑外墙保温和现浇混凝土模板功能，能有效解决建筑外墙保温系统的安全、节能、工程质量等方面问题。近年来，我省相继组织相关单位开展保温免拆模板应用技术试点工作，不断优化完善相关技术体系，取得了相应的成效。为有效地推动与实施建筑保温与结构一体化技术，促进我省绿色建筑与节能技术的发展，规范保温免拆模板建筑保温工程的设计、施工及验收，特制定本标准。</w:t>
      </w:r>
    </w:p>
    <w:p w14:paraId="6859D1DD">
      <w:pPr>
        <w:spacing w:line="360" w:lineRule="auto"/>
        <w:ind w:firstLine="482" w:firstLineChars="200"/>
        <w:jc w:val="left"/>
        <w:rPr>
          <w:rFonts w:ascii="Times New Roman" w:cs="Times New Roman"/>
          <w:b/>
          <w:i w:val="0"/>
          <w:iCs w:val="0"/>
          <w:color w:val="auto"/>
          <w:sz w:val="24"/>
        </w:rPr>
        <w:sectPr>
          <w:footerReference r:id="rId6" w:type="default"/>
          <w:pgSz w:w="11906" w:h="16838"/>
          <w:pgMar w:top="1440" w:right="1800" w:bottom="1440" w:left="1800" w:header="851" w:footer="992" w:gutter="0"/>
          <w:cols w:space="425" w:num="1"/>
          <w:docGrid w:type="lines" w:linePitch="312" w:charSpace="0"/>
        </w:sectPr>
      </w:pPr>
      <w:r>
        <w:rPr>
          <w:rFonts w:hint="eastAsia" w:ascii="宋体" w:hAnsi="宋体" w:eastAsia="宋体" w:cs="宋体"/>
          <w:b/>
          <w:i w:val="0"/>
          <w:iCs w:val="0"/>
          <w:color w:val="auto"/>
          <w:sz w:val="24"/>
          <w:szCs w:val="24"/>
        </w:rPr>
        <w:t>1.0.3</w:t>
      </w:r>
      <w:r>
        <w:rPr>
          <w:rFonts w:hint="eastAsia" w:ascii="宋体" w:hAnsi="宋体" w:eastAsia="宋体" w:cs="Times New Roman"/>
          <w:i w:val="0"/>
          <w:iCs w:val="0"/>
          <w:color w:val="auto"/>
          <w:sz w:val="24"/>
          <w:szCs w:val="24"/>
          <w:u w:val="single"/>
        </w:rPr>
        <w:t>保温免拆模板兼具保温与模板功能，该保温与结构一体化技术体系涉及多学科、多专业的交叉，因此在执行本标准的同时，还应注意与现行其他相关的国家、行业和地方标准的相关规定协调一致。</w:t>
      </w:r>
    </w:p>
    <w:p w14:paraId="109C77E4">
      <w:pPr>
        <w:pStyle w:val="4"/>
        <w:jc w:val="center"/>
        <w:rPr>
          <w:rFonts w:ascii="Times New Roman" w:hAnsi="Times New Roman" w:cs="Times New Roman"/>
          <w:i w:val="0"/>
          <w:iCs w:val="0"/>
          <w:color w:val="auto"/>
          <w:sz w:val="28"/>
        </w:rPr>
      </w:pPr>
      <w:bookmarkStart w:id="1757" w:name="_Toc25782"/>
      <w:r>
        <w:rPr>
          <w:rFonts w:hint="eastAsia" w:ascii="Times New Roman" w:hAnsi="Times New Roman" w:cs="Times New Roman"/>
          <w:i w:val="0"/>
          <w:iCs w:val="0"/>
          <w:color w:val="auto"/>
          <w:sz w:val="28"/>
        </w:rPr>
        <w:t>3.基本规定</w:t>
      </w:r>
      <w:bookmarkEnd w:id="1757"/>
    </w:p>
    <w:p w14:paraId="3F84E94E">
      <w:pPr>
        <w:spacing w:line="360" w:lineRule="auto"/>
        <w:ind w:firstLine="482" w:firstLineChars="200"/>
        <w:rPr>
          <w:rFonts w:hint="eastAsia" w:cs="Times New Roman" w:asciiTheme="minorEastAsia" w:hAnsiTheme="minorEastAsia"/>
          <w:i w:val="0"/>
          <w:iCs w:val="0"/>
          <w:color w:val="auto"/>
          <w:sz w:val="24"/>
        </w:rPr>
      </w:pPr>
      <w:r>
        <w:rPr>
          <w:rFonts w:hint="eastAsia" w:cs="Times New Roman" w:asciiTheme="minorEastAsia" w:hAnsiTheme="minorEastAsia"/>
          <w:b/>
          <w:i w:val="0"/>
          <w:iCs w:val="0"/>
          <w:color w:val="auto"/>
          <w:sz w:val="24"/>
        </w:rPr>
        <w:t>3.0.3</w:t>
      </w:r>
      <w:r>
        <w:rPr>
          <w:rFonts w:hint="eastAsia" w:cs="楷体" w:asciiTheme="minorEastAsia" w:hAnsiTheme="minorEastAsia"/>
          <w:i w:val="0"/>
          <w:iCs w:val="0"/>
          <w:color w:val="auto"/>
          <w:sz w:val="24"/>
          <w:szCs w:val="24"/>
          <w:u w:val="single"/>
        </w:rPr>
        <w:t>当主体结构由于各种应力产生正常位移等变形时，与主体结构牢固连接的保温免拆模板不应形成裂缝、空鼓或从基层墙体脱落；风荷载作用包括压力、吸力和振动，当需计算作用在保温免拆模板上的风荷载时，应按现行国家标准《建筑结构荷载规范》</w:t>
      </w:r>
      <w:r>
        <w:rPr>
          <w:rFonts w:cs="Times New Roman" w:asciiTheme="minorEastAsia" w:hAnsiTheme="minorEastAsia"/>
          <w:i w:val="0"/>
          <w:iCs w:val="0"/>
          <w:color w:val="auto"/>
          <w:sz w:val="24"/>
          <w:szCs w:val="24"/>
          <w:u w:val="single"/>
        </w:rPr>
        <w:t xml:space="preserve">GB 50009 </w:t>
      </w:r>
      <w:r>
        <w:rPr>
          <w:rFonts w:hint="eastAsia" w:cs="楷体" w:asciiTheme="minorEastAsia" w:hAnsiTheme="minorEastAsia"/>
          <w:i w:val="0"/>
          <w:iCs w:val="0"/>
          <w:color w:val="auto"/>
          <w:sz w:val="24"/>
          <w:szCs w:val="24"/>
          <w:u w:val="single"/>
        </w:rPr>
        <w:t>的有关规定执行；气候变化主要指温差、日晒、雨淋、冻融等；保温免拆模板与基层应有可靠连接，避免脱落伤人；</w:t>
      </w:r>
      <w:r>
        <w:rPr>
          <w:rFonts w:hint="eastAsia" w:cs="Times New Roman" w:asciiTheme="minorEastAsia" w:hAnsiTheme="minorEastAsia"/>
          <w:i w:val="0"/>
          <w:iCs w:val="0"/>
          <w:color w:val="auto"/>
          <w:sz w:val="24"/>
          <w:szCs w:val="24"/>
          <w:u w:val="single"/>
        </w:rPr>
        <w:t>水会对保温免拆模板保温系统产生多种不利影响，如保温性能降低、冻融破坏、饰面层起泡、水与空气中的酸性气体反应生成酸而对系统产生的破坏等。因此，保温免拆模板建筑保温系统应防止雨、雪浸入，防止内表面和隙间结露。所有部件都应表现出化学—物理稳定性。所有材料应是天然耐腐蚀或者是被处理成耐腐蚀的。金属连接件穿过保温免拆模板部分应采用镀锌或涂防锈漆等防锈处理。保温免拆模板建筑保温系统设计、施工时应按国家和安徽省建筑节能的有关标准的规定要求执行，使系统的热工性能满足要求。</w:t>
      </w:r>
    </w:p>
    <w:p w14:paraId="67A436C5">
      <w:pPr>
        <w:spacing w:line="360" w:lineRule="auto"/>
        <w:ind w:firstLine="602" w:firstLineChars="250"/>
        <w:rPr>
          <w:rFonts w:hint="eastAsia" w:cs="Times New Roman" w:asciiTheme="minorEastAsia" w:hAnsiTheme="minorEastAsia"/>
          <w:i w:val="0"/>
          <w:iCs w:val="0"/>
          <w:color w:val="auto"/>
          <w:sz w:val="24"/>
        </w:rPr>
      </w:pPr>
      <w:r>
        <w:rPr>
          <w:rFonts w:hint="eastAsia" w:cs="Times New Roman" w:asciiTheme="minorEastAsia" w:hAnsiTheme="minorEastAsia"/>
          <w:b/>
          <w:i w:val="0"/>
          <w:iCs w:val="0"/>
          <w:color w:val="auto"/>
          <w:sz w:val="24"/>
        </w:rPr>
        <w:t>3.0.</w:t>
      </w:r>
      <w:r>
        <w:rPr>
          <w:rFonts w:cs="Times New Roman" w:asciiTheme="minorEastAsia" w:hAnsiTheme="minorEastAsia"/>
          <w:b/>
          <w:i w:val="0"/>
          <w:iCs w:val="0"/>
          <w:color w:val="auto"/>
          <w:sz w:val="24"/>
        </w:rPr>
        <w:t>4</w:t>
      </w:r>
      <w:r>
        <w:rPr>
          <w:rFonts w:hint="eastAsia" w:cs="楷体" w:asciiTheme="minorEastAsia" w:hAnsiTheme="minorEastAsia"/>
          <w:bCs/>
          <w:i w:val="0"/>
          <w:iCs w:val="0"/>
          <w:color w:val="auto"/>
          <w:sz w:val="24"/>
          <w:szCs w:val="24"/>
          <w:u w:val="single"/>
        </w:rPr>
        <w:t>围护结构填</w:t>
      </w:r>
      <w:r>
        <w:rPr>
          <w:rFonts w:hint="eastAsia" w:cs="楷体" w:asciiTheme="minorEastAsia" w:hAnsiTheme="minorEastAsia"/>
          <w:i w:val="0"/>
          <w:iCs w:val="0"/>
          <w:color w:val="auto"/>
          <w:sz w:val="24"/>
          <w:szCs w:val="24"/>
          <w:u w:val="single"/>
        </w:rPr>
        <w:t>充墙采用自保温砌体，使</w:t>
      </w:r>
      <w:r>
        <w:rPr>
          <w:rFonts w:hint="eastAsia" w:cs="楷体" w:asciiTheme="minorEastAsia" w:hAnsiTheme="minorEastAsia"/>
          <w:bCs/>
          <w:i w:val="0"/>
          <w:iCs w:val="0"/>
          <w:color w:val="auto"/>
          <w:sz w:val="24"/>
          <w:szCs w:val="24"/>
          <w:u w:val="single"/>
        </w:rPr>
        <w:t>混凝土热桥更容易处理，整个系统的热工性能更好。</w:t>
      </w:r>
    </w:p>
    <w:p w14:paraId="323E6CFA">
      <w:pPr>
        <w:spacing w:line="360" w:lineRule="auto"/>
        <w:ind w:firstLine="602" w:firstLineChars="250"/>
        <w:jc w:val="left"/>
        <w:rPr>
          <w:rFonts w:hint="eastAsia" w:cs="楷体" w:asciiTheme="minorEastAsia" w:hAnsiTheme="minorEastAsia"/>
          <w:i w:val="0"/>
          <w:iCs w:val="0"/>
          <w:color w:val="auto"/>
          <w:sz w:val="24"/>
          <w:szCs w:val="24"/>
          <w:u w:val="single"/>
        </w:rPr>
      </w:pPr>
      <w:r>
        <w:rPr>
          <w:rFonts w:hint="eastAsia" w:cs="Times New Roman" w:asciiTheme="minorEastAsia" w:hAnsiTheme="minorEastAsia"/>
          <w:b/>
          <w:i w:val="0"/>
          <w:iCs w:val="0"/>
          <w:color w:val="auto"/>
          <w:sz w:val="24"/>
        </w:rPr>
        <w:t>3.0.</w:t>
      </w:r>
      <w:r>
        <w:rPr>
          <w:rFonts w:cs="Times New Roman" w:asciiTheme="minorEastAsia" w:hAnsiTheme="minorEastAsia"/>
          <w:b/>
          <w:i w:val="0"/>
          <w:iCs w:val="0"/>
          <w:color w:val="auto"/>
          <w:sz w:val="24"/>
        </w:rPr>
        <w:t>5</w:t>
      </w:r>
      <w:r>
        <w:rPr>
          <w:rFonts w:hint="eastAsia" w:cs="Times New Roman" w:asciiTheme="minorEastAsia" w:hAnsiTheme="minorEastAsia"/>
          <w:i w:val="0"/>
          <w:iCs w:val="0"/>
          <w:color w:val="auto"/>
          <w:sz w:val="24"/>
        </w:rPr>
        <w:t xml:space="preserve"> </w:t>
      </w:r>
      <w:r>
        <w:rPr>
          <w:rFonts w:hint="eastAsia" w:cs="楷体" w:asciiTheme="minorEastAsia" w:hAnsiTheme="minorEastAsia"/>
          <w:i w:val="0"/>
          <w:iCs w:val="0"/>
          <w:color w:val="auto"/>
          <w:sz w:val="24"/>
          <w:szCs w:val="24"/>
          <w:u w:val="single"/>
        </w:rPr>
        <w:t>本条明确保温免拆模板建筑保温系统饰面层材料选用要求，当选用保温免拆模板建筑外墙保温外置体系时，从使用安全性角度出发，尽可能选用轻质饰面材料，如涂料、饰面砂浆、柔性饰面材类，不宜采用饰面砖。</w:t>
      </w:r>
    </w:p>
    <w:p w14:paraId="6F673B61">
      <w:pPr>
        <w:jc w:val="left"/>
        <w:rPr>
          <w:i w:val="0"/>
          <w:iCs w:val="0"/>
          <w:color w:val="auto"/>
        </w:rPr>
      </w:pPr>
    </w:p>
    <w:p w14:paraId="485C3C43">
      <w:pPr>
        <w:jc w:val="left"/>
        <w:rPr>
          <w:i w:val="0"/>
          <w:iCs w:val="0"/>
          <w:color w:val="auto"/>
        </w:rPr>
      </w:pPr>
    </w:p>
    <w:p w14:paraId="55EDFA19">
      <w:pPr>
        <w:jc w:val="left"/>
        <w:rPr>
          <w:i w:val="0"/>
          <w:iCs w:val="0"/>
          <w:color w:val="auto"/>
        </w:rPr>
      </w:pPr>
    </w:p>
    <w:p w14:paraId="222DF467">
      <w:pPr>
        <w:jc w:val="left"/>
        <w:rPr>
          <w:i w:val="0"/>
          <w:iCs w:val="0"/>
          <w:color w:val="auto"/>
        </w:rPr>
      </w:pPr>
    </w:p>
    <w:p w14:paraId="56B63C91">
      <w:pPr>
        <w:jc w:val="left"/>
        <w:rPr>
          <w:i w:val="0"/>
          <w:iCs w:val="0"/>
          <w:color w:val="auto"/>
        </w:rPr>
      </w:pPr>
    </w:p>
    <w:p w14:paraId="0EFBFA87">
      <w:pPr>
        <w:jc w:val="left"/>
        <w:rPr>
          <w:i w:val="0"/>
          <w:iCs w:val="0"/>
          <w:color w:val="auto"/>
        </w:rPr>
      </w:pPr>
    </w:p>
    <w:p w14:paraId="1FDDCA66">
      <w:pPr>
        <w:jc w:val="left"/>
        <w:rPr>
          <w:i w:val="0"/>
          <w:iCs w:val="0"/>
          <w:color w:val="auto"/>
        </w:rPr>
      </w:pPr>
    </w:p>
    <w:p w14:paraId="0E0EC259">
      <w:pPr>
        <w:jc w:val="left"/>
        <w:rPr>
          <w:i w:val="0"/>
          <w:iCs w:val="0"/>
          <w:color w:val="auto"/>
        </w:rPr>
      </w:pPr>
    </w:p>
    <w:p w14:paraId="359B8FDF">
      <w:pPr>
        <w:jc w:val="left"/>
        <w:rPr>
          <w:i w:val="0"/>
          <w:iCs w:val="0"/>
          <w:color w:val="auto"/>
        </w:rPr>
      </w:pPr>
    </w:p>
    <w:p w14:paraId="09DCD703">
      <w:pPr>
        <w:jc w:val="left"/>
        <w:rPr>
          <w:i w:val="0"/>
          <w:iCs w:val="0"/>
          <w:color w:val="auto"/>
        </w:rPr>
      </w:pPr>
    </w:p>
    <w:p w14:paraId="176C2877">
      <w:pPr>
        <w:pStyle w:val="4"/>
        <w:jc w:val="center"/>
        <w:rPr>
          <w:rFonts w:ascii="Times New Roman" w:hAnsi="Times New Roman" w:cs="Times New Roman"/>
          <w:i w:val="0"/>
          <w:iCs w:val="0"/>
          <w:color w:val="auto"/>
          <w:sz w:val="28"/>
        </w:rPr>
      </w:pPr>
      <w:bookmarkStart w:id="1758" w:name="_Toc16522"/>
      <w:r>
        <w:rPr>
          <w:rFonts w:hint="eastAsia" w:ascii="Times New Roman" w:hAnsi="Times New Roman" w:cs="Times New Roman"/>
          <w:i w:val="0"/>
          <w:iCs w:val="0"/>
          <w:color w:val="auto"/>
          <w:sz w:val="28"/>
        </w:rPr>
        <w:t>4系统及其组成材料</w:t>
      </w:r>
      <w:bookmarkEnd w:id="1758"/>
    </w:p>
    <w:p w14:paraId="0EA52665">
      <w:pPr>
        <w:pStyle w:val="144"/>
        <w:tabs>
          <w:tab w:val="clear" w:pos="1620"/>
        </w:tabs>
        <w:spacing w:before="312" w:after="312"/>
        <w:rPr>
          <w:i w:val="0"/>
          <w:iCs w:val="0"/>
          <w:color w:val="auto"/>
        </w:rPr>
      </w:pPr>
      <w:bookmarkStart w:id="1759" w:name="_Toc25320"/>
      <w:r>
        <w:rPr>
          <w:rFonts w:hint="eastAsia"/>
          <w:i w:val="0"/>
          <w:iCs w:val="0"/>
          <w:color w:val="auto"/>
        </w:rPr>
        <w:t>4.1  一般规定</w:t>
      </w:r>
      <w:bookmarkEnd w:id="1759"/>
    </w:p>
    <w:p w14:paraId="2318865F">
      <w:pPr>
        <w:autoSpaceDE w:val="0"/>
        <w:autoSpaceDN w:val="0"/>
        <w:adjustRightInd w:val="0"/>
        <w:snapToGrid w:val="0"/>
        <w:spacing w:line="360" w:lineRule="auto"/>
        <w:ind w:firstLine="482" w:firstLineChars="200"/>
        <w:jc w:val="left"/>
        <w:rPr>
          <w:rFonts w:hint="eastAsia" w:ascii="宋体" w:hAnsi="宋体" w:cs="黑体"/>
          <w:bCs/>
          <w:i w:val="0"/>
          <w:iCs w:val="0"/>
          <w:color w:val="auto"/>
          <w:kern w:val="0"/>
          <w:sz w:val="24"/>
          <w:u w:val="single"/>
        </w:rPr>
      </w:pPr>
      <w:r>
        <w:rPr>
          <w:rFonts w:hint="eastAsia" w:ascii="宋体" w:hAnsi="宋体" w:cstheme="minorHAnsi"/>
          <w:b/>
          <w:i w:val="0"/>
          <w:iCs w:val="0"/>
          <w:color w:val="auto"/>
          <w:kern w:val="0"/>
          <w:sz w:val="24"/>
        </w:rPr>
        <w:t>4.1.3</w:t>
      </w:r>
      <w:r>
        <w:rPr>
          <w:rFonts w:hint="eastAsia" w:ascii="Times New Roman" w:hAnsi="楷体" w:eastAsia="楷体" w:cs="楷体"/>
          <w:i w:val="0"/>
          <w:iCs w:val="0"/>
          <w:color w:val="auto"/>
          <w:sz w:val="24"/>
          <w:szCs w:val="24"/>
          <w:u w:val="single"/>
        </w:rPr>
        <w:t>当保温免拆模板中采用B</w:t>
      </w:r>
      <w:r>
        <w:rPr>
          <w:rFonts w:ascii="Times New Roman" w:hAnsi="楷体" w:eastAsia="楷体" w:cs="楷体"/>
          <w:i w:val="0"/>
          <w:iCs w:val="0"/>
          <w:color w:val="auto"/>
          <w:sz w:val="24"/>
          <w:szCs w:val="24"/>
          <w:u w:val="single"/>
        </w:rPr>
        <w:t>1</w:t>
      </w:r>
      <w:r>
        <w:rPr>
          <w:rFonts w:hint="eastAsia" w:ascii="Times New Roman" w:hAnsi="楷体" w:eastAsia="楷体" w:cs="楷体"/>
          <w:i w:val="0"/>
          <w:iCs w:val="0"/>
          <w:color w:val="auto"/>
          <w:sz w:val="24"/>
          <w:szCs w:val="24"/>
          <w:u w:val="single"/>
        </w:rPr>
        <w:t>级保温板时，保温板外侧的防护层需采用不燃材料，保护层厚度应等于或大于5</w:t>
      </w:r>
      <w:r>
        <w:rPr>
          <w:rFonts w:ascii="Times New Roman" w:hAnsi="楷体" w:eastAsia="楷体" w:cs="楷体"/>
          <w:i w:val="0"/>
          <w:iCs w:val="0"/>
          <w:color w:val="auto"/>
          <w:sz w:val="24"/>
          <w:szCs w:val="24"/>
          <w:u w:val="single"/>
        </w:rPr>
        <w:t>0mm</w:t>
      </w:r>
      <w:r>
        <w:rPr>
          <w:rFonts w:hint="eastAsia" w:ascii="Times New Roman" w:hAnsi="楷体" w:eastAsia="楷体" w:cs="楷体"/>
          <w:i w:val="0"/>
          <w:iCs w:val="0"/>
          <w:color w:val="auto"/>
          <w:sz w:val="24"/>
          <w:szCs w:val="24"/>
          <w:u w:val="single"/>
        </w:rPr>
        <w:t>。</w:t>
      </w:r>
    </w:p>
    <w:p w14:paraId="6C880E0C">
      <w:pPr>
        <w:autoSpaceDE w:val="0"/>
        <w:autoSpaceDN w:val="0"/>
        <w:adjustRightInd w:val="0"/>
        <w:snapToGrid w:val="0"/>
        <w:spacing w:line="360" w:lineRule="auto"/>
        <w:ind w:firstLine="482" w:firstLineChars="200"/>
        <w:jc w:val="left"/>
        <w:rPr>
          <w:rFonts w:hint="eastAsia" w:ascii="Times New Roman" w:hAnsi="楷体" w:eastAsia="楷体" w:cs="楷体"/>
          <w:i w:val="0"/>
          <w:iCs w:val="0"/>
          <w:color w:val="auto"/>
          <w:sz w:val="24"/>
          <w:szCs w:val="24"/>
          <w:u w:val="single"/>
        </w:rPr>
      </w:pPr>
      <w:r>
        <w:rPr>
          <w:rFonts w:hint="eastAsia" w:ascii="宋体" w:hAnsi="宋体" w:cstheme="minorHAnsi"/>
          <w:b/>
          <w:i w:val="0"/>
          <w:iCs w:val="0"/>
          <w:color w:val="auto"/>
          <w:kern w:val="0"/>
          <w:sz w:val="24"/>
        </w:rPr>
        <w:t>4.1.4</w:t>
      </w:r>
      <w:r>
        <w:rPr>
          <w:rFonts w:hint="eastAsia" w:ascii="宋体" w:hAnsi="宋体" w:cs="宋体"/>
          <w:bCs/>
          <w:i w:val="0"/>
          <w:iCs w:val="0"/>
          <w:color w:val="auto"/>
          <w:sz w:val="24"/>
        </w:rPr>
        <w:t xml:space="preserve"> </w:t>
      </w:r>
      <w:r>
        <w:rPr>
          <w:rFonts w:hint="eastAsia" w:ascii="Times New Roman" w:hAnsi="楷体" w:eastAsia="楷体" w:cs="楷体"/>
          <w:i w:val="0"/>
          <w:iCs w:val="0"/>
          <w:color w:val="auto"/>
          <w:sz w:val="24"/>
          <w:szCs w:val="24"/>
          <w:u w:val="single"/>
        </w:rPr>
        <w:t>考虑到保温免拆模板的耐久性问题，对复合型免拆保温模板中采用的保温的应采用成熟的生产工艺，目前建筑工程中主要是采用水泥作为胶凝材料。</w:t>
      </w:r>
    </w:p>
    <w:p w14:paraId="5EAFAFCC">
      <w:pPr>
        <w:autoSpaceDE w:val="0"/>
        <w:autoSpaceDN w:val="0"/>
        <w:adjustRightInd w:val="0"/>
        <w:snapToGrid w:val="0"/>
        <w:spacing w:line="360" w:lineRule="auto"/>
        <w:ind w:firstLine="480" w:firstLineChars="200"/>
        <w:jc w:val="left"/>
        <w:rPr>
          <w:rFonts w:hint="eastAsia" w:ascii="Times New Roman" w:hAnsi="楷体" w:eastAsia="楷体" w:cs="楷体"/>
          <w:i w:val="0"/>
          <w:iCs w:val="0"/>
          <w:color w:val="auto"/>
          <w:sz w:val="24"/>
          <w:szCs w:val="24"/>
          <w:u w:val="single"/>
        </w:rPr>
      </w:pPr>
      <w:r>
        <w:rPr>
          <w:rFonts w:hint="eastAsia" w:ascii="Times New Roman" w:hAnsi="楷体" w:eastAsia="楷体" w:cs="楷体"/>
          <w:i w:val="0"/>
          <w:iCs w:val="0"/>
          <w:color w:val="auto"/>
          <w:sz w:val="24"/>
          <w:szCs w:val="24"/>
          <w:u w:val="single"/>
        </w:rPr>
        <w:t>挤塑聚苯板由于收缩变形量大，所以采用的板材应陈化，减少施工后板材的收缩变形量，挤塑板与无机胶粘材料的粘接性能比较差，为了提高粘接性能，需要在生产保温免拆模板的过程中对使用的挤塑板两面拉毛并满涂界面处理剂，来提高挤塑板与防护层的粘接性能。</w:t>
      </w:r>
    </w:p>
    <w:p w14:paraId="73311064">
      <w:pPr>
        <w:pStyle w:val="144"/>
        <w:tabs>
          <w:tab w:val="clear" w:pos="1620"/>
        </w:tabs>
        <w:spacing w:before="312" w:after="312"/>
        <w:rPr>
          <w:i w:val="0"/>
          <w:iCs w:val="0"/>
          <w:color w:val="auto"/>
          <w:u w:val="single"/>
        </w:rPr>
      </w:pPr>
      <w:bookmarkStart w:id="1760" w:name="_Toc32363"/>
      <w:r>
        <w:rPr>
          <w:rFonts w:hint="eastAsia"/>
          <w:i w:val="0"/>
          <w:iCs w:val="0"/>
          <w:color w:val="auto"/>
        </w:rPr>
        <w:t>4.2系统性能要求</w:t>
      </w:r>
      <w:bookmarkEnd w:id="1760"/>
    </w:p>
    <w:p w14:paraId="0787831F">
      <w:pPr>
        <w:tabs>
          <w:tab w:val="left" w:pos="3969"/>
        </w:tabs>
        <w:snapToGrid w:val="0"/>
        <w:spacing w:line="520" w:lineRule="exact"/>
        <w:ind w:firstLine="482" w:firstLineChars="200"/>
        <w:rPr>
          <w:rFonts w:hint="eastAsia" w:ascii="楷体" w:hAnsi="楷体" w:eastAsia="楷体"/>
          <w:i w:val="0"/>
          <w:iCs w:val="0"/>
          <w:color w:val="auto"/>
          <w:sz w:val="24"/>
          <w:u w:val="single"/>
        </w:rPr>
      </w:pPr>
      <w:r>
        <w:rPr>
          <w:rFonts w:hint="eastAsia" w:ascii="宋体" w:hAnsi="宋体" w:cstheme="minorHAnsi"/>
          <w:b/>
          <w:i w:val="0"/>
          <w:iCs w:val="0"/>
          <w:color w:val="auto"/>
          <w:kern w:val="0"/>
          <w:sz w:val="24"/>
        </w:rPr>
        <w:t>4.2.</w:t>
      </w:r>
      <w:r>
        <w:rPr>
          <w:rFonts w:ascii="宋体" w:hAnsi="宋体" w:cstheme="minorHAnsi"/>
          <w:b/>
          <w:i w:val="0"/>
          <w:iCs w:val="0"/>
          <w:color w:val="auto"/>
          <w:kern w:val="0"/>
          <w:sz w:val="24"/>
        </w:rPr>
        <w:t>1</w:t>
      </w:r>
      <w:r>
        <w:rPr>
          <w:rFonts w:hint="eastAsia" w:ascii="宋体" w:hAnsi="宋体" w:cstheme="minorHAnsi"/>
          <w:b/>
          <w:i w:val="0"/>
          <w:iCs w:val="0"/>
          <w:color w:val="auto"/>
          <w:kern w:val="0"/>
          <w:sz w:val="24"/>
        </w:rPr>
        <w:t xml:space="preserve"> </w:t>
      </w:r>
      <w:r>
        <w:rPr>
          <w:rFonts w:hint="eastAsia" w:ascii="楷体" w:hAnsi="楷体" w:eastAsia="楷体"/>
          <w:i w:val="0"/>
          <w:iCs w:val="0"/>
          <w:color w:val="auto"/>
          <w:sz w:val="24"/>
          <w:u w:val="single"/>
        </w:rPr>
        <w:t>本章涉及为满足第</w:t>
      </w:r>
      <w:r>
        <w:rPr>
          <w:rFonts w:ascii="楷体" w:hAnsi="楷体" w:eastAsia="楷体"/>
          <w:i w:val="0"/>
          <w:iCs w:val="0"/>
          <w:color w:val="auto"/>
          <w:sz w:val="24"/>
          <w:u w:val="single"/>
        </w:rPr>
        <w:t>3</w:t>
      </w:r>
      <w:r>
        <w:rPr>
          <w:rFonts w:hint="eastAsia" w:ascii="楷体" w:hAnsi="楷体" w:eastAsia="楷体"/>
          <w:i w:val="0"/>
          <w:iCs w:val="0"/>
          <w:color w:val="auto"/>
          <w:sz w:val="24"/>
          <w:u w:val="single"/>
        </w:rPr>
        <w:t>章对外保温工程的基本规定而需要对外保温系统及其组成材料进行检验的项目及性能要求，编制时主要参考了</w:t>
      </w:r>
      <w:r>
        <w:rPr>
          <w:rFonts w:ascii="楷体" w:hAnsi="楷体" w:eastAsia="楷体"/>
          <w:i w:val="0"/>
          <w:iCs w:val="0"/>
          <w:color w:val="auto"/>
          <w:sz w:val="24"/>
          <w:u w:val="single"/>
        </w:rPr>
        <w:t>JGJ 144</w:t>
      </w:r>
      <w:r>
        <w:rPr>
          <w:rFonts w:hint="eastAsia" w:ascii="楷体" w:hAnsi="楷体" w:eastAsia="楷体"/>
          <w:i w:val="0"/>
          <w:iCs w:val="0"/>
          <w:color w:val="auto"/>
          <w:sz w:val="24"/>
          <w:u w:val="single"/>
        </w:rPr>
        <w:t>、</w:t>
      </w:r>
      <w:r>
        <w:rPr>
          <w:rFonts w:ascii="楷体" w:hAnsi="楷体" w:eastAsia="楷体"/>
          <w:i w:val="0"/>
          <w:iCs w:val="0"/>
          <w:color w:val="auto"/>
          <w:sz w:val="24"/>
          <w:u w:val="single"/>
        </w:rPr>
        <w:t>DB34/T3826</w:t>
      </w:r>
      <w:r>
        <w:rPr>
          <w:rFonts w:hint="eastAsia" w:ascii="楷体" w:hAnsi="楷体" w:eastAsia="楷体"/>
          <w:i w:val="0"/>
          <w:iCs w:val="0"/>
          <w:color w:val="auto"/>
          <w:sz w:val="24"/>
          <w:u w:val="single"/>
        </w:rPr>
        <w:t>等标准。</w:t>
      </w:r>
    </w:p>
    <w:p w14:paraId="462798FC">
      <w:pPr>
        <w:pStyle w:val="51"/>
        <w:spacing w:after="0" w:line="300" w:lineRule="auto"/>
        <w:ind w:left="0" w:leftChars="0" w:firstLine="480" w:firstLineChars="200"/>
        <w:rPr>
          <w:rFonts w:hint="eastAsia" w:ascii="楷体" w:hAnsi="楷体" w:eastAsia="楷体"/>
          <w:i w:val="0"/>
          <w:iCs w:val="0"/>
          <w:color w:val="auto"/>
          <w:sz w:val="24"/>
          <w:szCs w:val="24"/>
          <w:u w:val="single"/>
        </w:rPr>
      </w:pPr>
      <w:r>
        <w:rPr>
          <w:rFonts w:ascii="楷体" w:hAnsi="楷体" w:eastAsia="楷体"/>
          <w:i w:val="0"/>
          <w:iCs w:val="0"/>
          <w:color w:val="auto"/>
          <w:sz w:val="24"/>
          <w:szCs w:val="24"/>
          <w:u w:val="single"/>
        </w:rPr>
        <w:t>JGJ 144</w:t>
      </w:r>
      <w:r>
        <w:rPr>
          <w:rFonts w:hint="eastAsia" w:ascii="楷体" w:hAnsi="楷体" w:eastAsia="楷体"/>
          <w:i w:val="0"/>
          <w:iCs w:val="0"/>
          <w:color w:val="auto"/>
          <w:sz w:val="24"/>
          <w:szCs w:val="24"/>
          <w:u w:val="single"/>
        </w:rPr>
        <w:t>中所涉及的规定、试验和评价方法是在假定复合外保温系统的使用寿命至少为</w:t>
      </w:r>
      <w:r>
        <w:rPr>
          <w:rFonts w:ascii="楷体" w:hAnsi="楷体" w:eastAsia="楷体"/>
          <w:i w:val="0"/>
          <w:iCs w:val="0"/>
          <w:color w:val="auto"/>
          <w:sz w:val="24"/>
          <w:szCs w:val="24"/>
          <w:u w:val="single"/>
        </w:rPr>
        <w:t>25</w:t>
      </w:r>
      <w:r>
        <w:rPr>
          <w:rFonts w:hint="eastAsia" w:ascii="楷体" w:hAnsi="楷体" w:eastAsia="楷体"/>
          <w:i w:val="0"/>
          <w:iCs w:val="0"/>
          <w:color w:val="auto"/>
          <w:sz w:val="24"/>
          <w:szCs w:val="24"/>
          <w:u w:val="single"/>
        </w:rPr>
        <w:t>年的基础上制定出的。这些规定是建立在当前技术状况及现有知识和经验的基础之上的。这些规定不能被看作为生产者或批准机构对</w:t>
      </w:r>
      <w:r>
        <w:rPr>
          <w:rFonts w:ascii="楷体" w:hAnsi="楷体" w:eastAsia="楷体"/>
          <w:i w:val="0"/>
          <w:iCs w:val="0"/>
          <w:color w:val="auto"/>
          <w:sz w:val="24"/>
          <w:szCs w:val="24"/>
          <w:u w:val="single"/>
        </w:rPr>
        <w:t>25</w:t>
      </w:r>
      <w:r>
        <w:rPr>
          <w:rFonts w:hint="eastAsia" w:ascii="楷体" w:hAnsi="楷体" w:eastAsia="楷体"/>
          <w:i w:val="0"/>
          <w:iCs w:val="0"/>
          <w:color w:val="auto"/>
          <w:sz w:val="24"/>
          <w:szCs w:val="24"/>
          <w:u w:val="single"/>
        </w:rPr>
        <w:t>年使用寿命给予的担保。这些表述只能被看作为一种方法，使规定者按预期的、经济合理的工程使用寿命来为外保温系统选择适当的技术指标。</w:t>
      </w:r>
    </w:p>
    <w:p w14:paraId="4D31E4C5">
      <w:pPr>
        <w:pStyle w:val="51"/>
        <w:spacing w:after="0" w:line="300" w:lineRule="auto"/>
        <w:ind w:left="0" w:leftChars="0" w:firstLine="480" w:firstLineChars="200"/>
        <w:jc w:val="left"/>
        <w:rPr>
          <w:rFonts w:hint="eastAsia" w:ascii="楷体" w:hAnsi="楷体" w:eastAsia="楷体" w:cs="楷体"/>
          <w:i w:val="0"/>
          <w:iCs w:val="0"/>
          <w:color w:val="auto"/>
          <w:sz w:val="24"/>
          <w:szCs w:val="24"/>
          <w:u w:val="single"/>
        </w:rPr>
      </w:pPr>
      <w:r>
        <w:rPr>
          <w:rFonts w:hint="eastAsia" w:ascii="楷体" w:hAnsi="楷体" w:eastAsia="楷体"/>
          <w:i w:val="0"/>
          <w:iCs w:val="0"/>
          <w:color w:val="auto"/>
          <w:sz w:val="24"/>
          <w:szCs w:val="24"/>
          <w:u w:val="single"/>
        </w:rPr>
        <w:t>外保温工程在实际使用中会受到相当大的热应力作用，这种热应力主要表现在防护层上。由于外保温系统的隔热性能好，其防护层温度在夏季可高达</w:t>
      </w:r>
      <w:r>
        <w:rPr>
          <w:rFonts w:ascii="楷体" w:hAnsi="楷体" w:eastAsia="楷体"/>
          <w:i w:val="0"/>
          <w:iCs w:val="0"/>
          <w:color w:val="auto"/>
          <w:sz w:val="24"/>
          <w:szCs w:val="24"/>
          <w:u w:val="single"/>
        </w:rPr>
        <w:t>80</w:t>
      </w:r>
      <w:r>
        <w:rPr>
          <w:rFonts w:hint="eastAsia" w:ascii="楷体" w:hAnsi="楷体" w:eastAsia="楷体"/>
          <w:i w:val="0"/>
          <w:iCs w:val="0"/>
          <w:color w:val="auto"/>
          <w:sz w:val="24"/>
          <w:szCs w:val="24"/>
          <w:u w:val="single"/>
        </w:rPr>
        <w:t>℃。夏季持续晴天后突降暴雨所引起的表面温度变化可达</w:t>
      </w:r>
      <w:r>
        <w:rPr>
          <w:rFonts w:ascii="楷体" w:hAnsi="楷体" w:eastAsia="楷体"/>
          <w:i w:val="0"/>
          <w:iCs w:val="0"/>
          <w:color w:val="auto"/>
          <w:sz w:val="24"/>
          <w:szCs w:val="24"/>
          <w:u w:val="single"/>
        </w:rPr>
        <w:t>50</w:t>
      </w:r>
      <w:r>
        <w:rPr>
          <w:rFonts w:hint="eastAsia" w:ascii="楷体" w:hAnsi="楷体" w:eastAsia="楷体"/>
          <w:i w:val="0"/>
          <w:iCs w:val="0"/>
          <w:color w:val="auto"/>
          <w:sz w:val="24"/>
          <w:szCs w:val="24"/>
          <w:u w:val="single"/>
        </w:rPr>
        <w:t>℃之多。夏季的高温还会加速防护层的老化。防护层中的某些有机粘结材料会由于紫外线辐射、空气中的氧气和水分的作用而遭到破坏。</w:t>
      </w:r>
    </w:p>
    <w:p w14:paraId="5995DC38">
      <w:pPr>
        <w:pStyle w:val="51"/>
        <w:spacing w:after="0" w:line="300" w:lineRule="auto"/>
        <w:ind w:left="0" w:leftChars="0" w:firstLine="480" w:firstLineChars="200"/>
        <w:jc w:val="left"/>
        <w:rPr>
          <w:rFonts w:hint="eastAsia" w:ascii="楷体" w:hAnsi="楷体" w:eastAsia="楷体"/>
          <w:i w:val="0"/>
          <w:iCs w:val="0"/>
          <w:color w:val="auto"/>
          <w:sz w:val="24"/>
          <w:szCs w:val="24"/>
          <w:u w:val="single"/>
        </w:rPr>
      </w:pPr>
      <w:r>
        <w:rPr>
          <w:rFonts w:hint="eastAsia" w:ascii="楷体" w:hAnsi="楷体" w:eastAsia="楷体" w:cs="楷体"/>
          <w:i w:val="0"/>
          <w:iCs w:val="0"/>
          <w:color w:val="auto"/>
          <w:sz w:val="24"/>
          <w:szCs w:val="24"/>
          <w:u w:val="single"/>
        </w:rPr>
        <w:t>外保温工程至少应在</w:t>
      </w:r>
      <w:r>
        <w:rPr>
          <w:rFonts w:ascii="楷体" w:hAnsi="楷体" w:eastAsia="楷体" w:cs="楷体"/>
          <w:i w:val="0"/>
          <w:iCs w:val="0"/>
          <w:color w:val="auto"/>
          <w:sz w:val="24"/>
          <w:szCs w:val="24"/>
          <w:u w:val="single"/>
        </w:rPr>
        <w:t>25</w:t>
      </w:r>
      <w:r>
        <w:rPr>
          <w:rFonts w:hint="eastAsia" w:ascii="楷体" w:hAnsi="楷体" w:eastAsia="楷体" w:cs="楷体"/>
          <w:i w:val="0"/>
          <w:iCs w:val="0"/>
          <w:color w:val="auto"/>
          <w:sz w:val="24"/>
          <w:szCs w:val="24"/>
          <w:u w:val="single"/>
        </w:rPr>
        <w:t>年内保持完好，这就要求它能够经受住周期性热湿</w:t>
      </w:r>
      <w:r>
        <w:rPr>
          <w:rFonts w:hint="eastAsia" w:ascii="楷体" w:hAnsi="楷体" w:eastAsia="楷体"/>
          <w:i w:val="0"/>
          <w:iCs w:val="0"/>
          <w:color w:val="auto"/>
          <w:sz w:val="24"/>
          <w:szCs w:val="24"/>
          <w:u w:val="single"/>
        </w:rPr>
        <w:t>和热冷气候条件的长期作用。耐候性试验模拟夏季墙面经高温日晒后突降暴雨和冬季昼夜温度的反复作用，是对大尺寸的外保温墙体进行的加速气候老化试验，是检验和评价外保温系统质量的重要试验项目。耐候性试验与实际工程有着很好的相关性，能很好地反应实际外保温工程的耐候性能。根据法国</w:t>
      </w:r>
      <w:r>
        <w:rPr>
          <w:rFonts w:ascii="楷体" w:hAnsi="楷体" w:eastAsia="楷体"/>
          <w:i w:val="0"/>
          <w:iCs w:val="0"/>
          <w:color w:val="auto"/>
          <w:sz w:val="24"/>
          <w:szCs w:val="24"/>
          <w:u w:val="single"/>
        </w:rPr>
        <w:t>CSTB</w:t>
      </w:r>
      <w:r>
        <w:rPr>
          <w:rFonts w:hint="eastAsia" w:ascii="楷体" w:hAnsi="楷体" w:eastAsia="楷体"/>
          <w:i w:val="0"/>
          <w:iCs w:val="0"/>
          <w:color w:val="auto"/>
          <w:sz w:val="24"/>
          <w:szCs w:val="24"/>
          <w:u w:val="single"/>
        </w:rPr>
        <w:t>的试验，从在严酷气候条件下经过了几年考验的外保温系统的实际性能变化与试验室耐候性试验的对比来看，为了确保外保温系统在规定使用年限内的可靠性，耐候性试验是十分必要的。</w:t>
      </w:r>
    </w:p>
    <w:p w14:paraId="3A9E038A">
      <w:pPr>
        <w:pStyle w:val="51"/>
        <w:spacing w:after="0" w:line="300" w:lineRule="auto"/>
        <w:ind w:left="0" w:leftChars="0" w:firstLine="480" w:firstLineChars="200"/>
        <w:jc w:val="left"/>
        <w:rPr>
          <w:rFonts w:hint="eastAsia" w:ascii="楷体" w:hAnsi="楷体" w:eastAsia="楷体"/>
          <w:i w:val="0"/>
          <w:iCs w:val="0"/>
          <w:color w:val="auto"/>
          <w:sz w:val="24"/>
          <w:szCs w:val="24"/>
          <w:u w:val="single"/>
        </w:rPr>
      </w:pPr>
      <w:r>
        <w:rPr>
          <w:rFonts w:hint="eastAsia" w:ascii="楷体" w:hAnsi="楷体" w:eastAsia="楷体"/>
          <w:i w:val="0"/>
          <w:iCs w:val="0"/>
          <w:color w:val="auto"/>
          <w:sz w:val="24"/>
          <w:szCs w:val="24"/>
          <w:u w:val="single"/>
        </w:rPr>
        <w:t>耐候性试验条件的组合是十分严厉的。通过该试验，不仅可检验外保温系统的长期耐候性能，而且还可对设计、施工和材料性能进行综合检验。如果材料质量不符合要求，设计不合理或施工质量不好，都不可能经受住这样的考验。</w:t>
      </w:r>
    </w:p>
    <w:p w14:paraId="7EE51EA8">
      <w:pPr>
        <w:pStyle w:val="51"/>
        <w:spacing w:after="0" w:line="300" w:lineRule="auto"/>
        <w:ind w:left="0" w:leftChars="0" w:firstLine="480" w:firstLineChars="200"/>
        <w:jc w:val="left"/>
        <w:rPr>
          <w:rFonts w:hint="eastAsia" w:ascii="楷体" w:hAnsi="楷体" w:eastAsia="楷体"/>
          <w:i w:val="0"/>
          <w:iCs w:val="0"/>
          <w:color w:val="auto"/>
          <w:sz w:val="24"/>
          <w:szCs w:val="24"/>
          <w:u w:val="single"/>
        </w:rPr>
      </w:pPr>
      <w:r>
        <w:rPr>
          <w:rFonts w:hint="eastAsia" w:ascii="楷体" w:hAnsi="楷体" w:eastAsia="楷体"/>
          <w:i w:val="0"/>
          <w:iCs w:val="0"/>
          <w:color w:val="auto"/>
          <w:sz w:val="24"/>
          <w:szCs w:val="24"/>
          <w:u w:val="single"/>
        </w:rPr>
        <w:t>以前，对于一种新材料或新构造系统，往往是通过搞试点建筑的方法进行考验。一般认为经过一个冬季和夏季不出现问题，即可通过鉴定。外保温系统至少应在</w:t>
      </w:r>
      <w:r>
        <w:rPr>
          <w:rFonts w:ascii="楷体" w:hAnsi="楷体" w:eastAsia="楷体"/>
          <w:i w:val="0"/>
          <w:iCs w:val="0"/>
          <w:color w:val="auto"/>
          <w:sz w:val="24"/>
          <w:szCs w:val="24"/>
          <w:u w:val="single"/>
        </w:rPr>
        <w:t>25</w:t>
      </w:r>
      <w:r>
        <w:rPr>
          <w:rFonts w:hint="eastAsia" w:ascii="楷体" w:hAnsi="楷体" w:eastAsia="楷体"/>
          <w:i w:val="0"/>
          <w:iCs w:val="0"/>
          <w:color w:val="auto"/>
          <w:sz w:val="24"/>
          <w:szCs w:val="24"/>
          <w:u w:val="single"/>
        </w:rPr>
        <w:t>年使用期内保持完好，这就要求系统能够经受住周期性热湿和热冷气候条件的长期作用。通过试点建筑的方法难以在短期内判断外保温系统是否满足长期使用要求。</w:t>
      </w:r>
    </w:p>
    <w:p w14:paraId="7CA39985">
      <w:pPr>
        <w:pStyle w:val="51"/>
        <w:spacing w:after="0" w:line="300" w:lineRule="auto"/>
        <w:ind w:left="0" w:leftChars="0" w:firstLine="480" w:firstLineChars="200"/>
        <w:jc w:val="left"/>
        <w:rPr>
          <w:rFonts w:hint="eastAsia" w:ascii="楷体" w:hAnsi="楷体" w:eastAsia="楷体"/>
          <w:i w:val="0"/>
          <w:iCs w:val="0"/>
          <w:color w:val="auto"/>
          <w:sz w:val="24"/>
          <w:szCs w:val="24"/>
          <w:u w:val="single"/>
        </w:rPr>
      </w:pPr>
      <w:r>
        <w:rPr>
          <w:rFonts w:hint="eastAsia" w:ascii="楷体" w:hAnsi="楷体" w:eastAsia="楷体"/>
          <w:i w:val="0"/>
          <w:iCs w:val="0"/>
          <w:color w:val="auto"/>
          <w:sz w:val="24"/>
          <w:szCs w:val="24"/>
          <w:u w:val="single"/>
        </w:rPr>
        <w:t>通过检验各系统的拉伸粘结强度可检验系统各构造层之间的粘结强度以及保温层的抗拉强度，这样就不必单独对每层材料进行检验。</w:t>
      </w:r>
    </w:p>
    <w:p w14:paraId="387EED37">
      <w:pPr>
        <w:pStyle w:val="51"/>
        <w:spacing w:after="0" w:line="300" w:lineRule="auto"/>
        <w:ind w:left="0" w:leftChars="0" w:firstLine="480" w:firstLineChars="200"/>
        <w:jc w:val="left"/>
        <w:rPr>
          <w:rFonts w:hint="eastAsia" w:ascii="宋体" w:hAnsi="宋体" w:cs="黑体"/>
          <w:b/>
          <w:i w:val="0"/>
          <w:iCs w:val="0"/>
          <w:color w:val="auto"/>
          <w:kern w:val="0"/>
          <w:sz w:val="24"/>
        </w:rPr>
      </w:pPr>
      <w:r>
        <w:rPr>
          <w:rFonts w:hint="eastAsia" w:ascii="楷体" w:hAnsi="楷体" w:eastAsia="楷体"/>
          <w:i w:val="0"/>
          <w:iCs w:val="0"/>
          <w:color w:val="auto"/>
          <w:sz w:val="24"/>
          <w:szCs w:val="24"/>
          <w:u w:val="single"/>
        </w:rPr>
        <w:t>G</w:t>
      </w:r>
      <w:r>
        <w:rPr>
          <w:rFonts w:ascii="楷体" w:hAnsi="楷体" w:eastAsia="楷体"/>
          <w:i w:val="0"/>
          <w:iCs w:val="0"/>
          <w:color w:val="auto"/>
          <w:sz w:val="24"/>
          <w:szCs w:val="24"/>
          <w:u w:val="single"/>
        </w:rPr>
        <w:t>B/T 30595</w:t>
      </w:r>
      <w:r>
        <w:rPr>
          <w:rFonts w:hint="eastAsia" w:ascii="楷体" w:hAnsi="楷体" w:eastAsia="楷体"/>
          <w:i w:val="0"/>
          <w:iCs w:val="0"/>
          <w:color w:val="auto"/>
          <w:sz w:val="24"/>
          <w:szCs w:val="24"/>
          <w:u w:val="single"/>
        </w:rPr>
        <w:t>标准中对挤塑聚苯板的抗拉强度要求为大于等于0</w:t>
      </w:r>
      <w:r>
        <w:rPr>
          <w:rFonts w:ascii="楷体" w:hAnsi="楷体" w:eastAsia="楷体"/>
          <w:i w:val="0"/>
          <w:iCs w:val="0"/>
          <w:color w:val="auto"/>
          <w:sz w:val="24"/>
          <w:szCs w:val="24"/>
          <w:u w:val="single"/>
        </w:rPr>
        <w:t>.20MPa</w:t>
      </w:r>
      <w:r>
        <w:rPr>
          <w:rFonts w:hint="eastAsia" w:ascii="楷体" w:hAnsi="楷体" w:eastAsia="楷体"/>
          <w:i w:val="0"/>
          <w:iCs w:val="0"/>
          <w:color w:val="auto"/>
          <w:sz w:val="24"/>
          <w:szCs w:val="24"/>
          <w:u w:val="single"/>
        </w:rPr>
        <w:t>，保温免拆模板中使用的挤塑聚苯板需要在外侧复合防火保护层，由于防护层的抗拉强度达不到挤塑聚苯板</w:t>
      </w:r>
      <w:r>
        <w:rPr>
          <w:rFonts w:hint="eastAsia" w:ascii="楷体" w:hAnsi="楷体" w:eastAsia="楷体"/>
          <w:i w:val="0"/>
          <w:iCs w:val="0"/>
          <w:color w:val="auto"/>
          <w:sz w:val="24"/>
          <w:szCs w:val="24"/>
          <w:u w:val="single"/>
          <w:lang w:eastAsia="zh-CN"/>
        </w:rPr>
        <w:t>的</w:t>
      </w:r>
      <w:r>
        <w:rPr>
          <w:rFonts w:hint="eastAsia" w:ascii="楷体" w:hAnsi="楷体" w:eastAsia="楷体"/>
          <w:i w:val="0"/>
          <w:iCs w:val="0"/>
          <w:color w:val="auto"/>
          <w:sz w:val="24"/>
          <w:szCs w:val="24"/>
          <w:u w:val="single"/>
        </w:rPr>
        <w:t>抗拉强度，所以采用J</w:t>
      </w:r>
      <w:r>
        <w:rPr>
          <w:rFonts w:ascii="楷体" w:hAnsi="楷体" w:eastAsia="楷体"/>
          <w:i w:val="0"/>
          <w:iCs w:val="0"/>
          <w:color w:val="auto"/>
          <w:sz w:val="24"/>
          <w:szCs w:val="24"/>
          <w:u w:val="single"/>
        </w:rPr>
        <w:t>GJ 144</w:t>
      </w:r>
      <w:r>
        <w:rPr>
          <w:rFonts w:hint="eastAsia" w:ascii="楷体" w:hAnsi="楷体" w:eastAsia="楷体"/>
          <w:i w:val="0"/>
          <w:iCs w:val="0"/>
          <w:color w:val="auto"/>
          <w:sz w:val="24"/>
          <w:szCs w:val="24"/>
          <w:u w:val="single"/>
        </w:rPr>
        <w:t>中要求的0</w:t>
      </w:r>
      <w:r>
        <w:rPr>
          <w:rFonts w:ascii="楷体" w:hAnsi="楷体" w:eastAsia="楷体"/>
          <w:i w:val="0"/>
          <w:iCs w:val="0"/>
          <w:color w:val="auto"/>
          <w:sz w:val="24"/>
          <w:szCs w:val="24"/>
          <w:u w:val="single"/>
        </w:rPr>
        <w:t>.10MPa</w:t>
      </w:r>
      <w:r>
        <w:rPr>
          <w:rFonts w:hint="eastAsia" w:ascii="楷体" w:hAnsi="楷体" w:eastAsia="楷体"/>
          <w:i w:val="0"/>
          <w:iCs w:val="0"/>
          <w:color w:val="auto"/>
          <w:sz w:val="24"/>
          <w:szCs w:val="24"/>
          <w:u w:val="single"/>
        </w:rPr>
        <w:t>，且对破坏部位没有做明确要求。</w:t>
      </w:r>
    </w:p>
    <w:p w14:paraId="3EF658D1">
      <w:pPr>
        <w:tabs>
          <w:tab w:val="left" w:pos="3969"/>
        </w:tabs>
        <w:snapToGrid w:val="0"/>
        <w:spacing w:line="300" w:lineRule="auto"/>
        <w:ind w:firstLine="480" w:firstLineChars="200"/>
        <w:rPr>
          <w:rFonts w:hint="eastAsia" w:ascii="楷体" w:hAnsi="楷体" w:eastAsia="楷体" w:cs="黑体"/>
          <w:bCs/>
          <w:i w:val="0"/>
          <w:iCs w:val="0"/>
          <w:color w:val="auto"/>
          <w:kern w:val="0"/>
          <w:sz w:val="24"/>
          <w:u w:val="single"/>
        </w:rPr>
      </w:pPr>
      <w:r>
        <w:rPr>
          <w:rFonts w:hint="eastAsia" w:ascii="楷体" w:hAnsi="楷体" w:eastAsia="楷体" w:cs="黑体"/>
          <w:bCs/>
          <w:i w:val="0"/>
          <w:iCs w:val="0"/>
          <w:color w:val="auto"/>
          <w:kern w:val="0"/>
          <w:sz w:val="24"/>
          <w:u w:val="single"/>
        </w:rPr>
        <w:t>对于保温系统性能要求及试验方法，主要参考了《外墙外保温工程技术标准》</w:t>
      </w:r>
      <w:r>
        <w:rPr>
          <w:rFonts w:ascii="楷体" w:hAnsi="楷体" w:eastAsia="楷体" w:cs="黑体"/>
          <w:bCs/>
          <w:i w:val="0"/>
          <w:iCs w:val="0"/>
          <w:color w:val="auto"/>
          <w:kern w:val="0"/>
          <w:sz w:val="24"/>
          <w:u w:val="single"/>
        </w:rPr>
        <w:t>JGJ144</w:t>
      </w:r>
      <w:r>
        <w:rPr>
          <w:rFonts w:hint="eastAsia" w:ascii="楷体" w:hAnsi="楷体" w:eastAsia="楷体" w:cs="黑体"/>
          <w:bCs/>
          <w:i w:val="0"/>
          <w:iCs w:val="0"/>
          <w:color w:val="auto"/>
          <w:kern w:val="0"/>
          <w:sz w:val="24"/>
          <w:u w:val="single"/>
        </w:rPr>
        <w:t>的规定，根据不同情况分别以数值、特性等形式进行规定。有些性能如热阻、防护层水蒸气渗透阻和保温材料水蒸气渗透系数等，外保温系统供应商应提供检测数据，由设计人员分别按照《夏热冬冷地区居住建筑节能设计标准》</w:t>
      </w:r>
      <w:r>
        <w:rPr>
          <w:rFonts w:ascii="楷体" w:hAnsi="楷体" w:eastAsia="楷体" w:cs="黑体"/>
          <w:bCs/>
          <w:i w:val="0"/>
          <w:iCs w:val="0"/>
          <w:color w:val="auto"/>
          <w:kern w:val="0"/>
          <w:sz w:val="24"/>
          <w:u w:val="single"/>
        </w:rPr>
        <w:t>JGJ 134</w:t>
      </w:r>
      <w:r>
        <w:rPr>
          <w:rFonts w:hint="eastAsia" w:ascii="楷体" w:hAnsi="楷体" w:eastAsia="楷体" w:cs="黑体"/>
          <w:bCs/>
          <w:i w:val="0"/>
          <w:iCs w:val="0"/>
          <w:color w:val="auto"/>
          <w:kern w:val="0"/>
          <w:sz w:val="24"/>
          <w:u w:val="single"/>
        </w:rPr>
        <w:t>、《民用建筑热工设计规范》</w:t>
      </w:r>
      <w:r>
        <w:rPr>
          <w:rFonts w:ascii="楷体" w:hAnsi="楷体" w:eastAsia="楷体" w:cs="黑体"/>
          <w:bCs/>
          <w:i w:val="0"/>
          <w:iCs w:val="0"/>
          <w:color w:val="auto"/>
          <w:kern w:val="0"/>
          <w:sz w:val="24"/>
          <w:u w:val="single"/>
        </w:rPr>
        <w:t>GB 50176</w:t>
      </w:r>
      <w:r>
        <w:rPr>
          <w:rFonts w:hint="eastAsia" w:ascii="楷体" w:hAnsi="楷体" w:eastAsia="楷体" w:cs="黑体"/>
          <w:bCs/>
          <w:i w:val="0"/>
          <w:iCs w:val="0"/>
          <w:color w:val="auto"/>
          <w:kern w:val="0"/>
          <w:sz w:val="24"/>
          <w:u w:val="single"/>
        </w:rPr>
        <w:t>、安徽省《居住建筑节能设计标准》</w:t>
      </w:r>
      <w:r>
        <w:rPr>
          <w:rFonts w:ascii="楷体" w:hAnsi="楷体" w:eastAsia="楷体" w:cs="黑体"/>
          <w:bCs/>
          <w:i w:val="0"/>
          <w:iCs w:val="0"/>
          <w:color w:val="auto"/>
          <w:kern w:val="0"/>
          <w:sz w:val="24"/>
          <w:u w:val="single"/>
        </w:rPr>
        <w:t>DB34-1466</w:t>
      </w:r>
      <w:r>
        <w:rPr>
          <w:rFonts w:hint="eastAsia" w:ascii="楷体" w:hAnsi="楷体" w:eastAsia="楷体" w:cs="黑体"/>
          <w:bCs/>
          <w:i w:val="0"/>
          <w:iCs w:val="0"/>
          <w:color w:val="auto"/>
          <w:kern w:val="0"/>
          <w:sz w:val="24"/>
          <w:u w:val="single"/>
        </w:rPr>
        <w:t>、《公共建筑节能设计标准》</w:t>
      </w:r>
      <w:r>
        <w:rPr>
          <w:rFonts w:ascii="楷体" w:hAnsi="楷体" w:eastAsia="楷体" w:cs="黑体"/>
          <w:bCs/>
          <w:i w:val="0"/>
          <w:iCs w:val="0"/>
          <w:color w:val="auto"/>
          <w:kern w:val="0"/>
          <w:sz w:val="24"/>
          <w:u w:val="single"/>
        </w:rPr>
        <w:t>DB34-5076</w:t>
      </w:r>
      <w:r>
        <w:rPr>
          <w:rFonts w:hint="eastAsia" w:ascii="楷体" w:hAnsi="楷体" w:eastAsia="楷体" w:cs="黑体"/>
          <w:bCs/>
          <w:i w:val="0"/>
          <w:iCs w:val="0"/>
          <w:color w:val="auto"/>
          <w:kern w:val="0"/>
          <w:sz w:val="24"/>
          <w:u w:val="single"/>
        </w:rPr>
        <w:t>等相关标准计算确定是否符合设计要求。</w:t>
      </w:r>
    </w:p>
    <w:p w14:paraId="06DAED4A">
      <w:pPr>
        <w:pStyle w:val="51"/>
        <w:spacing w:after="0" w:line="300" w:lineRule="auto"/>
        <w:ind w:left="0" w:leftChars="0" w:firstLine="480" w:firstLineChars="200"/>
        <w:rPr>
          <w:rFonts w:hint="eastAsia" w:ascii="楷体" w:hAnsi="楷体" w:eastAsia="楷体"/>
          <w:i w:val="0"/>
          <w:iCs w:val="0"/>
          <w:color w:val="auto"/>
          <w:sz w:val="24"/>
          <w:szCs w:val="24"/>
          <w:u w:val="single"/>
        </w:rPr>
      </w:pPr>
      <w:r>
        <w:rPr>
          <w:rFonts w:hint="eastAsia" w:ascii="楷体" w:hAnsi="楷体" w:eastAsia="楷体"/>
          <w:i w:val="0"/>
          <w:iCs w:val="0"/>
          <w:color w:val="auto"/>
          <w:sz w:val="24"/>
          <w:szCs w:val="24"/>
          <w:u w:val="single"/>
        </w:rPr>
        <w:t>外保温系统抗冲击性、外保温系统吸水量、抹面层不透水性和防护层水蒸气渗透阻等性能都与抹面层有关。厚的抹面层抗冲击性和不透水性好，薄的抹面层水蒸气渗透阻小，但抹面层过薄又会导致不透水性和防火性能差。</w:t>
      </w:r>
    </w:p>
    <w:p w14:paraId="4437C094">
      <w:pPr>
        <w:pStyle w:val="51"/>
        <w:spacing w:after="0" w:line="300" w:lineRule="auto"/>
        <w:ind w:left="0" w:leftChars="0" w:firstLine="480" w:firstLineChars="200"/>
        <w:rPr>
          <w:rFonts w:hint="eastAsia" w:ascii="楷体" w:hAnsi="楷体" w:eastAsia="楷体"/>
          <w:i w:val="0"/>
          <w:iCs w:val="0"/>
          <w:color w:val="auto"/>
          <w:sz w:val="24"/>
          <w:szCs w:val="24"/>
          <w:u w:val="single"/>
        </w:rPr>
      </w:pPr>
      <w:r>
        <w:rPr>
          <w:rFonts w:hint="eastAsia" w:ascii="楷体" w:hAnsi="楷体" w:eastAsia="楷体"/>
          <w:i w:val="0"/>
          <w:iCs w:val="0"/>
          <w:color w:val="auto"/>
          <w:sz w:val="24"/>
          <w:szCs w:val="24"/>
          <w:u w:val="single"/>
        </w:rPr>
        <w:t>门窗洞口周边和四角增铺玻纤网可以提高抗冲击性。门窗洞口四角为应力集中部位，增铺玻纤网还可以提高抗裂性。为达到</w:t>
      </w:r>
      <w:r>
        <w:rPr>
          <w:rFonts w:ascii="楷体" w:hAnsi="楷体" w:eastAsia="楷体"/>
          <w:i w:val="0"/>
          <w:iCs w:val="0"/>
          <w:color w:val="auto"/>
          <w:sz w:val="24"/>
          <w:szCs w:val="24"/>
          <w:u w:val="single"/>
        </w:rPr>
        <w:t>10J</w:t>
      </w:r>
      <w:r>
        <w:rPr>
          <w:rFonts w:hint="eastAsia" w:ascii="楷体" w:hAnsi="楷体" w:eastAsia="楷体"/>
          <w:i w:val="0"/>
          <w:iCs w:val="0"/>
          <w:color w:val="auto"/>
          <w:sz w:val="24"/>
          <w:szCs w:val="24"/>
          <w:u w:val="single"/>
        </w:rPr>
        <w:t>抗冲击要求，建筑物首层以及门窗口等易受撞击部位一般需增铺玻纤网。</w:t>
      </w:r>
    </w:p>
    <w:p w14:paraId="506AC799">
      <w:pPr>
        <w:pStyle w:val="51"/>
        <w:spacing w:after="0" w:line="300" w:lineRule="auto"/>
        <w:ind w:left="0" w:leftChars="0" w:firstLine="480" w:firstLineChars="200"/>
        <w:rPr>
          <w:rFonts w:hint="eastAsia" w:ascii="楷体" w:hAnsi="楷体" w:eastAsia="楷体"/>
          <w:i w:val="0"/>
          <w:iCs w:val="0"/>
          <w:color w:val="auto"/>
          <w:sz w:val="24"/>
          <w:szCs w:val="24"/>
          <w:u w:val="single"/>
        </w:rPr>
      </w:pPr>
      <w:r>
        <w:rPr>
          <w:rFonts w:hint="eastAsia" w:ascii="楷体" w:hAnsi="楷体" w:eastAsia="楷体"/>
          <w:i w:val="0"/>
          <w:iCs w:val="0"/>
          <w:color w:val="auto"/>
          <w:sz w:val="24"/>
          <w:szCs w:val="24"/>
          <w:u w:val="single"/>
        </w:rPr>
        <w:t>外保温系统耐冻融性能与系统吸水量有关。不是以纯聚合物为粘结基料的饰面层有一定的吸水量。因此规定当饰面层材料不是以纯聚合物为粘结基料的材料时，试样应包含饰面层。当采用以纯聚合物为粘结基料的材料作饰面涂层时，应对含饰面层和不含饰面层的两种试样分别进行试验。</w:t>
      </w:r>
    </w:p>
    <w:p w14:paraId="2CAEC4EE">
      <w:pPr>
        <w:spacing w:line="300" w:lineRule="auto"/>
        <w:ind w:firstLine="480" w:firstLineChars="200"/>
        <w:rPr>
          <w:rFonts w:hint="eastAsia" w:ascii="楷体" w:hAnsi="楷体" w:eastAsia="楷体"/>
          <w:i w:val="0"/>
          <w:iCs w:val="0"/>
          <w:color w:val="auto"/>
          <w:sz w:val="24"/>
          <w:szCs w:val="24"/>
          <w:u w:val="single"/>
        </w:rPr>
      </w:pPr>
      <w:r>
        <w:rPr>
          <w:rFonts w:hint="eastAsia" w:ascii="楷体" w:hAnsi="楷体" w:eastAsia="楷体"/>
          <w:i w:val="0"/>
          <w:iCs w:val="0"/>
          <w:color w:val="auto"/>
          <w:sz w:val="24"/>
          <w:szCs w:val="24"/>
          <w:u w:val="single"/>
        </w:rPr>
        <w:t>外保温复合墙体热阻规定用《绝热稳态传热性质的测定标定和防护热箱法》</w:t>
      </w:r>
      <w:r>
        <w:rPr>
          <w:rFonts w:ascii="楷体" w:hAnsi="楷体" w:eastAsia="楷体"/>
          <w:i w:val="0"/>
          <w:iCs w:val="0"/>
          <w:color w:val="auto"/>
          <w:sz w:val="24"/>
          <w:szCs w:val="24"/>
          <w:u w:val="single"/>
        </w:rPr>
        <w:t>GB/T 13475</w:t>
      </w:r>
      <w:r>
        <w:rPr>
          <w:rFonts w:hint="eastAsia" w:ascii="楷体" w:hAnsi="楷体" w:eastAsia="楷体"/>
          <w:i w:val="0"/>
          <w:iCs w:val="0"/>
          <w:color w:val="auto"/>
          <w:sz w:val="24"/>
          <w:szCs w:val="24"/>
          <w:u w:val="single"/>
        </w:rPr>
        <w:t>检验外保温系统热阻，可以检验系统包括热桥在内的平均热阻，其中粘贴保温板系统和无网现浇系统热桥影响主要来自保温板拼缝。</w:t>
      </w:r>
    </w:p>
    <w:p w14:paraId="36041B35">
      <w:pPr>
        <w:pStyle w:val="144"/>
        <w:tabs>
          <w:tab w:val="clear" w:pos="1620"/>
        </w:tabs>
        <w:spacing w:before="312" w:after="312"/>
        <w:rPr>
          <w:i w:val="0"/>
          <w:iCs w:val="0"/>
          <w:color w:val="auto"/>
          <w:u w:val="single"/>
        </w:rPr>
      </w:pPr>
      <w:bookmarkStart w:id="1761" w:name="_Toc30585"/>
      <w:r>
        <w:rPr>
          <w:rFonts w:hint="eastAsia"/>
          <w:i w:val="0"/>
          <w:iCs w:val="0"/>
          <w:color w:val="auto"/>
        </w:rPr>
        <w:t>4.3  保温免拆模板性能要求</w:t>
      </w:r>
      <w:bookmarkEnd w:id="1761"/>
    </w:p>
    <w:p w14:paraId="3D1A6935">
      <w:pPr>
        <w:spacing w:line="300" w:lineRule="auto"/>
        <w:ind w:firstLine="482" w:firstLineChars="200"/>
        <w:rPr>
          <w:rFonts w:hint="eastAsia" w:ascii="Times New Roman" w:hAnsi="楷体" w:eastAsia="楷体" w:cs="楷体"/>
          <w:i w:val="0"/>
          <w:iCs w:val="0"/>
          <w:color w:val="auto"/>
          <w:sz w:val="24"/>
          <w:szCs w:val="24"/>
          <w:u w:val="single"/>
        </w:rPr>
      </w:pPr>
      <w:r>
        <w:rPr>
          <w:rFonts w:hint="eastAsia" w:ascii="宋体" w:hAnsi="宋体" w:cs="黑体"/>
          <w:b/>
          <w:i w:val="0"/>
          <w:iCs w:val="0"/>
          <w:color w:val="auto"/>
          <w:kern w:val="0"/>
          <w:sz w:val="24"/>
        </w:rPr>
        <w:t>4.3.1</w:t>
      </w:r>
      <w:r>
        <w:rPr>
          <w:rFonts w:hint="eastAsia" w:ascii="Times New Roman" w:hAnsi="楷体" w:eastAsia="楷体" w:cs="楷体"/>
          <w:i w:val="0"/>
          <w:iCs w:val="0"/>
          <w:color w:val="auto"/>
          <w:sz w:val="24"/>
          <w:szCs w:val="24"/>
          <w:u w:val="single"/>
        </w:rPr>
        <w:t>试验试件制备依据国标GB/T5486，试件弹性模量计算参考国标：GB/T8812.2。</w:t>
      </w:r>
    </w:p>
    <w:p w14:paraId="4BB1C452">
      <w:pPr>
        <w:spacing w:line="300" w:lineRule="auto"/>
        <w:ind w:firstLine="480" w:firstLineChars="200"/>
        <w:rPr>
          <w:rFonts w:hint="eastAsia" w:ascii="Times New Roman" w:hAnsi="楷体" w:eastAsia="楷体" w:cs="楷体"/>
          <w:i w:val="0"/>
          <w:iCs w:val="0"/>
          <w:color w:val="auto"/>
          <w:sz w:val="24"/>
          <w:szCs w:val="24"/>
          <w:u w:val="single"/>
        </w:rPr>
      </w:pPr>
      <w:r>
        <w:rPr>
          <w:rFonts w:hint="eastAsia" w:ascii="Times New Roman" w:hAnsi="楷体" w:eastAsia="楷体" w:cs="楷体"/>
          <w:i w:val="0"/>
          <w:iCs w:val="0"/>
          <w:color w:val="auto"/>
          <w:sz w:val="24"/>
          <w:szCs w:val="24"/>
          <w:u w:val="single"/>
        </w:rPr>
        <w:t>依规范规定样品制成一块长至少为240mm(如试件的厚度大于70mm，其长度应至少为厚度的3倍与40mm之和)、宽75mm~150mm、厚度为制品厚度的试件，但厚度不得低于25mm。本次试验每种保温模板提供4块尺寸为350×100×d mm保温模板试件。规范规定支座由两个装在同一水平板上的平行圆柱组成，圆弧半径为(15±1) mm，长度大于试样宽度。支座间跨度应可在200 mm~450 mm之间调节，推荐跨度为300 mm。本试验取值300mm进行试验。</w:t>
      </w:r>
    </w:p>
    <w:p w14:paraId="66DC69A4">
      <w:pPr>
        <w:spacing w:line="300" w:lineRule="auto"/>
        <w:ind w:firstLine="420" w:firstLineChars="200"/>
        <w:jc w:val="center"/>
        <w:rPr>
          <w:rFonts w:hint="eastAsia" w:ascii="Times New Roman" w:hAnsi="楷体" w:eastAsia="楷体" w:cs="楷体"/>
          <w:i w:val="0"/>
          <w:iCs w:val="0"/>
          <w:color w:val="auto"/>
          <w:sz w:val="24"/>
          <w:szCs w:val="24"/>
          <w:u w:val="single"/>
        </w:rPr>
      </w:pPr>
      <w:r>
        <w:rPr>
          <w:rFonts w:ascii="Times New Roman" w:hAnsi="Times New Roman" w:cs="Times New Roman"/>
          <w:i w:val="0"/>
          <w:iCs w:val="0"/>
          <w:color w:val="auto"/>
          <w:szCs w:val="24"/>
        </w:rPr>
        <w:drawing>
          <wp:inline distT="0" distB="0" distL="0" distR="0">
            <wp:extent cx="3569970" cy="1741170"/>
            <wp:effectExtent l="0" t="0" r="0" b="0"/>
            <wp:docPr id="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3569970" cy="1741170"/>
                    </a:xfrm>
                    <a:prstGeom prst="rect">
                      <a:avLst/>
                    </a:prstGeom>
                    <a:noFill/>
                    <a:ln>
                      <a:noFill/>
                    </a:ln>
                  </pic:spPr>
                </pic:pic>
              </a:graphicData>
            </a:graphic>
          </wp:inline>
        </w:drawing>
      </w:r>
    </w:p>
    <w:p w14:paraId="2FA23220">
      <w:pPr>
        <w:spacing w:line="360" w:lineRule="auto"/>
        <w:ind w:firstLine="400" w:firstLineChars="200"/>
        <w:jc w:val="center"/>
        <w:rPr>
          <w:rFonts w:hint="eastAsia" w:ascii="宋体" w:hAnsi="宋体" w:cs="黑体"/>
          <w:bCs/>
          <w:i w:val="0"/>
          <w:iCs w:val="0"/>
          <w:color w:val="auto"/>
          <w:kern w:val="0"/>
          <w:sz w:val="24"/>
          <w:szCs w:val="24"/>
          <w:u w:val="single"/>
        </w:rPr>
      </w:pPr>
      <w:r>
        <w:rPr>
          <w:rFonts w:hint="eastAsia" w:ascii="Times New Roman" w:hAnsi="Times New Roman" w:cs="Times New Roman"/>
          <w:i w:val="0"/>
          <w:iCs w:val="0"/>
          <w:color w:val="auto"/>
          <w:sz w:val="20"/>
          <w:szCs w:val="20"/>
        </w:rPr>
        <w:t>图1试验试件制备样品示意</w:t>
      </w:r>
    </w:p>
    <w:p w14:paraId="7AE0179E">
      <w:pPr>
        <w:spacing w:line="360" w:lineRule="auto"/>
        <w:rPr>
          <w:rFonts w:hint="eastAsia" w:ascii="宋体" w:hAnsi="宋体" w:eastAsia="宋体" w:cs="黑体"/>
          <w:bCs/>
          <w:i w:val="0"/>
          <w:iCs w:val="0"/>
          <w:color w:val="auto"/>
          <w:kern w:val="0"/>
          <w:sz w:val="24"/>
          <w:szCs w:val="24"/>
          <w:u w:val="single"/>
        </w:rPr>
      </w:pPr>
      <w:r>
        <w:rPr>
          <w:rFonts w:hint="eastAsia" w:ascii="宋体" w:hAnsi="宋体" w:eastAsia="宋体" w:cs="黑体"/>
          <w:bCs/>
          <w:i w:val="0"/>
          <w:iCs w:val="0"/>
          <w:color w:val="auto"/>
          <w:kern w:val="0"/>
          <w:sz w:val="24"/>
          <w:szCs w:val="24"/>
          <w:u w:val="single"/>
        </w:rPr>
        <w:t>试件试验计算结果见</w:t>
      </w:r>
      <w:r>
        <w:rPr>
          <w:rFonts w:hint="eastAsia" w:ascii="Times New Roman" w:hAnsi="Times New Roman" w:cs="Times New Roman"/>
          <w:i w:val="0"/>
          <w:iCs w:val="0"/>
          <w:color w:val="auto"/>
          <w:szCs w:val="21"/>
        </w:rPr>
        <w:t>表1</w:t>
      </w:r>
      <w:r>
        <w:rPr>
          <w:rFonts w:hint="eastAsia" w:ascii="宋体" w:hAnsi="宋体" w:eastAsia="宋体" w:cs="黑体"/>
          <w:bCs/>
          <w:i w:val="0"/>
          <w:iCs w:val="0"/>
          <w:color w:val="auto"/>
          <w:kern w:val="0"/>
          <w:sz w:val="24"/>
          <w:szCs w:val="24"/>
          <w:u w:val="single"/>
        </w:rPr>
        <w:t>。</w:t>
      </w:r>
    </w:p>
    <w:p w14:paraId="0A473748">
      <w:pPr>
        <w:spacing w:line="360" w:lineRule="auto"/>
        <w:jc w:val="center"/>
        <w:rPr>
          <w:rFonts w:hint="eastAsia" w:ascii="宋体" w:hAnsi="宋体" w:eastAsia="宋体" w:cs="黑体"/>
          <w:bCs/>
          <w:i w:val="0"/>
          <w:iCs w:val="0"/>
          <w:color w:val="auto"/>
          <w:kern w:val="0"/>
          <w:sz w:val="24"/>
          <w:szCs w:val="24"/>
          <w:u w:val="single"/>
        </w:rPr>
      </w:pPr>
      <w:r>
        <w:rPr>
          <w:rFonts w:hint="eastAsia" w:ascii="Times New Roman" w:hAnsi="Times New Roman" w:cs="Times New Roman"/>
          <w:i w:val="0"/>
          <w:iCs w:val="0"/>
          <w:color w:val="auto"/>
          <w:szCs w:val="21"/>
        </w:rPr>
        <w:t>表1</w:t>
      </w:r>
      <w:r>
        <w:rPr>
          <w:rStyle w:val="150"/>
          <w:rFonts w:hint="default" w:ascii="Times New Roman" w:hAnsi="Times New Roman" w:cs="Times New Roman"/>
          <w:i w:val="0"/>
          <w:iCs w:val="0"/>
          <w:color w:val="auto"/>
          <w:sz w:val="20"/>
          <w:szCs w:val="20"/>
        </w:rPr>
        <w:t>试件实验计算结果</w:t>
      </w:r>
    </w:p>
    <w:tbl>
      <w:tblPr>
        <w:tblStyle w:val="88"/>
        <w:tblW w:w="8523"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657"/>
        <w:gridCol w:w="21"/>
        <w:gridCol w:w="815"/>
        <w:gridCol w:w="9"/>
        <w:gridCol w:w="13"/>
        <w:gridCol w:w="16"/>
        <w:gridCol w:w="674"/>
        <w:gridCol w:w="87"/>
        <w:gridCol w:w="38"/>
        <w:gridCol w:w="10"/>
        <w:gridCol w:w="600"/>
        <w:gridCol w:w="104"/>
        <w:gridCol w:w="871"/>
        <w:gridCol w:w="93"/>
        <w:gridCol w:w="1224"/>
        <w:gridCol w:w="1021"/>
        <w:gridCol w:w="40"/>
        <w:gridCol w:w="1073"/>
        <w:gridCol w:w="1136"/>
        <w:gridCol w:w="21"/>
      </w:tblGrid>
      <w:tr w14:paraId="093E11F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8502" w:type="dxa"/>
            <w:gridSpan w:val="19"/>
            <w:shd w:val="clear" w:color="auto" w:fill="auto"/>
            <w:vAlign w:val="center"/>
          </w:tcPr>
          <w:p w14:paraId="3FF3B14D">
            <w:pPr>
              <w:widowControl/>
              <w:jc w:val="center"/>
              <w:textAlignment w:val="center"/>
              <w:rPr>
                <w:rFonts w:hint="eastAsia" w:ascii="宋体" w:hAnsi="宋体" w:cs="宋体"/>
                <w:i w:val="0"/>
                <w:iCs w:val="0"/>
                <w:color w:val="auto"/>
                <w:kern w:val="0"/>
                <w:sz w:val="20"/>
                <w:szCs w:val="20"/>
              </w:rPr>
            </w:pPr>
            <w:r>
              <w:rPr>
                <w:rStyle w:val="150"/>
                <w:rFonts w:hint="default" w:ascii="Times New Roman" w:hAnsi="Times New Roman" w:cs="Times New Roman"/>
                <w:i w:val="0"/>
                <w:iCs w:val="0"/>
                <w:color w:val="auto"/>
                <w:sz w:val="20"/>
                <w:szCs w:val="20"/>
              </w:rPr>
              <w:t>复合</w:t>
            </w:r>
            <w:r>
              <w:rPr>
                <w:rStyle w:val="150"/>
                <w:rFonts w:hint="default" w:cs="Times New Roman"/>
                <w:i w:val="0"/>
                <w:iCs w:val="0"/>
                <w:color w:val="auto"/>
                <w:sz w:val="20"/>
                <w:szCs w:val="20"/>
              </w:rPr>
              <w:t>Ⅰ</w:t>
            </w:r>
            <w:r>
              <w:rPr>
                <w:rStyle w:val="150"/>
                <w:rFonts w:hint="default" w:ascii="Times New Roman" w:hAnsi="Times New Roman" w:cs="Times New Roman"/>
                <w:i w:val="0"/>
                <w:iCs w:val="0"/>
                <w:color w:val="auto"/>
                <w:sz w:val="20"/>
                <w:szCs w:val="20"/>
              </w:rPr>
              <w:t>型试件实验计算结果</w:t>
            </w:r>
          </w:p>
        </w:tc>
      </w:tr>
      <w:tr w14:paraId="576CB13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shd w:val="clear" w:color="auto" w:fill="auto"/>
            <w:vAlign w:val="center"/>
          </w:tcPr>
          <w:p w14:paraId="18DD72F5">
            <w:pPr>
              <w:widowControl/>
              <w:jc w:val="center"/>
              <w:textAlignment w:val="center"/>
              <w:rPr>
                <w:rFonts w:ascii="Times New Roman" w:hAnsi="Times New Roman" w:cs="Times New Roman"/>
                <w:i w:val="0"/>
                <w:iCs w:val="0"/>
                <w:color w:val="auto"/>
                <w:sz w:val="20"/>
                <w:szCs w:val="20"/>
              </w:rPr>
            </w:pPr>
            <w:r>
              <w:rPr>
                <w:rFonts w:hint="eastAsia" w:ascii="宋体" w:hAnsi="宋体" w:cs="宋体"/>
                <w:i w:val="0"/>
                <w:iCs w:val="0"/>
                <w:color w:val="auto"/>
                <w:kern w:val="0"/>
                <w:sz w:val="20"/>
                <w:szCs w:val="20"/>
              </w:rPr>
              <w:t>试件编号</w:t>
            </w:r>
          </w:p>
        </w:tc>
        <w:tc>
          <w:tcPr>
            <w:tcW w:w="874" w:type="dxa"/>
            <w:gridSpan w:val="5"/>
            <w:shd w:val="clear" w:color="auto" w:fill="auto"/>
            <w:vAlign w:val="center"/>
          </w:tcPr>
          <w:p w14:paraId="789BE268">
            <w:pPr>
              <w:widowControl/>
              <w:jc w:val="center"/>
              <w:textAlignment w:val="center"/>
              <w:rPr>
                <w:rFonts w:ascii="Times New Roman" w:hAnsi="Times New Roman" w:cs="Times New Roman"/>
                <w:i w:val="0"/>
                <w:iCs w:val="0"/>
                <w:color w:val="auto"/>
                <w:sz w:val="20"/>
                <w:szCs w:val="20"/>
              </w:rPr>
            </w:pPr>
            <w:r>
              <w:rPr>
                <w:rFonts w:hint="eastAsia" w:ascii="宋体" w:hAnsi="宋体" w:cs="宋体"/>
                <w:i w:val="0"/>
                <w:iCs w:val="0"/>
                <w:color w:val="auto"/>
                <w:kern w:val="0"/>
                <w:sz w:val="20"/>
                <w:szCs w:val="20"/>
              </w:rPr>
              <w:t>数据采样点</w:t>
            </w:r>
          </w:p>
        </w:tc>
        <w:tc>
          <w:tcPr>
            <w:tcW w:w="674" w:type="dxa"/>
            <w:shd w:val="clear" w:color="auto" w:fill="auto"/>
            <w:vAlign w:val="center"/>
          </w:tcPr>
          <w:p w14:paraId="0896CDEF">
            <w:pPr>
              <w:widowControl/>
              <w:jc w:val="center"/>
              <w:textAlignment w:val="center"/>
              <w:rPr>
                <w:rFonts w:ascii="Times New Roman" w:hAnsi="Times New Roman" w:cs="Times New Roman"/>
                <w:i w:val="0"/>
                <w:iCs w:val="0"/>
                <w:color w:val="auto"/>
                <w:sz w:val="20"/>
                <w:szCs w:val="20"/>
              </w:rPr>
            </w:pPr>
            <w:r>
              <w:rPr>
                <w:rFonts w:hint="eastAsia" w:ascii="宋体" w:hAnsi="宋体" w:cs="宋体"/>
                <w:i w:val="0"/>
                <w:iCs w:val="0"/>
                <w:color w:val="auto"/>
                <w:kern w:val="0"/>
                <w:sz w:val="20"/>
                <w:szCs w:val="20"/>
              </w:rPr>
              <w:t>位</w:t>
            </w:r>
            <w:r>
              <w:rPr>
                <w:rFonts w:ascii="Times New Roman" w:hAnsi="Times New Roman" w:cs="Times New Roman"/>
                <w:i w:val="0"/>
                <w:iCs w:val="0"/>
                <w:color w:val="auto"/>
                <w:kern w:val="0"/>
                <w:sz w:val="20"/>
                <w:szCs w:val="20"/>
              </w:rPr>
              <w:t>移/mm</w:t>
            </w:r>
          </w:p>
        </w:tc>
        <w:tc>
          <w:tcPr>
            <w:tcW w:w="735" w:type="dxa"/>
            <w:gridSpan w:val="4"/>
            <w:shd w:val="clear" w:color="auto" w:fill="auto"/>
            <w:vAlign w:val="center"/>
          </w:tcPr>
          <w:p w14:paraId="39F5DC3F">
            <w:pPr>
              <w:widowControl/>
              <w:jc w:val="center"/>
              <w:textAlignment w:val="center"/>
              <w:rPr>
                <w:rFonts w:ascii="Times New Roman" w:hAnsi="Times New Roman" w:cs="Times New Roman"/>
                <w:i w:val="0"/>
                <w:iCs w:val="0"/>
                <w:color w:val="auto"/>
                <w:sz w:val="20"/>
                <w:szCs w:val="20"/>
              </w:rPr>
            </w:pPr>
            <w:r>
              <w:rPr>
                <w:rFonts w:ascii="Times New Roman" w:hAnsi="Times New Roman" w:cs="Times New Roman"/>
                <w:i w:val="0"/>
                <w:iCs w:val="0"/>
                <w:color w:val="auto"/>
                <w:kern w:val="0"/>
                <w:sz w:val="20"/>
                <w:szCs w:val="20"/>
              </w:rPr>
              <w:t>力/</w:t>
            </w:r>
            <w:r>
              <w:rPr>
                <w:rFonts w:hint="eastAsia" w:ascii="Times New Roman" w:hAnsi="Times New Roman" w:cs="Times New Roman"/>
                <w:i w:val="0"/>
                <w:iCs w:val="0"/>
                <w:color w:val="auto"/>
                <w:kern w:val="0"/>
                <w:sz w:val="20"/>
                <w:szCs w:val="20"/>
              </w:rPr>
              <w:t>K</w:t>
            </w:r>
            <w:r>
              <w:rPr>
                <w:rFonts w:ascii="Times New Roman" w:hAnsi="Times New Roman" w:cs="Times New Roman"/>
                <w:i w:val="0"/>
                <w:iCs w:val="0"/>
                <w:color w:val="auto"/>
                <w:kern w:val="0"/>
                <w:sz w:val="20"/>
                <w:szCs w:val="20"/>
              </w:rPr>
              <w:t>N</w:t>
            </w:r>
          </w:p>
        </w:tc>
        <w:tc>
          <w:tcPr>
            <w:tcW w:w="975" w:type="dxa"/>
            <w:gridSpan w:val="2"/>
            <w:shd w:val="clear" w:color="auto" w:fill="auto"/>
            <w:vAlign w:val="center"/>
          </w:tcPr>
          <w:p w14:paraId="18D77B89">
            <w:pPr>
              <w:widowControl/>
              <w:jc w:val="center"/>
              <w:textAlignment w:val="center"/>
              <w:rPr>
                <w:rFonts w:hint="eastAsia" w:ascii="宋体" w:hAnsi="宋体" w:cs="宋体"/>
                <w:i w:val="0"/>
                <w:iCs w:val="0"/>
                <w:color w:val="auto"/>
                <w:sz w:val="20"/>
                <w:szCs w:val="20"/>
              </w:rPr>
            </w:pPr>
            <w:r>
              <w:rPr>
                <w:rStyle w:val="151"/>
                <w:rFonts w:hint="default" w:ascii="Times New Roman" w:hAnsi="Times New Roman" w:cs="Times New Roman"/>
                <w:i w:val="0"/>
                <w:iCs w:val="0"/>
                <w:color w:val="auto"/>
                <w:sz w:val="20"/>
                <w:szCs w:val="20"/>
              </w:rPr>
              <w:t>L/mm</w:t>
            </w:r>
          </w:p>
        </w:tc>
        <w:tc>
          <w:tcPr>
            <w:tcW w:w="1317" w:type="dxa"/>
            <w:gridSpan w:val="2"/>
            <w:shd w:val="clear" w:color="auto" w:fill="auto"/>
            <w:vAlign w:val="center"/>
          </w:tcPr>
          <w:p w14:paraId="6CF49B2B">
            <w:pPr>
              <w:widowControl/>
              <w:jc w:val="center"/>
              <w:textAlignment w:val="center"/>
              <w:rPr>
                <w:rFonts w:hint="eastAsia" w:ascii="宋体" w:hAnsi="宋体" w:cs="宋体"/>
                <w:i w:val="0"/>
                <w:iCs w:val="0"/>
                <w:color w:val="auto"/>
                <w:sz w:val="20"/>
                <w:szCs w:val="20"/>
              </w:rPr>
            </w:pPr>
            <w:r>
              <w:rPr>
                <w:rFonts w:hint="eastAsia" w:ascii="Times New Roman" w:hAnsi="Times New Roman" w:cs="Times New Roman"/>
                <w:i w:val="0"/>
                <w:iCs w:val="0"/>
                <w:color w:val="auto"/>
                <w:kern w:val="0"/>
                <w:sz w:val="20"/>
                <w:szCs w:val="20"/>
              </w:rPr>
              <w:t>b</w:t>
            </w:r>
            <w:r>
              <w:rPr>
                <w:rFonts w:ascii="Times New Roman" w:hAnsi="Times New Roman" w:cs="Times New Roman"/>
                <w:i w:val="0"/>
                <w:iCs w:val="0"/>
                <w:color w:val="auto"/>
                <w:kern w:val="0"/>
                <w:sz w:val="20"/>
                <w:szCs w:val="20"/>
              </w:rPr>
              <w:t>/mm</w:t>
            </w:r>
          </w:p>
        </w:tc>
        <w:tc>
          <w:tcPr>
            <w:tcW w:w="1061" w:type="dxa"/>
            <w:gridSpan w:val="2"/>
            <w:shd w:val="clear" w:color="auto" w:fill="auto"/>
            <w:vAlign w:val="center"/>
          </w:tcPr>
          <w:p w14:paraId="27E0B27D">
            <w:pPr>
              <w:widowControl/>
              <w:jc w:val="center"/>
              <w:textAlignment w:val="center"/>
              <w:rPr>
                <w:rFonts w:hint="eastAsia" w:ascii="宋体" w:hAnsi="宋体" w:cs="宋体"/>
                <w:i w:val="0"/>
                <w:iCs w:val="0"/>
                <w:color w:val="auto"/>
                <w:sz w:val="20"/>
                <w:szCs w:val="20"/>
              </w:rPr>
            </w:pPr>
            <w:r>
              <w:rPr>
                <w:rFonts w:hint="eastAsia" w:ascii="Times New Roman" w:hAnsi="Times New Roman" w:cs="Times New Roman"/>
                <w:i w:val="0"/>
                <w:iCs w:val="0"/>
                <w:color w:val="auto"/>
                <w:kern w:val="0"/>
                <w:sz w:val="20"/>
                <w:szCs w:val="20"/>
              </w:rPr>
              <w:t>d</w:t>
            </w:r>
            <w:r>
              <w:rPr>
                <w:rFonts w:ascii="Times New Roman" w:hAnsi="Times New Roman" w:cs="Times New Roman"/>
                <w:i w:val="0"/>
                <w:iCs w:val="0"/>
                <w:color w:val="auto"/>
                <w:kern w:val="0"/>
                <w:sz w:val="20"/>
                <w:szCs w:val="20"/>
              </w:rPr>
              <w:t>/</w:t>
            </w:r>
            <w:r>
              <w:rPr>
                <w:rFonts w:hint="eastAsia" w:ascii="Times New Roman" w:hAnsi="Times New Roman" w:cs="Times New Roman"/>
                <w:i w:val="0"/>
                <w:iCs w:val="0"/>
                <w:color w:val="auto"/>
                <w:kern w:val="0"/>
                <w:sz w:val="20"/>
                <w:szCs w:val="20"/>
              </w:rPr>
              <w:t>mm</w:t>
            </w:r>
          </w:p>
        </w:tc>
        <w:tc>
          <w:tcPr>
            <w:tcW w:w="1073" w:type="dxa"/>
            <w:shd w:val="clear" w:color="auto" w:fill="auto"/>
            <w:vAlign w:val="center"/>
          </w:tcPr>
          <w:p w14:paraId="023C5F3A">
            <w:pPr>
              <w:widowControl/>
              <w:jc w:val="center"/>
              <w:textAlignment w:val="center"/>
              <w:rPr>
                <w:rFonts w:hint="eastAsia" w:ascii="宋体" w:hAnsi="宋体" w:cs="宋体"/>
                <w:i w:val="0"/>
                <w:iCs w:val="0"/>
                <w:color w:val="auto"/>
                <w:sz w:val="20"/>
                <w:szCs w:val="20"/>
              </w:rPr>
            </w:pPr>
            <w:r>
              <w:rPr>
                <w:rFonts w:hint="eastAsia" w:ascii="宋体" w:hAnsi="宋体" w:cs="宋体"/>
                <w:i w:val="0"/>
                <w:iCs w:val="0"/>
                <w:color w:val="auto"/>
                <w:kern w:val="0"/>
                <w:sz w:val="20"/>
                <w:szCs w:val="20"/>
              </w:rPr>
              <w:t>弹性模</w:t>
            </w:r>
            <w:r>
              <w:rPr>
                <w:rFonts w:ascii="Times New Roman" w:hAnsi="Times New Roman" w:cs="Times New Roman"/>
                <w:i w:val="0"/>
                <w:iCs w:val="0"/>
                <w:color w:val="auto"/>
                <w:kern w:val="0"/>
                <w:sz w:val="20"/>
                <w:szCs w:val="20"/>
              </w:rPr>
              <w:t>量E/MPa</w:t>
            </w:r>
          </w:p>
        </w:tc>
        <w:tc>
          <w:tcPr>
            <w:tcW w:w="1136" w:type="dxa"/>
            <w:shd w:val="clear" w:color="auto" w:fill="auto"/>
            <w:vAlign w:val="center"/>
          </w:tcPr>
          <w:p w14:paraId="247B9417">
            <w:pPr>
              <w:widowControl/>
              <w:jc w:val="center"/>
              <w:textAlignment w:val="center"/>
              <w:rPr>
                <w:rFonts w:hint="eastAsia" w:ascii="宋体" w:hAnsi="宋体" w:cs="宋体"/>
                <w:i w:val="0"/>
                <w:iCs w:val="0"/>
                <w:color w:val="auto"/>
                <w:sz w:val="20"/>
                <w:szCs w:val="20"/>
              </w:rPr>
            </w:pPr>
            <w:r>
              <w:rPr>
                <w:rFonts w:hint="eastAsia" w:ascii="宋体" w:hAnsi="宋体" w:cs="宋体"/>
                <w:i w:val="0"/>
                <w:iCs w:val="0"/>
                <w:color w:val="auto"/>
                <w:kern w:val="0"/>
                <w:sz w:val="20"/>
                <w:szCs w:val="20"/>
              </w:rPr>
              <w:t>弯曲强</w:t>
            </w:r>
            <w:r>
              <w:rPr>
                <w:rFonts w:ascii="Times New Roman" w:hAnsi="Times New Roman" w:cs="Times New Roman"/>
                <w:i w:val="0"/>
                <w:iCs w:val="0"/>
                <w:color w:val="auto"/>
                <w:kern w:val="0"/>
                <w:sz w:val="20"/>
                <w:szCs w:val="20"/>
              </w:rPr>
              <w:t>度</w:t>
            </w:r>
            <w:r>
              <w:rPr>
                <w:rFonts w:hint="eastAsia" w:ascii="Times New Roman" w:hAnsi="Times New Roman" w:cs="Times New Roman"/>
                <w:i w:val="0"/>
                <w:iCs w:val="0"/>
                <w:color w:val="auto"/>
                <w:kern w:val="0"/>
                <w:sz w:val="20"/>
                <w:szCs w:val="20"/>
              </w:rPr>
              <w:t>R</w:t>
            </w:r>
            <w:r>
              <w:rPr>
                <w:rFonts w:ascii="Times New Roman" w:hAnsi="Times New Roman" w:cs="Times New Roman"/>
                <w:i w:val="0"/>
                <w:iCs w:val="0"/>
                <w:color w:val="auto"/>
                <w:kern w:val="0"/>
                <w:sz w:val="20"/>
                <w:szCs w:val="20"/>
              </w:rPr>
              <w:t>/MPa</w:t>
            </w:r>
          </w:p>
        </w:tc>
      </w:tr>
      <w:tr w14:paraId="4BBC2A8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vMerge w:val="restart"/>
            <w:shd w:val="clear" w:color="auto" w:fill="auto"/>
            <w:vAlign w:val="center"/>
          </w:tcPr>
          <w:p w14:paraId="7ACD6250">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01</w:t>
            </w:r>
          </w:p>
        </w:tc>
        <w:tc>
          <w:tcPr>
            <w:tcW w:w="874" w:type="dxa"/>
            <w:gridSpan w:val="5"/>
            <w:shd w:val="clear" w:color="auto" w:fill="auto"/>
            <w:vAlign w:val="center"/>
          </w:tcPr>
          <w:p w14:paraId="584278E3">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P1</w:t>
            </w:r>
          </w:p>
        </w:tc>
        <w:tc>
          <w:tcPr>
            <w:tcW w:w="674" w:type="dxa"/>
            <w:shd w:val="clear" w:color="auto" w:fill="auto"/>
            <w:vAlign w:val="center"/>
          </w:tcPr>
          <w:p w14:paraId="6980F90A">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1.228</w:t>
            </w:r>
          </w:p>
        </w:tc>
        <w:tc>
          <w:tcPr>
            <w:tcW w:w="735" w:type="dxa"/>
            <w:gridSpan w:val="4"/>
            <w:shd w:val="clear" w:color="auto" w:fill="auto"/>
            <w:vAlign w:val="center"/>
          </w:tcPr>
          <w:p w14:paraId="67A37CA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0.151</w:t>
            </w:r>
          </w:p>
        </w:tc>
        <w:tc>
          <w:tcPr>
            <w:tcW w:w="975" w:type="dxa"/>
            <w:gridSpan w:val="2"/>
            <w:vMerge w:val="restart"/>
            <w:shd w:val="clear" w:color="auto" w:fill="auto"/>
            <w:vAlign w:val="center"/>
          </w:tcPr>
          <w:p w14:paraId="2B7C51AB">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300</w:t>
            </w:r>
          </w:p>
        </w:tc>
        <w:tc>
          <w:tcPr>
            <w:tcW w:w="1317" w:type="dxa"/>
            <w:gridSpan w:val="2"/>
            <w:vMerge w:val="restart"/>
            <w:shd w:val="clear" w:color="auto" w:fill="auto"/>
            <w:vAlign w:val="center"/>
          </w:tcPr>
          <w:p w14:paraId="3D5EF526">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100</w:t>
            </w:r>
          </w:p>
        </w:tc>
        <w:tc>
          <w:tcPr>
            <w:tcW w:w="1061" w:type="dxa"/>
            <w:gridSpan w:val="2"/>
            <w:vMerge w:val="restart"/>
            <w:shd w:val="clear" w:color="auto" w:fill="auto"/>
            <w:vAlign w:val="center"/>
          </w:tcPr>
          <w:p w14:paraId="189EC523">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60</w:t>
            </w:r>
          </w:p>
        </w:tc>
        <w:tc>
          <w:tcPr>
            <w:tcW w:w="1073" w:type="dxa"/>
            <w:vMerge w:val="restart"/>
            <w:shd w:val="clear" w:color="auto" w:fill="auto"/>
            <w:vAlign w:val="center"/>
          </w:tcPr>
          <w:p w14:paraId="6AD0F6FE">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420.049</w:t>
            </w:r>
          </w:p>
        </w:tc>
        <w:tc>
          <w:tcPr>
            <w:tcW w:w="1136" w:type="dxa"/>
            <w:vMerge w:val="restart"/>
            <w:shd w:val="clear" w:color="auto" w:fill="auto"/>
            <w:vAlign w:val="center"/>
          </w:tcPr>
          <w:p w14:paraId="186F4796">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2.174</w:t>
            </w:r>
          </w:p>
        </w:tc>
      </w:tr>
      <w:tr w14:paraId="65EEB1B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vMerge w:val="continue"/>
            <w:shd w:val="clear" w:color="auto" w:fill="auto"/>
            <w:vAlign w:val="center"/>
          </w:tcPr>
          <w:p w14:paraId="5C444678">
            <w:pPr>
              <w:jc w:val="center"/>
              <w:rPr>
                <w:rFonts w:ascii="Times New Roman" w:hAnsi="Times New Roman" w:cs="Times New Roman"/>
                <w:i w:val="0"/>
                <w:iCs w:val="0"/>
                <w:color w:val="auto"/>
                <w:sz w:val="20"/>
                <w:szCs w:val="20"/>
              </w:rPr>
            </w:pPr>
          </w:p>
        </w:tc>
        <w:tc>
          <w:tcPr>
            <w:tcW w:w="874" w:type="dxa"/>
            <w:gridSpan w:val="5"/>
            <w:shd w:val="clear" w:color="auto" w:fill="auto"/>
            <w:vAlign w:val="center"/>
          </w:tcPr>
          <w:p w14:paraId="3B214365">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P2</w:t>
            </w:r>
          </w:p>
        </w:tc>
        <w:tc>
          <w:tcPr>
            <w:tcW w:w="674" w:type="dxa"/>
            <w:shd w:val="clear" w:color="auto" w:fill="auto"/>
            <w:vAlign w:val="center"/>
          </w:tcPr>
          <w:p w14:paraId="1455FF7F">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1.382</w:t>
            </w:r>
          </w:p>
        </w:tc>
        <w:tc>
          <w:tcPr>
            <w:tcW w:w="735" w:type="dxa"/>
            <w:gridSpan w:val="4"/>
            <w:shd w:val="clear" w:color="auto" w:fill="auto"/>
            <w:vAlign w:val="center"/>
          </w:tcPr>
          <w:p w14:paraId="73D6AA03">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0.358</w:t>
            </w:r>
          </w:p>
        </w:tc>
        <w:tc>
          <w:tcPr>
            <w:tcW w:w="975" w:type="dxa"/>
            <w:gridSpan w:val="2"/>
            <w:vMerge w:val="continue"/>
            <w:shd w:val="clear" w:color="auto" w:fill="auto"/>
            <w:vAlign w:val="center"/>
          </w:tcPr>
          <w:p w14:paraId="13824004">
            <w:pPr>
              <w:jc w:val="center"/>
              <w:rPr>
                <w:rFonts w:ascii="Times New Roman" w:hAnsi="Times New Roman" w:cs="Times New Roman"/>
                <w:i w:val="0"/>
                <w:iCs w:val="0"/>
                <w:color w:val="auto"/>
                <w:sz w:val="20"/>
                <w:szCs w:val="20"/>
              </w:rPr>
            </w:pPr>
          </w:p>
        </w:tc>
        <w:tc>
          <w:tcPr>
            <w:tcW w:w="1317" w:type="dxa"/>
            <w:gridSpan w:val="2"/>
            <w:vMerge w:val="continue"/>
            <w:shd w:val="clear" w:color="auto" w:fill="auto"/>
            <w:vAlign w:val="center"/>
          </w:tcPr>
          <w:p w14:paraId="1E8259F7">
            <w:pPr>
              <w:jc w:val="center"/>
              <w:rPr>
                <w:rFonts w:ascii="Times New Roman" w:hAnsi="Times New Roman" w:cs="Times New Roman"/>
                <w:i w:val="0"/>
                <w:iCs w:val="0"/>
                <w:color w:val="auto"/>
                <w:sz w:val="20"/>
                <w:szCs w:val="20"/>
              </w:rPr>
            </w:pPr>
          </w:p>
        </w:tc>
        <w:tc>
          <w:tcPr>
            <w:tcW w:w="1061" w:type="dxa"/>
            <w:gridSpan w:val="2"/>
            <w:vMerge w:val="continue"/>
            <w:shd w:val="clear" w:color="auto" w:fill="auto"/>
            <w:vAlign w:val="center"/>
          </w:tcPr>
          <w:p w14:paraId="6D0A26B8">
            <w:pPr>
              <w:jc w:val="center"/>
              <w:rPr>
                <w:rFonts w:ascii="Times New Roman" w:hAnsi="Times New Roman" w:cs="Times New Roman"/>
                <w:i w:val="0"/>
                <w:iCs w:val="0"/>
                <w:color w:val="auto"/>
                <w:sz w:val="20"/>
                <w:szCs w:val="20"/>
              </w:rPr>
            </w:pPr>
          </w:p>
        </w:tc>
        <w:tc>
          <w:tcPr>
            <w:tcW w:w="1073" w:type="dxa"/>
            <w:vMerge w:val="continue"/>
            <w:shd w:val="clear" w:color="auto" w:fill="auto"/>
            <w:vAlign w:val="center"/>
          </w:tcPr>
          <w:p w14:paraId="61F90EC7">
            <w:pPr>
              <w:jc w:val="center"/>
              <w:rPr>
                <w:rFonts w:ascii="Times New Roman" w:hAnsi="Times New Roman" w:cs="Times New Roman"/>
                <w:i w:val="0"/>
                <w:iCs w:val="0"/>
                <w:color w:val="auto"/>
                <w:sz w:val="20"/>
                <w:szCs w:val="20"/>
              </w:rPr>
            </w:pPr>
          </w:p>
        </w:tc>
        <w:tc>
          <w:tcPr>
            <w:tcW w:w="1136" w:type="dxa"/>
            <w:vMerge w:val="continue"/>
            <w:shd w:val="clear" w:color="auto" w:fill="auto"/>
            <w:vAlign w:val="center"/>
          </w:tcPr>
          <w:p w14:paraId="0EB20E5A">
            <w:pPr>
              <w:jc w:val="center"/>
              <w:rPr>
                <w:rFonts w:ascii="Times New Roman" w:hAnsi="Times New Roman" w:cs="Times New Roman"/>
                <w:i w:val="0"/>
                <w:iCs w:val="0"/>
                <w:color w:val="auto"/>
                <w:sz w:val="20"/>
                <w:szCs w:val="20"/>
              </w:rPr>
            </w:pPr>
          </w:p>
        </w:tc>
      </w:tr>
      <w:tr w14:paraId="55BF340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vMerge w:val="continue"/>
            <w:shd w:val="clear" w:color="auto" w:fill="auto"/>
            <w:vAlign w:val="center"/>
          </w:tcPr>
          <w:p w14:paraId="73099A51">
            <w:pPr>
              <w:jc w:val="center"/>
              <w:rPr>
                <w:rFonts w:ascii="Times New Roman" w:hAnsi="Times New Roman" w:cs="Times New Roman"/>
                <w:i w:val="0"/>
                <w:iCs w:val="0"/>
                <w:color w:val="auto"/>
                <w:sz w:val="20"/>
                <w:szCs w:val="20"/>
              </w:rPr>
            </w:pPr>
          </w:p>
        </w:tc>
        <w:tc>
          <w:tcPr>
            <w:tcW w:w="874" w:type="dxa"/>
            <w:gridSpan w:val="5"/>
            <w:shd w:val="clear" w:color="auto" w:fill="auto"/>
            <w:vAlign w:val="center"/>
          </w:tcPr>
          <w:p w14:paraId="65CC9359">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Pn</w:t>
            </w:r>
          </w:p>
        </w:tc>
        <w:tc>
          <w:tcPr>
            <w:tcW w:w="674" w:type="dxa"/>
            <w:shd w:val="clear" w:color="auto" w:fill="auto"/>
            <w:vAlign w:val="center"/>
          </w:tcPr>
          <w:p w14:paraId="1D5C0410">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3.008</w:t>
            </w:r>
          </w:p>
        </w:tc>
        <w:tc>
          <w:tcPr>
            <w:tcW w:w="735" w:type="dxa"/>
            <w:gridSpan w:val="4"/>
            <w:shd w:val="clear" w:color="auto" w:fill="auto"/>
            <w:vAlign w:val="center"/>
          </w:tcPr>
          <w:p w14:paraId="47576D89">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1.739</w:t>
            </w:r>
          </w:p>
        </w:tc>
        <w:tc>
          <w:tcPr>
            <w:tcW w:w="975" w:type="dxa"/>
            <w:gridSpan w:val="2"/>
            <w:vMerge w:val="continue"/>
            <w:shd w:val="clear" w:color="auto" w:fill="auto"/>
            <w:vAlign w:val="center"/>
          </w:tcPr>
          <w:p w14:paraId="5A3271BE">
            <w:pPr>
              <w:jc w:val="center"/>
              <w:rPr>
                <w:rFonts w:ascii="Times New Roman" w:hAnsi="Times New Roman" w:cs="Times New Roman"/>
                <w:i w:val="0"/>
                <w:iCs w:val="0"/>
                <w:color w:val="auto"/>
                <w:sz w:val="20"/>
                <w:szCs w:val="20"/>
              </w:rPr>
            </w:pPr>
          </w:p>
        </w:tc>
        <w:tc>
          <w:tcPr>
            <w:tcW w:w="1317" w:type="dxa"/>
            <w:gridSpan w:val="2"/>
            <w:vMerge w:val="continue"/>
            <w:shd w:val="clear" w:color="auto" w:fill="auto"/>
            <w:vAlign w:val="center"/>
          </w:tcPr>
          <w:p w14:paraId="7999E0DF">
            <w:pPr>
              <w:jc w:val="center"/>
              <w:rPr>
                <w:rFonts w:ascii="Times New Roman" w:hAnsi="Times New Roman" w:cs="Times New Roman"/>
                <w:i w:val="0"/>
                <w:iCs w:val="0"/>
                <w:color w:val="auto"/>
                <w:sz w:val="20"/>
                <w:szCs w:val="20"/>
              </w:rPr>
            </w:pPr>
          </w:p>
        </w:tc>
        <w:tc>
          <w:tcPr>
            <w:tcW w:w="1061" w:type="dxa"/>
            <w:gridSpan w:val="2"/>
            <w:vMerge w:val="continue"/>
            <w:shd w:val="clear" w:color="auto" w:fill="auto"/>
            <w:vAlign w:val="center"/>
          </w:tcPr>
          <w:p w14:paraId="767C31F5">
            <w:pPr>
              <w:jc w:val="center"/>
              <w:rPr>
                <w:rFonts w:ascii="Times New Roman" w:hAnsi="Times New Roman" w:cs="Times New Roman"/>
                <w:i w:val="0"/>
                <w:iCs w:val="0"/>
                <w:color w:val="auto"/>
                <w:sz w:val="20"/>
                <w:szCs w:val="20"/>
              </w:rPr>
            </w:pPr>
          </w:p>
        </w:tc>
        <w:tc>
          <w:tcPr>
            <w:tcW w:w="1073" w:type="dxa"/>
            <w:vMerge w:val="continue"/>
            <w:shd w:val="clear" w:color="auto" w:fill="auto"/>
            <w:vAlign w:val="center"/>
          </w:tcPr>
          <w:p w14:paraId="32AE11EC">
            <w:pPr>
              <w:jc w:val="center"/>
              <w:rPr>
                <w:rFonts w:ascii="Times New Roman" w:hAnsi="Times New Roman" w:cs="Times New Roman"/>
                <w:i w:val="0"/>
                <w:iCs w:val="0"/>
                <w:color w:val="auto"/>
                <w:sz w:val="20"/>
                <w:szCs w:val="20"/>
              </w:rPr>
            </w:pPr>
          </w:p>
        </w:tc>
        <w:tc>
          <w:tcPr>
            <w:tcW w:w="1136" w:type="dxa"/>
            <w:vMerge w:val="continue"/>
            <w:shd w:val="clear" w:color="auto" w:fill="auto"/>
            <w:vAlign w:val="center"/>
          </w:tcPr>
          <w:p w14:paraId="1A45DC2D">
            <w:pPr>
              <w:jc w:val="center"/>
              <w:rPr>
                <w:rFonts w:ascii="Times New Roman" w:hAnsi="Times New Roman" w:cs="Times New Roman"/>
                <w:i w:val="0"/>
                <w:iCs w:val="0"/>
                <w:color w:val="auto"/>
                <w:sz w:val="20"/>
                <w:szCs w:val="20"/>
              </w:rPr>
            </w:pPr>
          </w:p>
        </w:tc>
      </w:tr>
      <w:tr w14:paraId="6CE845D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vMerge w:val="restart"/>
            <w:shd w:val="clear" w:color="auto" w:fill="auto"/>
            <w:vAlign w:val="center"/>
          </w:tcPr>
          <w:p w14:paraId="48DEEC50">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02</w:t>
            </w:r>
          </w:p>
        </w:tc>
        <w:tc>
          <w:tcPr>
            <w:tcW w:w="874" w:type="dxa"/>
            <w:gridSpan w:val="5"/>
            <w:shd w:val="clear" w:color="auto" w:fill="auto"/>
            <w:vAlign w:val="center"/>
          </w:tcPr>
          <w:p w14:paraId="6F0A2586">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P1</w:t>
            </w:r>
          </w:p>
        </w:tc>
        <w:tc>
          <w:tcPr>
            <w:tcW w:w="674" w:type="dxa"/>
            <w:shd w:val="clear" w:color="auto" w:fill="auto"/>
            <w:vAlign w:val="center"/>
          </w:tcPr>
          <w:p w14:paraId="55C36CF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1.054</w:t>
            </w:r>
          </w:p>
        </w:tc>
        <w:tc>
          <w:tcPr>
            <w:tcW w:w="735" w:type="dxa"/>
            <w:gridSpan w:val="4"/>
            <w:shd w:val="clear" w:color="auto" w:fill="auto"/>
            <w:vAlign w:val="center"/>
          </w:tcPr>
          <w:p w14:paraId="0DA6C840">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0.390</w:t>
            </w:r>
          </w:p>
        </w:tc>
        <w:tc>
          <w:tcPr>
            <w:tcW w:w="975" w:type="dxa"/>
            <w:gridSpan w:val="2"/>
            <w:vMerge w:val="restart"/>
            <w:shd w:val="clear" w:color="auto" w:fill="auto"/>
            <w:vAlign w:val="center"/>
          </w:tcPr>
          <w:p w14:paraId="0EE0DC64">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300</w:t>
            </w:r>
          </w:p>
        </w:tc>
        <w:tc>
          <w:tcPr>
            <w:tcW w:w="1317" w:type="dxa"/>
            <w:gridSpan w:val="2"/>
            <w:vMerge w:val="restart"/>
            <w:shd w:val="clear" w:color="auto" w:fill="auto"/>
            <w:vAlign w:val="center"/>
          </w:tcPr>
          <w:p w14:paraId="5174062C">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100</w:t>
            </w:r>
          </w:p>
        </w:tc>
        <w:tc>
          <w:tcPr>
            <w:tcW w:w="1061" w:type="dxa"/>
            <w:gridSpan w:val="2"/>
            <w:vMerge w:val="restart"/>
            <w:shd w:val="clear" w:color="auto" w:fill="auto"/>
            <w:vAlign w:val="center"/>
          </w:tcPr>
          <w:p w14:paraId="35078DDE">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60</w:t>
            </w:r>
          </w:p>
        </w:tc>
        <w:tc>
          <w:tcPr>
            <w:tcW w:w="1073" w:type="dxa"/>
            <w:vMerge w:val="restart"/>
            <w:shd w:val="clear" w:color="auto" w:fill="auto"/>
            <w:vAlign w:val="center"/>
          </w:tcPr>
          <w:p w14:paraId="46902E0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591.518</w:t>
            </w:r>
          </w:p>
        </w:tc>
        <w:tc>
          <w:tcPr>
            <w:tcW w:w="1136" w:type="dxa"/>
            <w:vMerge w:val="restart"/>
            <w:shd w:val="clear" w:color="auto" w:fill="auto"/>
            <w:vAlign w:val="center"/>
          </w:tcPr>
          <w:p w14:paraId="36DB557D">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2.025</w:t>
            </w:r>
          </w:p>
        </w:tc>
      </w:tr>
      <w:tr w14:paraId="7C1BE0A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vMerge w:val="continue"/>
            <w:shd w:val="clear" w:color="auto" w:fill="auto"/>
            <w:vAlign w:val="center"/>
          </w:tcPr>
          <w:p w14:paraId="582DEFDA">
            <w:pPr>
              <w:jc w:val="center"/>
              <w:rPr>
                <w:rFonts w:ascii="Times New Roman" w:hAnsi="Times New Roman" w:cs="Times New Roman"/>
                <w:i w:val="0"/>
                <w:iCs w:val="0"/>
                <w:color w:val="auto"/>
                <w:sz w:val="20"/>
                <w:szCs w:val="20"/>
              </w:rPr>
            </w:pPr>
          </w:p>
        </w:tc>
        <w:tc>
          <w:tcPr>
            <w:tcW w:w="874" w:type="dxa"/>
            <w:gridSpan w:val="5"/>
            <w:shd w:val="clear" w:color="auto" w:fill="auto"/>
            <w:vAlign w:val="center"/>
          </w:tcPr>
          <w:p w14:paraId="670391EB">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P2</w:t>
            </w:r>
          </w:p>
        </w:tc>
        <w:tc>
          <w:tcPr>
            <w:tcW w:w="674" w:type="dxa"/>
            <w:shd w:val="clear" w:color="auto" w:fill="auto"/>
            <w:vAlign w:val="center"/>
          </w:tcPr>
          <w:p w14:paraId="500B44C5">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1.334</w:t>
            </w:r>
          </w:p>
        </w:tc>
        <w:tc>
          <w:tcPr>
            <w:tcW w:w="735" w:type="dxa"/>
            <w:gridSpan w:val="4"/>
            <w:shd w:val="clear" w:color="auto" w:fill="auto"/>
            <w:vAlign w:val="center"/>
          </w:tcPr>
          <w:p w14:paraId="3E11074A">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0.920</w:t>
            </w:r>
          </w:p>
        </w:tc>
        <w:tc>
          <w:tcPr>
            <w:tcW w:w="975" w:type="dxa"/>
            <w:gridSpan w:val="2"/>
            <w:vMerge w:val="continue"/>
            <w:shd w:val="clear" w:color="auto" w:fill="auto"/>
            <w:vAlign w:val="center"/>
          </w:tcPr>
          <w:p w14:paraId="276FA8D7">
            <w:pPr>
              <w:jc w:val="center"/>
              <w:rPr>
                <w:rFonts w:ascii="Times New Roman" w:hAnsi="Times New Roman" w:cs="Times New Roman"/>
                <w:i w:val="0"/>
                <w:iCs w:val="0"/>
                <w:color w:val="auto"/>
                <w:sz w:val="20"/>
                <w:szCs w:val="20"/>
              </w:rPr>
            </w:pPr>
          </w:p>
        </w:tc>
        <w:tc>
          <w:tcPr>
            <w:tcW w:w="1317" w:type="dxa"/>
            <w:gridSpan w:val="2"/>
            <w:vMerge w:val="continue"/>
            <w:shd w:val="clear" w:color="auto" w:fill="auto"/>
            <w:vAlign w:val="center"/>
          </w:tcPr>
          <w:p w14:paraId="55AA377F">
            <w:pPr>
              <w:jc w:val="center"/>
              <w:rPr>
                <w:rFonts w:ascii="Times New Roman" w:hAnsi="Times New Roman" w:cs="Times New Roman"/>
                <w:i w:val="0"/>
                <w:iCs w:val="0"/>
                <w:color w:val="auto"/>
                <w:sz w:val="20"/>
                <w:szCs w:val="20"/>
              </w:rPr>
            </w:pPr>
          </w:p>
        </w:tc>
        <w:tc>
          <w:tcPr>
            <w:tcW w:w="1061" w:type="dxa"/>
            <w:gridSpan w:val="2"/>
            <w:vMerge w:val="continue"/>
            <w:shd w:val="clear" w:color="auto" w:fill="auto"/>
            <w:vAlign w:val="center"/>
          </w:tcPr>
          <w:p w14:paraId="0229A3BE">
            <w:pPr>
              <w:jc w:val="center"/>
              <w:rPr>
                <w:rFonts w:ascii="Times New Roman" w:hAnsi="Times New Roman" w:cs="Times New Roman"/>
                <w:i w:val="0"/>
                <w:iCs w:val="0"/>
                <w:color w:val="auto"/>
                <w:sz w:val="20"/>
                <w:szCs w:val="20"/>
              </w:rPr>
            </w:pPr>
          </w:p>
        </w:tc>
        <w:tc>
          <w:tcPr>
            <w:tcW w:w="1073" w:type="dxa"/>
            <w:vMerge w:val="continue"/>
            <w:shd w:val="clear" w:color="auto" w:fill="auto"/>
            <w:vAlign w:val="center"/>
          </w:tcPr>
          <w:p w14:paraId="5BDF37AD">
            <w:pPr>
              <w:jc w:val="center"/>
              <w:rPr>
                <w:rFonts w:ascii="Times New Roman" w:hAnsi="Times New Roman" w:cs="Times New Roman"/>
                <w:i w:val="0"/>
                <w:iCs w:val="0"/>
                <w:color w:val="auto"/>
                <w:sz w:val="20"/>
                <w:szCs w:val="20"/>
              </w:rPr>
            </w:pPr>
          </w:p>
        </w:tc>
        <w:tc>
          <w:tcPr>
            <w:tcW w:w="1136" w:type="dxa"/>
            <w:vMerge w:val="continue"/>
            <w:shd w:val="clear" w:color="auto" w:fill="auto"/>
            <w:vAlign w:val="center"/>
          </w:tcPr>
          <w:p w14:paraId="00CF7B28">
            <w:pPr>
              <w:jc w:val="center"/>
              <w:rPr>
                <w:rFonts w:ascii="Times New Roman" w:hAnsi="Times New Roman" w:cs="Times New Roman"/>
                <w:i w:val="0"/>
                <w:iCs w:val="0"/>
                <w:color w:val="auto"/>
                <w:sz w:val="20"/>
                <w:szCs w:val="20"/>
              </w:rPr>
            </w:pPr>
          </w:p>
        </w:tc>
      </w:tr>
      <w:tr w14:paraId="3FD66B3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vMerge w:val="continue"/>
            <w:shd w:val="clear" w:color="auto" w:fill="auto"/>
            <w:vAlign w:val="center"/>
          </w:tcPr>
          <w:p w14:paraId="70262B4B">
            <w:pPr>
              <w:jc w:val="center"/>
              <w:rPr>
                <w:rFonts w:ascii="Times New Roman" w:hAnsi="Times New Roman" w:cs="Times New Roman"/>
                <w:i w:val="0"/>
                <w:iCs w:val="0"/>
                <w:color w:val="auto"/>
                <w:sz w:val="20"/>
                <w:szCs w:val="20"/>
              </w:rPr>
            </w:pPr>
          </w:p>
        </w:tc>
        <w:tc>
          <w:tcPr>
            <w:tcW w:w="874" w:type="dxa"/>
            <w:gridSpan w:val="5"/>
            <w:shd w:val="clear" w:color="auto" w:fill="auto"/>
            <w:vAlign w:val="center"/>
          </w:tcPr>
          <w:p w14:paraId="36A8F50A">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Pn</w:t>
            </w:r>
          </w:p>
        </w:tc>
        <w:tc>
          <w:tcPr>
            <w:tcW w:w="674" w:type="dxa"/>
            <w:shd w:val="clear" w:color="auto" w:fill="auto"/>
            <w:vAlign w:val="center"/>
          </w:tcPr>
          <w:p w14:paraId="5A99A410">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6.268</w:t>
            </w:r>
          </w:p>
        </w:tc>
        <w:tc>
          <w:tcPr>
            <w:tcW w:w="735" w:type="dxa"/>
            <w:gridSpan w:val="4"/>
            <w:shd w:val="clear" w:color="auto" w:fill="auto"/>
            <w:vAlign w:val="center"/>
          </w:tcPr>
          <w:p w14:paraId="6B1C07F5">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1.620</w:t>
            </w:r>
          </w:p>
        </w:tc>
        <w:tc>
          <w:tcPr>
            <w:tcW w:w="975" w:type="dxa"/>
            <w:gridSpan w:val="2"/>
            <w:vMerge w:val="continue"/>
            <w:shd w:val="clear" w:color="auto" w:fill="auto"/>
            <w:vAlign w:val="center"/>
          </w:tcPr>
          <w:p w14:paraId="23AD7672">
            <w:pPr>
              <w:jc w:val="center"/>
              <w:rPr>
                <w:rFonts w:ascii="Times New Roman" w:hAnsi="Times New Roman" w:cs="Times New Roman"/>
                <w:i w:val="0"/>
                <w:iCs w:val="0"/>
                <w:color w:val="auto"/>
                <w:sz w:val="20"/>
                <w:szCs w:val="20"/>
              </w:rPr>
            </w:pPr>
          </w:p>
        </w:tc>
        <w:tc>
          <w:tcPr>
            <w:tcW w:w="1317" w:type="dxa"/>
            <w:gridSpan w:val="2"/>
            <w:vMerge w:val="continue"/>
            <w:shd w:val="clear" w:color="auto" w:fill="auto"/>
            <w:vAlign w:val="center"/>
          </w:tcPr>
          <w:p w14:paraId="0F155D2E">
            <w:pPr>
              <w:jc w:val="center"/>
              <w:rPr>
                <w:rFonts w:ascii="Times New Roman" w:hAnsi="Times New Roman" w:cs="Times New Roman"/>
                <w:i w:val="0"/>
                <w:iCs w:val="0"/>
                <w:color w:val="auto"/>
                <w:sz w:val="20"/>
                <w:szCs w:val="20"/>
              </w:rPr>
            </w:pPr>
          </w:p>
        </w:tc>
        <w:tc>
          <w:tcPr>
            <w:tcW w:w="1061" w:type="dxa"/>
            <w:gridSpan w:val="2"/>
            <w:vMerge w:val="continue"/>
            <w:shd w:val="clear" w:color="auto" w:fill="auto"/>
            <w:vAlign w:val="center"/>
          </w:tcPr>
          <w:p w14:paraId="3D82203C">
            <w:pPr>
              <w:jc w:val="center"/>
              <w:rPr>
                <w:rFonts w:ascii="Times New Roman" w:hAnsi="Times New Roman" w:cs="Times New Roman"/>
                <w:i w:val="0"/>
                <w:iCs w:val="0"/>
                <w:color w:val="auto"/>
                <w:sz w:val="20"/>
                <w:szCs w:val="20"/>
              </w:rPr>
            </w:pPr>
          </w:p>
        </w:tc>
        <w:tc>
          <w:tcPr>
            <w:tcW w:w="1073" w:type="dxa"/>
            <w:vMerge w:val="continue"/>
            <w:shd w:val="clear" w:color="auto" w:fill="auto"/>
            <w:vAlign w:val="center"/>
          </w:tcPr>
          <w:p w14:paraId="1231F074">
            <w:pPr>
              <w:jc w:val="center"/>
              <w:rPr>
                <w:rFonts w:ascii="Times New Roman" w:hAnsi="Times New Roman" w:cs="Times New Roman"/>
                <w:i w:val="0"/>
                <w:iCs w:val="0"/>
                <w:color w:val="auto"/>
                <w:sz w:val="20"/>
                <w:szCs w:val="20"/>
              </w:rPr>
            </w:pPr>
          </w:p>
        </w:tc>
        <w:tc>
          <w:tcPr>
            <w:tcW w:w="1136" w:type="dxa"/>
            <w:vMerge w:val="continue"/>
            <w:shd w:val="clear" w:color="auto" w:fill="auto"/>
            <w:vAlign w:val="center"/>
          </w:tcPr>
          <w:p w14:paraId="71598DED">
            <w:pPr>
              <w:jc w:val="center"/>
              <w:rPr>
                <w:rFonts w:ascii="Times New Roman" w:hAnsi="Times New Roman" w:cs="Times New Roman"/>
                <w:i w:val="0"/>
                <w:iCs w:val="0"/>
                <w:color w:val="auto"/>
                <w:sz w:val="20"/>
                <w:szCs w:val="20"/>
              </w:rPr>
            </w:pPr>
          </w:p>
        </w:tc>
      </w:tr>
      <w:tr w14:paraId="5D48806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vMerge w:val="restart"/>
            <w:shd w:val="clear" w:color="auto" w:fill="auto"/>
            <w:vAlign w:val="center"/>
          </w:tcPr>
          <w:p w14:paraId="59B0440D">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03</w:t>
            </w:r>
          </w:p>
        </w:tc>
        <w:tc>
          <w:tcPr>
            <w:tcW w:w="874" w:type="dxa"/>
            <w:gridSpan w:val="5"/>
            <w:shd w:val="clear" w:color="auto" w:fill="auto"/>
            <w:vAlign w:val="center"/>
          </w:tcPr>
          <w:p w14:paraId="02E18E12">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P1</w:t>
            </w:r>
          </w:p>
        </w:tc>
        <w:tc>
          <w:tcPr>
            <w:tcW w:w="674" w:type="dxa"/>
            <w:shd w:val="clear" w:color="auto" w:fill="auto"/>
            <w:vAlign w:val="center"/>
          </w:tcPr>
          <w:p w14:paraId="3A86DA61">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1.029</w:t>
            </w:r>
          </w:p>
        </w:tc>
        <w:tc>
          <w:tcPr>
            <w:tcW w:w="735" w:type="dxa"/>
            <w:gridSpan w:val="4"/>
            <w:shd w:val="clear" w:color="auto" w:fill="auto"/>
            <w:vAlign w:val="center"/>
          </w:tcPr>
          <w:p w14:paraId="3147387A">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0.413</w:t>
            </w:r>
          </w:p>
        </w:tc>
        <w:tc>
          <w:tcPr>
            <w:tcW w:w="975" w:type="dxa"/>
            <w:gridSpan w:val="2"/>
            <w:vMerge w:val="restart"/>
            <w:shd w:val="clear" w:color="auto" w:fill="auto"/>
            <w:vAlign w:val="center"/>
          </w:tcPr>
          <w:p w14:paraId="09760B36">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300</w:t>
            </w:r>
          </w:p>
        </w:tc>
        <w:tc>
          <w:tcPr>
            <w:tcW w:w="1317" w:type="dxa"/>
            <w:gridSpan w:val="2"/>
            <w:vMerge w:val="restart"/>
            <w:shd w:val="clear" w:color="auto" w:fill="auto"/>
            <w:vAlign w:val="center"/>
          </w:tcPr>
          <w:p w14:paraId="3A4F5863">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100</w:t>
            </w:r>
          </w:p>
        </w:tc>
        <w:tc>
          <w:tcPr>
            <w:tcW w:w="1061" w:type="dxa"/>
            <w:gridSpan w:val="2"/>
            <w:vMerge w:val="restart"/>
            <w:shd w:val="clear" w:color="auto" w:fill="auto"/>
            <w:vAlign w:val="center"/>
          </w:tcPr>
          <w:p w14:paraId="17E8CF7B">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60</w:t>
            </w:r>
          </w:p>
        </w:tc>
        <w:tc>
          <w:tcPr>
            <w:tcW w:w="1073" w:type="dxa"/>
            <w:vMerge w:val="restart"/>
            <w:shd w:val="clear" w:color="auto" w:fill="auto"/>
            <w:vAlign w:val="center"/>
          </w:tcPr>
          <w:p w14:paraId="69795E46">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578.125</w:t>
            </w:r>
          </w:p>
        </w:tc>
        <w:tc>
          <w:tcPr>
            <w:tcW w:w="1136" w:type="dxa"/>
            <w:vMerge w:val="restart"/>
            <w:shd w:val="clear" w:color="auto" w:fill="auto"/>
            <w:vAlign w:val="center"/>
          </w:tcPr>
          <w:p w14:paraId="26EDB48D">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2.184</w:t>
            </w:r>
          </w:p>
        </w:tc>
      </w:tr>
      <w:tr w14:paraId="45067FC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vMerge w:val="continue"/>
            <w:shd w:val="clear" w:color="auto" w:fill="auto"/>
            <w:vAlign w:val="center"/>
          </w:tcPr>
          <w:p w14:paraId="52B73302">
            <w:pPr>
              <w:jc w:val="center"/>
              <w:rPr>
                <w:rFonts w:ascii="Times New Roman" w:hAnsi="Times New Roman" w:cs="Times New Roman"/>
                <w:i w:val="0"/>
                <w:iCs w:val="0"/>
                <w:color w:val="auto"/>
                <w:kern w:val="0"/>
                <w:sz w:val="20"/>
                <w:szCs w:val="20"/>
              </w:rPr>
            </w:pPr>
          </w:p>
        </w:tc>
        <w:tc>
          <w:tcPr>
            <w:tcW w:w="874" w:type="dxa"/>
            <w:gridSpan w:val="5"/>
            <w:shd w:val="clear" w:color="auto" w:fill="auto"/>
            <w:vAlign w:val="center"/>
          </w:tcPr>
          <w:p w14:paraId="71D78BB2">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P2</w:t>
            </w:r>
          </w:p>
        </w:tc>
        <w:tc>
          <w:tcPr>
            <w:tcW w:w="674" w:type="dxa"/>
            <w:shd w:val="clear" w:color="auto" w:fill="auto"/>
            <w:vAlign w:val="center"/>
          </w:tcPr>
          <w:p w14:paraId="5B26A88A">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1.369</w:t>
            </w:r>
          </w:p>
        </w:tc>
        <w:tc>
          <w:tcPr>
            <w:tcW w:w="735" w:type="dxa"/>
            <w:gridSpan w:val="4"/>
            <w:shd w:val="clear" w:color="auto" w:fill="auto"/>
            <w:vAlign w:val="center"/>
          </w:tcPr>
          <w:p w14:paraId="51E44921">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1.042</w:t>
            </w:r>
          </w:p>
        </w:tc>
        <w:tc>
          <w:tcPr>
            <w:tcW w:w="975" w:type="dxa"/>
            <w:gridSpan w:val="2"/>
            <w:vMerge w:val="continue"/>
            <w:shd w:val="clear" w:color="auto" w:fill="auto"/>
            <w:vAlign w:val="center"/>
          </w:tcPr>
          <w:p w14:paraId="46D31FA4">
            <w:pPr>
              <w:jc w:val="center"/>
              <w:rPr>
                <w:rFonts w:ascii="Times New Roman" w:hAnsi="Times New Roman" w:cs="Times New Roman"/>
                <w:i w:val="0"/>
                <w:iCs w:val="0"/>
                <w:color w:val="auto"/>
                <w:kern w:val="0"/>
                <w:sz w:val="20"/>
                <w:szCs w:val="20"/>
              </w:rPr>
            </w:pPr>
          </w:p>
        </w:tc>
        <w:tc>
          <w:tcPr>
            <w:tcW w:w="1317" w:type="dxa"/>
            <w:gridSpan w:val="2"/>
            <w:vMerge w:val="continue"/>
            <w:shd w:val="clear" w:color="auto" w:fill="auto"/>
            <w:vAlign w:val="center"/>
          </w:tcPr>
          <w:p w14:paraId="57D0D3D7">
            <w:pPr>
              <w:jc w:val="center"/>
              <w:rPr>
                <w:rFonts w:ascii="Times New Roman" w:hAnsi="Times New Roman" w:cs="Times New Roman"/>
                <w:i w:val="0"/>
                <w:iCs w:val="0"/>
                <w:color w:val="auto"/>
                <w:kern w:val="0"/>
                <w:sz w:val="20"/>
                <w:szCs w:val="20"/>
              </w:rPr>
            </w:pPr>
          </w:p>
        </w:tc>
        <w:tc>
          <w:tcPr>
            <w:tcW w:w="1061" w:type="dxa"/>
            <w:gridSpan w:val="2"/>
            <w:vMerge w:val="continue"/>
            <w:shd w:val="clear" w:color="auto" w:fill="auto"/>
            <w:vAlign w:val="center"/>
          </w:tcPr>
          <w:p w14:paraId="461FCDBF">
            <w:pPr>
              <w:jc w:val="center"/>
              <w:rPr>
                <w:rFonts w:ascii="Times New Roman" w:hAnsi="Times New Roman" w:cs="Times New Roman"/>
                <w:i w:val="0"/>
                <w:iCs w:val="0"/>
                <w:color w:val="auto"/>
                <w:kern w:val="0"/>
                <w:sz w:val="20"/>
                <w:szCs w:val="20"/>
              </w:rPr>
            </w:pPr>
          </w:p>
        </w:tc>
        <w:tc>
          <w:tcPr>
            <w:tcW w:w="1073" w:type="dxa"/>
            <w:vMerge w:val="continue"/>
            <w:shd w:val="clear" w:color="auto" w:fill="auto"/>
            <w:vAlign w:val="center"/>
          </w:tcPr>
          <w:p w14:paraId="56B7DA33">
            <w:pPr>
              <w:jc w:val="center"/>
              <w:rPr>
                <w:rFonts w:ascii="Times New Roman" w:hAnsi="Times New Roman" w:cs="Times New Roman"/>
                <w:i w:val="0"/>
                <w:iCs w:val="0"/>
                <w:color w:val="auto"/>
                <w:kern w:val="0"/>
                <w:sz w:val="20"/>
                <w:szCs w:val="20"/>
              </w:rPr>
            </w:pPr>
          </w:p>
        </w:tc>
        <w:tc>
          <w:tcPr>
            <w:tcW w:w="1136" w:type="dxa"/>
            <w:vMerge w:val="continue"/>
            <w:shd w:val="clear" w:color="auto" w:fill="auto"/>
            <w:vAlign w:val="center"/>
          </w:tcPr>
          <w:p w14:paraId="2AD81B69">
            <w:pPr>
              <w:jc w:val="center"/>
              <w:rPr>
                <w:rFonts w:ascii="Times New Roman" w:hAnsi="Times New Roman" w:cs="Times New Roman"/>
                <w:i w:val="0"/>
                <w:iCs w:val="0"/>
                <w:color w:val="auto"/>
                <w:kern w:val="0"/>
                <w:sz w:val="20"/>
                <w:szCs w:val="20"/>
              </w:rPr>
            </w:pPr>
          </w:p>
        </w:tc>
      </w:tr>
      <w:tr w14:paraId="241D93E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vMerge w:val="continue"/>
            <w:shd w:val="clear" w:color="auto" w:fill="auto"/>
            <w:vAlign w:val="center"/>
          </w:tcPr>
          <w:p w14:paraId="1DAF0188">
            <w:pPr>
              <w:jc w:val="center"/>
              <w:rPr>
                <w:rFonts w:ascii="Times New Roman" w:hAnsi="Times New Roman" w:cs="Times New Roman"/>
                <w:i w:val="0"/>
                <w:iCs w:val="0"/>
                <w:color w:val="auto"/>
                <w:kern w:val="0"/>
                <w:sz w:val="20"/>
                <w:szCs w:val="20"/>
              </w:rPr>
            </w:pPr>
          </w:p>
        </w:tc>
        <w:tc>
          <w:tcPr>
            <w:tcW w:w="874" w:type="dxa"/>
            <w:gridSpan w:val="5"/>
            <w:shd w:val="clear" w:color="auto" w:fill="auto"/>
            <w:vAlign w:val="center"/>
          </w:tcPr>
          <w:p w14:paraId="2208552A">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Pn</w:t>
            </w:r>
          </w:p>
        </w:tc>
        <w:tc>
          <w:tcPr>
            <w:tcW w:w="674" w:type="dxa"/>
            <w:shd w:val="clear" w:color="auto" w:fill="auto"/>
            <w:vAlign w:val="center"/>
          </w:tcPr>
          <w:p w14:paraId="389BE31C">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3.135</w:t>
            </w:r>
          </w:p>
        </w:tc>
        <w:tc>
          <w:tcPr>
            <w:tcW w:w="735" w:type="dxa"/>
            <w:gridSpan w:val="4"/>
            <w:shd w:val="clear" w:color="auto" w:fill="auto"/>
            <w:vAlign w:val="center"/>
          </w:tcPr>
          <w:p w14:paraId="65B575A4">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1.747</w:t>
            </w:r>
          </w:p>
        </w:tc>
        <w:tc>
          <w:tcPr>
            <w:tcW w:w="975" w:type="dxa"/>
            <w:gridSpan w:val="2"/>
            <w:vMerge w:val="continue"/>
            <w:shd w:val="clear" w:color="auto" w:fill="auto"/>
            <w:vAlign w:val="center"/>
          </w:tcPr>
          <w:p w14:paraId="50C5CE6F">
            <w:pPr>
              <w:jc w:val="center"/>
              <w:rPr>
                <w:rFonts w:ascii="Times New Roman" w:hAnsi="Times New Roman" w:cs="Times New Roman"/>
                <w:i w:val="0"/>
                <w:iCs w:val="0"/>
                <w:color w:val="auto"/>
                <w:kern w:val="0"/>
                <w:sz w:val="20"/>
                <w:szCs w:val="20"/>
              </w:rPr>
            </w:pPr>
          </w:p>
        </w:tc>
        <w:tc>
          <w:tcPr>
            <w:tcW w:w="1317" w:type="dxa"/>
            <w:gridSpan w:val="2"/>
            <w:vMerge w:val="continue"/>
            <w:shd w:val="clear" w:color="auto" w:fill="auto"/>
            <w:vAlign w:val="center"/>
          </w:tcPr>
          <w:p w14:paraId="5F9B01B1">
            <w:pPr>
              <w:jc w:val="center"/>
              <w:rPr>
                <w:rFonts w:ascii="Times New Roman" w:hAnsi="Times New Roman" w:cs="Times New Roman"/>
                <w:i w:val="0"/>
                <w:iCs w:val="0"/>
                <w:color w:val="auto"/>
                <w:kern w:val="0"/>
                <w:sz w:val="20"/>
                <w:szCs w:val="20"/>
              </w:rPr>
            </w:pPr>
          </w:p>
        </w:tc>
        <w:tc>
          <w:tcPr>
            <w:tcW w:w="1061" w:type="dxa"/>
            <w:gridSpan w:val="2"/>
            <w:vMerge w:val="continue"/>
            <w:shd w:val="clear" w:color="auto" w:fill="auto"/>
            <w:vAlign w:val="center"/>
          </w:tcPr>
          <w:p w14:paraId="6C56CF3D">
            <w:pPr>
              <w:jc w:val="center"/>
              <w:rPr>
                <w:rFonts w:ascii="Times New Roman" w:hAnsi="Times New Roman" w:cs="Times New Roman"/>
                <w:i w:val="0"/>
                <w:iCs w:val="0"/>
                <w:color w:val="auto"/>
                <w:kern w:val="0"/>
                <w:sz w:val="20"/>
                <w:szCs w:val="20"/>
              </w:rPr>
            </w:pPr>
          </w:p>
        </w:tc>
        <w:tc>
          <w:tcPr>
            <w:tcW w:w="1073" w:type="dxa"/>
            <w:vMerge w:val="continue"/>
            <w:shd w:val="clear" w:color="auto" w:fill="auto"/>
            <w:vAlign w:val="center"/>
          </w:tcPr>
          <w:p w14:paraId="5BA148C8">
            <w:pPr>
              <w:jc w:val="center"/>
              <w:rPr>
                <w:rFonts w:ascii="Times New Roman" w:hAnsi="Times New Roman" w:cs="Times New Roman"/>
                <w:i w:val="0"/>
                <w:iCs w:val="0"/>
                <w:color w:val="auto"/>
                <w:kern w:val="0"/>
                <w:sz w:val="20"/>
                <w:szCs w:val="20"/>
              </w:rPr>
            </w:pPr>
          </w:p>
        </w:tc>
        <w:tc>
          <w:tcPr>
            <w:tcW w:w="1136" w:type="dxa"/>
            <w:vMerge w:val="continue"/>
            <w:shd w:val="clear" w:color="auto" w:fill="auto"/>
            <w:vAlign w:val="center"/>
          </w:tcPr>
          <w:p w14:paraId="3B59B502">
            <w:pPr>
              <w:jc w:val="center"/>
              <w:rPr>
                <w:rFonts w:ascii="Times New Roman" w:hAnsi="Times New Roman" w:cs="Times New Roman"/>
                <w:i w:val="0"/>
                <w:iCs w:val="0"/>
                <w:color w:val="auto"/>
                <w:kern w:val="0"/>
                <w:sz w:val="20"/>
                <w:szCs w:val="20"/>
              </w:rPr>
            </w:pPr>
          </w:p>
        </w:tc>
      </w:tr>
      <w:tr w14:paraId="16D3A2C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vMerge w:val="restart"/>
            <w:shd w:val="clear" w:color="auto" w:fill="auto"/>
            <w:vAlign w:val="center"/>
          </w:tcPr>
          <w:p w14:paraId="577B9C28">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04</w:t>
            </w:r>
          </w:p>
        </w:tc>
        <w:tc>
          <w:tcPr>
            <w:tcW w:w="874" w:type="dxa"/>
            <w:gridSpan w:val="5"/>
            <w:shd w:val="clear" w:color="auto" w:fill="auto"/>
            <w:vAlign w:val="center"/>
          </w:tcPr>
          <w:p w14:paraId="5868B4FF">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P1</w:t>
            </w:r>
          </w:p>
        </w:tc>
        <w:tc>
          <w:tcPr>
            <w:tcW w:w="674" w:type="dxa"/>
            <w:shd w:val="clear" w:color="auto" w:fill="auto"/>
            <w:vAlign w:val="center"/>
          </w:tcPr>
          <w:p w14:paraId="31B2F3D2">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1.176</w:t>
            </w:r>
          </w:p>
        </w:tc>
        <w:tc>
          <w:tcPr>
            <w:tcW w:w="735" w:type="dxa"/>
            <w:gridSpan w:val="4"/>
            <w:shd w:val="clear" w:color="auto" w:fill="auto"/>
            <w:vAlign w:val="center"/>
          </w:tcPr>
          <w:p w14:paraId="4DF411AE">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0.394</w:t>
            </w:r>
          </w:p>
        </w:tc>
        <w:tc>
          <w:tcPr>
            <w:tcW w:w="975" w:type="dxa"/>
            <w:gridSpan w:val="2"/>
            <w:vMerge w:val="restart"/>
            <w:shd w:val="clear" w:color="auto" w:fill="auto"/>
            <w:vAlign w:val="center"/>
          </w:tcPr>
          <w:p w14:paraId="639A2E8A">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300</w:t>
            </w:r>
          </w:p>
        </w:tc>
        <w:tc>
          <w:tcPr>
            <w:tcW w:w="1317" w:type="dxa"/>
            <w:gridSpan w:val="2"/>
            <w:vMerge w:val="restart"/>
            <w:shd w:val="clear" w:color="auto" w:fill="auto"/>
            <w:vAlign w:val="center"/>
          </w:tcPr>
          <w:p w14:paraId="3E51134E">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100</w:t>
            </w:r>
          </w:p>
        </w:tc>
        <w:tc>
          <w:tcPr>
            <w:tcW w:w="1061" w:type="dxa"/>
            <w:gridSpan w:val="2"/>
            <w:vMerge w:val="restart"/>
            <w:shd w:val="clear" w:color="auto" w:fill="auto"/>
            <w:vAlign w:val="center"/>
          </w:tcPr>
          <w:p w14:paraId="61F65C7C">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60</w:t>
            </w:r>
          </w:p>
        </w:tc>
        <w:tc>
          <w:tcPr>
            <w:tcW w:w="1073" w:type="dxa"/>
            <w:vMerge w:val="restart"/>
            <w:shd w:val="clear" w:color="auto" w:fill="auto"/>
            <w:vAlign w:val="center"/>
          </w:tcPr>
          <w:p w14:paraId="54F59B0F">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474.408</w:t>
            </w:r>
          </w:p>
        </w:tc>
        <w:tc>
          <w:tcPr>
            <w:tcW w:w="1136" w:type="dxa"/>
            <w:vMerge w:val="restart"/>
            <w:shd w:val="clear" w:color="auto" w:fill="auto"/>
            <w:vAlign w:val="center"/>
          </w:tcPr>
          <w:p w14:paraId="4F1D962F">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1.681</w:t>
            </w:r>
          </w:p>
        </w:tc>
      </w:tr>
      <w:tr w14:paraId="67A7EE7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vMerge w:val="continue"/>
            <w:shd w:val="clear" w:color="auto" w:fill="auto"/>
            <w:vAlign w:val="center"/>
          </w:tcPr>
          <w:p w14:paraId="11063557">
            <w:pPr>
              <w:jc w:val="center"/>
              <w:rPr>
                <w:rFonts w:ascii="Times New Roman" w:hAnsi="Times New Roman" w:cs="Times New Roman"/>
                <w:i w:val="0"/>
                <w:iCs w:val="0"/>
                <w:color w:val="auto"/>
                <w:sz w:val="20"/>
                <w:szCs w:val="20"/>
              </w:rPr>
            </w:pPr>
          </w:p>
        </w:tc>
        <w:tc>
          <w:tcPr>
            <w:tcW w:w="874" w:type="dxa"/>
            <w:gridSpan w:val="5"/>
            <w:shd w:val="clear" w:color="auto" w:fill="auto"/>
            <w:vAlign w:val="center"/>
          </w:tcPr>
          <w:p w14:paraId="4517BB6D">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P2</w:t>
            </w:r>
          </w:p>
        </w:tc>
        <w:tc>
          <w:tcPr>
            <w:tcW w:w="674" w:type="dxa"/>
            <w:shd w:val="clear" w:color="auto" w:fill="auto"/>
            <w:vAlign w:val="center"/>
          </w:tcPr>
          <w:p w14:paraId="5DDDABC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1.535</w:t>
            </w:r>
          </w:p>
        </w:tc>
        <w:tc>
          <w:tcPr>
            <w:tcW w:w="735" w:type="dxa"/>
            <w:gridSpan w:val="4"/>
            <w:shd w:val="clear" w:color="auto" w:fill="auto"/>
            <w:vAlign w:val="center"/>
          </w:tcPr>
          <w:p w14:paraId="05AAD171">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0.939</w:t>
            </w:r>
          </w:p>
        </w:tc>
        <w:tc>
          <w:tcPr>
            <w:tcW w:w="975" w:type="dxa"/>
            <w:gridSpan w:val="2"/>
            <w:vMerge w:val="continue"/>
            <w:shd w:val="clear" w:color="auto" w:fill="auto"/>
            <w:vAlign w:val="center"/>
          </w:tcPr>
          <w:p w14:paraId="696D4002">
            <w:pPr>
              <w:jc w:val="center"/>
              <w:rPr>
                <w:rFonts w:ascii="Times New Roman" w:hAnsi="Times New Roman" w:cs="Times New Roman"/>
                <w:i w:val="0"/>
                <w:iCs w:val="0"/>
                <w:color w:val="auto"/>
                <w:sz w:val="20"/>
                <w:szCs w:val="20"/>
              </w:rPr>
            </w:pPr>
          </w:p>
        </w:tc>
        <w:tc>
          <w:tcPr>
            <w:tcW w:w="1317" w:type="dxa"/>
            <w:gridSpan w:val="2"/>
            <w:vMerge w:val="continue"/>
            <w:shd w:val="clear" w:color="auto" w:fill="auto"/>
            <w:vAlign w:val="center"/>
          </w:tcPr>
          <w:p w14:paraId="095C1B2F">
            <w:pPr>
              <w:jc w:val="center"/>
              <w:rPr>
                <w:rFonts w:ascii="Times New Roman" w:hAnsi="Times New Roman" w:cs="Times New Roman"/>
                <w:i w:val="0"/>
                <w:iCs w:val="0"/>
                <w:color w:val="auto"/>
                <w:sz w:val="20"/>
                <w:szCs w:val="20"/>
              </w:rPr>
            </w:pPr>
          </w:p>
        </w:tc>
        <w:tc>
          <w:tcPr>
            <w:tcW w:w="1061" w:type="dxa"/>
            <w:gridSpan w:val="2"/>
            <w:vMerge w:val="continue"/>
            <w:shd w:val="clear" w:color="auto" w:fill="auto"/>
            <w:vAlign w:val="center"/>
          </w:tcPr>
          <w:p w14:paraId="6EACAFAF">
            <w:pPr>
              <w:jc w:val="center"/>
              <w:rPr>
                <w:rFonts w:ascii="Times New Roman" w:hAnsi="Times New Roman" w:cs="Times New Roman"/>
                <w:i w:val="0"/>
                <w:iCs w:val="0"/>
                <w:color w:val="auto"/>
                <w:sz w:val="20"/>
                <w:szCs w:val="20"/>
              </w:rPr>
            </w:pPr>
          </w:p>
        </w:tc>
        <w:tc>
          <w:tcPr>
            <w:tcW w:w="1073" w:type="dxa"/>
            <w:vMerge w:val="continue"/>
            <w:shd w:val="clear" w:color="auto" w:fill="auto"/>
            <w:vAlign w:val="center"/>
          </w:tcPr>
          <w:p w14:paraId="175D4AE6">
            <w:pPr>
              <w:jc w:val="center"/>
              <w:rPr>
                <w:rFonts w:ascii="Times New Roman" w:hAnsi="Times New Roman" w:cs="Times New Roman"/>
                <w:i w:val="0"/>
                <w:iCs w:val="0"/>
                <w:color w:val="auto"/>
                <w:sz w:val="20"/>
                <w:szCs w:val="20"/>
              </w:rPr>
            </w:pPr>
          </w:p>
        </w:tc>
        <w:tc>
          <w:tcPr>
            <w:tcW w:w="1136" w:type="dxa"/>
            <w:vMerge w:val="continue"/>
            <w:shd w:val="clear" w:color="auto" w:fill="auto"/>
            <w:vAlign w:val="center"/>
          </w:tcPr>
          <w:p w14:paraId="553901FB">
            <w:pPr>
              <w:jc w:val="center"/>
              <w:rPr>
                <w:rFonts w:ascii="Times New Roman" w:hAnsi="Times New Roman" w:cs="Times New Roman"/>
                <w:i w:val="0"/>
                <w:iCs w:val="0"/>
                <w:color w:val="auto"/>
                <w:sz w:val="20"/>
                <w:szCs w:val="20"/>
              </w:rPr>
            </w:pPr>
          </w:p>
        </w:tc>
      </w:tr>
      <w:tr w14:paraId="0BA8DA2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57" w:type="dxa"/>
            <w:vMerge w:val="continue"/>
            <w:shd w:val="clear" w:color="auto" w:fill="auto"/>
            <w:vAlign w:val="center"/>
          </w:tcPr>
          <w:p w14:paraId="51AC2F28">
            <w:pPr>
              <w:jc w:val="center"/>
              <w:rPr>
                <w:rFonts w:ascii="Times New Roman" w:hAnsi="Times New Roman" w:cs="Times New Roman"/>
                <w:i w:val="0"/>
                <w:iCs w:val="0"/>
                <w:color w:val="auto"/>
                <w:sz w:val="20"/>
                <w:szCs w:val="20"/>
              </w:rPr>
            </w:pPr>
          </w:p>
        </w:tc>
        <w:tc>
          <w:tcPr>
            <w:tcW w:w="874" w:type="dxa"/>
            <w:gridSpan w:val="5"/>
            <w:shd w:val="clear" w:color="auto" w:fill="auto"/>
            <w:vAlign w:val="center"/>
          </w:tcPr>
          <w:p w14:paraId="5FD2B24D">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Pn</w:t>
            </w:r>
          </w:p>
        </w:tc>
        <w:tc>
          <w:tcPr>
            <w:tcW w:w="674" w:type="dxa"/>
            <w:shd w:val="clear" w:color="auto" w:fill="auto"/>
            <w:vAlign w:val="center"/>
          </w:tcPr>
          <w:p w14:paraId="2EC316AA">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2.076</w:t>
            </w:r>
          </w:p>
        </w:tc>
        <w:tc>
          <w:tcPr>
            <w:tcW w:w="735" w:type="dxa"/>
            <w:gridSpan w:val="4"/>
            <w:shd w:val="clear" w:color="auto" w:fill="auto"/>
            <w:vAlign w:val="center"/>
          </w:tcPr>
          <w:p w14:paraId="7AC70E43">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1.345</w:t>
            </w:r>
          </w:p>
        </w:tc>
        <w:tc>
          <w:tcPr>
            <w:tcW w:w="975" w:type="dxa"/>
            <w:gridSpan w:val="2"/>
            <w:vMerge w:val="continue"/>
            <w:shd w:val="clear" w:color="auto" w:fill="auto"/>
            <w:vAlign w:val="center"/>
          </w:tcPr>
          <w:p w14:paraId="670AA004">
            <w:pPr>
              <w:jc w:val="center"/>
              <w:rPr>
                <w:rFonts w:ascii="Times New Roman" w:hAnsi="Times New Roman" w:cs="Times New Roman"/>
                <w:i w:val="0"/>
                <w:iCs w:val="0"/>
                <w:color w:val="auto"/>
                <w:sz w:val="20"/>
                <w:szCs w:val="20"/>
              </w:rPr>
            </w:pPr>
          </w:p>
        </w:tc>
        <w:tc>
          <w:tcPr>
            <w:tcW w:w="1317" w:type="dxa"/>
            <w:gridSpan w:val="2"/>
            <w:vMerge w:val="continue"/>
            <w:shd w:val="clear" w:color="auto" w:fill="auto"/>
            <w:vAlign w:val="center"/>
          </w:tcPr>
          <w:p w14:paraId="44035336">
            <w:pPr>
              <w:jc w:val="center"/>
              <w:rPr>
                <w:rFonts w:ascii="Times New Roman" w:hAnsi="Times New Roman" w:cs="Times New Roman"/>
                <w:i w:val="0"/>
                <w:iCs w:val="0"/>
                <w:color w:val="auto"/>
                <w:sz w:val="20"/>
                <w:szCs w:val="20"/>
              </w:rPr>
            </w:pPr>
          </w:p>
        </w:tc>
        <w:tc>
          <w:tcPr>
            <w:tcW w:w="1061" w:type="dxa"/>
            <w:gridSpan w:val="2"/>
            <w:vMerge w:val="continue"/>
            <w:shd w:val="clear" w:color="auto" w:fill="auto"/>
            <w:vAlign w:val="center"/>
          </w:tcPr>
          <w:p w14:paraId="79BB9D04">
            <w:pPr>
              <w:jc w:val="center"/>
              <w:rPr>
                <w:rFonts w:ascii="Times New Roman" w:hAnsi="Times New Roman" w:cs="Times New Roman"/>
                <w:i w:val="0"/>
                <w:iCs w:val="0"/>
                <w:color w:val="auto"/>
                <w:sz w:val="20"/>
                <w:szCs w:val="20"/>
              </w:rPr>
            </w:pPr>
          </w:p>
        </w:tc>
        <w:tc>
          <w:tcPr>
            <w:tcW w:w="1073" w:type="dxa"/>
            <w:vMerge w:val="continue"/>
            <w:shd w:val="clear" w:color="auto" w:fill="auto"/>
            <w:vAlign w:val="center"/>
          </w:tcPr>
          <w:p w14:paraId="29439A74">
            <w:pPr>
              <w:jc w:val="center"/>
              <w:rPr>
                <w:rFonts w:ascii="Times New Roman" w:hAnsi="Times New Roman" w:cs="Times New Roman"/>
                <w:i w:val="0"/>
                <w:iCs w:val="0"/>
                <w:color w:val="auto"/>
                <w:sz w:val="20"/>
                <w:szCs w:val="20"/>
              </w:rPr>
            </w:pPr>
          </w:p>
        </w:tc>
        <w:tc>
          <w:tcPr>
            <w:tcW w:w="1136" w:type="dxa"/>
            <w:vMerge w:val="continue"/>
            <w:shd w:val="clear" w:color="auto" w:fill="auto"/>
            <w:vAlign w:val="center"/>
          </w:tcPr>
          <w:p w14:paraId="12A7D33A">
            <w:pPr>
              <w:jc w:val="center"/>
              <w:rPr>
                <w:rFonts w:ascii="Times New Roman" w:hAnsi="Times New Roman" w:cs="Times New Roman"/>
                <w:i w:val="0"/>
                <w:iCs w:val="0"/>
                <w:color w:val="auto"/>
                <w:sz w:val="20"/>
                <w:szCs w:val="20"/>
              </w:rPr>
            </w:pPr>
          </w:p>
        </w:tc>
      </w:tr>
      <w:tr w14:paraId="69C0A9F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8523" w:type="dxa"/>
            <w:gridSpan w:val="20"/>
            <w:shd w:val="clear" w:color="auto" w:fill="auto"/>
            <w:vAlign w:val="center"/>
          </w:tcPr>
          <w:p w14:paraId="13A498AC">
            <w:pPr>
              <w:widowControl/>
              <w:jc w:val="center"/>
              <w:textAlignment w:val="center"/>
              <w:rPr>
                <w:rFonts w:ascii="Times New Roman" w:hAnsi="Times New Roman" w:eastAsia="宋体" w:cs="Times New Roman"/>
                <w:i w:val="0"/>
                <w:iCs w:val="0"/>
                <w:color w:val="auto"/>
                <w:kern w:val="0"/>
                <w:sz w:val="20"/>
                <w:szCs w:val="20"/>
              </w:rPr>
            </w:pPr>
            <w:r>
              <w:rPr>
                <w:rStyle w:val="150"/>
                <w:rFonts w:hint="default" w:cs="Times New Roman"/>
                <w:i w:val="0"/>
                <w:iCs w:val="0"/>
                <w:color w:val="auto"/>
                <w:sz w:val="20"/>
                <w:szCs w:val="20"/>
              </w:rPr>
              <w:t>复合Ⅱ型</w:t>
            </w:r>
            <w:r>
              <w:rPr>
                <w:rStyle w:val="150"/>
                <w:rFonts w:hint="default" w:ascii="Times New Roman" w:hAnsi="Times New Roman" w:cs="Times New Roman"/>
                <w:i w:val="0"/>
                <w:iCs w:val="0"/>
                <w:color w:val="auto"/>
                <w:sz w:val="20"/>
                <w:szCs w:val="20"/>
              </w:rPr>
              <w:t>试件实验计算结果</w:t>
            </w:r>
          </w:p>
        </w:tc>
      </w:tr>
      <w:tr w14:paraId="0393A00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78" w:type="dxa"/>
            <w:gridSpan w:val="2"/>
            <w:shd w:val="clear" w:color="auto" w:fill="auto"/>
            <w:vAlign w:val="center"/>
          </w:tcPr>
          <w:p w14:paraId="7603F82C">
            <w:pPr>
              <w:widowControl/>
              <w:jc w:val="center"/>
              <w:textAlignment w:val="center"/>
              <w:rPr>
                <w:rFonts w:ascii="Times New Roman" w:hAnsi="Times New Roman" w:cs="Times New Roman"/>
                <w:i w:val="0"/>
                <w:iCs w:val="0"/>
                <w:color w:val="auto"/>
                <w:sz w:val="20"/>
                <w:szCs w:val="20"/>
              </w:rPr>
            </w:pPr>
            <w:r>
              <w:rPr>
                <w:rFonts w:ascii="Times New Roman" w:hAnsi="Times New Roman" w:cs="Times New Roman"/>
                <w:i w:val="0"/>
                <w:iCs w:val="0"/>
                <w:color w:val="auto"/>
                <w:kern w:val="0"/>
                <w:sz w:val="20"/>
                <w:szCs w:val="20"/>
              </w:rPr>
              <w:t>试件编号</w:t>
            </w:r>
          </w:p>
        </w:tc>
        <w:tc>
          <w:tcPr>
            <w:tcW w:w="824" w:type="dxa"/>
            <w:gridSpan w:val="2"/>
            <w:shd w:val="clear" w:color="auto" w:fill="auto"/>
            <w:vAlign w:val="center"/>
          </w:tcPr>
          <w:p w14:paraId="5C479A4C">
            <w:pPr>
              <w:widowControl/>
              <w:jc w:val="center"/>
              <w:textAlignment w:val="center"/>
              <w:rPr>
                <w:rFonts w:ascii="Times New Roman" w:hAnsi="Times New Roman" w:cs="Times New Roman"/>
                <w:i w:val="0"/>
                <w:iCs w:val="0"/>
                <w:color w:val="auto"/>
                <w:sz w:val="20"/>
                <w:szCs w:val="20"/>
              </w:rPr>
            </w:pPr>
            <w:r>
              <w:rPr>
                <w:rFonts w:ascii="Times New Roman" w:hAnsi="Times New Roman" w:cs="Times New Roman"/>
                <w:i w:val="0"/>
                <w:iCs w:val="0"/>
                <w:color w:val="auto"/>
                <w:kern w:val="0"/>
                <w:sz w:val="20"/>
                <w:szCs w:val="20"/>
              </w:rPr>
              <w:t>数据采样点</w:t>
            </w:r>
          </w:p>
        </w:tc>
        <w:tc>
          <w:tcPr>
            <w:tcW w:w="828" w:type="dxa"/>
            <w:gridSpan w:val="5"/>
            <w:shd w:val="clear" w:color="auto" w:fill="auto"/>
            <w:vAlign w:val="center"/>
          </w:tcPr>
          <w:p w14:paraId="5AE08825">
            <w:pPr>
              <w:widowControl/>
              <w:jc w:val="center"/>
              <w:textAlignment w:val="center"/>
              <w:rPr>
                <w:rFonts w:ascii="Times New Roman" w:hAnsi="Times New Roman" w:cs="Times New Roman"/>
                <w:i w:val="0"/>
                <w:iCs w:val="0"/>
                <w:color w:val="auto"/>
                <w:sz w:val="20"/>
                <w:szCs w:val="20"/>
              </w:rPr>
            </w:pPr>
            <w:r>
              <w:rPr>
                <w:rFonts w:ascii="Times New Roman" w:hAnsi="Times New Roman" w:cs="Times New Roman"/>
                <w:i w:val="0"/>
                <w:iCs w:val="0"/>
                <w:color w:val="auto"/>
                <w:kern w:val="0"/>
                <w:sz w:val="20"/>
                <w:szCs w:val="20"/>
              </w:rPr>
              <w:t>位移/mm</w:t>
            </w:r>
          </w:p>
        </w:tc>
        <w:tc>
          <w:tcPr>
            <w:tcW w:w="714" w:type="dxa"/>
            <w:gridSpan w:val="3"/>
            <w:shd w:val="clear" w:color="auto" w:fill="auto"/>
            <w:vAlign w:val="center"/>
          </w:tcPr>
          <w:p w14:paraId="089F4471">
            <w:pPr>
              <w:widowControl/>
              <w:jc w:val="center"/>
              <w:textAlignment w:val="center"/>
              <w:rPr>
                <w:rFonts w:ascii="Times New Roman" w:hAnsi="Times New Roman" w:cs="Times New Roman"/>
                <w:i w:val="0"/>
                <w:iCs w:val="0"/>
                <w:color w:val="auto"/>
                <w:sz w:val="20"/>
                <w:szCs w:val="20"/>
              </w:rPr>
            </w:pPr>
            <w:r>
              <w:rPr>
                <w:rFonts w:ascii="Times New Roman" w:hAnsi="Times New Roman" w:cs="Times New Roman"/>
                <w:i w:val="0"/>
                <w:iCs w:val="0"/>
                <w:color w:val="auto"/>
                <w:kern w:val="0"/>
                <w:sz w:val="20"/>
                <w:szCs w:val="20"/>
              </w:rPr>
              <w:t>力/</w:t>
            </w:r>
            <w:r>
              <w:rPr>
                <w:rFonts w:hint="eastAsia" w:ascii="Times New Roman" w:hAnsi="Times New Roman" w:cs="Times New Roman"/>
                <w:i w:val="0"/>
                <w:iCs w:val="0"/>
                <w:color w:val="auto"/>
                <w:kern w:val="0"/>
                <w:sz w:val="20"/>
                <w:szCs w:val="20"/>
              </w:rPr>
              <w:t>K</w:t>
            </w:r>
            <w:r>
              <w:rPr>
                <w:rFonts w:ascii="Times New Roman" w:hAnsi="Times New Roman" w:cs="Times New Roman"/>
                <w:i w:val="0"/>
                <w:iCs w:val="0"/>
                <w:color w:val="auto"/>
                <w:kern w:val="0"/>
                <w:sz w:val="20"/>
                <w:szCs w:val="20"/>
              </w:rPr>
              <w:t>N</w:t>
            </w:r>
          </w:p>
        </w:tc>
        <w:tc>
          <w:tcPr>
            <w:tcW w:w="964" w:type="dxa"/>
            <w:gridSpan w:val="2"/>
            <w:shd w:val="clear" w:color="auto" w:fill="auto"/>
            <w:vAlign w:val="center"/>
          </w:tcPr>
          <w:p w14:paraId="20664DBC">
            <w:pPr>
              <w:widowControl/>
              <w:jc w:val="center"/>
              <w:textAlignment w:val="center"/>
              <w:rPr>
                <w:rStyle w:val="151"/>
                <w:rFonts w:hint="default" w:ascii="Times New Roman" w:hAnsi="Times New Roman" w:cs="Times New Roman"/>
                <w:i w:val="0"/>
                <w:iCs w:val="0"/>
                <w:color w:val="auto"/>
                <w:sz w:val="20"/>
                <w:szCs w:val="20"/>
              </w:rPr>
            </w:pPr>
            <w:r>
              <w:rPr>
                <w:rStyle w:val="151"/>
                <w:rFonts w:hint="default" w:ascii="Times New Roman" w:hAnsi="Times New Roman" w:cs="Times New Roman"/>
                <w:i w:val="0"/>
                <w:iCs w:val="0"/>
                <w:color w:val="auto"/>
                <w:sz w:val="20"/>
                <w:szCs w:val="20"/>
              </w:rPr>
              <w:t>L/mm</w:t>
            </w:r>
          </w:p>
        </w:tc>
        <w:tc>
          <w:tcPr>
            <w:tcW w:w="1224" w:type="dxa"/>
            <w:shd w:val="clear" w:color="auto" w:fill="auto"/>
            <w:vAlign w:val="center"/>
          </w:tcPr>
          <w:p w14:paraId="6D75D3D3">
            <w:pPr>
              <w:widowControl/>
              <w:jc w:val="center"/>
              <w:textAlignment w:val="center"/>
              <w:rPr>
                <w:rFonts w:ascii="Times New Roman" w:hAnsi="Times New Roman" w:cs="Times New Roman"/>
                <w:i w:val="0"/>
                <w:iCs w:val="0"/>
                <w:color w:val="auto"/>
                <w:sz w:val="20"/>
                <w:szCs w:val="20"/>
                <w:vertAlign w:val="superscript"/>
              </w:rPr>
            </w:pPr>
            <w:r>
              <w:rPr>
                <w:rFonts w:hint="eastAsia" w:ascii="Times New Roman" w:hAnsi="Times New Roman" w:cs="Times New Roman"/>
                <w:i w:val="0"/>
                <w:iCs w:val="0"/>
                <w:color w:val="auto"/>
                <w:kern w:val="0"/>
                <w:sz w:val="20"/>
                <w:szCs w:val="20"/>
              </w:rPr>
              <w:t>b</w:t>
            </w:r>
            <w:r>
              <w:rPr>
                <w:rFonts w:ascii="Times New Roman" w:hAnsi="Times New Roman" w:cs="Times New Roman"/>
                <w:i w:val="0"/>
                <w:iCs w:val="0"/>
                <w:color w:val="auto"/>
                <w:kern w:val="0"/>
                <w:sz w:val="20"/>
                <w:szCs w:val="20"/>
              </w:rPr>
              <w:t>/mm</w:t>
            </w:r>
          </w:p>
        </w:tc>
        <w:tc>
          <w:tcPr>
            <w:tcW w:w="1021" w:type="dxa"/>
            <w:shd w:val="clear" w:color="auto" w:fill="auto"/>
            <w:vAlign w:val="center"/>
          </w:tcPr>
          <w:p w14:paraId="08141224">
            <w:pPr>
              <w:widowControl/>
              <w:jc w:val="center"/>
              <w:textAlignment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kern w:val="0"/>
                <w:sz w:val="20"/>
                <w:szCs w:val="20"/>
              </w:rPr>
              <w:t>d</w:t>
            </w:r>
            <w:r>
              <w:rPr>
                <w:rFonts w:ascii="Times New Roman" w:hAnsi="Times New Roman" w:cs="Times New Roman"/>
                <w:i w:val="0"/>
                <w:iCs w:val="0"/>
                <w:color w:val="auto"/>
                <w:kern w:val="0"/>
                <w:sz w:val="20"/>
                <w:szCs w:val="20"/>
              </w:rPr>
              <w:t>/</w:t>
            </w:r>
            <w:r>
              <w:rPr>
                <w:rFonts w:hint="eastAsia" w:ascii="Times New Roman" w:hAnsi="Times New Roman" w:cs="Times New Roman"/>
                <w:i w:val="0"/>
                <w:iCs w:val="0"/>
                <w:color w:val="auto"/>
                <w:kern w:val="0"/>
                <w:sz w:val="20"/>
                <w:szCs w:val="20"/>
              </w:rPr>
              <w:t>mm</w:t>
            </w:r>
          </w:p>
        </w:tc>
        <w:tc>
          <w:tcPr>
            <w:tcW w:w="1113" w:type="dxa"/>
            <w:gridSpan w:val="2"/>
            <w:shd w:val="clear" w:color="auto" w:fill="auto"/>
            <w:vAlign w:val="center"/>
          </w:tcPr>
          <w:p w14:paraId="0DA82883">
            <w:pPr>
              <w:widowControl/>
              <w:jc w:val="center"/>
              <w:textAlignment w:val="center"/>
              <w:rPr>
                <w:rFonts w:ascii="Times New Roman" w:hAnsi="Times New Roman" w:cs="Times New Roman"/>
                <w:i w:val="0"/>
                <w:iCs w:val="0"/>
                <w:color w:val="auto"/>
                <w:sz w:val="20"/>
                <w:szCs w:val="20"/>
              </w:rPr>
            </w:pPr>
            <w:r>
              <w:rPr>
                <w:rFonts w:ascii="Times New Roman" w:hAnsi="Times New Roman" w:cs="Times New Roman"/>
                <w:i w:val="0"/>
                <w:iCs w:val="0"/>
                <w:color w:val="auto"/>
                <w:kern w:val="0"/>
                <w:sz w:val="20"/>
                <w:szCs w:val="20"/>
              </w:rPr>
              <w:t>弹性模量E/MPa</w:t>
            </w:r>
          </w:p>
        </w:tc>
        <w:tc>
          <w:tcPr>
            <w:tcW w:w="1157" w:type="dxa"/>
            <w:gridSpan w:val="2"/>
            <w:shd w:val="clear" w:color="auto" w:fill="auto"/>
            <w:vAlign w:val="center"/>
          </w:tcPr>
          <w:p w14:paraId="420E32B7">
            <w:pPr>
              <w:widowControl/>
              <w:jc w:val="center"/>
              <w:textAlignment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kern w:val="0"/>
                <w:sz w:val="20"/>
                <w:szCs w:val="20"/>
              </w:rPr>
              <w:t>弯曲</w:t>
            </w:r>
            <w:r>
              <w:rPr>
                <w:rFonts w:ascii="Times New Roman" w:hAnsi="Times New Roman" w:cs="Times New Roman"/>
                <w:i w:val="0"/>
                <w:iCs w:val="0"/>
                <w:color w:val="auto"/>
                <w:kern w:val="0"/>
                <w:sz w:val="20"/>
                <w:szCs w:val="20"/>
              </w:rPr>
              <w:t>强度</w:t>
            </w:r>
            <w:r>
              <w:rPr>
                <w:rFonts w:hint="eastAsia" w:ascii="Times New Roman" w:hAnsi="Times New Roman" w:cs="Times New Roman"/>
                <w:i w:val="0"/>
                <w:iCs w:val="0"/>
                <w:color w:val="auto"/>
                <w:kern w:val="0"/>
                <w:sz w:val="20"/>
                <w:szCs w:val="20"/>
              </w:rPr>
              <w:t>R</w:t>
            </w:r>
            <w:r>
              <w:rPr>
                <w:rFonts w:ascii="Times New Roman" w:hAnsi="Times New Roman" w:cs="Times New Roman"/>
                <w:i w:val="0"/>
                <w:iCs w:val="0"/>
                <w:color w:val="auto"/>
                <w:kern w:val="0"/>
                <w:sz w:val="20"/>
                <w:szCs w:val="20"/>
              </w:rPr>
              <w:t>/MPa</w:t>
            </w:r>
          </w:p>
        </w:tc>
      </w:tr>
      <w:tr w14:paraId="7BB2404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78" w:type="dxa"/>
            <w:gridSpan w:val="2"/>
            <w:vMerge w:val="restart"/>
            <w:shd w:val="clear" w:color="auto" w:fill="auto"/>
            <w:vAlign w:val="center"/>
          </w:tcPr>
          <w:p w14:paraId="4D4D0DC8">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01</w:t>
            </w:r>
          </w:p>
        </w:tc>
        <w:tc>
          <w:tcPr>
            <w:tcW w:w="824" w:type="dxa"/>
            <w:gridSpan w:val="2"/>
            <w:shd w:val="clear" w:color="auto" w:fill="auto"/>
            <w:vAlign w:val="center"/>
          </w:tcPr>
          <w:p w14:paraId="190E3182">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P1</w:t>
            </w:r>
          </w:p>
        </w:tc>
        <w:tc>
          <w:tcPr>
            <w:tcW w:w="828" w:type="dxa"/>
            <w:gridSpan w:val="5"/>
            <w:shd w:val="clear" w:color="auto" w:fill="auto"/>
            <w:vAlign w:val="center"/>
          </w:tcPr>
          <w:p w14:paraId="73E8F1FE">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1.208</w:t>
            </w:r>
          </w:p>
        </w:tc>
        <w:tc>
          <w:tcPr>
            <w:tcW w:w="714" w:type="dxa"/>
            <w:gridSpan w:val="3"/>
            <w:shd w:val="clear" w:color="auto" w:fill="auto"/>
            <w:vAlign w:val="center"/>
          </w:tcPr>
          <w:p w14:paraId="3D2EFC5E">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0.168</w:t>
            </w:r>
          </w:p>
        </w:tc>
        <w:tc>
          <w:tcPr>
            <w:tcW w:w="964" w:type="dxa"/>
            <w:gridSpan w:val="2"/>
            <w:vMerge w:val="restart"/>
            <w:shd w:val="clear" w:color="auto" w:fill="auto"/>
            <w:vAlign w:val="center"/>
          </w:tcPr>
          <w:p w14:paraId="428950DC">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300</w:t>
            </w:r>
          </w:p>
        </w:tc>
        <w:tc>
          <w:tcPr>
            <w:tcW w:w="1224" w:type="dxa"/>
            <w:vMerge w:val="restart"/>
            <w:shd w:val="clear" w:color="auto" w:fill="auto"/>
            <w:vAlign w:val="center"/>
          </w:tcPr>
          <w:p w14:paraId="7FFA9155">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100</w:t>
            </w:r>
          </w:p>
        </w:tc>
        <w:tc>
          <w:tcPr>
            <w:tcW w:w="1021" w:type="dxa"/>
            <w:vMerge w:val="restart"/>
            <w:shd w:val="clear" w:color="auto" w:fill="auto"/>
            <w:vAlign w:val="center"/>
          </w:tcPr>
          <w:p w14:paraId="2AD8053B">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55</w:t>
            </w:r>
          </w:p>
        </w:tc>
        <w:tc>
          <w:tcPr>
            <w:tcW w:w="1113" w:type="dxa"/>
            <w:gridSpan w:val="2"/>
            <w:vMerge w:val="restart"/>
            <w:shd w:val="clear" w:color="auto" w:fill="auto"/>
            <w:vAlign w:val="center"/>
          </w:tcPr>
          <w:p w14:paraId="193A0F48">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283.997</w:t>
            </w:r>
          </w:p>
        </w:tc>
        <w:tc>
          <w:tcPr>
            <w:tcW w:w="1157" w:type="dxa"/>
            <w:gridSpan w:val="2"/>
            <w:vMerge w:val="restart"/>
            <w:shd w:val="clear" w:color="auto" w:fill="auto"/>
            <w:vAlign w:val="center"/>
          </w:tcPr>
          <w:p w14:paraId="3A3665FB">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3.032</w:t>
            </w:r>
          </w:p>
        </w:tc>
      </w:tr>
      <w:tr w14:paraId="443BFB1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78" w:type="dxa"/>
            <w:gridSpan w:val="2"/>
            <w:vMerge w:val="continue"/>
            <w:shd w:val="clear" w:color="auto" w:fill="auto"/>
            <w:vAlign w:val="center"/>
          </w:tcPr>
          <w:p w14:paraId="568E9D2D">
            <w:pPr>
              <w:jc w:val="center"/>
              <w:rPr>
                <w:rFonts w:ascii="Times New Roman" w:hAnsi="Times New Roman" w:cs="Times New Roman"/>
                <w:i w:val="0"/>
                <w:iCs w:val="0"/>
                <w:color w:val="auto"/>
                <w:sz w:val="20"/>
                <w:szCs w:val="20"/>
              </w:rPr>
            </w:pPr>
          </w:p>
        </w:tc>
        <w:tc>
          <w:tcPr>
            <w:tcW w:w="824" w:type="dxa"/>
            <w:gridSpan w:val="2"/>
            <w:shd w:val="clear" w:color="auto" w:fill="auto"/>
            <w:vAlign w:val="center"/>
          </w:tcPr>
          <w:p w14:paraId="4987C703">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P2</w:t>
            </w:r>
          </w:p>
        </w:tc>
        <w:tc>
          <w:tcPr>
            <w:tcW w:w="828" w:type="dxa"/>
            <w:gridSpan w:val="5"/>
            <w:shd w:val="clear" w:color="auto" w:fill="auto"/>
            <w:vAlign w:val="center"/>
          </w:tcPr>
          <w:p w14:paraId="0DF58448">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1.568</w:t>
            </w:r>
          </w:p>
        </w:tc>
        <w:tc>
          <w:tcPr>
            <w:tcW w:w="714" w:type="dxa"/>
            <w:gridSpan w:val="3"/>
            <w:shd w:val="clear" w:color="auto" w:fill="auto"/>
            <w:vAlign w:val="center"/>
          </w:tcPr>
          <w:p w14:paraId="45CB711D">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0.420</w:t>
            </w:r>
          </w:p>
        </w:tc>
        <w:tc>
          <w:tcPr>
            <w:tcW w:w="964" w:type="dxa"/>
            <w:gridSpan w:val="2"/>
            <w:vMerge w:val="continue"/>
            <w:shd w:val="clear" w:color="auto" w:fill="auto"/>
            <w:vAlign w:val="center"/>
          </w:tcPr>
          <w:p w14:paraId="31C0834A">
            <w:pPr>
              <w:jc w:val="center"/>
              <w:rPr>
                <w:rFonts w:ascii="Times New Roman" w:hAnsi="Times New Roman" w:cs="Times New Roman"/>
                <w:i w:val="0"/>
                <w:iCs w:val="0"/>
                <w:color w:val="auto"/>
                <w:sz w:val="20"/>
                <w:szCs w:val="20"/>
              </w:rPr>
            </w:pPr>
          </w:p>
        </w:tc>
        <w:tc>
          <w:tcPr>
            <w:tcW w:w="1224" w:type="dxa"/>
            <w:vMerge w:val="continue"/>
            <w:shd w:val="clear" w:color="auto" w:fill="auto"/>
            <w:vAlign w:val="center"/>
          </w:tcPr>
          <w:p w14:paraId="3E2689DE">
            <w:pPr>
              <w:jc w:val="center"/>
              <w:rPr>
                <w:rFonts w:ascii="Times New Roman" w:hAnsi="Times New Roman" w:cs="Times New Roman"/>
                <w:i w:val="0"/>
                <w:iCs w:val="0"/>
                <w:color w:val="auto"/>
                <w:sz w:val="20"/>
                <w:szCs w:val="20"/>
              </w:rPr>
            </w:pPr>
          </w:p>
        </w:tc>
        <w:tc>
          <w:tcPr>
            <w:tcW w:w="1021" w:type="dxa"/>
            <w:vMerge w:val="continue"/>
            <w:shd w:val="clear" w:color="auto" w:fill="auto"/>
            <w:vAlign w:val="center"/>
          </w:tcPr>
          <w:p w14:paraId="4D498738">
            <w:pPr>
              <w:jc w:val="center"/>
              <w:rPr>
                <w:rFonts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030BF0D9">
            <w:pPr>
              <w:jc w:val="center"/>
              <w:rPr>
                <w:rFonts w:ascii="Times New Roman" w:hAnsi="Times New Roman" w:cs="Times New Roman"/>
                <w:i w:val="0"/>
                <w:iCs w:val="0"/>
                <w:color w:val="auto"/>
                <w:sz w:val="20"/>
                <w:szCs w:val="20"/>
              </w:rPr>
            </w:pPr>
          </w:p>
        </w:tc>
        <w:tc>
          <w:tcPr>
            <w:tcW w:w="1157" w:type="dxa"/>
            <w:gridSpan w:val="2"/>
            <w:vMerge w:val="continue"/>
            <w:shd w:val="clear" w:color="auto" w:fill="auto"/>
            <w:vAlign w:val="center"/>
          </w:tcPr>
          <w:p w14:paraId="22C5CAE9">
            <w:pPr>
              <w:jc w:val="center"/>
              <w:rPr>
                <w:rFonts w:ascii="Times New Roman" w:hAnsi="Times New Roman" w:cs="Times New Roman"/>
                <w:i w:val="0"/>
                <w:iCs w:val="0"/>
                <w:color w:val="auto"/>
                <w:sz w:val="20"/>
                <w:szCs w:val="20"/>
              </w:rPr>
            </w:pPr>
          </w:p>
        </w:tc>
      </w:tr>
      <w:tr w14:paraId="70EA643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78" w:type="dxa"/>
            <w:gridSpan w:val="2"/>
            <w:vMerge w:val="continue"/>
            <w:shd w:val="clear" w:color="auto" w:fill="auto"/>
            <w:vAlign w:val="center"/>
          </w:tcPr>
          <w:p w14:paraId="393837C9">
            <w:pPr>
              <w:jc w:val="center"/>
              <w:rPr>
                <w:rFonts w:ascii="Times New Roman" w:hAnsi="Times New Roman" w:cs="Times New Roman"/>
                <w:i w:val="0"/>
                <w:iCs w:val="0"/>
                <w:color w:val="auto"/>
                <w:sz w:val="20"/>
                <w:szCs w:val="20"/>
              </w:rPr>
            </w:pPr>
          </w:p>
        </w:tc>
        <w:tc>
          <w:tcPr>
            <w:tcW w:w="824" w:type="dxa"/>
            <w:gridSpan w:val="2"/>
            <w:shd w:val="clear" w:color="auto" w:fill="auto"/>
            <w:vAlign w:val="center"/>
          </w:tcPr>
          <w:p w14:paraId="494116BF">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Pn</w:t>
            </w:r>
          </w:p>
        </w:tc>
        <w:tc>
          <w:tcPr>
            <w:tcW w:w="828" w:type="dxa"/>
            <w:gridSpan w:val="5"/>
            <w:shd w:val="clear" w:color="auto" w:fill="auto"/>
            <w:vAlign w:val="center"/>
          </w:tcPr>
          <w:p w14:paraId="499BB4A6">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7.981</w:t>
            </w:r>
          </w:p>
        </w:tc>
        <w:tc>
          <w:tcPr>
            <w:tcW w:w="714" w:type="dxa"/>
            <w:gridSpan w:val="3"/>
            <w:shd w:val="clear" w:color="auto" w:fill="auto"/>
            <w:vAlign w:val="center"/>
          </w:tcPr>
          <w:p w14:paraId="2E0BBAE9">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2.038</w:t>
            </w:r>
          </w:p>
        </w:tc>
        <w:tc>
          <w:tcPr>
            <w:tcW w:w="964" w:type="dxa"/>
            <w:gridSpan w:val="2"/>
            <w:vMerge w:val="continue"/>
            <w:shd w:val="clear" w:color="auto" w:fill="auto"/>
            <w:vAlign w:val="center"/>
          </w:tcPr>
          <w:p w14:paraId="0AFB0891">
            <w:pPr>
              <w:jc w:val="center"/>
              <w:rPr>
                <w:rFonts w:ascii="Times New Roman" w:hAnsi="Times New Roman" w:cs="Times New Roman"/>
                <w:i w:val="0"/>
                <w:iCs w:val="0"/>
                <w:color w:val="auto"/>
                <w:sz w:val="20"/>
                <w:szCs w:val="20"/>
              </w:rPr>
            </w:pPr>
          </w:p>
        </w:tc>
        <w:tc>
          <w:tcPr>
            <w:tcW w:w="1224" w:type="dxa"/>
            <w:vMerge w:val="continue"/>
            <w:shd w:val="clear" w:color="auto" w:fill="auto"/>
            <w:vAlign w:val="center"/>
          </w:tcPr>
          <w:p w14:paraId="63CBF51C">
            <w:pPr>
              <w:jc w:val="center"/>
              <w:rPr>
                <w:rFonts w:ascii="Times New Roman" w:hAnsi="Times New Roman" w:cs="Times New Roman"/>
                <w:i w:val="0"/>
                <w:iCs w:val="0"/>
                <w:color w:val="auto"/>
                <w:sz w:val="20"/>
                <w:szCs w:val="20"/>
              </w:rPr>
            </w:pPr>
          </w:p>
        </w:tc>
        <w:tc>
          <w:tcPr>
            <w:tcW w:w="1021" w:type="dxa"/>
            <w:vMerge w:val="continue"/>
            <w:shd w:val="clear" w:color="auto" w:fill="auto"/>
            <w:vAlign w:val="center"/>
          </w:tcPr>
          <w:p w14:paraId="4E676E5D">
            <w:pPr>
              <w:jc w:val="center"/>
              <w:rPr>
                <w:rFonts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3C8549B7">
            <w:pPr>
              <w:jc w:val="center"/>
              <w:rPr>
                <w:rFonts w:ascii="Times New Roman" w:hAnsi="Times New Roman" w:cs="Times New Roman"/>
                <w:i w:val="0"/>
                <w:iCs w:val="0"/>
                <w:color w:val="auto"/>
                <w:sz w:val="20"/>
                <w:szCs w:val="20"/>
              </w:rPr>
            </w:pPr>
          </w:p>
        </w:tc>
        <w:tc>
          <w:tcPr>
            <w:tcW w:w="1157" w:type="dxa"/>
            <w:gridSpan w:val="2"/>
            <w:vMerge w:val="continue"/>
            <w:shd w:val="clear" w:color="auto" w:fill="auto"/>
            <w:vAlign w:val="center"/>
          </w:tcPr>
          <w:p w14:paraId="3ACFA604">
            <w:pPr>
              <w:jc w:val="center"/>
              <w:rPr>
                <w:rFonts w:ascii="Times New Roman" w:hAnsi="Times New Roman" w:cs="Times New Roman"/>
                <w:i w:val="0"/>
                <w:iCs w:val="0"/>
                <w:color w:val="auto"/>
                <w:sz w:val="20"/>
                <w:szCs w:val="20"/>
              </w:rPr>
            </w:pPr>
          </w:p>
        </w:tc>
      </w:tr>
      <w:tr w14:paraId="6CF2A28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78" w:type="dxa"/>
            <w:gridSpan w:val="2"/>
            <w:vMerge w:val="restart"/>
            <w:shd w:val="clear" w:color="auto" w:fill="auto"/>
            <w:vAlign w:val="center"/>
          </w:tcPr>
          <w:p w14:paraId="2AF8CC8C">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02</w:t>
            </w:r>
          </w:p>
        </w:tc>
        <w:tc>
          <w:tcPr>
            <w:tcW w:w="824" w:type="dxa"/>
            <w:gridSpan w:val="2"/>
            <w:shd w:val="clear" w:color="auto" w:fill="auto"/>
            <w:vAlign w:val="center"/>
          </w:tcPr>
          <w:p w14:paraId="7CEC7F33">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P1</w:t>
            </w:r>
          </w:p>
        </w:tc>
        <w:tc>
          <w:tcPr>
            <w:tcW w:w="828" w:type="dxa"/>
            <w:gridSpan w:val="5"/>
            <w:shd w:val="clear" w:color="auto" w:fill="auto"/>
            <w:vAlign w:val="center"/>
          </w:tcPr>
          <w:p w14:paraId="5DDB68D9">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0.949</w:t>
            </w:r>
          </w:p>
        </w:tc>
        <w:tc>
          <w:tcPr>
            <w:tcW w:w="714" w:type="dxa"/>
            <w:gridSpan w:val="3"/>
            <w:shd w:val="clear" w:color="auto" w:fill="auto"/>
            <w:vAlign w:val="center"/>
          </w:tcPr>
          <w:p w14:paraId="31C4C0CD">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0.101</w:t>
            </w:r>
          </w:p>
        </w:tc>
        <w:tc>
          <w:tcPr>
            <w:tcW w:w="964" w:type="dxa"/>
            <w:gridSpan w:val="2"/>
            <w:vMerge w:val="restart"/>
            <w:shd w:val="clear" w:color="auto" w:fill="auto"/>
            <w:vAlign w:val="center"/>
          </w:tcPr>
          <w:p w14:paraId="555920E7">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300</w:t>
            </w:r>
          </w:p>
        </w:tc>
        <w:tc>
          <w:tcPr>
            <w:tcW w:w="1224" w:type="dxa"/>
            <w:vMerge w:val="restart"/>
            <w:shd w:val="clear" w:color="auto" w:fill="auto"/>
            <w:vAlign w:val="center"/>
          </w:tcPr>
          <w:p w14:paraId="2B1C38DA">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100</w:t>
            </w:r>
          </w:p>
        </w:tc>
        <w:tc>
          <w:tcPr>
            <w:tcW w:w="1021" w:type="dxa"/>
            <w:vMerge w:val="restart"/>
            <w:shd w:val="clear" w:color="auto" w:fill="auto"/>
            <w:vAlign w:val="center"/>
          </w:tcPr>
          <w:p w14:paraId="578BBC83">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55</w:t>
            </w:r>
          </w:p>
        </w:tc>
        <w:tc>
          <w:tcPr>
            <w:tcW w:w="1113" w:type="dxa"/>
            <w:gridSpan w:val="2"/>
            <w:vMerge w:val="restart"/>
            <w:shd w:val="clear" w:color="auto" w:fill="auto"/>
            <w:vAlign w:val="center"/>
          </w:tcPr>
          <w:p w14:paraId="540F8025">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249.668</w:t>
            </w:r>
          </w:p>
        </w:tc>
        <w:tc>
          <w:tcPr>
            <w:tcW w:w="1157" w:type="dxa"/>
            <w:gridSpan w:val="2"/>
            <w:vMerge w:val="restart"/>
            <w:shd w:val="clear" w:color="auto" w:fill="auto"/>
            <w:vAlign w:val="center"/>
          </w:tcPr>
          <w:p w14:paraId="3365456D">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1.620</w:t>
            </w:r>
          </w:p>
        </w:tc>
      </w:tr>
      <w:tr w14:paraId="468F29F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78" w:type="dxa"/>
            <w:gridSpan w:val="2"/>
            <w:vMerge w:val="continue"/>
            <w:shd w:val="clear" w:color="auto" w:fill="auto"/>
            <w:vAlign w:val="center"/>
          </w:tcPr>
          <w:p w14:paraId="4C6C0583">
            <w:pPr>
              <w:jc w:val="center"/>
              <w:rPr>
                <w:rFonts w:ascii="Times New Roman" w:hAnsi="Times New Roman" w:cs="Times New Roman"/>
                <w:i w:val="0"/>
                <w:iCs w:val="0"/>
                <w:color w:val="auto"/>
                <w:sz w:val="20"/>
                <w:szCs w:val="20"/>
              </w:rPr>
            </w:pPr>
          </w:p>
        </w:tc>
        <w:tc>
          <w:tcPr>
            <w:tcW w:w="824" w:type="dxa"/>
            <w:gridSpan w:val="2"/>
            <w:shd w:val="clear" w:color="auto" w:fill="auto"/>
            <w:vAlign w:val="center"/>
          </w:tcPr>
          <w:p w14:paraId="17F0F235">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P2</w:t>
            </w:r>
          </w:p>
        </w:tc>
        <w:tc>
          <w:tcPr>
            <w:tcW w:w="828" w:type="dxa"/>
            <w:gridSpan w:val="5"/>
            <w:shd w:val="clear" w:color="auto" w:fill="auto"/>
            <w:vAlign w:val="center"/>
          </w:tcPr>
          <w:p w14:paraId="262752F1">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1.196</w:t>
            </w:r>
          </w:p>
        </w:tc>
        <w:tc>
          <w:tcPr>
            <w:tcW w:w="714" w:type="dxa"/>
            <w:gridSpan w:val="3"/>
            <w:shd w:val="clear" w:color="auto" w:fill="auto"/>
            <w:vAlign w:val="center"/>
          </w:tcPr>
          <w:p w14:paraId="24E1E324">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0.253</w:t>
            </w:r>
          </w:p>
        </w:tc>
        <w:tc>
          <w:tcPr>
            <w:tcW w:w="964" w:type="dxa"/>
            <w:gridSpan w:val="2"/>
            <w:vMerge w:val="continue"/>
            <w:shd w:val="clear" w:color="auto" w:fill="auto"/>
            <w:vAlign w:val="center"/>
          </w:tcPr>
          <w:p w14:paraId="64D37852">
            <w:pPr>
              <w:jc w:val="center"/>
              <w:rPr>
                <w:rFonts w:ascii="Times New Roman" w:hAnsi="Times New Roman" w:cs="Times New Roman"/>
                <w:i w:val="0"/>
                <w:iCs w:val="0"/>
                <w:color w:val="auto"/>
                <w:sz w:val="20"/>
                <w:szCs w:val="20"/>
              </w:rPr>
            </w:pPr>
          </w:p>
        </w:tc>
        <w:tc>
          <w:tcPr>
            <w:tcW w:w="1224" w:type="dxa"/>
            <w:vMerge w:val="continue"/>
            <w:shd w:val="clear" w:color="auto" w:fill="auto"/>
            <w:vAlign w:val="center"/>
          </w:tcPr>
          <w:p w14:paraId="0C5990A3">
            <w:pPr>
              <w:jc w:val="center"/>
              <w:rPr>
                <w:rFonts w:ascii="Times New Roman" w:hAnsi="Times New Roman" w:cs="Times New Roman"/>
                <w:i w:val="0"/>
                <w:iCs w:val="0"/>
                <w:color w:val="auto"/>
                <w:sz w:val="20"/>
                <w:szCs w:val="20"/>
              </w:rPr>
            </w:pPr>
          </w:p>
        </w:tc>
        <w:tc>
          <w:tcPr>
            <w:tcW w:w="1021" w:type="dxa"/>
            <w:vMerge w:val="continue"/>
            <w:shd w:val="clear" w:color="auto" w:fill="auto"/>
            <w:vAlign w:val="center"/>
          </w:tcPr>
          <w:p w14:paraId="1DD660B8">
            <w:pPr>
              <w:jc w:val="center"/>
              <w:rPr>
                <w:rFonts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4EE29115">
            <w:pPr>
              <w:jc w:val="center"/>
              <w:rPr>
                <w:rFonts w:ascii="Times New Roman" w:hAnsi="Times New Roman" w:cs="Times New Roman"/>
                <w:i w:val="0"/>
                <w:iCs w:val="0"/>
                <w:color w:val="auto"/>
                <w:sz w:val="20"/>
                <w:szCs w:val="20"/>
              </w:rPr>
            </w:pPr>
          </w:p>
        </w:tc>
        <w:tc>
          <w:tcPr>
            <w:tcW w:w="1157" w:type="dxa"/>
            <w:gridSpan w:val="2"/>
            <w:vMerge w:val="continue"/>
            <w:shd w:val="clear" w:color="auto" w:fill="auto"/>
            <w:vAlign w:val="center"/>
          </w:tcPr>
          <w:p w14:paraId="0C4DB618">
            <w:pPr>
              <w:jc w:val="center"/>
              <w:rPr>
                <w:rFonts w:ascii="Times New Roman" w:hAnsi="Times New Roman" w:cs="Times New Roman"/>
                <w:i w:val="0"/>
                <w:iCs w:val="0"/>
                <w:color w:val="auto"/>
                <w:sz w:val="20"/>
                <w:szCs w:val="20"/>
              </w:rPr>
            </w:pPr>
          </w:p>
        </w:tc>
      </w:tr>
      <w:tr w14:paraId="408FDE2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78" w:type="dxa"/>
            <w:gridSpan w:val="2"/>
            <w:vMerge w:val="continue"/>
            <w:shd w:val="clear" w:color="auto" w:fill="auto"/>
            <w:vAlign w:val="center"/>
          </w:tcPr>
          <w:p w14:paraId="5E9CA6BB">
            <w:pPr>
              <w:jc w:val="center"/>
              <w:rPr>
                <w:rFonts w:ascii="Times New Roman" w:hAnsi="Times New Roman" w:cs="Times New Roman"/>
                <w:i w:val="0"/>
                <w:iCs w:val="0"/>
                <w:color w:val="auto"/>
                <w:sz w:val="20"/>
                <w:szCs w:val="20"/>
              </w:rPr>
            </w:pPr>
          </w:p>
        </w:tc>
        <w:tc>
          <w:tcPr>
            <w:tcW w:w="824" w:type="dxa"/>
            <w:gridSpan w:val="2"/>
            <w:shd w:val="clear" w:color="auto" w:fill="auto"/>
            <w:vAlign w:val="center"/>
          </w:tcPr>
          <w:p w14:paraId="707B9475">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Pn</w:t>
            </w:r>
          </w:p>
        </w:tc>
        <w:tc>
          <w:tcPr>
            <w:tcW w:w="828" w:type="dxa"/>
            <w:gridSpan w:val="5"/>
            <w:shd w:val="clear" w:color="auto" w:fill="auto"/>
            <w:vAlign w:val="center"/>
          </w:tcPr>
          <w:p w14:paraId="72A34608">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3.882</w:t>
            </w:r>
          </w:p>
        </w:tc>
        <w:tc>
          <w:tcPr>
            <w:tcW w:w="714" w:type="dxa"/>
            <w:gridSpan w:val="3"/>
            <w:shd w:val="clear" w:color="auto" w:fill="auto"/>
            <w:vAlign w:val="center"/>
          </w:tcPr>
          <w:p w14:paraId="39F19B33">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1.089</w:t>
            </w:r>
          </w:p>
        </w:tc>
        <w:tc>
          <w:tcPr>
            <w:tcW w:w="964" w:type="dxa"/>
            <w:gridSpan w:val="2"/>
            <w:vMerge w:val="continue"/>
            <w:shd w:val="clear" w:color="auto" w:fill="auto"/>
            <w:vAlign w:val="center"/>
          </w:tcPr>
          <w:p w14:paraId="2C9BD025">
            <w:pPr>
              <w:jc w:val="center"/>
              <w:rPr>
                <w:rFonts w:ascii="Times New Roman" w:hAnsi="Times New Roman" w:cs="Times New Roman"/>
                <w:i w:val="0"/>
                <w:iCs w:val="0"/>
                <w:color w:val="auto"/>
                <w:sz w:val="20"/>
                <w:szCs w:val="20"/>
              </w:rPr>
            </w:pPr>
          </w:p>
        </w:tc>
        <w:tc>
          <w:tcPr>
            <w:tcW w:w="1224" w:type="dxa"/>
            <w:vMerge w:val="continue"/>
            <w:shd w:val="clear" w:color="auto" w:fill="auto"/>
            <w:vAlign w:val="center"/>
          </w:tcPr>
          <w:p w14:paraId="5399AA5E">
            <w:pPr>
              <w:jc w:val="center"/>
              <w:rPr>
                <w:rFonts w:ascii="Times New Roman" w:hAnsi="Times New Roman" w:cs="Times New Roman"/>
                <w:i w:val="0"/>
                <w:iCs w:val="0"/>
                <w:color w:val="auto"/>
                <w:sz w:val="20"/>
                <w:szCs w:val="20"/>
              </w:rPr>
            </w:pPr>
          </w:p>
        </w:tc>
        <w:tc>
          <w:tcPr>
            <w:tcW w:w="1021" w:type="dxa"/>
            <w:vMerge w:val="continue"/>
            <w:shd w:val="clear" w:color="auto" w:fill="auto"/>
            <w:vAlign w:val="center"/>
          </w:tcPr>
          <w:p w14:paraId="2AE639B1">
            <w:pPr>
              <w:jc w:val="center"/>
              <w:rPr>
                <w:rFonts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3E951D72">
            <w:pPr>
              <w:jc w:val="center"/>
              <w:rPr>
                <w:rFonts w:ascii="Times New Roman" w:hAnsi="Times New Roman" w:cs="Times New Roman"/>
                <w:i w:val="0"/>
                <w:iCs w:val="0"/>
                <w:color w:val="auto"/>
                <w:sz w:val="20"/>
                <w:szCs w:val="20"/>
              </w:rPr>
            </w:pPr>
          </w:p>
        </w:tc>
        <w:tc>
          <w:tcPr>
            <w:tcW w:w="1157" w:type="dxa"/>
            <w:gridSpan w:val="2"/>
            <w:vMerge w:val="continue"/>
            <w:shd w:val="clear" w:color="auto" w:fill="auto"/>
            <w:vAlign w:val="center"/>
          </w:tcPr>
          <w:p w14:paraId="53E92285">
            <w:pPr>
              <w:jc w:val="center"/>
              <w:rPr>
                <w:rFonts w:ascii="Times New Roman" w:hAnsi="Times New Roman" w:cs="Times New Roman"/>
                <w:i w:val="0"/>
                <w:iCs w:val="0"/>
                <w:color w:val="auto"/>
                <w:sz w:val="20"/>
                <w:szCs w:val="20"/>
              </w:rPr>
            </w:pPr>
          </w:p>
        </w:tc>
      </w:tr>
      <w:tr w14:paraId="6F27517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78" w:type="dxa"/>
            <w:gridSpan w:val="2"/>
            <w:vMerge w:val="restart"/>
            <w:shd w:val="clear" w:color="auto" w:fill="auto"/>
            <w:vAlign w:val="center"/>
          </w:tcPr>
          <w:p w14:paraId="7BA98B79">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03</w:t>
            </w:r>
          </w:p>
        </w:tc>
        <w:tc>
          <w:tcPr>
            <w:tcW w:w="824" w:type="dxa"/>
            <w:gridSpan w:val="2"/>
            <w:shd w:val="clear" w:color="auto" w:fill="auto"/>
            <w:vAlign w:val="center"/>
          </w:tcPr>
          <w:p w14:paraId="4C3486C4">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P1</w:t>
            </w:r>
          </w:p>
        </w:tc>
        <w:tc>
          <w:tcPr>
            <w:tcW w:w="828" w:type="dxa"/>
            <w:gridSpan w:val="5"/>
            <w:shd w:val="clear" w:color="auto" w:fill="auto"/>
            <w:vAlign w:val="center"/>
          </w:tcPr>
          <w:p w14:paraId="7E0F5FED">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0.822</w:t>
            </w:r>
          </w:p>
        </w:tc>
        <w:tc>
          <w:tcPr>
            <w:tcW w:w="714" w:type="dxa"/>
            <w:gridSpan w:val="3"/>
            <w:shd w:val="clear" w:color="auto" w:fill="auto"/>
            <w:vAlign w:val="center"/>
          </w:tcPr>
          <w:p w14:paraId="75E52C93">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0.098</w:t>
            </w:r>
          </w:p>
        </w:tc>
        <w:tc>
          <w:tcPr>
            <w:tcW w:w="964" w:type="dxa"/>
            <w:gridSpan w:val="2"/>
            <w:vMerge w:val="restart"/>
            <w:shd w:val="clear" w:color="auto" w:fill="auto"/>
            <w:vAlign w:val="center"/>
          </w:tcPr>
          <w:p w14:paraId="3D051E8E">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300</w:t>
            </w:r>
          </w:p>
        </w:tc>
        <w:tc>
          <w:tcPr>
            <w:tcW w:w="1224" w:type="dxa"/>
            <w:vMerge w:val="restart"/>
            <w:shd w:val="clear" w:color="auto" w:fill="auto"/>
            <w:vAlign w:val="center"/>
          </w:tcPr>
          <w:p w14:paraId="48B1660F">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100</w:t>
            </w:r>
          </w:p>
        </w:tc>
        <w:tc>
          <w:tcPr>
            <w:tcW w:w="1021" w:type="dxa"/>
            <w:vMerge w:val="restart"/>
            <w:shd w:val="clear" w:color="auto" w:fill="auto"/>
            <w:vAlign w:val="center"/>
          </w:tcPr>
          <w:p w14:paraId="4DB9A492">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55</w:t>
            </w:r>
          </w:p>
        </w:tc>
        <w:tc>
          <w:tcPr>
            <w:tcW w:w="1113" w:type="dxa"/>
            <w:gridSpan w:val="2"/>
            <w:vMerge w:val="restart"/>
            <w:shd w:val="clear" w:color="auto" w:fill="auto"/>
            <w:vAlign w:val="center"/>
          </w:tcPr>
          <w:p w14:paraId="5444515D">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276.188</w:t>
            </w:r>
          </w:p>
        </w:tc>
        <w:tc>
          <w:tcPr>
            <w:tcW w:w="1157" w:type="dxa"/>
            <w:gridSpan w:val="2"/>
            <w:vMerge w:val="restart"/>
            <w:shd w:val="clear" w:color="auto" w:fill="auto"/>
            <w:vAlign w:val="center"/>
          </w:tcPr>
          <w:p w14:paraId="13516873">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2.130</w:t>
            </w:r>
          </w:p>
        </w:tc>
      </w:tr>
      <w:tr w14:paraId="1B03558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78" w:type="dxa"/>
            <w:gridSpan w:val="2"/>
            <w:vMerge w:val="continue"/>
            <w:shd w:val="clear" w:color="auto" w:fill="auto"/>
            <w:vAlign w:val="center"/>
          </w:tcPr>
          <w:p w14:paraId="6CD26B40">
            <w:pPr>
              <w:jc w:val="center"/>
              <w:rPr>
                <w:rFonts w:ascii="Times New Roman" w:hAnsi="Times New Roman" w:cs="Times New Roman"/>
                <w:i w:val="0"/>
                <w:iCs w:val="0"/>
                <w:color w:val="auto"/>
                <w:sz w:val="20"/>
                <w:szCs w:val="20"/>
              </w:rPr>
            </w:pPr>
          </w:p>
        </w:tc>
        <w:tc>
          <w:tcPr>
            <w:tcW w:w="824" w:type="dxa"/>
            <w:gridSpan w:val="2"/>
            <w:shd w:val="clear" w:color="auto" w:fill="auto"/>
            <w:vAlign w:val="center"/>
          </w:tcPr>
          <w:p w14:paraId="0AE07E35">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P2</w:t>
            </w:r>
          </w:p>
        </w:tc>
        <w:tc>
          <w:tcPr>
            <w:tcW w:w="828" w:type="dxa"/>
            <w:gridSpan w:val="5"/>
            <w:shd w:val="clear" w:color="auto" w:fill="auto"/>
            <w:vAlign w:val="center"/>
          </w:tcPr>
          <w:p w14:paraId="7F9DDC6E">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1.035</w:t>
            </w:r>
          </w:p>
        </w:tc>
        <w:tc>
          <w:tcPr>
            <w:tcW w:w="714" w:type="dxa"/>
            <w:gridSpan w:val="3"/>
            <w:shd w:val="clear" w:color="auto" w:fill="auto"/>
            <w:vAlign w:val="center"/>
          </w:tcPr>
          <w:p w14:paraId="1C7EC39D">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0.243</w:t>
            </w:r>
          </w:p>
        </w:tc>
        <w:tc>
          <w:tcPr>
            <w:tcW w:w="964" w:type="dxa"/>
            <w:gridSpan w:val="2"/>
            <w:vMerge w:val="continue"/>
            <w:shd w:val="clear" w:color="auto" w:fill="auto"/>
            <w:vAlign w:val="center"/>
          </w:tcPr>
          <w:p w14:paraId="66DC40FB">
            <w:pPr>
              <w:jc w:val="center"/>
              <w:rPr>
                <w:rFonts w:ascii="Times New Roman" w:hAnsi="Times New Roman" w:cs="Times New Roman"/>
                <w:i w:val="0"/>
                <w:iCs w:val="0"/>
                <w:color w:val="auto"/>
                <w:sz w:val="20"/>
                <w:szCs w:val="20"/>
              </w:rPr>
            </w:pPr>
          </w:p>
        </w:tc>
        <w:tc>
          <w:tcPr>
            <w:tcW w:w="1224" w:type="dxa"/>
            <w:vMerge w:val="continue"/>
            <w:shd w:val="clear" w:color="auto" w:fill="auto"/>
            <w:vAlign w:val="center"/>
          </w:tcPr>
          <w:p w14:paraId="7CA26C40">
            <w:pPr>
              <w:jc w:val="center"/>
              <w:rPr>
                <w:rFonts w:ascii="Times New Roman" w:hAnsi="Times New Roman" w:cs="Times New Roman"/>
                <w:i w:val="0"/>
                <w:iCs w:val="0"/>
                <w:color w:val="auto"/>
                <w:sz w:val="20"/>
                <w:szCs w:val="20"/>
              </w:rPr>
            </w:pPr>
          </w:p>
        </w:tc>
        <w:tc>
          <w:tcPr>
            <w:tcW w:w="1021" w:type="dxa"/>
            <w:vMerge w:val="continue"/>
            <w:shd w:val="clear" w:color="auto" w:fill="auto"/>
            <w:vAlign w:val="center"/>
          </w:tcPr>
          <w:p w14:paraId="7DB6ECC8">
            <w:pPr>
              <w:jc w:val="center"/>
              <w:rPr>
                <w:rFonts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4744F9C2">
            <w:pPr>
              <w:jc w:val="center"/>
              <w:rPr>
                <w:rFonts w:ascii="Times New Roman" w:hAnsi="Times New Roman" w:cs="Times New Roman"/>
                <w:i w:val="0"/>
                <w:iCs w:val="0"/>
                <w:color w:val="auto"/>
                <w:sz w:val="20"/>
                <w:szCs w:val="20"/>
              </w:rPr>
            </w:pPr>
          </w:p>
        </w:tc>
        <w:tc>
          <w:tcPr>
            <w:tcW w:w="1157" w:type="dxa"/>
            <w:gridSpan w:val="2"/>
            <w:vMerge w:val="continue"/>
            <w:shd w:val="clear" w:color="auto" w:fill="auto"/>
            <w:vAlign w:val="center"/>
          </w:tcPr>
          <w:p w14:paraId="79719B93">
            <w:pPr>
              <w:jc w:val="center"/>
              <w:rPr>
                <w:rFonts w:ascii="Times New Roman" w:hAnsi="Times New Roman" w:cs="Times New Roman"/>
                <w:i w:val="0"/>
                <w:iCs w:val="0"/>
                <w:color w:val="auto"/>
                <w:sz w:val="20"/>
                <w:szCs w:val="20"/>
              </w:rPr>
            </w:pPr>
          </w:p>
        </w:tc>
      </w:tr>
      <w:tr w14:paraId="5DA0396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78" w:type="dxa"/>
            <w:gridSpan w:val="2"/>
            <w:vMerge w:val="continue"/>
            <w:shd w:val="clear" w:color="auto" w:fill="auto"/>
            <w:vAlign w:val="center"/>
          </w:tcPr>
          <w:p w14:paraId="7E9D3A29">
            <w:pPr>
              <w:jc w:val="center"/>
              <w:rPr>
                <w:rFonts w:ascii="Times New Roman" w:hAnsi="Times New Roman" w:cs="Times New Roman"/>
                <w:i w:val="0"/>
                <w:iCs w:val="0"/>
                <w:color w:val="auto"/>
                <w:sz w:val="20"/>
                <w:szCs w:val="20"/>
              </w:rPr>
            </w:pPr>
          </w:p>
        </w:tc>
        <w:tc>
          <w:tcPr>
            <w:tcW w:w="824" w:type="dxa"/>
            <w:gridSpan w:val="2"/>
            <w:shd w:val="clear" w:color="auto" w:fill="auto"/>
            <w:vAlign w:val="center"/>
          </w:tcPr>
          <w:p w14:paraId="38A40D8D">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Pn</w:t>
            </w:r>
          </w:p>
        </w:tc>
        <w:tc>
          <w:tcPr>
            <w:tcW w:w="828" w:type="dxa"/>
            <w:gridSpan w:val="5"/>
            <w:shd w:val="clear" w:color="auto" w:fill="auto"/>
            <w:vAlign w:val="center"/>
          </w:tcPr>
          <w:p w14:paraId="3E84A3FE">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6.675</w:t>
            </w:r>
          </w:p>
        </w:tc>
        <w:tc>
          <w:tcPr>
            <w:tcW w:w="714" w:type="dxa"/>
            <w:gridSpan w:val="3"/>
            <w:shd w:val="clear" w:color="auto" w:fill="auto"/>
            <w:vAlign w:val="center"/>
          </w:tcPr>
          <w:p w14:paraId="39C682DD">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1.432</w:t>
            </w:r>
          </w:p>
        </w:tc>
        <w:tc>
          <w:tcPr>
            <w:tcW w:w="964" w:type="dxa"/>
            <w:gridSpan w:val="2"/>
            <w:vMerge w:val="continue"/>
            <w:shd w:val="clear" w:color="auto" w:fill="auto"/>
            <w:vAlign w:val="center"/>
          </w:tcPr>
          <w:p w14:paraId="1D0D1D0A">
            <w:pPr>
              <w:jc w:val="center"/>
              <w:rPr>
                <w:rFonts w:ascii="Times New Roman" w:hAnsi="Times New Roman" w:cs="Times New Roman"/>
                <w:i w:val="0"/>
                <w:iCs w:val="0"/>
                <w:color w:val="auto"/>
                <w:sz w:val="20"/>
                <w:szCs w:val="20"/>
              </w:rPr>
            </w:pPr>
          </w:p>
        </w:tc>
        <w:tc>
          <w:tcPr>
            <w:tcW w:w="1224" w:type="dxa"/>
            <w:vMerge w:val="continue"/>
            <w:shd w:val="clear" w:color="auto" w:fill="auto"/>
            <w:vAlign w:val="center"/>
          </w:tcPr>
          <w:p w14:paraId="296D71F1">
            <w:pPr>
              <w:jc w:val="center"/>
              <w:rPr>
                <w:rFonts w:ascii="Times New Roman" w:hAnsi="Times New Roman" w:cs="Times New Roman"/>
                <w:i w:val="0"/>
                <w:iCs w:val="0"/>
                <w:color w:val="auto"/>
                <w:sz w:val="20"/>
                <w:szCs w:val="20"/>
              </w:rPr>
            </w:pPr>
          </w:p>
        </w:tc>
        <w:tc>
          <w:tcPr>
            <w:tcW w:w="1021" w:type="dxa"/>
            <w:vMerge w:val="continue"/>
            <w:shd w:val="clear" w:color="auto" w:fill="auto"/>
            <w:vAlign w:val="center"/>
          </w:tcPr>
          <w:p w14:paraId="754AAACC">
            <w:pPr>
              <w:jc w:val="center"/>
              <w:rPr>
                <w:rFonts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40D1E967">
            <w:pPr>
              <w:jc w:val="center"/>
              <w:rPr>
                <w:rFonts w:ascii="Times New Roman" w:hAnsi="Times New Roman" w:cs="Times New Roman"/>
                <w:i w:val="0"/>
                <w:iCs w:val="0"/>
                <w:color w:val="auto"/>
                <w:sz w:val="20"/>
                <w:szCs w:val="20"/>
              </w:rPr>
            </w:pPr>
          </w:p>
        </w:tc>
        <w:tc>
          <w:tcPr>
            <w:tcW w:w="1157" w:type="dxa"/>
            <w:gridSpan w:val="2"/>
            <w:vMerge w:val="continue"/>
            <w:shd w:val="clear" w:color="auto" w:fill="auto"/>
            <w:vAlign w:val="center"/>
          </w:tcPr>
          <w:p w14:paraId="53FAF28F">
            <w:pPr>
              <w:jc w:val="center"/>
              <w:rPr>
                <w:rFonts w:ascii="Times New Roman" w:hAnsi="Times New Roman" w:cs="Times New Roman"/>
                <w:i w:val="0"/>
                <w:iCs w:val="0"/>
                <w:color w:val="auto"/>
                <w:sz w:val="20"/>
                <w:szCs w:val="20"/>
              </w:rPr>
            </w:pPr>
          </w:p>
        </w:tc>
      </w:tr>
      <w:tr w14:paraId="015DFD9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78" w:type="dxa"/>
            <w:gridSpan w:val="2"/>
            <w:vMerge w:val="restart"/>
            <w:shd w:val="clear" w:color="auto" w:fill="auto"/>
            <w:vAlign w:val="center"/>
          </w:tcPr>
          <w:p w14:paraId="6AF834C8">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04</w:t>
            </w:r>
          </w:p>
        </w:tc>
        <w:tc>
          <w:tcPr>
            <w:tcW w:w="837" w:type="dxa"/>
            <w:gridSpan w:val="3"/>
            <w:shd w:val="clear" w:color="auto" w:fill="auto"/>
            <w:vAlign w:val="center"/>
          </w:tcPr>
          <w:p w14:paraId="4D5D6679">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P1</w:t>
            </w:r>
          </w:p>
        </w:tc>
        <w:tc>
          <w:tcPr>
            <w:tcW w:w="825" w:type="dxa"/>
            <w:gridSpan w:val="5"/>
            <w:shd w:val="clear" w:color="auto" w:fill="auto"/>
            <w:vAlign w:val="center"/>
          </w:tcPr>
          <w:p w14:paraId="041E3CBC">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0.795</w:t>
            </w:r>
          </w:p>
        </w:tc>
        <w:tc>
          <w:tcPr>
            <w:tcW w:w="704" w:type="dxa"/>
            <w:gridSpan w:val="2"/>
            <w:shd w:val="clear" w:color="auto" w:fill="auto"/>
            <w:vAlign w:val="center"/>
          </w:tcPr>
          <w:p w14:paraId="2B9E656D">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0.068</w:t>
            </w:r>
          </w:p>
        </w:tc>
        <w:tc>
          <w:tcPr>
            <w:tcW w:w="964" w:type="dxa"/>
            <w:gridSpan w:val="2"/>
            <w:vMerge w:val="restart"/>
            <w:shd w:val="clear" w:color="auto" w:fill="auto"/>
            <w:vAlign w:val="center"/>
          </w:tcPr>
          <w:p w14:paraId="4020C4A7">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300</w:t>
            </w:r>
          </w:p>
        </w:tc>
        <w:tc>
          <w:tcPr>
            <w:tcW w:w="1224" w:type="dxa"/>
            <w:vMerge w:val="restart"/>
            <w:shd w:val="clear" w:color="auto" w:fill="auto"/>
            <w:vAlign w:val="center"/>
          </w:tcPr>
          <w:p w14:paraId="3F0BB479">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100</w:t>
            </w:r>
          </w:p>
        </w:tc>
        <w:tc>
          <w:tcPr>
            <w:tcW w:w="1021" w:type="dxa"/>
            <w:vMerge w:val="restart"/>
            <w:shd w:val="clear" w:color="auto" w:fill="auto"/>
            <w:vAlign w:val="center"/>
          </w:tcPr>
          <w:p w14:paraId="4543EAFD">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55</w:t>
            </w:r>
          </w:p>
        </w:tc>
        <w:tc>
          <w:tcPr>
            <w:tcW w:w="1113" w:type="dxa"/>
            <w:gridSpan w:val="2"/>
            <w:vMerge w:val="restart"/>
            <w:shd w:val="clear" w:color="auto" w:fill="auto"/>
            <w:vAlign w:val="center"/>
          </w:tcPr>
          <w:p w14:paraId="0D1910CA">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248.497</w:t>
            </w:r>
          </w:p>
        </w:tc>
        <w:tc>
          <w:tcPr>
            <w:tcW w:w="1136" w:type="dxa"/>
            <w:vMerge w:val="restart"/>
            <w:shd w:val="clear" w:color="auto" w:fill="auto"/>
            <w:vAlign w:val="center"/>
          </w:tcPr>
          <w:p w14:paraId="61BC6486">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1.621</w:t>
            </w:r>
          </w:p>
        </w:tc>
      </w:tr>
      <w:tr w14:paraId="6ECEE80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78" w:type="dxa"/>
            <w:gridSpan w:val="2"/>
            <w:vMerge w:val="continue"/>
            <w:shd w:val="clear" w:color="auto" w:fill="auto"/>
            <w:vAlign w:val="center"/>
          </w:tcPr>
          <w:p w14:paraId="0B0C4A35">
            <w:pPr>
              <w:widowControl/>
              <w:jc w:val="center"/>
              <w:textAlignment w:val="center"/>
              <w:rPr>
                <w:rStyle w:val="150"/>
                <w:rFonts w:hint="default" w:ascii="Times New Roman" w:hAnsi="Times New Roman" w:cs="Times New Roman"/>
                <w:i w:val="0"/>
                <w:iCs w:val="0"/>
                <w:color w:val="auto"/>
                <w:sz w:val="20"/>
                <w:szCs w:val="20"/>
              </w:rPr>
            </w:pPr>
          </w:p>
        </w:tc>
        <w:tc>
          <w:tcPr>
            <w:tcW w:w="837" w:type="dxa"/>
            <w:gridSpan w:val="3"/>
            <w:shd w:val="clear" w:color="auto" w:fill="auto"/>
            <w:vAlign w:val="center"/>
          </w:tcPr>
          <w:p w14:paraId="318FDCAE">
            <w:pPr>
              <w:widowControl/>
              <w:jc w:val="center"/>
              <w:textAlignment w:val="center"/>
              <w:rPr>
                <w:rStyle w:val="150"/>
                <w:rFonts w:hint="default"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P2</w:t>
            </w:r>
          </w:p>
        </w:tc>
        <w:tc>
          <w:tcPr>
            <w:tcW w:w="825" w:type="dxa"/>
            <w:gridSpan w:val="5"/>
            <w:shd w:val="clear" w:color="auto" w:fill="auto"/>
            <w:vAlign w:val="center"/>
          </w:tcPr>
          <w:p w14:paraId="7BF0A0B1">
            <w:pPr>
              <w:widowControl/>
              <w:jc w:val="center"/>
              <w:textAlignment w:val="center"/>
              <w:rPr>
                <w:rStyle w:val="150"/>
                <w:rFonts w:hint="default"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0.955</w:t>
            </w:r>
          </w:p>
        </w:tc>
        <w:tc>
          <w:tcPr>
            <w:tcW w:w="704" w:type="dxa"/>
            <w:gridSpan w:val="2"/>
            <w:shd w:val="clear" w:color="auto" w:fill="auto"/>
            <w:vAlign w:val="center"/>
          </w:tcPr>
          <w:p w14:paraId="50A6B12C">
            <w:pPr>
              <w:widowControl/>
              <w:jc w:val="center"/>
              <w:textAlignment w:val="center"/>
              <w:rPr>
                <w:rStyle w:val="150"/>
                <w:rFonts w:hint="default"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0.166</w:t>
            </w:r>
          </w:p>
        </w:tc>
        <w:tc>
          <w:tcPr>
            <w:tcW w:w="964" w:type="dxa"/>
            <w:gridSpan w:val="2"/>
            <w:vMerge w:val="continue"/>
            <w:shd w:val="clear" w:color="auto" w:fill="auto"/>
            <w:vAlign w:val="center"/>
          </w:tcPr>
          <w:p w14:paraId="38B8FBD2">
            <w:pPr>
              <w:widowControl/>
              <w:jc w:val="center"/>
              <w:textAlignment w:val="center"/>
              <w:rPr>
                <w:rStyle w:val="150"/>
                <w:rFonts w:hint="default" w:ascii="Times New Roman" w:hAnsi="Times New Roman" w:cs="Times New Roman"/>
                <w:i w:val="0"/>
                <w:iCs w:val="0"/>
                <w:color w:val="auto"/>
                <w:sz w:val="20"/>
                <w:szCs w:val="20"/>
              </w:rPr>
            </w:pPr>
          </w:p>
        </w:tc>
        <w:tc>
          <w:tcPr>
            <w:tcW w:w="1224" w:type="dxa"/>
            <w:vMerge w:val="continue"/>
            <w:shd w:val="clear" w:color="auto" w:fill="auto"/>
            <w:vAlign w:val="center"/>
          </w:tcPr>
          <w:p w14:paraId="2BFF3FC8">
            <w:pPr>
              <w:widowControl/>
              <w:jc w:val="center"/>
              <w:textAlignment w:val="center"/>
              <w:rPr>
                <w:rStyle w:val="150"/>
                <w:rFonts w:hint="default" w:ascii="Times New Roman" w:hAnsi="Times New Roman" w:cs="Times New Roman"/>
                <w:i w:val="0"/>
                <w:iCs w:val="0"/>
                <w:color w:val="auto"/>
                <w:sz w:val="20"/>
                <w:szCs w:val="20"/>
              </w:rPr>
            </w:pPr>
          </w:p>
        </w:tc>
        <w:tc>
          <w:tcPr>
            <w:tcW w:w="1021" w:type="dxa"/>
            <w:vMerge w:val="continue"/>
            <w:shd w:val="clear" w:color="auto" w:fill="auto"/>
            <w:vAlign w:val="center"/>
          </w:tcPr>
          <w:p w14:paraId="4B92CB58">
            <w:pPr>
              <w:widowControl/>
              <w:jc w:val="center"/>
              <w:textAlignment w:val="center"/>
              <w:rPr>
                <w:rStyle w:val="150"/>
                <w:rFonts w:hint="default"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345E47AC">
            <w:pPr>
              <w:widowControl/>
              <w:jc w:val="center"/>
              <w:textAlignment w:val="center"/>
              <w:rPr>
                <w:rStyle w:val="150"/>
                <w:rFonts w:hint="default" w:ascii="Times New Roman" w:hAnsi="Times New Roman" w:cs="Times New Roman"/>
                <w:i w:val="0"/>
                <w:iCs w:val="0"/>
                <w:color w:val="auto"/>
                <w:sz w:val="20"/>
                <w:szCs w:val="20"/>
              </w:rPr>
            </w:pPr>
          </w:p>
        </w:tc>
        <w:tc>
          <w:tcPr>
            <w:tcW w:w="1136" w:type="dxa"/>
            <w:vMerge w:val="continue"/>
            <w:shd w:val="clear" w:color="auto" w:fill="auto"/>
            <w:vAlign w:val="center"/>
          </w:tcPr>
          <w:p w14:paraId="2F47C022">
            <w:pPr>
              <w:widowControl/>
              <w:jc w:val="center"/>
              <w:textAlignment w:val="center"/>
              <w:rPr>
                <w:rStyle w:val="150"/>
                <w:rFonts w:hint="default" w:ascii="Times New Roman" w:hAnsi="Times New Roman" w:cs="Times New Roman"/>
                <w:i w:val="0"/>
                <w:iCs w:val="0"/>
                <w:color w:val="auto"/>
                <w:sz w:val="20"/>
                <w:szCs w:val="20"/>
              </w:rPr>
            </w:pPr>
          </w:p>
        </w:tc>
      </w:tr>
      <w:tr w14:paraId="6DF75D6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gridAfter w:val="1"/>
          <w:wAfter w:w="21" w:type="dxa"/>
          <w:trHeight w:val="315" w:hRule="atLeast"/>
          <w:jc w:val="center"/>
        </w:trPr>
        <w:tc>
          <w:tcPr>
            <w:tcW w:w="678" w:type="dxa"/>
            <w:gridSpan w:val="2"/>
            <w:vMerge w:val="continue"/>
            <w:shd w:val="clear" w:color="auto" w:fill="auto"/>
            <w:vAlign w:val="center"/>
          </w:tcPr>
          <w:p w14:paraId="6BCAFFC2">
            <w:pPr>
              <w:widowControl/>
              <w:jc w:val="center"/>
              <w:textAlignment w:val="center"/>
              <w:rPr>
                <w:rStyle w:val="150"/>
                <w:rFonts w:hint="default" w:ascii="Times New Roman" w:hAnsi="Times New Roman" w:cs="Times New Roman"/>
                <w:i w:val="0"/>
                <w:iCs w:val="0"/>
                <w:color w:val="auto"/>
                <w:sz w:val="20"/>
                <w:szCs w:val="20"/>
              </w:rPr>
            </w:pPr>
          </w:p>
        </w:tc>
        <w:tc>
          <w:tcPr>
            <w:tcW w:w="837" w:type="dxa"/>
            <w:gridSpan w:val="3"/>
            <w:shd w:val="clear" w:color="auto" w:fill="auto"/>
            <w:vAlign w:val="center"/>
          </w:tcPr>
          <w:p w14:paraId="60571E25">
            <w:pPr>
              <w:widowControl/>
              <w:jc w:val="center"/>
              <w:textAlignment w:val="center"/>
              <w:rPr>
                <w:rStyle w:val="150"/>
                <w:rFonts w:hint="default"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Pn</w:t>
            </w:r>
          </w:p>
        </w:tc>
        <w:tc>
          <w:tcPr>
            <w:tcW w:w="825" w:type="dxa"/>
            <w:gridSpan w:val="5"/>
            <w:shd w:val="clear" w:color="auto" w:fill="auto"/>
            <w:vAlign w:val="center"/>
          </w:tcPr>
          <w:p w14:paraId="61CA7C68">
            <w:pPr>
              <w:widowControl/>
              <w:jc w:val="center"/>
              <w:textAlignment w:val="center"/>
              <w:rPr>
                <w:rStyle w:val="150"/>
                <w:rFonts w:hint="default"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5.875</w:t>
            </w:r>
          </w:p>
        </w:tc>
        <w:tc>
          <w:tcPr>
            <w:tcW w:w="704" w:type="dxa"/>
            <w:gridSpan w:val="2"/>
            <w:shd w:val="clear" w:color="auto" w:fill="auto"/>
            <w:vAlign w:val="center"/>
          </w:tcPr>
          <w:p w14:paraId="3E00FD1E">
            <w:pPr>
              <w:widowControl/>
              <w:jc w:val="center"/>
              <w:textAlignment w:val="center"/>
              <w:rPr>
                <w:rStyle w:val="150"/>
                <w:rFonts w:hint="default"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1.090</w:t>
            </w:r>
          </w:p>
        </w:tc>
        <w:tc>
          <w:tcPr>
            <w:tcW w:w="964" w:type="dxa"/>
            <w:gridSpan w:val="2"/>
            <w:vMerge w:val="continue"/>
            <w:shd w:val="clear" w:color="auto" w:fill="auto"/>
            <w:vAlign w:val="center"/>
          </w:tcPr>
          <w:p w14:paraId="57817A25">
            <w:pPr>
              <w:widowControl/>
              <w:jc w:val="center"/>
              <w:textAlignment w:val="center"/>
              <w:rPr>
                <w:rStyle w:val="150"/>
                <w:rFonts w:hint="default" w:ascii="Times New Roman" w:hAnsi="Times New Roman" w:cs="Times New Roman"/>
                <w:i w:val="0"/>
                <w:iCs w:val="0"/>
                <w:color w:val="auto"/>
                <w:sz w:val="20"/>
                <w:szCs w:val="20"/>
              </w:rPr>
            </w:pPr>
          </w:p>
        </w:tc>
        <w:tc>
          <w:tcPr>
            <w:tcW w:w="1224" w:type="dxa"/>
            <w:vMerge w:val="continue"/>
            <w:shd w:val="clear" w:color="auto" w:fill="auto"/>
            <w:vAlign w:val="center"/>
          </w:tcPr>
          <w:p w14:paraId="583A4B1C">
            <w:pPr>
              <w:widowControl/>
              <w:jc w:val="center"/>
              <w:textAlignment w:val="center"/>
              <w:rPr>
                <w:rStyle w:val="150"/>
                <w:rFonts w:hint="default" w:ascii="Times New Roman" w:hAnsi="Times New Roman" w:cs="Times New Roman"/>
                <w:i w:val="0"/>
                <w:iCs w:val="0"/>
                <w:color w:val="auto"/>
                <w:sz w:val="20"/>
                <w:szCs w:val="20"/>
              </w:rPr>
            </w:pPr>
          </w:p>
        </w:tc>
        <w:tc>
          <w:tcPr>
            <w:tcW w:w="1021" w:type="dxa"/>
            <w:vMerge w:val="continue"/>
            <w:shd w:val="clear" w:color="auto" w:fill="auto"/>
            <w:vAlign w:val="center"/>
          </w:tcPr>
          <w:p w14:paraId="432360F3">
            <w:pPr>
              <w:widowControl/>
              <w:jc w:val="center"/>
              <w:textAlignment w:val="center"/>
              <w:rPr>
                <w:rStyle w:val="150"/>
                <w:rFonts w:hint="default"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6DA317A0">
            <w:pPr>
              <w:widowControl/>
              <w:jc w:val="center"/>
              <w:textAlignment w:val="center"/>
              <w:rPr>
                <w:rStyle w:val="150"/>
                <w:rFonts w:hint="default" w:ascii="Times New Roman" w:hAnsi="Times New Roman" w:cs="Times New Roman"/>
                <w:i w:val="0"/>
                <w:iCs w:val="0"/>
                <w:color w:val="auto"/>
                <w:sz w:val="20"/>
                <w:szCs w:val="20"/>
              </w:rPr>
            </w:pPr>
          </w:p>
        </w:tc>
        <w:tc>
          <w:tcPr>
            <w:tcW w:w="1136" w:type="dxa"/>
            <w:vMerge w:val="continue"/>
            <w:shd w:val="clear" w:color="auto" w:fill="auto"/>
            <w:vAlign w:val="center"/>
          </w:tcPr>
          <w:p w14:paraId="60B13E45">
            <w:pPr>
              <w:widowControl/>
              <w:jc w:val="center"/>
              <w:textAlignment w:val="center"/>
              <w:rPr>
                <w:rStyle w:val="150"/>
                <w:rFonts w:hint="default" w:ascii="Times New Roman" w:hAnsi="Times New Roman" w:cs="Times New Roman"/>
                <w:i w:val="0"/>
                <w:iCs w:val="0"/>
                <w:color w:val="auto"/>
                <w:sz w:val="20"/>
                <w:szCs w:val="20"/>
              </w:rPr>
            </w:pPr>
          </w:p>
        </w:tc>
      </w:tr>
      <w:tr w14:paraId="4172126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8523" w:type="dxa"/>
            <w:gridSpan w:val="20"/>
            <w:shd w:val="clear" w:color="auto" w:fill="auto"/>
            <w:vAlign w:val="center"/>
          </w:tcPr>
          <w:p w14:paraId="19A85C65">
            <w:pPr>
              <w:widowControl/>
              <w:jc w:val="center"/>
              <w:textAlignment w:val="center"/>
              <w:rPr>
                <w:rFonts w:ascii="Times New Roman" w:hAnsi="Times New Roman" w:cs="Times New Roman"/>
                <w:i w:val="0"/>
                <w:iCs w:val="0"/>
                <w:color w:val="auto"/>
                <w:kern w:val="0"/>
                <w:sz w:val="20"/>
                <w:szCs w:val="20"/>
              </w:rPr>
            </w:pPr>
            <w:r>
              <w:rPr>
                <w:rStyle w:val="150"/>
                <w:rFonts w:hint="default" w:ascii="Times New Roman" w:hAnsi="Times New Roman" w:cs="Times New Roman"/>
                <w:i w:val="0"/>
                <w:iCs w:val="0"/>
                <w:color w:val="auto"/>
                <w:sz w:val="20"/>
                <w:szCs w:val="20"/>
              </w:rPr>
              <w:t>叠合型试件实验计算结果</w:t>
            </w:r>
          </w:p>
        </w:tc>
      </w:tr>
      <w:tr w14:paraId="467B575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shd w:val="clear" w:color="auto" w:fill="auto"/>
            <w:vAlign w:val="center"/>
          </w:tcPr>
          <w:p w14:paraId="02F0245A">
            <w:pPr>
              <w:widowControl/>
              <w:jc w:val="center"/>
              <w:textAlignment w:val="center"/>
              <w:rPr>
                <w:rFonts w:ascii="Times New Roman" w:hAnsi="Times New Roman" w:cs="Times New Roman"/>
                <w:i w:val="0"/>
                <w:iCs w:val="0"/>
                <w:color w:val="auto"/>
                <w:sz w:val="20"/>
                <w:szCs w:val="20"/>
              </w:rPr>
            </w:pPr>
            <w:r>
              <w:rPr>
                <w:rFonts w:ascii="Times New Roman" w:hAnsi="Times New Roman" w:cs="Times New Roman"/>
                <w:i w:val="0"/>
                <w:iCs w:val="0"/>
                <w:color w:val="auto"/>
                <w:kern w:val="0"/>
                <w:sz w:val="20"/>
                <w:szCs w:val="20"/>
              </w:rPr>
              <w:t>试件编号</w:t>
            </w:r>
          </w:p>
        </w:tc>
        <w:tc>
          <w:tcPr>
            <w:tcW w:w="836" w:type="dxa"/>
            <w:gridSpan w:val="2"/>
            <w:shd w:val="clear" w:color="auto" w:fill="auto"/>
            <w:vAlign w:val="center"/>
          </w:tcPr>
          <w:p w14:paraId="7C417FE7">
            <w:pPr>
              <w:widowControl/>
              <w:jc w:val="center"/>
              <w:textAlignment w:val="center"/>
              <w:rPr>
                <w:rFonts w:ascii="Times New Roman" w:hAnsi="Times New Roman" w:cs="Times New Roman"/>
                <w:i w:val="0"/>
                <w:iCs w:val="0"/>
                <w:color w:val="auto"/>
                <w:sz w:val="20"/>
                <w:szCs w:val="20"/>
              </w:rPr>
            </w:pPr>
            <w:r>
              <w:rPr>
                <w:rFonts w:ascii="Times New Roman" w:hAnsi="Times New Roman" w:cs="Times New Roman"/>
                <w:i w:val="0"/>
                <w:iCs w:val="0"/>
                <w:color w:val="auto"/>
                <w:kern w:val="0"/>
                <w:sz w:val="20"/>
                <w:szCs w:val="20"/>
              </w:rPr>
              <w:t>数据采样点</w:t>
            </w:r>
          </w:p>
        </w:tc>
        <w:tc>
          <w:tcPr>
            <w:tcW w:w="799" w:type="dxa"/>
            <w:gridSpan w:val="5"/>
            <w:shd w:val="clear" w:color="auto" w:fill="auto"/>
            <w:vAlign w:val="center"/>
          </w:tcPr>
          <w:p w14:paraId="01C4461C">
            <w:pPr>
              <w:widowControl/>
              <w:jc w:val="center"/>
              <w:textAlignment w:val="center"/>
              <w:rPr>
                <w:rFonts w:ascii="Times New Roman" w:hAnsi="Times New Roman" w:cs="Times New Roman"/>
                <w:i w:val="0"/>
                <w:iCs w:val="0"/>
                <w:color w:val="auto"/>
                <w:sz w:val="20"/>
                <w:szCs w:val="20"/>
              </w:rPr>
            </w:pPr>
            <w:r>
              <w:rPr>
                <w:rFonts w:ascii="Times New Roman" w:hAnsi="Times New Roman" w:cs="Times New Roman"/>
                <w:i w:val="0"/>
                <w:iCs w:val="0"/>
                <w:color w:val="auto"/>
                <w:kern w:val="0"/>
                <w:sz w:val="20"/>
                <w:szCs w:val="20"/>
              </w:rPr>
              <w:t>位移/mm</w:t>
            </w:r>
          </w:p>
        </w:tc>
        <w:tc>
          <w:tcPr>
            <w:tcW w:w="752" w:type="dxa"/>
            <w:gridSpan w:val="4"/>
            <w:shd w:val="clear" w:color="auto" w:fill="auto"/>
            <w:vAlign w:val="center"/>
          </w:tcPr>
          <w:p w14:paraId="1AA0B588">
            <w:pPr>
              <w:widowControl/>
              <w:jc w:val="center"/>
              <w:textAlignment w:val="center"/>
              <w:rPr>
                <w:rFonts w:ascii="Times New Roman" w:hAnsi="Times New Roman" w:cs="Times New Roman"/>
                <w:i w:val="0"/>
                <w:iCs w:val="0"/>
                <w:color w:val="auto"/>
                <w:sz w:val="20"/>
                <w:szCs w:val="20"/>
              </w:rPr>
            </w:pPr>
            <w:r>
              <w:rPr>
                <w:rFonts w:ascii="Times New Roman" w:hAnsi="Times New Roman" w:cs="Times New Roman"/>
                <w:i w:val="0"/>
                <w:iCs w:val="0"/>
                <w:color w:val="auto"/>
                <w:kern w:val="0"/>
                <w:sz w:val="20"/>
                <w:szCs w:val="20"/>
              </w:rPr>
              <w:t>力/</w:t>
            </w:r>
            <w:r>
              <w:rPr>
                <w:rFonts w:hint="eastAsia" w:ascii="Times New Roman" w:hAnsi="Times New Roman" w:cs="Times New Roman"/>
                <w:i w:val="0"/>
                <w:iCs w:val="0"/>
                <w:color w:val="auto"/>
                <w:kern w:val="0"/>
                <w:sz w:val="20"/>
                <w:szCs w:val="20"/>
              </w:rPr>
              <w:t>K</w:t>
            </w:r>
            <w:r>
              <w:rPr>
                <w:rFonts w:ascii="Times New Roman" w:hAnsi="Times New Roman" w:cs="Times New Roman"/>
                <w:i w:val="0"/>
                <w:iCs w:val="0"/>
                <w:color w:val="auto"/>
                <w:kern w:val="0"/>
                <w:sz w:val="20"/>
                <w:szCs w:val="20"/>
              </w:rPr>
              <w:t>N</w:t>
            </w:r>
          </w:p>
        </w:tc>
        <w:tc>
          <w:tcPr>
            <w:tcW w:w="964" w:type="dxa"/>
            <w:gridSpan w:val="2"/>
            <w:shd w:val="clear" w:color="auto" w:fill="auto"/>
            <w:vAlign w:val="center"/>
          </w:tcPr>
          <w:p w14:paraId="1076C579">
            <w:pPr>
              <w:widowControl/>
              <w:jc w:val="center"/>
              <w:textAlignment w:val="center"/>
              <w:rPr>
                <w:rFonts w:ascii="Times New Roman" w:hAnsi="Times New Roman" w:cs="Times New Roman"/>
                <w:i w:val="0"/>
                <w:iCs w:val="0"/>
                <w:color w:val="auto"/>
                <w:sz w:val="20"/>
                <w:szCs w:val="20"/>
              </w:rPr>
            </w:pPr>
            <w:r>
              <w:rPr>
                <w:rStyle w:val="151"/>
                <w:rFonts w:hint="default" w:ascii="Times New Roman" w:hAnsi="Times New Roman" w:cs="Times New Roman"/>
                <w:i w:val="0"/>
                <w:iCs w:val="0"/>
                <w:color w:val="auto"/>
                <w:sz w:val="20"/>
                <w:szCs w:val="20"/>
              </w:rPr>
              <w:t>L/mm</w:t>
            </w:r>
          </w:p>
        </w:tc>
        <w:tc>
          <w:tcPr>
            <w:tcW w:w="1224" w:type="dxa"/>
            <w:shd w:val="clear" w:color="auto" w:fill="auto"/>
            <w:vAlign w:val="center"/>
          </w:tcPr>
          <w:p w14:paraId="39C3E1D0">
            <w:pPr>
              <w:widowControl/>
              <w:jc w:val="center"/>
              <w:textAlignment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kern w:val="0"/>
                <w:sz w:val="20"/>
                <w:szCs w:val="20"/>
              </w:rPr>
              <w:t>b</w:t>
            </w:r>
            <w:r>
              <w:rPr>
                <w:rFonts w:ascii="Times New Roman" w:hAnsi="Times New Roman" w:cs="Times New Roman"/>
                <w:i w:val="0"/>
                <w:iCs w:val="0"/>
                <w:color w:val="auto"/>
                <w:kern w:val="0"/>
                <w:sz w:val="20"/>
                <w:szCs w:val="20"/>
              </w:rPr>
              <w:t>/mm</w:t>
            </w:r>
          </w:p>
        </w:tc>
        <w:tc>
          <w:tcPr>
            <w:tcW w:w="1021" w:type="dxa"/>
            <w:shd w:val="clear" w:color="auto" w:fill="auto"/>
            <w:vAlign w:val="center"/>
          </w:tcPr>
          <w:p w14:paraId="7C991D6C">
            <w:pPr>
              <w:widowControl/>
              <w:jc w:val="center"/>
              <w:textAlignment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kern w:val="0"/>
                <w:sz w:val="20"/>
                <w:szCs w:val="20"/>
              </w:rPr>
              <w:t>d</w:t>
            </w:r>
            <w:r>
              <w:rPr>
                <w:rFonts w:ascii="Times New Roman" w:hAnsi="Times New Roman" w:cs="Times New Roman"/>
                <w:i w:val="0"/>
                <w:iCs w:val="0"/>
                <w:color w:val="auto"/>
                <w:kern w:val="0"/>
                <w:sz w:val="20"/>
                <w:szCs w:val="20"/>
              </w:rPr>
              <w:t>/</w:t>
            </w:r>
            <w:r>
              <w:rPr>
                <w:rFonts w:hint="eastAsia" w:ascii="Times New Roman" w:hAnsi="Times New Roman" w:cs="Times New Roman"/>
                <w:i w:val="0"/>
                <w:iCs w:val="0"/>
                <w:color w:val="auto"/>
                <w:kern w:val="0"/>
                <w:sz w:val="20"/>
                <w:szCs w:val="20"/>
              </w:rPr>
              <w:t>mm</w:t>
            </w:r>
          </w:p>
        </w:tc>
        <w:tc>
          <w:tcPr>
            <w:tcW w:w="1113" w:type="dxa"/>
            <w:gridSpan w:val="2"/>
            <w:shd w:val="clear" w:color="auto" w:fill="auto"/>
            <w:vAlign w:val="center"/>
          </w:tcPr>
          <w:p w14:paraId="68568245">
            <w:pPr>
              <w:widowControl/>
              <w:jc w:val="center"/>
              <w:textAlignment w:val="center"/>
              <w:rPr>
                <w:rFonts w:ascii="Times New Roman" w:hAnsi="Times New Roman" w:cs="Times New Roman"/>
                <w:i w:val="0"/>
                <w:iCs w:val="0"/>
                <w:color w:val="auto"/>
                <w:sz w:val="20"/>
                <w:szCs w:val="20"/>
              </w:rPr>
            </w:pPr>
            <w:r>
              <w:rPr>
                <w:rFonts w:ascii="Times New Roman" w:hAnsi="Times New Roman" w:cs="Times New Roman"/>
                <w:i w:val="0"/>
                <w:iCs w:val="0"/>
                <w:color w:val="auto"/>
                <w:kern w:val="0"/>
                <w:sz w:val="20"/>
                <w:szCs w:val="20"/>
              </w:rPr>
              <w:t>弹性模量E/MPa</w:t>
            </w:r>
          </w:p>
        </w:tc>
        <w:tc>
          <w:tcPr>
            <w:tcW w:w="1157" w:type="dxa"/>
            <w:gridSpan w:val="2"/>
            <w:shd w:val="clear" w:color="auto" w:fill="auto"/>
            <w:vAlign w:val="center"/>
          </w:tcPr>
          <w:p w14:paraId="1D68155C">
            <w:pPr>
              <w:widowControl/>
              <w:jc w:val="center"/>
              <w:textAlignment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kern w:val="0"/>
                <w:sz w:val="20"/>
                <w:szCs w:val="20"/>
              </w:rPr>
              <w:t>弯曲</w:t>
            </w:r>
            <w:r>
              <w:rPr>
                <w:rFonts w:ascii="Times New Roman" w:hAnsi="Times New Roman" w:cs="Times New Roman"/>
                <w:i w:val="0"/>
                <w:iCs w:val="0"/>
                <w:color w:val="auto"/>
                <w:kern w:val="0"/>
                <w:sz w:val="20"/>
                <w:szCs w:val="20"/>
              </w:rPr>
              <w:t>强度</w:t>
            </w:r>
            <w:r>
              <w:rPr>
                <w:rFonts w:hint="eastAsia" w:ascii="Times New Roman" w:hAnsi="Times New Roman" w:cs="Times New Roman"/>
                <w:i w:val="0"/>
                <w:iCs w:val="0"/>
                <w:color w:val="auto"/>
                <w:kern w:val="0"/>
                <w:sz w:val="20"/>
                <w:szCs w:val="20"/>
              </w:rPr>
              <w:t>R</w:t>
            </w:r>
            <w:r>
              <w:rPr>
                <w:rFonts w:ascii="Times New Roman" w:hAnsi="Times New Roman" w:cs="Times New Roman"/>
                <w:i w:val="0"/>
                <w:iCs w:val="0"/>
                <w:color w:val="auto"/>
                <w:kern w:val="0"/>
                <w:sz w:val="20"/>
                <w:szCs w:val="20"/>
              </w:rPr>
              <w:t>/MPa</w:t>
            </w:r>
          </w:p>
        </w:tc>
      </w:tr>
      <w:tr w14:paraId="77B59DA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vMerge w:val="restart"/>
            <w:shd w:val="clear" w:color="auto" w:fill="auto"/>
            <w:vAlign w:val="center"/>
          </w:tcPr>
          <w:p w14:paraId="52AD7486">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01</w:t>
            </w:r>
          </w:p>
        </w:tc>
        <w:tc>
          <w:tcPr>
            <w:tcW w:w="836" w:type="dxa"/>
            <w:gridSpan w:val="2"/>
            <w:shd w:val="clear" w:color="auto" w:fill="auto"/>
            <w:vAlign w:val="center"/>
          </w:tcPr>
          <w:p w14:paraId="012031C3">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P1</w:t>
            </w:r>
          </w:p>
        </w:tc>
        <w:tc>
          <w:tcPr>
            <w:tcW w:w="799" w:type="dxa"/>
            <w:gridSpan w:val="5"/>
            <w:shd w:val="clear" w:color="auto" w:fill="auto"/>
            <w:vAlign w:val="center"/>
          </w:tcPr>
          <w:p w14:paraId="58D1C95E">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0.974</w:t>
            </w:r>
          </w:p>
        </w:tc>
        <w:tc>
          <w:tcPr>
            <w:tcW w:w="752" w:type="dxa"/>
            <w:gridSpan w:val="4"/>
            <w:shd w:val="clear" w:color="auto" w:fill="auto"/>
            <w:vAlign w:val="center"/>
          </w:tcPr>
          <w:p w14:paraId="22FDE44A">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0.231</w:t>
            </w:r>
          </w:p>
        </w:tc>
        <w:tc>
          <w:tcPr>
            <w:tcW w:w="964" w:type="dxa"/>
            <w:gridSpan w:val="2"/>
            <w:vMerge w:val="restart"/>
            <w:shd w:val="clear" w:color="auto" w:fill="auto"/>
            <w:vAlign w:val="center"/>
          </w:tcPr>
          <w:p w14:paraId="77D0215B">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300</w:t>
            </w:r>
          </w:p>
        </w:tc>
        <w:tc>
          <w:tcPr>
            <w:tcW w:w="1224" w:type="dxa"/>
            <w:vMerge w:val="restart"/>
            <w:shd w:val="clear" w:color="auto" w:fill="auto"/>
            <w:vAlign w:val="center"/>
          </w:tcPr>
          <w:p w14:paraId="5602B67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100</w:t>
            </w:r>
          </w:p>
        </w:tc>
        <w:tc>
          <w:tcPr>
            <w:tcW w:w="1021" w:type="dxa"/>
            <w:vMerge w:val="restart"/>
            <w:shd w:val="clear" w:color="auto" w:fill="auto"/>
            <w:vAlign w:val="center"/>
          </w:tcPr>
          <w:p w14:paraId="389F34FE">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rPr>
              <w:t>70</w:t>
            </w:r>
          </w:p>
        </w:tc>
        <w:tc>
          <w:tcPr>
            <w:tcW w:w="1113" w:type="dxa"/>
            <w:gridSpan w:val="2"/>
            <w:vMerge w:val="restart"/>
            <w:shd w:val="clear" w:color="auto" w:fill="auto"/>
            <w:vAlign w:val="center"/>
          </w:tcPr>
          <w:p w14:paraId="7555B20D">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208.074</w:t>
            </w:r>
          </w:p>
        </w:tc>
        <w:tc>
          <w:tcPr>
            <w:tcW w:w="1157" w:type="dxa"/>
            <w:gridSpan w:val="2"/>
            <w:vMerge w:val="restart"/>
            <w:shd w:val="clear" w:color="auto" w:fill="auto"/>
            <w:vAlign w:val="center"/>
          </w:tcPr>
          <w:p w14:paraId="3E13DBEC">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1.335</w:t>
            </w:r>
          </w:p>
        </w:tc>
      </w:tr>
      <w:tr w14:paraId="27A3B8F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vMerge w:val="continue"/>
            <w:shd w:val="clear" w:color="auto" w:fill="auto"/>
            <w:vAlign w:val="center"/>
          </w:tcPr>
          <w:p w14:paraId="3F847849">
            <w:pPr>
              <w:jc w:val="center"/>
              <w:rPr>
                <w:rFonts w:ascii="Times New Roman" w:hAnsi="Times New Roman" w:cs="Times New Roman"/>
                <w:i w:val="0"/>
                <w:iCs w:val="0"/>
                <w:color w:val="auto"/>
                <w:sz w:val="20"/>
                <w:szCs w:val="20"/>
              </w:rPr>
            </w:pPr>
          </w:p>
        </w:tc>
        <w:tc>
          <w:tcPr>
            <w:tcW w:w="836" w:type="dxa"/>
            <w:gridSpan w:val="2"/>
            <w:shd w:val="clear" w:color="auto" w:fill="auto"/>
            <w:vAlign w:val="center"/>
          </w:tcPr>
          <w:p w14:paraId="35CF2BB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P2</w:t>
            </w:r>
          </w:p>
        </w:tc>
        <w:tc>
          <w:tcPr>
            <w:tcW w:w="799" w:type="dxa"/>
            <w:gridSpan w:val="5"/>
            <w:shd w:val="clear" w:color="auto" w:fill="auto"/>
            <w:vAlign w:val="center"/>
          </w:tcPr>
          <w:p w14:paraId="544BAC2A">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1.288</w:t>
            </w:r>
          </w:p>
        </w:tc>
        <w:tc>
          <w:tcPr>
            <w:tcW w:w="752" w:type="dxa"/>
            <w:gridSpan w:val="4"/>
            <w:shd w:val="clear" w:color="auto" w:fill="auto"/>
            <w:vAlign w:val="center"/>
          </w:tcPr>
          <w:p w14:paraId="37F4E848">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0.563</w:t>
            </w:r>
          </w:p>
        </w:tc>
        <w:tc>
          <w:tcPr>
            <w:tcW w:w="964" w:type="dxa"/>
            <w:gridSpan w:val="2"/>
            <w:vMerge w:val="continue"/>
            <w:shd w:val="clear" w:color="auto" w:fill="auto"/>
            <w:vAlign w:val="center"/>
          </w:tcPr>
          <w:p w14:paraId="49405308">
            <w:pPr>
              <w:jc w:val="center"/>
              <w:rPr>
                <w:rFonts w:ascii="Times New Roman" w:hAnsi="Times New Roman" w:cs="Times New Roman"/>
                <w:i w:val="0"/>
                <w:iCs w:val="0"/>
                <w:color w:val="auto"/>
                <w:sz w:val="20"/>
                <w:szCs w:val="20"/>
              </w:rPr>
            </w:pPr>
          </w:p>
        </w:tc>
        <w:tc>
          <w:tcPr>
            <w:tcW w:w="1224" w:type="dxa"/>
            <w:vMerge w:val="continue"/>
            <w:shd w:val="clear" w:color="auto" w:fill="auto"/>
            <w:vAlign w:val="center"/>
          </w:tcPr>
          <w:p w14:paraId="50790A59">
            <w:pPr>
              <w:jc w:val="center"/>
              <w:rPr>
                <w:rFonts w:ascii="Times New Roman" w:hAnsi="Times New Roman" w:cs="Times New Roman"/>
                <w:i w:val="0"/>
                <w:iCs w:val="0"/>
                <w:color w:val="auto"/>
                <w:sz w:val="20"/>
                <w:szCs w:val="20"/>
              </w:rPr>
            </w:pPr>
          </w:p>
        </w:tc>
        <w:tc>
          <w:tcPr>
            <w:tcW w:w="1021" w:type="dxa"/>
            <w:vMerge w:val="continue"/>
            <w:shd w:val="clear" w:color="auto" w:fill="auto"/>
            <w:vAlign w:val="center"/>
          </w:tcPr>
          <w:p w14:paraId="7EA69CAB">
            <w:pPr>
              <w:jc w:val="center"/>
              <w:rPr>
                <w:rFonts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45D46F35">
            <w:pPr>
              <w:jc w:val="center"/>
              <w:rPr>
                <w:rFonts w:ascii="Times New Roman" w:hAnsi="Times New Roman" w:cs="Times New Roman"/>
                <w:i w:val="0"/>
                <w:iCs w:val="0"/>
                <w:color w:val="auto"/>
                <w:sz w:val="20"/>
                <w:szCs w:val="20"/>
              </w:rPr>
            </w:pPr>
          </w:p>
        </w:tc>
        <w:tc>
          <w:tcPr>
            <w:tcW w:w="1157" w:type="dxa"/>
            <w:gridSpan w:val="2"/>
            <w:vMerge w:val="continue"/>
            <w:shd w:val="clear" w:color="auto" w:fill="auto"/>
            <w:vAlign w:val="center"/>
          </w:tcPr>
          <w:p w14:paraId="7FC5A527">
            <w:pPr>
              <w:jc w:val="center"/>
              <w:rPr>
                <w:rFonts w:ascii="Times New Roman" w:hAnsi="Times New Roman" w:cs="Times New Roman"/>
                <w:i w:val="0"/>
                <w:iCs w:val="0"/>
                <w:color w:val="auto"/>
                <w:sz w:val="20"/>
                <w:szCs w:val="20"/>
              </w:rPr>
            </w:pPr>
          </w:p>
        </w:tc>
      </w:tr>
      <w:tr w14:paraId="263878E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vMerge w:val="continue"/>
            <w:shd w:val="clear" w:color="auto" w:fill="auto"/>
            <w:vAlign w:val="center"/>
          </w:tcPr>
          <w:p w14:paraId="3AA9166D">
            <w:pPr>
              <w:jc w:val="center"/>
              <w:rPr>
                <w:rFonts w:ascii="Times New Roman" w:hAnsi="Times New Roman" w:cs="Times New Roman"/>
                <w:i w:val="0"/>
                <w:iCs w:val="0"/>
                <w:color w:val="auto"/>
                <w:sz w:val="20"/>
                <w:szCs w:val="20"/>
              </w:rPr>
            </w:pPr>
          </w:p>
        </w:tc>
        <w:tc>
          <w:tcPr>
            <w:tcW w:w="836" w:type="dxa"/>
            <w:gridSpan w:val="2"/>
            <w:shd w:val="clear" w:color="auto" w:fill="auto"/>
            <w:vAlign w:val="center"/>
          </w:tcPr>
          <w:p w14:paraId="5238F2C5">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Pn</w:t>
            </w:r>
          </w:p>
        </w:tc>
        <w:tc>
          <w:tcPr>
            <w:tcW w:w="799" w:type="dxa"/>
            <w:gridSpan w:val="5"/>
            <w:shd w:val="clear" w:color="auto" w:fill="auto"/>
            <w:vAlign w:val="center"/>
          </w:tcPr>
          <w:p w14:paraId="39C1E11F">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12.215</w:t>
            </w:r>
          </w:p>
        </w:tc>
        <w:tc>
          <w:tcPr>
            <w:tcW w:w="752" w:type="dxa"/>
            <w:gridSpan w:val="4"/>
            <w:shd w:val="clear" w:color="auto" w:fill="auto"/>
            <w:vAlign w:val="center"/>
          </w:tcPr>
          <w:p w14:paraId="6F3E09B5">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1.454</w:t>
            </w:r>
          </w:p>
        </w:tc>
        <w:tc>
          <w:tcPr>
            <w:tcW w:w="964" w:type="dxa"/>
            <w:gridSpan w:val="2"/>
            <w:vMerge w:val="continue"/>
            <w:shd w:val="clear" w:color="auto" w:fill="auto"/>
            <w:vAlign w:val="center"/>
          </w:tcPr>
          <w:p w14:paraId="21749191">
            <w:pPr>
              <w:jc w:val="center"/>
              <w:rPr>
                <w:rFonts w:ascii="Times New Roman" w:hAnsi="Times New Roman" w:cs="Times New Roman"/>
                <w:i w:val="0"/>
                <w:iCs w:val="0"/>
                <w:color w:val="auto"/>
                <w:sz w:val="20"/>
                <w:szCs w:val="20"/>
              </w:rPr>
            </w:pPr>
          </w:p>
        </w:tc>
        <w:tc>
          <w:tcPr>
            <w:tcW w:w="1224" w:type="dxa"/>
            <w:vMerge w:val="continue"/>
            <w:shd w:val="clear" w:color="auto" w:fill="auto"/>
            <w:vAlign w:val="center"/>
          </w:tcPr>
          <w:p w14:paraId="38551DF7">
            <w:pPr>
              <w:jc w:val="center"/>
              <w:rPr>
                <w:rFonts w:ascii="Times New Roman" w:hAnsi="Times New Roman" w:cs="Times New Roman"/>
                <w:i w:val="0"/>
                <w:iCs w:val="0"/>
                <w:color w:val="auto"/>
                <w:sz w:val="20"/>
                <w:szCs w:val="20"/>
              </w:rPr>
            </w:pPr>
          </w:p>
        </w:tc>
        <w:tc>
          <w:tcPr>
            <w:tcW w:w="1021" w:type="dxa"/>
            <w:vMerge w:val="continue"/>
            <w:shd w:val="clear" w:color="auto" w:fill="auto"/>
            <w:vAlign w:val="center"/>
          </w:tcPr>
          <w:p w14:paraId="6391BDFA">
            <w:pPr>
              <w:jc w:val="center"/>
              <w:rPr>
                <w:rFonts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057C914C">
            <w:pPr>
              <w:jc w:val="center"/>
              <w:rPr>
                <w:rFonts w:ascii="Times New Roman" w:hAnsi="Times New Roman" w:cs="Times New Roman"/>
                <w:i w:val="0"/>
                <w:iCs w:val="0"/>
                <w:color w:val="auto"/>
                <w:sz w:val="20"/>
                <w:szCs w:val="20"/>
              </w:rPr>
            </w:pPr>
          </w:p>
        </w:tc>
        <w:tc>
          <w:tcPr>
            <w:tcW w:w="1157" w:type="dxa"/>
            <w:gridSpan w:val="2"/>
            <w:vMerge w:val="continue"/>
            <w:shd w:val="clear" w:color="auto" w:fill="auto"/>
            <w:vAlign w:val="center"/>
          </w:tcPr>
          <w:p w14:paraId="5648D1E0">
            <w:pPr>
              <w:jc w:val="center"/>
              <w:rPr>
                <w:rFonts w:ascii="Times New Roman" w:hAnsi="Times New Roman" w:cs="Times New Roman"/>
                <w:i w:val="0"/>
                <w:iCs w:val="0"/>
                <w:color w:val="auto"/>
                <w:sz w:val="20"/>
                <w:szCs w:val="20"/>
              </w:rPr>
            </w:pPr>
          </w:p>
        </w:tc>
      </w:tr>
      <w:tr w14:paraId="1A06AD8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vMerge w:val="restart"/>
            <w:shd w:val="clear" w:color="auto" w:fill="auto"/>
            <w:vAlign w:val="center"/>
          </w:tcPr>
          <w:p w14:paraId="3DF4AC1B">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02</w:t>
            </w:r>
          </w:p>
        </w:tc>
        <w:tc>
          <w:tcPr>
            <w:tcW w:w="836" w:type="dxa"/>
            <w:gridSpan w:val="2"/>
            <w:shd w:val="clear" w:color="auto" w:fill="auto"/>
            <w:vAlign w:val="center"/>
          </w:tcPr>
          <w:p w14:paraId="47BFA33D">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P1</w:t>
            </w:r>
          </w:p>
        </w:tc>
        <w:tc>
          <w:tcPr>
            <w:tcW w:w="799" w:type="dxa"/>
            <w:gridSpan w:val="5"/>
            <w:shd w:val="clear" w:color="auto" w:fill="auto"/>
            <w:vAlign w:val="center"/>
          </w:tcPr>
          <w:p w14:paraId="08A794F1">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1.169</w:t>
            </w:r>
          </w:p>
        </w:tc>
        <w:tc>
          <w:tcPr>
            <w:tcW w:w="752" w:type="dxa"/>
            <w:gridSpan w:val="4"/>
            <w:shd w:val="clear" w:color="auto" w:fill="auto"/>
            <w:vAlign w:val="center"/>
          </w:tcPr>
          <w:p w14:paraId="4E1BF352">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0.265</w:t>
            </w:r>
          </w:p>
        </w:tc>
        <w:tc>
          <w:tcPr>
            <w:tcW w:w="964" w:type="dxa"/>
            <w:gridSpan w:val="2"/>
            <w:vMerge w:val="restart"/>
            <w:shd w:val="clear" w:color="auto" w:fill="auto"/>
            <w:vAlign w:val="center"/>
          </w:tcPr>
          <w:p w14:paraId="74F10337">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300</w:t>
            </w:r>
          </w:p>
        </w:tc>
        <w:tc>
          <w:tcPr>
            <w:tcW w:w="1224" w:type="dxa"/>
            <w:vMerge w:val="restart"/>
            <w:shd w:val="clear" w:color="auto" w:fill="auto"/>
            <w:vAlign w:val="center"/>
          </w:tcPr>
          <w:p w14:paraId="6FC6FDAD">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100</w:t>
            </w:r>
          </w:p>
        </w:tc>
        <w:tc>
          <w:tcPr>
            <w:tcW w:w="1021" w:type="dxa"/>
            <w:vMerge w:val="restart"/>
            <w:shd w:val="clear" w:color="auto" w:fill="auto"/>
            <w:vAlign w:val="center"/>
          </w:tcPr>
          <w:p w14:paraId="18029FE3">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70</w:t>
            </w:r>
          </w:p>
        </w:tc>
        <w:tc>
          <w:tcPr>
            <w:tcW w:w="1113" w:type="dxa"/>
            <w:gridSpan w:val="2"/>
            <w:vMerge w:val="restart"/>
            <w:shd w:val="clear" w:color="auto" w:fill="auto"/>
            <w:vAlign w:val="center"/>
          </w:tcPr>
          <w:p w14:paraId="401DDE0D">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156.876</w:t>
            </w:r>
          </w:p>
        </w:tc>
        <w:tc>
          <w:tcPr>
            <w:tcW w:w="1157" w:type="dxa"/>
            <w:gridSpan w:val="2"/>
            <w:vMerge w:val="restart"/>
            <w:shd w:val="clear" w:color="auto" w:fill="auto"/>
            <w:vAlign w:val="center"/>
          </w:tcPr>
          <w:p w14:paraId="4C07BF62">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1.263</w:t>
            </w:r>
          </w:p>
        </w:tc>
      </w:tr>
      <w:tr w14:paraId="217A254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vMerge w:val="continue"/>
            <w:shd w:val="clear" w:color="auto" w:fill="auto"/>
            <w:vAlign w:val="center"/>
          </w:tcPr>
          <w:p w14:paraId="14784213">
            <w:pPr>
              <w:jc w:val="center"/>
              <w:rPr>
                <w:rFonts w:ascii="Times New Roman" w:hAnsi="Times New Roman" w:cs="Times New Roman"/>
                <w:i w:val="0"/>
                <w:iCs w:val="0"/>
                <w:color w:val="auto"/>
                <w:kern w:val="0"/>
                <w:sz w:val="20"/>
                <w:szCs w:val="20"/>
              </w:rPr>
            </w:pPr>
          </w:p>
        </w:tc>
        <w:tc>
          <w:tcPr>
            <w:tcW w:w="836" w:type="dxa"/>
            <w:gridSpan w:val="2"/>
            <w:shd w:val="clear" w:color="auto" w:fill="auto"/>
            <w:vAlign w:val="center"/>
          </w:tcPr>
          <w:p w14:paraId="5507F257">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P2</w:t>
            </w:r>
          </w:p>
        </w:tc>
        <w:tc>
          <w:tcPr>
            <w:tcW w:w="799" w:type="dxa"/>
            <w:gridSpan w:val="5"/>
            <w:shd w:val="clear" w:color="auto" w:fill="auto"/>
            <w:vAlign w:val="center"/>
          </w:tcPr>
          <w:p w14:paraId="3FE80079">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1.662</w:t>
            </w:r>
          </w:p>
        </w:tc>
        <w:tc>
          <w:tcPr>
            <w:tcW w:w="752" w:type="dxa"/>
            <w:gridSpan w:val="4"/>
            <w:shd w:val="clear" w:color="auto" w:fill="auto"/>
            <w:vAlign w:val="center"/>
          </w:tcPr>
          <w:p w14:paraId="6AC19CC0">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0.658</w:t>
            </w:r>
          </w:p>
        </w:tc>
        <w:tc>
          <w:tcPr>
            <w:tcW w:w="964" w:type="dxa"/>
            <w:gridSpan w:val="2"/>
            <w:vMerge w:val="continue"/>
            <w:shd w:val="clear" w:color="auto" w:fill="auto"/>
            <w:vAlign w:val="center"/>
          </w:tcPr>
          <w:p w14:paraId="35D30BB5">
            <w:pPr>
              <w:jc w:val="center"/>
              <w:rPr>
                <w:rFonts w:ascii="Times New Roman" w:hAnsi="Times New Roman" w:cs="Times New Roman"/>
                <w:i w:val="0"/>
                <w:iCs w:val="0"/>
                <w:color w:val="auto"/>
                <w:kern w:val="0"/>
                <w:sz w:val="20"/>
                <w:szCs w:val="20"/>
              </w:rPr>
            </w:pPr>
          </w:p>
        </w:tc>
        <w:tc>
          <w:tcPr>
            <w:tcW w:w="1224" w:type="dxa"/>
            <w:vMerge w:val="continue"/>
            <w:shd w:val="clear" w:color="auto" w:fill="auto"/>
            <w:vAlign w:val="center"/>
          </w:tcPr>
          <w:p w14:paraId="60CF0C15">
            <w:pPr>
              <w:jc w:val="center"/>
              <w:rPr>
                <w:rFonts w:ascii="Times New Roman" w:hAnsi="Times New Roman" w:cs="Times New Roman"/>
                <w:i w:val="0"/>
                <w:iCs w:val="0"/>
                <w:color w:val="auto"/>
                <w:kern w:val="0"/>
                <w:sz w:val="20"/>
                <w:szCs w:val="20"/>
              </w:rPr>
            </w:pPr>
          </w:p>
        </w:tc>
        <w:tc>
          <w:tcPr>
            <w:tcW w:w="1021" w:type="dxa"/>
            <w:vMerge w:val="continue"/>
            <w:shd w:val="clear" w:color="auto" w:fill="auto"/>
            <w:vAlign w:val="center"/>
          </w:tcPr>
          <w:p w14:paraId="33E76549">
            <w:pPr>
              <w:jc w:val="center"/>
              <w:rPr>
                <w:rFonts w:ascii="Times New Roman" w:hAnsi="Times New Roman" w:cs="Times New Roman"/>
                <w:i w:val="0"/>
                <w:iCs w:val="0"/>
                <w:color w:val="auto"/>
                <w:kern w:val="0"/>
                <w:sz w:val="20"/>
                <w:szCs w:val="20"/>
              </w:rPr>
            </w:pPr>
          </w:p>
        </w:tc>
        <w:tc>
          <w:tcPr>
            <w:tcW w:w="1113" w:type="dxa"/>
            <w:gridSpan w:val="2"/>
            <w:vMerge w:val="continue"/>
            <w:shd w:val="clear" w:color="auto" w:fill="auto"/>
            <w:vAlign w:val="center"/>
          </w:tcPr>
          <w:p w14:paraId="6AC82515">
            <w:pPr>
              <w:jc w:val="center"/>
              <w:rPr>
                <w:rFonts w:ascii="Times New Roman" w:hAnsi="Times New Roman" w:cs="Times New Roman"/>
                <w:i w:val="0"/>
                <w:iCs w:val="0"/>
                <w:color w:val="auto"/>
                <w:kern w:val="0"/>
                <w:sz w:val="20"/>
                <w:szCs w:val="20"/>
              </w:rPr>
            </w:pPr>
          </w:p>
        </w:tc>
        <w:tc>
          <w:tcPr>
            <w:tcW w:w="1157" w:type="dxa"/>
            <w:gridSpan w:val="2"/>
            <w:vMerge w:val="continue"/>
            <w:shd w:val="clear" w:color="auto" w:fill="auto"/>
            <w:vAlign w:val="center"/>
          </w:tcPr>
          <w:p w14:paraId="6245C127">
            <w:pPr>
              <w:jc w:val="center"/>
              <w:rPr>
                <w:rFonts w:ascii="Times New Roman" w:hAnsi="Times New Roman" w:cs="Times New Roman"/>
                <w:i w:val="0"/>
                <w:iCs w:val="0"/>
                <w:color w:val="auto"/>
                <w:kern w:val="0"/>
                <w:sz w:val="20"/>
                <w:szCs w:val="20"/>
              </w:rPr>
            </w:pPr>
          </w:p>
        </w:tc>
      </w:tr>
      <w:tr w14:paraId="599B4E15">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vMerge w:val="continue"/>
            <w:shd w:val="clear" w:color="auto" w:fill="auto"/>
            <w:vAlign w:val="center"/>
          </w:tcPr>
          <w:p w14:paraId="326318A7">
            <w:pPr>
              <w:jc w:val="center"/>
              <w:rPr>
                <w:rFonts w:ascii="Times New Roman" w:hAnsi="Times New Roman" w:cs="Times New Roman"/>
                <w:i w:val="0"/>
                <w:iCs w:val="0"/>
                <w:color w:val="auto"/>
                <w:kern w:val="0"/>
                <w:sz w:val="20"/>
                <w:szCs w:val="20"/>
              </w:rPr>
            </w:pPr>
          </w:p>
        </w:tc>
        <w:tc>
          <w:tcPr>
            <w:tcW w:w="836" w:type="dxa"/>
            <w:gridSpan w:val="2"/>
            <w:shd w:val="clear" w:color="auto" w:fill="auto"/>
            <w:vAlign w:val="center"/>
          </w:tcPr>
          <w:p w14:paraId="7C8A65E8">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Pn</w:t>
            </w:r>
          </w:p>
        </w:tc>
        <w:tc>
          <w:tcPr>
            <w:tcW w:w="799" w:type="dxa"/>
            <w:gridSpan w:val="5"/>
            <w:shd w:val="clear" w:color="auto" w:fill="auto"/>
            <w:vAlign w:val="center"/>
          </w:tcPr>
          <w:p w14:paraId="23276BB8">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12.355</w:t>
            </w:r>
          </w:p>
        </w:tc>
        <w:tc>
          <w:tcPr>
            <w:tcW w:w="752" w:type="dxa"/>
            <w:gridSpan w:val="4"/>
            <w:shd w:val="clear" w:color="auto" w:fill="auto"/>
            <w:vAlign w:val="center"/>
          </w:tcPr>
          <w:p w14:paraId="6E15B2A1">
            <w:pPr>
              <w:widowControl/>
              <w:jc w:val="center"/>
              <w:textAlignment w:val="center"/>
              <w:rPr>
                <w:rFonts w:ascii="Times New Roman" w:hAnsi="Times New Roman" w:cs="Times New Roman"/>
                <w:i w:val="0"/>
                <w:iCs w:val="0"/>
                <w:color w:val="auto"/>
                <w:kern w:val="0"/>
                <w:sz w:val="20"/>
                <w:szCs w:val="20"/>
              </w:rPr>
            </w:pPr>
            <w:r>
              <w:rPr>
                <w:rFonts w:ascii="Times New Roman" w:hAnsi="Times New Roman" w:eastAsia="宋体" w:cs="Times New Roman"/>
                <w:i w:val="0"/>
                <w:iCs w:val="0"/>
                <w:color w:val="auto"/>
                <w:kern w:val="0"/>
                <w:sz w:val="20"/>
                <w:szCs w:val="20"/>
              </w:rPr>
              <w:t>1.375</w:t>
            </w:r>
          </w:p>
        </w:tc>
        <w:tc>
          <w:tcPr>
            <w:tcW w:w="964" w:type="dxa"/>
            <w:gridSpan w:val="2"/>
            <w:vMerge w:val="continue"/>
            <w:shd w:val="clear" w:color="auto" w:fill="auto"/>
            <w:vAlign w:val="center"/>
          </w:tcPr>
          <w:p w14:paraId="1B33CDFB">
            <w:pPr>
              <w:jc w:val="center"/>
              <w:rPr>
                <w:rFonts w:ascii="Times New Roman" w:hAnsi="Times New Roman" w:cs="Times New Roman"/>
                <w:i w:val="0"/>
                <w:iCs w:val="0"/>
                <w:color w:val="auto"/>
                <w:kern w:val="0"/>
                <w:sz w:val="20"/>
                <w:szCs w:val="20"/>
              </w:rPr>
            </w:pPr>
          </w:p>
        </w:tc>
        <w:tc>
          <w:tcPr>
            <w:tcW w:w="1224" w:type="dxa"/>
            <w:vMerge w:val="continue"/>
            <w:shd w:val="clear" w:color="auto" w:fill="auto"/>
            <w:vAlign w:val="center"/>
          </w:tcPr>
          <w:p w14:paraId="698D9F91">
            <w:pPr>
              <w:jc w:val="center"/>
              <w:rPr>
                <w:rFonts w:ascii="Times New Roman" w:hAnsi="Times New Roman" w:cs="Times New Roman"/>
                <w:i w:val="0"/>
                <w:iCs w:val="0"/>
                <w:color w:val="auto"/>
                <w:kern w:val="0"/>
                <w:sz w:val="20"/>
                <w:szCs w:val="20"/>
              </w:rPr>
            </w:pPr>
          </w:p>
        </w:tc>
        <w:tc>
          <w:tcPr>
            <w:tcW w:w="1021" w:type="dxa"/>
            <w:vMerge w:val="continue"/>
            <w:shd w:val="clear" w:color="auto" w:fill="auto"/>
            <w:vAlign w:val="center"/>
          </w:tcPr>
          <w:p w14:paraId="4AC43AFC">
            <w:pPr>
              <w:jc w:val="center"/>
              <w:rPr>
                <w:rFonts w:ascii="Times New Roman" w:hAnsi="Times New Roman" w:cs="Times New Roman"/>
                <w:i w:val="0"/>
                <w:iCs w:val="0"/>
                <w:color w:val="auto"/>
                <w:kern w:val="0"/>
                <w:sz w:val="20"/>
                <w:szCs w:val="20"/>
              </w:rPr>
            </w:pPr>
          </w:p>
        </w:tc>
        <w:tc>
          <w:tcPr>
            <w:tcW w:w="1113" w:type="dxa"/>
            <w:gridSpan w:val="2"/>
            <w:vMerge w:val="continue"/>
            <w:shd w:val="clear" w:color="auto" w:fill="auto"/>
            <w:vAlign w:val="center"/>
          </w:tcPr>
          <w:p w14:paraId="0773B401">
            <w:pPr>
              <w:jc w:val="center"/>
              <w:rPr>
                <w:rFonts w:ascii="Times New Roman" w:hAnsi="Times New Roman" w:cs="Times New Roman"/>
                <w:i w:val="0"/>
                <w:iCs w:val="0"/>
                <w:color w:val="auto"/>
                <w:kern w:val="0"/>
                <w:sz w:val="20"/>
                <w:szCs w:val="20"/>
              </w:rPr>
            </w:pPr>
          </w:p>
        </w:tc>
        <w:tc>
          <w:tcPr>
            <w:tcW w:w="1157" w:type="dxa"/>
            <w:gridSpan w:val="2"/>
            <w:vMerge w:val="continue"/>
            <w:shd w:val="clear" w:color="auto" w:fill="auto"/>
            <w:vAlign w:val="center"/>
          </w:tcPr>
          <w:p w14:paraId="6CEF7B2C">
            <w:pPr>
              <w:jc w:val="center"/>
              <w:rPr>
                <w:rFonts w:ascii="Times New Roman" w:hAnsi="Times New Roman" w:cs="Times New Roman"/>
                <w:i w:val="0"/>
                <w:iCs w:val="0"/>
                <w:color w:val="auto"/>
                <w:kern w:val="0"/>
                <w:sz w:val="20"/>
                <w:szCs w:val="20"/>
              </w:rPr>
            </w:pPr>
          </w:p>
        </w:tc>
      </w:tr>
      <w:tr w14:paraId="7DAA65E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vMerge w:val="restart"/>
            <w:shd w:val="clear" w:color="auto" w:fill="auto"/>
            <w:vAlign w:val="center"/>
          </w:tcPr>
          <w:p w14:paraId="7AC7FB4C">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03</w:t>
            </w:r>
          </w:p>
        </w:tc>
        <w:tc>
          <w:tcPr>
            <w:tcW w:w="836" w:type="dxa"/>
            <w:gridSpan w:val="2"/>
            <w:shd w:val="clear" w:color="auto" w:fill="auto"/>
            <w:vAlign w:val="center"/>
          </w:tcPr>
          <w:p w14:paraId="5DB1012F">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P1</w:t>
            </w:r>
          </w:p>
        </w:tc>
        <w:tc>
          <w:tcPr>
            <w:tcW w:w="799" w:type="dxa"/>
            <w:gridSpan w:val="5"/>
            <w:shd w:val="clear" w:color="auto" w:fill="auto"/>
            <w:vAlign w:val="center"/>
          </w:tcPr>
          <w:p w14:paraId="6D9014CE">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0.570</w:t>
            </w:r>
          </w:p>
        </w:tc>
        <w:tc>
          <w:tcPr>
            <w:tcW w:w="752" w:type="dxa"/>
            <w:gridSpan w:val="4"/>
            <w:shd w:val="clear" w:color="auto" w:fill="auto"/>
            <w:vAlign w:val="center"/>
          </w:tcPr>
          <w:p w14:paraId="5BB6D23B">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0.184</w:t>
            </w:r>
          </w:p>
        </w:tc>
        <w:tc>
          <w:tcPr>
            <w:tcW w:w="964" w:type="dxa"/>
            <w:gridSpan w:val="2"/>
            <w:vMerge w:val="restart"/>
            <w:shd w:val="clear" w:color="auto" w:fill="auto"/>
            <w:vAlign w:val="center"/>
          </w:tcPr>
          <w:p w14:paraId="4AE051AC">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300</w:t>
            </w:r>
          </w:p>
        </w:tc>
        <w:tc>
          <w:tcPr>
            <w:tcW w:w="1224" w:type="dxa"/>
            <w:vMerge w:val="restart"/>
            <w:shd w:val="clear" w:color="auto" w:fill="auto"/>
            <w:vAlign w:val="center"/>
          </w:tcPr>
          <w:p w14:paraId="559F3100">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100</w:t>
            </w:r>
          </w:p>
        </w:tc>
        <w:tc>
          <w:tcPr>
            <w:tcW w:w="1021" w:type="dxa"/>
            <w:vMerge w:val="restart"/>
            <w:shd w:val="clear" w:color="auto" w:fill="auto"/>
            <w:vAlign w:val="center"/>
          </w:tcPr>
          <w:p w14:paraId="350F1C93">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70</w:t>
            </w:r>
          </w:p>
        </w:tc>
        <w:tc>
          <w:tcPr>
            <w:tcW w:w="1113" w:type="dxa"/>
            <w:gridSpan w:val="2"/>
            <w:vMerge w:val="restart"/>
            <w:shd w:val="clear" w:color="auto" w:fill="auto"/>
            <w:vAlign w:val="center"/>
          </w:tcPr>
          <w:p w14:paraId="5B9A0001">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163.798</w:t>
            </w:r>
          </w:p>
        </w:tc>
        <w:tc>
          <w:tcPr>
            <w:tcW w:w="1157" w:type="dxa"/>
            <w:gridSpan w:val="2"/>
            <w:vMerge w:val="restart"/>
            <w:shd w:val="clear" w:color="auto" w:fill="auto"/>
            <w:vAlign w:val="center"/>
          </w:tcPr>
          <w:p w14:paraId="038653C8">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1.340</w:t>
            </w:r>
          </w:p>
        </w:tc>
      </w:tr>
      <w:tr w14:paraId="2C0AA3F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vMerge w:val="continue"/>
            <w:shd w:val="clear" w:color="auto" w:fill="auto"/>
            <w:vAlign w:val="center"/>
          </w:tcPr>
          <w:p w14:paraId="2B8B4476">
            <w:pPr>
              <w:jc w:val="center"/>
              <w:rPr>
                <w:rFonts w:ascii="Times New Roman" w:hAnsi="Times New Roman" w:cs="Times New Roman"/>
                <w:i w:val="0"/>
                <w:iCs w:val="0"/>
                <w:color w:val="auto"/>
                <w:sz w:val="20"/>
                <w:szCs w:val="20"/>
              </w:rPr>
            </w:pPr>
          </w:p>
        </w:tc>
        <w:tc>
          <w:tcPr>
            <w:tcW w:w="836" w:type="dxa"/>
            <w:gridSpan w:val="2"/>
            <w:shd w:val="clear" w:color="auto" w:fill="auto"/>
            <w:vAlign w:val="center"/>
          </w:tcPr>
          <w:p w14:paraId="063BD9C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P2</w:t>
            </w:r>
          </w:p>
        </w:tc>
        <w:tc>
          <w:tcPr>
            <w:tcW w:w="799" w:type="dxa"/>
            <w:gridSpan w:val="5"/>
            <w:shd w:val="clear" w:color="auto" w:fill="auto"/>
            <w:vAlign w:val="center"/>
          </w:tcPr>
          <w:p w14:paraId="0E9A1B4F">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0.904</w:t>
            </w:r>
          </w:p>
        </w:tc>
        <w:tc>
          <w:tcPr>
            <w:tcW w:w="752" w:type="dxa"/>
            <w:gridSpan w:val="4"/>
            <w:shd w:val="clear" w:color="auto" w:fill="auto"/>
            <w:vAlign w:val="center"/>
          </w:tcPr>
          <w:p w14:paraId="0E8C41DE">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0.462</w:t>
            </w:r>
          </w:p>
        </w:tc>
        <w:tc>
          <w:tcPr>
            <w:tcW w:w="964" w:type="dxa"/>
            <w:gridSpan w:val="2"/>
            <w:vMerge w:val="continue"/>
            <w:shd w:val="clear" w:color="auto" w:fill="auto"/>
            <w:vAlign w:val="center"/>
          </w:tcPr>
          <w:p w14:paraId="399E0390">
            <w:pPr>
              <w:jc w:val="center"/>
              <w:rPr>
                <w:rFonts w:ascii="Times New Roman" w:hAnsi="Times New Roman" w:cs="Times New Roman"/>
                <w:i w:val="0"/>
                <w:iCs w:val="0"/>
                <w:color w:val="auto"/>
                <w:sz w:val="20"/>
                <w:szCs w:val="20"/>
              </w:rPr>
            </w:pPr>
          </w:p>
        </w:tc>
        <w:tc>
          <w:tcPr>
            <w:tcW w:w="1224" w:type="dxa"/>
            <w:vMerge w:val="continue"/>
            <w:shd w:val="clear" w:color="auto" w:fill="auto"/>
            <w:vAlign w:val="center"/>
          </w:tcPr>
          <w:p w14:paraId="3CC4DE27">
            <w:pPr>
              <w:jc w:val="center"/>
              <w:rPr>
                <w:rFonts w:ascii="Times New Roman" w:hAnsi="Times New Roman" w:cs="Times New Roman"/>
                <w:i w:val="0"/>
                <w:iCs w:val="0"/>
                <w:color w:val="auto"/>
                <w:sz w:val="20"/>
                <w:szCs w:val="20"/>
              </w:rPr>
            </w:pPr>
          </w:p>
        </w:tc>
        <w:tc>
          <w:tcPr>
            <w:tcW w:w="1021" w:type="dxa"/>
            <w:vMerge w:val="continue"/>
            <w:shd w:val="clear" w:color="auto" w:fill="auto"/>
            <w:vAlign w:val="center"/>
          </w:tcPr>
          <w:p w14:paraId="4ABDC0E1">
            <w:pPr>
              <w:jc w:val="center"/>
              <w:rPr>
                <w:rFonts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5ECB9964">
            <w:pPr>
              <w:jc w:val="center"/>
              <w:rPr>
                <w:rFonts w:ascii="Times New Roman" w:hAnsi="Times New Roman" w:cs="Times New Roman"/>
                <w:i w:val="0"/>
                <w:iCs w:val="0"/>
                <w:color w:val="auto"/>
                <w:sz w:val="20"/>
                <w:szCs w:val="20"/>
              </w:rPr>
            </w:pPr>
          </w:p>
        </w:tc>
        <w:tc>
          <w:tcPr>
            <w:tcW w:w="1157" w:type="dxa"/>
            <w:gridSpan w:val="2"/>
            <w:vMerge w:val="continue"/>
            <w:shd w:val="clear" w:color="auto" w:fill="auto"/>
            <w:vAlign w:val="center"/>
          </w:tcPr>
          <w:p w14:paraId="1EA147BE">
            <w:pPr>
              <w:jc w:val="center"/>
              <w:rPr>
                <w:rFonts w:ascii="Times New Roman" w:hAnsi="Times New Roman" w:cs="Times New Roman"/>
                <w:i w:val="0"/>
                <w:iCs w:val="0"/>
                <w:color w:val="auto"/>
                <w:sz w:val="20"/>
                <w:szCs w:val="20"/>
              </w:rPr>
            </w:pPr>
          </w:p>
        </w:tc>
      </w:tr>
      <w:tr w14:paraId="31F8286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vMerge w:val="continue"/>
            <w:shd w:val="clear" w:color="auto" w:fill="auto"/>
            <w:vAlign w:val="center"/>
          </w:tcPr>
          <w:p w14:paraId="5573F94B">
            <w:pPr>
              <w:jc w:val="center"/>
              <w:rPr>
                <w:rFonts w:ascii="Times New Roman" w:hAnsi="Times New Roman" w:cs="Times New Roman"/>
                <w:i w:val="0"/>
                <w:iCs w:val="0"/>
                <w:color w:val="auto"/>
                <w:sz w:val="20"/>
                <w:szCs w:val="20"/>
              </w:rPr>
            </w:pPr>
          </w:p>
        </w:tc>
        <w:tc>
          <w:tcPr>
            <w:tcW w:w="836" w:type="dxa"/>
            <w:gridSpan w:val="2"/>
            <w:shd w:val="clear" w:color="auto" w:fill="auto"/>
            <w:vAlign w:val="center"/>
          </w:tcPr>
          <w:p w14:paraId="26E1D30E">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Pn</w:t>
            </w:r>
          </w:p>
        </w:tc>
        <w:tc>
          <w:tcPr>
            <w:tcW w:w="799" w:type="dxa"/>
            <w:gridSpan w:val="5"/>
            <w:shd w:val="clear" w:color="auto" w:fill="auto"/>
            <w:vAlign w:val="center"/>
          </w:tcPr>
          <w:p w14:paraId="4E5023AE">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12.443</w:t>
            </w:r>
          </w:p>
        </w:tc>
        <w:tc>
          <w:tcPr>
            <w:tcW w:w="752" w:type="dxa"/>
            <w:gridSpan w:val="4"/>
            <w:shd w:val="clear" w:color="auto" w:fill="auto"/>
            <w:vAlign w:val="center"/>
          </w:tcPr>
          <w:p w14:paraId="17D41B8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1.459</w:t>
            </w:r>
          </w:p>
        </w:tc>
        <w:tc>
          <w:tcPr>
            <w:tcW w:w="964" w:type="dxa"/>
            <w:gridSpan w:val="2"/>
            <w:vMerge w:val="continue"/>
            <w:shd w:val="clear" w:color="auto" w:fill="auto"/>
            <w:vAlign w:val="center"/>
          </w:tcPr>
          <w:p w14:paraId="62C83423">
            <w:pPr>
              <w:jc w:val="center"/>
              <w:rPr>
                <w:rFonts w:ascii="Times New Roman" w:hAnsi="Times New Roman" w:cs="Times New Roman"/>
                <w:i w:val="0"/>
                <w:iCs w:val="0"/>
                <w:color w:val="auto"/>
                <w:sz w:val="20"/>
                <w:szCs w:val="20"/>
              </w:rPr>
            </w:pPr>
          </w:p>
        </w:tc>
        <w:tc>
          <w:tcPr>
            <w:tcW w:w="1224" w:type="dxa"/>
            <w:vMerge w:val="continue"/>
            <w:shd w:val="clear" w:color="auto" w:fill="auto"/>
            <w:vAlign w:val="center"/>
          </w:tcPr>
          <w:p w14:paraId="054D01CA">
            <w:pPr>
              <w:jc w:val="center"/>
              <w:rPr>
                <w:rFonts w:ascii="Times New Roman" w:hAnsi="Times New Roman" w:cs="Times New Roman"/>
                <w:i w:val="0"/>
                <w:iCs w:val="0"/>
                <w:color w:val="auto"/>
                <w:sz w:val="20"/>
                <w:szCs w:val="20"/>
              </w:rPr>
            </w:pPr>
          </w:p>
        </w:tc>
        <w:tc>
          <w:tcPr>
            <w:tcW w:w="1021" w:type="dxa"/>
            <w:vMerge w:val="continue"/>
            <w:shd w:val="clear" w:color="auto" w:fill="auto"/>
            <w:vAlign w:val="center"/>
          </w:tcPr>
          <w:p w14:paraId="50092851">
            <w:pPr>
              <w:jc w:val="center"/>
              <w:rPr>
                <w:rFonts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2D7CAA2F">
            <w:pPr>
              <w:jc w:val="center"/>
              <w:rPr>
                <w:rFonts w:ascii="Times New Roman" w:hAnsi="Times New Roman" w:cs="Times New Roman"/>
                <w:i w:val="0"/>
                <w:iCs w:val="0"/>
                <w:color w:val="auto"/>
                <w:sz w:val="20"/>
                <w:szCs w:val="20"/>
              </w:rPr>
            </w:pPr>
          </w:p>
        </w:tc>
        <w:tc>
          <w:tcPr>
            <w:tcW w:w="1157" w:type="dxa"/>
            <w:gridSpan w:val="2"/>
            <w:vMerge w:val="continue"/>
            <w:shd w:val="clear" w:color="auto" w:fill="auto"/>
            <w:vAlign w:val="center"/>
          </w:tcPr>
          <w:p w14:paraId="144C4348">
            <w:pPr>
              <w:jc w:val="center"/>
              <w:rPr>
                <w:rFonts w:ascii="Times New Roman" w:hAnsi="Times New Roman" w:cs="Times New Roman"/>
                <w:i w:val="0"/>
                <w:iCs w:val="0"/>
                <w:color w:val="auto"/>
                <w:sz w:val="20"/>
                <w:szCs w:val="20"/>
              </w:rPr>
            </w:pPr>
          </w:p>
        </w:tc>
      </w:tr>
      <w:tr w14:paraId="4052EAB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vMerge w:val="restart"/>
            <w:shd w:val="clear" w:color="auto" w:fill="auto"/>
            <w:vAlign w:val="center"/>
          </w:tcPr>
          <w:p w14:paraId="359D280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04</w:t>
            </w:r>
          </w:p>
        </w:tc>
        <w:tc>
          <w:tcPr>
            <w:tcW w:w="836" w:type="dxa"/>
            <w:gridSpan w:val="2"/>
            <w:shd w:val="clear" w:color="auto" w:fill="auto"/>
            <w:vAlign w:val="center"/>
          </w:tcPr>
          <w:p w14:paraId="5ED0DFE3">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P1</w:t>
            </w:r>
          </w:p>
        </w:tc>
        <w:tc>
          <w:tcPr>
            <w:tcW w:w="799" w:type="dxa"/>
            <w:gridSpan w:val="5"/>
            <w:shd w:val="clear" w:color="auto" w:fill="auto"/>
            <w:vAlign w:val="center"/>
          </w:tcPr>
          <w:p w14:paraId="19339EE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0.902</w:t>
            </w:r>
          </w:p>
        </w:tc>
        <w:tc>
          <w:tcPr>
            <w:tcW w:w="752" w:type="dxa"/>
            <w:gridSpan w:val="4"/>
            <w:shd w:val="clear" w:color="auto" w:fill="auto"/>
            <w:vAlign w:val="center"/>
          </w:tcPr>
          <w:p w14:paraId="2946EF85">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0.183</w:t>
            </w:r>
          </w:p>
        </w:tc>
        <w:tc>
          <w:tcPr>
            <w:tcW w:w="964" w:type="dxa"/>
            <w:gridSpan w:val="2"/>
            <w:vMerge w:val="restart"/>
            <w:shd w:val="clear" w:color="auto" w:fill="auto"/>
            <w:vAlign w:val="center"/>
          </w:tcPr>
          <w:p w14:paraId="61616828">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300</w:t>
            </w:r>
          </w:p>
        </w:tc>
        <w:tc>
          <w:tcPr>
            <w:tcW w:w="1224" w:type="dxa"/>
            <w:vMerge w:val="restart"/>
            <w:shd w:val="clear" w:color="auto" w:fill="auto"/>
            <w:vAlign w:val="center"/>
          </w:tcPr>
          <w:p w14:paraId="5147B1E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100</w:t>
            </w:r>
          </w:p>
        </w:tc>
        <w:tc>
          <w:tcPr>
            <w:tcW w:w="1021" w:type="dxa"/>
            <w:vMerge w:val="restart"/>
            <w:shd w:val="clear" w:color="auto" w:fill="auto"/>
            <w:vAlign w:val="center"/>
          </w:tcPr>
          <w:p w14:paraId="2883F67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70</w:t>
            </w:r>
          </w:p>
        </w:tc>
        <w:tc>
          <w:tcPr>
            <w:tcW w:w="1113" w:type="dxa"/>
            <w:gridSpan w:val="2"/>
            <w:vMerge w:val="restart"/>
            <w:shd w:val="clear" w:color="auto" w:fill="auto"/>
            <w:vAlign w:val="center"/>
          </w:tcPr>
          <w:p w14:paraId="450A863D">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172.901</w:t>
            </w:r>
          </w:p>
        </w:tc>
        <w:tc>
          <w:tcPr>
            <w:tcW w:w="1157" w:type="dxa"/>
            <w:gridSpan w:val="2"/>
            <w:vMerge w:val="restart"/>
            <w:shd w:val="clear" w:color="auto" w:fill="auto"/>
            <w:vAlign w:val="center"/>
          </w:tcPr>
          <w:p w14:paraId="268B95D9">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1.329</w:t>
            </w:r>
          </w:p>
        </w:tc>
      </w:tr>
      <w:tr w14:paraId="1FBDD21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vMerge w:val="continue"/>
            <w:shd w:val="clear" w:color="auto" w:fill="auto"/>
            <w:vAlign w:val="center"/>
          </w:tcPr>
          <w:p w14:paraId="603D291A">
            <w:pPr>
              <w:jc w:val="center"/>
              <w:rPr>
                <w:rFonts w:ascii="Times New Roman" w:hAnsi="Times New Roman" w:cs="Times New Roman"/>
                <w:i w:val="0"/>
                <w:iCs w:val="0"/>
                <w:color w:val="auto"/>
                <w:sz w:val="20"/>
                <w:szCs w:val="20"/>
              </w:rPr>
            </w:pPr>
          </w:p>
        </w:tc>
        <w:tc>
          <w:tcPr>
            <w:tcW w:w="836" w:type="dxa"/>
            <w:gridSpan w:val="2"/>
            <w:shd w:val="clear" w:color="auto" w:fill="auto"/>
            <w:vAlign w:val="center"/>
          </w:tcPr>
          <w:p w14:paraId="6B288D70">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P2</w:t>
            </w:r>
          </w:p>
        </w:tc>
        <w:tc>
          <w:tcPr>
            <w:tcW w:w="799" w:type="dxa"/>
            <w:gridSpan w:val="5"/>
            <w:shd w:val="clear" w:color="auto" w:fill="auto"/>
            <w:vAlign w:val="center"/>
          </w:tcPr>
          <w:p w14:paraId="2B4722E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1.215</w:t>
            </w:r>
          </w:p>
        </w:tc>
        <w:tc>
          <w:tcPr>
            <w:tcW w:w="752" w:type="dxa"/>
            <w:gridSpan w:val="4"/>
            <w:shd w:val="clear" w:color="auto" w:fill="auto"/>
            <w:vAlign w:val="center"/>
          </w:tcPr>
          <w:p w14:paraId="143258CC">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0.458</w:t>
            </w:r>
          </w:p>
        </w:tc>
        <w:tc>
          <w:tcPr>
            <w:tcW w:w="964" w:type="dxa"/>
            <w:gridSpan w:val="2"/>
            <w:vMerge w:val="continue"/>
            <w:shd w:val="clear" w:color="auto" w:fill="auto"/>
            <w:vAlign w:val="center"/>
          </w:tcPr>
          <w:p w14:paraId="6F99920F">
            <w:pPr>
              <w:jc w:val="center"/>
              <w:rPr>
                <w:rFonts w:ascii="Times New Roman" w:hAnsi="Times New Roman" w:cs="Times New Roman"/>
                <w:i w:val="0"/>
                <w:iCs w:val="0"/>
                <w:color w:val="auto"/>
                <w:sz w:val="20"/>
                <w:szCs w:val="20"/>
              </w:rPr>
            </w:pPr>
          </w:p>
        </w:tc>
        <w:tc>
          <w:tcPr>
            <w:tcW w:w="1224" w:type="dxa"/>
            <w:vMerge w:val="continue"/>
            <w:shd w:val="clear" w:color="auto" w:fill="auto"/>
            <w:vAlign w:val="center"/>
          </w:tcPr>
          <w:p w14:paraId="5167608A">
            <w:pPr>
              <w:jc w:val="center"/>
              <w:rPr>
                <w:rFonts w:ascii="Times New Roman" w:hAnsi="Times New Roman" w:cs="Times New Roman"/>
                <w:i w:val="0"/>
                <w:iCs w:val="0"/>
                <w:color w:val="auto"/>
                <w:sz w:val="20"/>
                <w:szCs w:val="20"/>
              </w:rPr>
            </w:pPr>
          </w:p>
        </w:tc>
        <w:tc>
          <w:tcPr>
            <w:tcW w:w="1021" w:type="dxa"/>
            <w:vMerge w:val="continue"/>
            <w:shd w:val="clear" w:color="auto" w:fill="auto"/>
            <w:vAlign w:val="center"/>
          </w:tcPr>
          <w:p w14:paraId="4A7D6093">
            <w:pPr>
              <w:jc w:val="center"/>
              <w:rPr>
                <w:rFonts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1AC25BD5">
            <w:pPr>
              <w:jc w:val="center"/>
              <w:rPr>
                <w:rFonts w:ascii="Times New Roman" w:hAnsi="Times New Roman" w:cs="Times New Roman"/>
                <w:i w:val="0"/>
                <w:iCs w:val="0"/>
                <w:color w:val="auto"/>
                <w:sz w:val="20"/>
                <w:szCs w:val="20"/>
              </w:rPr>
            </w:pPr>
          </w:p>
        </w:tc>
        <w:tc>
          <w:tcPr>
            <w:tcW w:w="1157" w:type="dxa"/>
            <w:gridSpan w:val="2"/>
            <w:vMerge w:val="continue"/>
            <w:shd w:val="clear" w:color="auto" w:fill="auto"/>
            <w:vAlign w:val="center"/>
          </w:tcPr>
          <w:p w14:paraId="4A50C5ED">
            <w:pPr>
              <w:jc w:val="center"/>
              <w:rPr>
                <w:rFonts w:ascii="Times New Roman" w:hAnsi="Times New Roman" w:cs="Times New Roman"/>
                <w:i w:val="0"/>
                <w:iCs w:val="0"/>
                <w:color w:val="auto"/>
                <w:sz w:val="20"/>
                <w:szCs w:val="20"/>
              </w:rPr>
            </w:pPr>
          </w:p>
        </w:tc>
      </w:tr>
      <w:tr w14:paraId="33EFBBD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657" w:type="dxa"/>
            <w:vMerge w:val="continue"/>
            <w:shd w:val="clear" w:color="auto" w:fill="auto"/>
            <w:vAlign w:val="center"/>
          </w:tcPr>
          <w:p w14:paraId="38B9CCA3">
            <w:pPr>
              <w:jc w:val="center"/>
              <w:rPr>
                <w:rFonts w:ascii="Times New Roman" w:hAnsi="Times New Roman" w:cs="Times New Roman"/>
                <w:i w:val="0"/>
                <w:iCs w:val="0"/>
                <w:color w:val="auto"/>
                <w:sz w:val="20"/>
                <w:szCs w:val="20"/>
              </w:rPr>
            </w:pPr>
          </w:p>
        </w:tc>
        <w:tc>
          <w:tcPr>
            <w:tcW w:w="836" w:type="dxa"/>
            <w:gridSpan w:val="2"/>
            <w:shd w:val="clear" w:color="auto" w:fill="auto"/>
            <w:vAlign w:val="center"/>
          </w:tcPr>
          <w:p w14:paraId="0DD70A6D">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Pn</w:t>
            </w:r>
          </w:p>
        </w:tc>
        <w:tc>
          <w:tcPr>
            <w:tcW w:w="799" w:type="dxa"/>
            <w:gridSpan w:val="5"/>
            <w:shd w:val="clear" w:color="auto" w:fill="auto"/>
            <w:vAlign w:val="center"/>
          </w:tcPr>
          <w:p w14:paraId="7E234697">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12.528</w:t>
            </w:r>
          </w:p>
        </w:tc>
        <w:tc>
          <w:tcPr>
            <w:tcW w:w="752" w:type="dxa"/>
            <w:gridSpan w:val="4"/>
            <w:shd w:val="clear" w:color="auto" w:fill="auto"/>
            <w:vAlign w:val="center"/>
          </w:tcPr>
          <w:p w14:paraId="1DEA4D01">
            <w:pPr>
              <w:widowControl/>
              <w:jc w:val="center"/>
              <w:textAlignment w:val="center"/>
              <w:rPr>
                <w:rFonts w:ascii="Times New Roman" w:hAnsi="Times New Roman" w:cs="Times New Roman"/>
                <w:i w:val="0"/>
                <w:iCs w:val="0"/>
                <w:color w:val="auto"/>
                <w:sz w:val="20"/>
                <w:szCs w:val="20"/>
              </w:rPr>
            </w:pPr>
            <w:r>
              <w:rPr>
                <w:rFonts w:ascii="Times New Roman" w:hAnsi="Times New Roman" w:eastAsia="宋体" w:cs="Times New Roman"/>
                <w:i w:val="0"/>
                <w:iCs w:val="0"/>
                <w:color w:val="auto"/>
                <w:kern w:val="0"/>
                <w:sz w:val="20"/>
                <w:szCs w:val="20"/>
              </w:rPr>
              <w:t>1.447</w:t>
            </w:r>
          </w:p>
        </w:tc>
        <w:tc>
          <w:tcPr>
            <w:tcW w:w="964" w:type="dxa"/>
            <w:gridSpan w:val="2"/>
            <w:vMerge w:val="continue"/>
            <w:shd w:val="clear" w:color="auto" w:fill="auto"/>
            <w:vAlign w:val="center"/>
          </w:tcPr>
          <w:p w14:paraId="5BC23A8A">
            <w:pPr>
              <w:jc w:val="center"/>
              <w:rPr>
                <w:rFonts w:ascii="Times New Roman" w:hAnsi="Times New Roman" w:cs="Times New Roman"/>
                <w:i w:val="0"/>
                <w:iCs w:val="0"/>
                <w:color w:val="auto"/>
                <w:sz w:val="20"/>
                <w:szCs w:val="20"/>
              </w:rPr>
            </w:pPr>
          </w:p>
        </w:tc>
        <w:tc>
          <w:tcPr>
            <w:tcW w:w="1224" w:type="dxa"/>
            <w:vMerge w:val="continue"/>
            <w:shd w:val="clear" w:color="auto" w:fill="auto"/>
            <w:vAlign w:val="center"/>
          </w:tcPr>
          <w:p w14:paraId="50DF4FA5">
            <w:pPr>
              <w:jc w:val="center"/>
              <w:rPr>
                <w:rFonts w:ascii="Times New Roman" w:hAnsi="Times New Roman" w:cs="Times New Roman"/>
                <w:i w:val="0"/>
                <w:iCs w:val="0"/>
                <w:color w:val="auto"/>
                <w:sz w:val="20"/>
                <w:szCs w:val="20"/>
              </w:rPr>
            </w:pPr>
          </w:p>
        </w:tc>
        <w:tc>
          <w:tcPr>
            <w:tcW w:w="1021" w:type="dxa"/>
            <w:vMerge w:val="continue"/>
            <w:shd w:val="clear" w:color="auto" w:fill="auto"/>
            <w:vAlign w:val="center"/>
          </w:tcPr>
          <w:p w14:paraId="470DDCBE">
            <w:pPr>
              <w:jc w:val="center"/>
              <w:rPr>
                <w:rFonts w:ascii="Times New Roman" w:hAnsi="Times New Roman" w:cs="Times New Roman"/>
                <w:i w:val="0"/>
                <w:iCs w:val="0"/>
                <w:color w:val="auto"/>
                <w:sz w:val="20"/>
                <w:szCs w:val="20"/>
              </w:rPr>
            </w:pPr>
          </w:p>
        </w:tc>
        <w:tc>
          <w:tcPr>
            <w:tcW w:w="1113" w:type="dxa"/>
            <w:gridSpan w:val="2"/>
            <w:vMerge w:val="continue"/>
            <w:shd w:val="clear" w:color="auto" w:fill="auto"/>
            <w:vAlign w:val="center"/>
          </w:tcPr>
          <w:p w14:paraId="0EA70754">
            <w:pPr>
              <w:jc w:val="center"/>
              <w:rPr>
                <w:rFonts w:ascii="Times New Roman" w:hAnsi="Times New Roman" w:cs="Times New Roman"/>
                <w:i w:val="0"/>
                <w:iCs w:val="0"/>
                <w:color w:val="auto"/>
                <w:sz w:val="20"/>
                <w:szCs w:val="20"/>
              </w:rPr>
            </w:pPr>
          </w:p>
        </w:tc>
        <w:tc>
          <w:tcPr>
            <w:tcW w:w="1157" w:type="dxa"/>
            <w:gridSpan w:val="2"/>
            <w:vMerge w:val="continue"/>
            <w:shd w:val="clear" w:color="auto" w:fill="auto"/>
            <w:vAlign w:val="center"/>
          </w:tcPr>
          <w:p w14:paraId="6030E023">
            <w:pPr>
              <w:jc w:val="center"/>
              <w:rPr>
                <w:rFonts w:ascii="Times New Roman" w:hAnsi="Times New Roman" w:cs="Times New Roman"/>
                <w:i w:val="0"/>
                <w:iCs w:val="0"/>
                <w:color w:val="auto"/>
                <w:sz w:val="20"/>
                <w:szCs w:val="20"/>
              </w:rPr>
            </w:pPr>
          </w:p>
        </w:tc>
      </w:tr>
    </w:tbl>
    <w:p w14:paraId="6940CBD0">
      <w:pPr>
        <w:spacing w:line="360" w:lineRule="auto"/>
        <w:ind w:firstLine="480" w:firstLineChars="200"/>
        <w:rPr>
          <w:rFonts w:hint="eastAsia" w:ascii="宋体" w:hAnsi="宋体" w:eastAsia="宋体" w:cs="黑体"/>
          <w:bCs/>
          <w:i w:val="0"/>
          <w:iCs w:val="0"/>
          <w:color w:val="auto"/>
          <w:kern w:val="0"/>
          <w:sz w:val="24"/>
          <w:szCs w:val="24"/>
          <w:u w:val="single"/>
        </w:rPr>
      </w:pPr>
      <w:r>
        <w:rPr>
          <w:rFonts w:hint="eastAsia" w:ascii="宋体" w:hAnsi="宋体" w:eastAsia="宋体" w:cs="黑体"/>
          <w:bCs/>
          <w:i w:val="0"/>
          <w:iCs w:val="0"/>
          <w:color w:val="auto"/>
          <w:kern w:val="0"/>
          <w:sz w:val="24"/>
          <w:szCs w:val="24"/>
          <w:u w:val="single"/>
        </w:rPr>
        <w:t>根据复合Ⅰ型试件跨距取300mm的试件试验计算所得</w:t>
      </w:r>
      <w:r>
        <w:rPr>
          <w:rFonts w:hint="eastAsia" w:ascii="宋体" w:hAnsi="宋体" w:eastAsia="宋体" w:cs="黑体"/>
          <w:bCs/>
          <w:i w:val="0"/>
          <w:iCs w:val="0"/>
          <w:strike/>
          <w:color w:val="auto"/>
          <w:kern w:val="0"/>
          <w:sz w:val="24"/>
          <w:szCs w:val="24"/>
          <w:u w:val="single"/>
        </w:rPr>
        <w:t>表现</w:t>
      </w:r>
      <w:r>
        <w:rPr>
          <w:rFonts w:hint="eastAsia" w:ascii="宋体" w:hAnsi="宋体" w:eastAsia="宋体" w:cs="黑体"/>
          <w:bCs/>
          <w:i w:val="0"/>
          <w:iCs w:val="0"/>
          <w:color w:val="auto"/>
          <w:kern w:val="0"/>
          <w:sz w:val="24"/>
          <w:szCs w:val="24"/>
          <w:u w:val="single"/>
        </w:rPr>
        <w:t>弯曲弹性模量Emax=591.518MPa，Emin=420.409MPa，弯曲强度Rmax=2.184MPa，Rmin=1.681MPa。</w:t>
      </w:r>
    </w:p>
    <w:p w14:paraId="446FC0D3">
      <w:pPr>
        <w:spacing w:line="360" w:lineRule="auto"/>
        <w:ind w:firstLine="480" w:firstLineChars="200"/>
        <w:rPr>
          <w:rFonts w:hint="eastAsia" w:ascii="宋体" w:hAnsi="宋体" w:eastAsia="宋体" w:cs="黑体"/>
          <w:bCs/>
          <w:i w:val="0"/>
          <w:iCs w:val="0"/>
          <w:color w:val="auto"/>
          <w:kern w:val="0"/>
          <w:sz w:val="24"/>
          <w:szCs w:val="24"/>
          <w:u w:val="single"/>
        </w:rPr>
      </w:pPr>
      <w:r>
        <w:rPr>
          <w:rFonts w:hint="eastAsia" w:ascii="宋体" w:hAnsi="宋体" w:eastAsia="宋体" w:cs="黑体"/>
          <w:bCs/>
          <w:i w:val="0"/>
          <w:iCs w:val="0"/>
          <w:color w:val="auto"/>
          <w:kern w:val="0"/>
          <w:sz w:val="24"/>
          <w:szCs w:val="24"/>
          <w:u w:val="single"/>
        </w:rPr>
        <w:t>根据复合Ⅱ型试件跨距取300mm的试件试验计算所得</w:t>
      </w:r>
      <w:r>
        <w:rPr>
          <w:rFonts w:hint="eastAsia" w:ascii="宋体" w:hAnsi="宋体" w:eastAsia="宋体" w:cs="黑体"/>
          <w:bCs/>
          <w:i w:val="0"/>
          <w:iCs w:val="0"/>
          <w:strike/>
          <w:color w:val="auto"/>
          <w:kern w:val="0"/>
          <w:sz w:val="24"/>
          <w:szCs w:val="24"/>
          <w:u w:val="single"/>
        </w:rPr>
        <w:t>表现</w:t>
      </w:r>
      <w:r>
        <w:rPr>
          <w:rFonts w:hint="eastAsia" w:ascii="宋体" w:hAnsi="宋体" w:eastAsia="宋体" w:cs="黑体"/>
          <w:bCs/>
          <w:i w:val="0"/>
          <w:iCs w:val="0"/>
          <w:color w:val="auto"/>
          <w:kern w:val="0"/>
          <w:sz w:val="24"/>
          <w:szCs w:val="24"/>
          <w:u w:val="single"/>
        </w:rPr>
        <w:t>弯曲弹性模量Emax=283.997MPa，Emin=248.497MPa，弯曲强度Rmax=2.130MPa，Rmin=1.620MPa（复合Ⅱ型编号01试件试验计算弯曲强度结果相比其他结果过大，舍去该试件计算结果）。</w:t>
      </w:r>
    </w:p>
    <w:p w14:paraId="46BB1F8D">
      <w:pPr>
        <w:spacing w:line="360" w:lineRule="auto"/>
        <w:ind w:firstLine="480" w:firstLineChars="200"/>
        <w:rPr>
          <w:rFonts w:hint="eastAsia" w:ascii="宋体" w:hAnsi="宋体" w:eastAsia="宋体" w:cs="黑体"/>
          <w:bCs/>
          <w:i w:val="0"/>
          <w:iCs w:val="0"/>
          <w:color w:val="auto"/>
          <w:kern w:val="0"/>
          <w:sz w:val="24"/>
          <w:szCs w:val="24"/>
          <w:u w:val="single"/>
        </w:rPr>
      </w:pPr>
      <w:r>
        <w:rPr>
          <w:rFonts w:hint="eastAsia" w:ascii="宋体" w:hAnsi="宋体" w:eastAsia="宋体" w:cs="黑体"/>
          <w:bCs/>
          <w:i w:val="0"/>
          <w:iCs w:val="0"/>
          <w:color w:val="auto"/>
          <w:kern w:val="0"/>
          <w:sz w:val="24"/>
          <w:szCs w:val="24"/>
          <w:u w:val="single"/>
        </w:rPr>
        <w:t>根据叠合型试件跨距取300mm的试件试验计算所得</w:t>
      </w:r>
      <w:r>
        <w:rPr>
          <w:rFonts w:hint="eastAsia" w:ascii="宋体" w:hAnsi="宋体" w:eastAsia="宋体" w:cs="黑体"/>
          <w:bCs/>
          <w:i w:val="0"/>
          <w:iCs w:val="0"/>
          <w:strike/>
          <w:color w:val="auto"/>
          <w:kern w:val="0"/>
          <w:sz w:val="24"/>
          <w:szCs w:val="24"/>
          <w:u w:val="single"/>
        </w:rPr>
        <w:t>表现</w:t>
      </w:r>
      <w:r>
        <w:rPr>
          <w:rFonts w:hint="eastAsia" w:ascii="宋体" w:hAnsi="宋体" w:eastAsia="宋体" w:cs="黑体"/>
          <w:bCs/>
          <w:i w:val="0"/>
          <w:iCs w:val="0"/>
          <w:color w:val="auto"/>
          <w:kern w:val="0"/>
          <w:sz w:val="24"/>
          <w:szCs w:val="24"/>
          <w:u w:val="single"/>
        </w:rPr>
        <w:t>弯曲弹性模量Emax=208.074MPa，Emin=156.876MPa，弯曲强度Rmax=1.340MPa，Rmin=1.263MPa。</w:t>
      </w:r>
    </w:p>
    <w:p w14:paraId="5769C855">
      <w:pPr>
        <w:spacing w:line="360" w:lineRule="auto"/>
        <w:ind w:firstLine="480" w:firstLineChars="200"/>
        <w:rPr>
          <w:rFonts w:hint="eastAsia" w:ascii="宋体" w:hAnsi="宋体" w:eastAsia="宋体" w:cs="黑体"/>
          <w:bCs/>
          <w:i w:val="0"/>
          <w:iCs w:val="0"/>
          <w:color w:val="auto"/>
          <w:kern w:val="0"/>
          <w:sz w:val="24"/>
          <w:szCs w:val="24"/>
          <w:u w:val="single"/>
        </w:rPr>
      </w:pPr>
      <w:r>
        <w:rPr>
          <w:rFonts w:hint="eastAsia" w:ascii="宋体" w:hAnsi="宋体" w:eastAsia="宋体" w:cs="黑体"/>
          <w:bCs/>
          <w:i w:val="0"/>
          <w:iCs w:val="0"/>
          <w:color w:val="auto"/>
          <w:kern w:val="0"/>
          <w:sz w:val="24"/>
          <w:szCs w:val="24"/>
          <w:u w:val="single"/>
        </w:rPr>
        <w:t>根据各试件试验结果，复合Ⅰ型</w:t>
      </w:r>
      <w:r>
        <w:rPr>
          <w:rFonts w:hint="eastAsia" w:ascii="宋体" w:hAnsi="宋体" w:eastAsia="宋体" w:cs="黑体"/>
          <w:bCs/>
          <w:i w:val="0"/>
          <w:iCs w:val="0"/>
          <w:strike/>
          <w:color w:val="auto"/>
          <w:kern w:val="0"/>
          <w:sz w:val="24"/>
          <w:szCs w:val="24"/>
          <w:u w:val="single"/>
        </w:rPr>
        <w:t>表观</w:t>
      </w:r>
      <w:r>
        <w:rPr>
          <w:rFonts w:hint="eastAsia" w:ascii="宋体" w:hAnsi="宋体" w:eastAsia="宋体" w:cs="黑体"/>
          <w:bCs/>
          <w:i w:val="0"/>
          <w:iCs w:val="0"/>
          <w:color w:val="auto"/>
          <w:kern w:val="0"/>
          <w:sz w:val="24"/>
          <w:szCs w:val="24"/>
          <w:u w:val="single"/>
        </w:rPr>
        <w:t>弹性模量取420MPa，弯曲强度取1.6MPa；</w:t>
      </w:r>
      <w:r>
        <w:rPr>
          <w:rFonts w:hint="eastAsia" w:ascii="宋体" w:hAnsi="宋体" w:eastAsia="宋体" w:cs="黑体"/>
          <w:bCs/>
          <w:i w:val="0"/>
          <w:iCs w:val="0"/>
          <w:strike/>
          <w:color w:val="auto"/>
          <w:kern w:val="0"/>
          <w:sz w:val="24"/>
          <w:szCs w:val="24"/>
          <w:u w:val="single"/>
        </w:rPr>
        <w:t>建议</w:t>
      </w:r>
      <w:r>
        <w:rPr>
          <w:rFonts w:hint="eastAsia" w:ascii="宋体" w:hAnsi="宋体" w:eastAsia="宋体" w:cs="黑体"/>
          <w:bCs/>
          <w:i w:val="0"/>
          <w:iCs w:val="0"/>
          <w:color w:val="auto"/>
          <w:kern w:val="0"/>
          <w:sz w:val="24"/>
          <w:szCs w:val="24"/>
          <w:u w:val="single"/>
        </w:rPr>
        <w:t>复合Ⅱ型</w:t>
      </w:r>
      <w:r>
        <w:rPr>
          <w:rFonts w:hint="eastAsia" w:ascii="宋体" w:hAnsi="宋体" w:eastAsia="宋体" w:cs="黑体"/>
          <w:bCs/>
          <w:i w:val="0"/>
          <w:iCs w:val="0"/>
          <w:strike/>
          <w:color w:val="auto"/>
          <w:kern w:val="0"/>
          <w:sz w:val="24"/>
          <w:szCs w:val="24"/>
          <w:u w:val="single"/>
        </w:rPr>
        <w:t>表观</w:t>
      </w:r>
      <w:r>
        <w:rPr>
          <w:rFonts w:hint="eastAsia" w:ascii="宋体" w:hAnsi="宋体" w:eastAsia="宋体" w:cs="黑体"/>
          <w:bCs/>
          <w:i w:val="0"/>
          <w:iCs w:val="0"/>
          <w:color w:val="auto"/>
          <w:kern w:val="0"/>
          <w:sz w:val="24"/>
          <w:szCs w:val="24"/>
          <w:u w:val="single"/>
        </w:rPr>
        <w:t>弹性模量取250MPa，弯曲强度取1.6MPa；叠合型</w:t>
      </w:r>
      <w:r>
        <w:rPr>
          <w:rFonts w:hint="eastAsia" w:ascii="宋体" w:hAnsi="宋体" w:eastAsia="宋体" w:cs="黑体"/>
          <w:bCs/>
          <w:i w:val="0"/>
          <w:iCs w:val="0"/>
          <w:strike/>
          <w:color w:val="auto"/>
          <w:kern w:val="0"/>
          <w:sz w:val="24"/>
          <w:szCs w:val="24"/>
          <w:u w:val="single"/>
        </w:rPr>
        <w:t>表观</w:t>
      </w:r>
      <w:r>
        <w:rPr>
          <w:rFonts w:hint="eastAsia" w:ascii="宋体" w:hAnsi="宋体" w:eastAsia="宋体" w:cs="黑体"/>
          <w:bCs/>
          <w:i w:val="0"/>
          <w:iCs w:val="0"/>
          <w:color w:val="auto"/>
          <w:kern w:val="0"/>
          <w:sz w:val="24"/>
          <w:szCs w:val="24"/>
          <w:u w:val="single"/>
        </w:rPr>
        <w:t>弹性模量取150MPa，弯曲强度取1.2MPa。</w:t>
      </w:r>
    </w:p>
    <w:p w14:paraId="396C9233">
      <w:pPr>
        <w:spacing w:line="360" w:lineRule="auto"/>
        <w:ind w:firstLine="480" w:firstLineChars="200"/>
        <w:rPr>
          <w:rFonts w:hint="eastAsia" w:ascii="宋体" w:hAnsi="宋体" w:eastAsia="宋体" w:cs="黑体"/>
          <w:bCs/>
          <w:i w:val="0"/>
          <w:iCs w:val="0"/>
          <w:color w:val="auto"/>
          <w:kern w:val="0"/>
          <w:sz w:val="24"/>
          <w:szCs w:val="24"/>
          <w:u w:val="single"/>
        </w:rPr>
      </w:pPr>
      <w:r>
        <w:rPr>
          <w:rFonts w:hint="eastAsia" w:ascii="宋体" w:hAnsi="宋体" w:eastAsia="宋体" w:cs="黑体"/>
          <w:bCs/>
          <w:i w:val="0"/>
          <w:iCs w:val="0"/>
          <w:color w:val="auto"/>
          <w:kern w:val="0"/>
          <w:sz w:val="24"/>
          <w:szCs w:val="24"/>
          <w:u w:val="single"/>
        </w:rPr>
        <w:t>实验现象以及最终破坏图如下：</w:t>
      </w:r>
    </w:p>
    <w:p w14:paraId="5319FC42">
      <w:pPr>
        <w:spacing w:line="360" w:lineRule="auto"/>
        <w:ind w:firstLine="480" w:firstLineChars="200"/>
        <w:rPr>
          <w:rFonts w:ascii="Times New Roman" w:hAnsi="Times New Roman" w:cs="Times New Roman"/>
          <w:i w:val="0"/>
          <w:iCs w:val="0"/>
          <w:color w:val="auto"/>
          <w:sz w:val="24"/>
          <w:szCs w:val="24"/>
        </w:rPr>
      </w:pPr>
      <w:r>
        <w:rPr>
          <w:rFonts w:hint="eastAsia" w:ascii="宋体" w:hAnsi="宋体" w:eastAsia="宋体" w:cs="黑体"/>
          <w:bCs/>
          <w:i w:val="0"/>
          <w:iCs w:val="0"/>
          <w:color w:val="auto"/>
          <w:kern w:val="0"/>
          <w:sz w:val="24"/>
          <w:szCs w:val="24"/>
          <w:u w:val="single"/>
        </w:rPr>
        <w:t>在复合Ⅰ型试件跨距取300mm试验时，加载初始阶段试件无明显变形，继续加载的过程中试件逐渐弯曲，底部网格布部分拉伸断裂发出细小“沙沙”声，试件底部并未出现明显裂缝，底部表面逐渐掉落碎渣，随后01、03试件支座一侧出现细小裂缝，试件底部并未出现明显裂缝，持续加载02、04试件加载端头处逐渐凹陷压碎，01、03试件支座处裂缝斜向延伸到顶面，停止加载。各试验式件在试件底面未出现裂缝，加载端头位置出现凹痕，01、03试件侧面支点部分出现斜裂缝，各试件最终破坏见图2。</w:t>
      </w:r>
    </w:p>
    <w:tbl>
      <w:tblPr>
        <w:tblStyle w:val="8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14:paraId="66ED6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0AC043FA">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2021840" cy="1515745"/>
                  <wp:effectExtent l="0" t="0" r="16510" b="8255"/>
                  <wp:docPr id="74" name="图片 74" descr="062cb4179a5cd9f83cb6635a108b0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062cb4179a5cd9f83cb6635a108b01e"/>
                          <pic:cNvPicPr>
                            <a:picLocks noChangeAspect="1"/>
                          </pic:cNvPicPr>
                        </pic:nvPicPr>
                        <pic:blipFill>
                          <a:blip r:embed="rId228"/>
                          <a:stretch>
                            <a:fillRect/>
                          </a:stretch>
                        </pic:blipFill>
                        <pic:spPr>
                          <a:xfrm rot="10800000">
                            <a:off x="0" y="0"/>
                            <a:ext cx="2021840" cy="1515745"/>
                          </a:xfrm>
                          <a:prstGeom prst="rect">
                            <a:avLst/>
                          </a:prstGeom>
                        </pic:spPr>
                      </pic:pic>
                    </a:graphicData>
                  </a:graphic>
                </wp:inline>
              </w:drawing>
            </w:r>
          </w:p>
        </w:tc>
        <w:tc>
          <w:tcPr>
            <w:tcW w:w="4261" w:type="dxa"/>
            <w:tcBorders>
              <w:top w:val="nil"/>
              <w:left w:val="nil"/>
              <w:bottom w:val="nil"/>
              <w:right w:val="nil"/>
            </w:tcBorders>
          </w:tcPr>
          <w:p w14:paraId="5FA117A9">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2021840" cy="1515745"/>
                  <wp:effectExtent l="0" t="0" r="16510" b="8255"/>
                  <wp:docPr id="29" name="图片 29" descr="d27f13bf7aaa7689fa919663c6d9f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d27f13bf7aaa7689fa919663c6d9fc2"/>
                          <pic:cNvPicPr>
                            <a:picLocks noChangeAspect="1"/>
                          </pic:cNvPicPr>
                        </pic:nvPicPr>
                        <pic:blipFill>
                          <a:blip r:embed="rId229"/>
                          <a:stretch>
                            <a:fillRect/>
                          </a:stretch>
                        </pic:blipFill>
                        <pic:spPr>
                          <a:xfrm>
                            <a:off x="0" y="0"/>
                            <a:ext cx="2021840" cy="1515745"/>
                          </a:xfrm>
                          <a:prstGeom prst="rect">
                            <a:avLst/>
                          </a:prstGeom>
                        </pic:spPr>
                      </pic:pic>
                    </a:graphicData>
                  </a:graphic>
                </wp:inline>
              </w:drawing>
            </w:r>
          </w:p>
        </w:tc>
      </w:tr>
      <w:tr w14:paraId="5BA6D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7244893B">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（a）试件01加载点处凹陷</w:t>
            </w:r>
          </w:p>
        </w:tc>
        <w:tc>
          <w:tcPr>
            <w:tcW w:w="4261" w:type="dxa"/>
            <w:tcBorders>
              <w:top w:val="nil"/>
              <w:left w:val="nil"/>
              <w:bottom w:val="nil"/>
              <w:right w:val="nil"/>
            </w:tcBorders>
          </w:tcPr>
          <w:p w14:paraId="48F00278">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（b）试件01边缘处裂缝</w:t>
            </w:r>
          </w:p>
        </w:tc>
      </w:tr>
      <w:tr w14:paraId="7B80D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45B1C4C2">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drawing>
                <wp:inline distT="0" distB="0" distL="114300" distR="114300">
                  <wp:extent cx="2021840" cy="1515745"/>
                  <wp:effectExtent l="0" t="0" r="16510" b="8255"/>
                  <wp:docPr id="30" name="图片 30" descr="84e185ed2246ee1f402d049f02ff4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84e185ed2246ee1f402d049f02ff41a"/>
                          <pic:cNvPicPr>
                            <a:picLocks noChangeAspect="1"/>
                          </pic:cNvPicPr>
                        </pic:nvPicPr>
                        <pic:blipFill>
                          <a:blip r:embed="rId230"/>
                          <a:stretch>
                            <a:fillRect/>
                          </a:stretch>
                        </pic:blipFill>
                        <pic:spPr>
                          <a:xfrm rot="10800000">
                            <a:off x="0" y="0"/>
                            <a:ext cx="2021840" cy="1515745"/>
                          </a:xfrm>
                          <a:prstGeom prst="rect">
                            <a:avLst/>
                          </a:prstGeom>
                        </pic:spPr>
                      </pic:pic>
                    </a:graphicData>
                  </a:graphic>
                </wp:inline>
              </w:drawing>
            </w:r>
          </w:p>
        </w:tc>
        <w:tc>
          <w:tcPr>
            <w:tcW w:w="4261" w:type="dxa"/>
            <w:tcBorders>
              <w:top w:val="nil"/>
              <w:left w:val="nil"/>
              <w:bottom w:val="nil"/>
              <w:right w:val="nil"/>
            </w:tcBorders>
          </w:tcPr>
          <w:p w14:paraId="48623809">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drawing>
                <wp:inline distT="0" distB="0" distL="114300" distR="114300">
                  <wp:extent cx="2021840" cy="1515745"/>
                  <wp:effectExtent l="0" t="0" r="16510" b="8255"/>
                  <wp:docPr id="32" name="图片 32" descr="bfc817dc5be84fbabce001926c5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bfc817dc5be84fbabce001926c53751"/>
                          <pic:cNvPicPr>
                            <a:picLocks noChangeAspect="1"/>
                          </pic:cNvPicPr>
                        </pic:nvPicPr>
                        <pic:blipFill>
                          <a:blip r:embed="rId231"/>
                          <a:stretch>
                            <a:fillRect/>
                          </a:stretch>
                        </pic:blipFill>
                        <pic:spPr>
                          <a:xfrm rot="10800000">
                            <a:off x="0" y="0"/>
                            <a:ext cx="2021840" cy="1515745"/>
                          </a:xfrm>
                          <a:prstGeom prst="rect">
                            <a:avLst/>
                          </a:prstGeom>
                        </pic:spPr>
                      </pic:pic>
                    </a:graphicData>
                  </a:graphic>
                </wp:inline>
              </w:drawing>
            </w:r>
          </w:p>
        </w:tc>
      </w:tr>
      <w:tr w14:paraId="1A11D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468E0CE4">
            <w:pPr>
              <w:spacing w:line="360" w:lineRule="auto"/>
              <w:jc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sz w:val="20"/>
                <w:szCs w:val="20"/>
              </w:rPr>
              <w:t>（c）试件02加载点处凹陷</w:t>
            </w:r>
          </w:p>
        </w:tc>
        <w:tc>
          <w:tcPr>
            <w:tcW w:w="4261" w:type="dxa"/>
            <w:tcBorders>
              <w:top w:val="nil"/>
              <w:left w:val="nil"/>
              <w:bottom w:val="nil"/>
              <w:right w:val="nil"/>
            </w:tcBorders>
          </w:tcPr>
          <w:p w14:paraId="1A5A00DB">
            <w:pPr>
              <w:spacing w:line="360" w:lineRule="auto"/>
              <w:jc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sz w:val="20"/>
                <w:szCs w:val="20"/>
              </w:rPr>
              <w:t>（d）试件02侧面变形</w:t>
            </w:r>
          </w:p>
        </w:tc>
      </w:tr>
      <w:tr w14:paraId="66BD8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6BB16618">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2021840" cy="1515745"/>
                  <wp:effectExtent l="0" t="0" r="16510" b="8255"/>
                  <wp:docPr id="33" name="图片 33" descr="15c2cfb8bc2ce499715269d774b5a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5c2cfb8bc2ce499715269d774b5a04"/>
                          <pic:cNvPicPr>
                            <a:picLocks noChangeAspect="1"/>
                          </pic:cNvPicPr>
                        </pic:nvPicPr>
                        <pic:blipFill>
                          <a:blip r:embed="rId232"/>
                          <a:stretch>
                            <a:fillRect/>
                          </a:stretch>
                        </pic:blipFill>
                        <pic:spPr>
                          <a:xfrm>
                            <a:off x="0" y="0"/>
                            <a:ext cx="2021840" cy="1515745"/>
                          </a:xfrm>
                          <a:prstGeom prst="rect">
                            <a:avLst/>
                          </a:prstGeom>
                        </pic:spPr>
                      </pic:pic>
                    </a:graphicData>
                  </a:graphic>
                </wp:inline>
              </w:drawing>
            </w:r>
          </w:p>
        </w:tc>
        <w:tc>
          <w:tcPr>
            <w:tcW w:w="4261" w:type="dxa"/>
            <w:tcBorders>
              <w:top w:val="nil"/>
              <w:left w:val="nil"/>
              <w:bottom w:val="nil"/>
              <w:right w:val="nil"/>
            </w:tcBorders>
          </w:tcPr>
          <w:p w14:paraId="77BEF358">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2021840" cy="1515745"/>
                  <wp:effectExtent l="0" t="0" r="16510" b="8255"/>
                  <wp:docPr id="34" name="图片 34" descr="d2183fece454b2f175b3f2c9945f5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d2183fece454b2f175b3f2c9945f5c0"/>
                          <pic:cNvPicPr>
                            <a:picLocks noChangeAspect="1"/>
                          </pic:cNvPicPr>
                        </pic:nvPicPr>
                        <pic:blipFill>
                          <a:blip r:embed="rId233"/>
                          <a:stretch>
                            <a:fillRect/>
                          </a:stretch>
                        </pic:blipFill>
                        <pic:spPr>
                          <a:xfrm>
                            <a:off x="0" y="0"/>
                            <a:ext cx="2021840" cy="1515745"/>
                          </a:xfrm>
                          <a:prstGeom prst="rect">
                            <a:avLst/>
                          </a:prstGeom>
                        </pic:spPr>
                      </pic:pic>
                    </a:graphicData>
                  </a:graphic>
                </wp:inline>
              </w:drawing>
            </w:r>
          </w:p>
        </w:tc>
      </w:tr>
      <w:tr w14:paraId="7169C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754302AE">
            <w:pPr>
              <w:spacing w:line="360" w:lineRule="auto"/>
              <w:jc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sz w:val="20"/>
                <w:szCs w:val="20"/>
              </w:rPr>
              <w:t>（e）试件03加载点处凹陷</w:t>
            </w:r>
          </w:p>
        </w:tc>
        <w:tc>
          <w:tcPr>
            <w:tcW w:w="4261" w:type="dxa"/>
            <w:tcBorders>
              <w:top w:val="nil"/>
              <w:left w:val="nil"/>
              <w:bottom w:val="nil"/>
              <w:right w:val="nil"/>
            </w:tcBorders>
          </w:tcPr>
          <w:p w14:paraId="1CA9FECC">
            <w:pPr>
              <w:spacing w:line="360" w:lineRule="auto"/>
              <w:jc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sz w:val="20"/>
                <w:szCs w:val="20"/>
              </w:rPr>
              <w:t>（f）试件03边缘处裂缝</w:t>
            </w:r>
          </w:p>
        </w:tc>
      </w:tr>
      <w:tr w14:paraId="02ABB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0EE77E22">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1515745" cy="2021840"/>
                  <wp:effectExtent l="0" t="0" r="16510" b="8255"/>
                  <wp:docPr id="35" name="图片 35" descr="d8431ae2cbed22f2526f1a6593f80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d8431ae2cbed22f2526f1a6593f80c8"/>
                          <pic:cNvPicPr>
                            <a:picLocks noChangeAspect="1"/>
                          </pic:cNvPicPr>
                        </pic:nvPicPr>
                        <pic:blipFill>
                          <a:blip r:embed="rId234"/>
                          <a:stretch>
                            <a:fillRect/>
                          </a:stretch>
                        </pic:blipFill>
                        <pic:spPr>
                          <a:xfrm rot="16200000">
                            <a:off x="0" y="0"/>
                            <a:ext cx="1515745" cy="2021840"/>
                          </a:xfrm>
                          <a:prstGeom prst="rect">
                            <a:avLst/>
                          </a:prstGeom>
                        </pic:spPr>
                      </pic:pic>
                    </a:graphicData>
                  </a:graphic>
                </wp:inline>
              </w:drawing>
            </w:r>
          </w:p>
        </w:tc>
        <w:tc>
          <w:tcPr>
            <w:tcW w:w="4261" w:type="dxa"/>
            <w:tcBorders>
              <w:top w:val="nil"/>
              <w:left w:val="nil"/>
              <w:bottom w:val="nil"/>
              <w:right w:val="nil"/>
            </w:tcBorders>
          </w:tcPr>
          <w:p w14:paraId="1CAB52EF">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1515745" cy="2021840"/>
                  <wp:effectExtent l="0" t="0" r="16510" b="8255"/>
                  <wp:docPr id="36" name="图片 36" descr="d6bd1187af67f201f0def6555a5f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d6bd1187af67f201f0def6555a5f502"/>
                          <pic:cNvPicPr>
                            <a:picLocks noChangeAspect="1"/>
                          </pic:cNvPicPr>
                        </pic:nvPicPr>
                        <pic:blipFill>
                          <a:blip r:embed="rId235"/>
                          <a:stretch>
                            <a:fillRect/>
                          </a:stretch>
                        </pic:blipFill>
                        <pic:spPr>
                          <a:xfrm rot="16200000">
                            <a:off x="0" y="0"/>
                            <a:ext cx="1515745" cy="2021840"/>
                          </a:xfrm>
                          <a:prstGeom prst="rect">
                            <a:avLst/>
                          </a:prstGeom>
                        </pic:spPr>
                      </pic:pic>
                    </a:graphicData>
                  </a:graphic>
                </wp:inline>
              </w:drawing>
            </w:r>
          </w:p>
        </w:tc>
      </w:tr>
      <w:tr w14:paraId="26857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6B682A6A">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（g）试件04加载点处凹陷</w:t>
            </w:r>
          </w:p>
        </w:tc>
        <w:tc>
          <w:tcPr>
            <w:tcW w:w="4261" w:type="dxa"/>
            <w:tcBorders>
              <w:top w:val="nil"/>
              <w:left w:val="nil"/>
              <w:bottom w:val="nil"/>
              <w:right w:val="nil"/>
            </w:tcBorders>
          </w:tcPr>
          <w:p w14:paraId="3F18EAB3">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（h）试件04侧面变形</w:t>
            </w:r>
          </w:p>
        </w:tc>
      </w:tr>
      <w:tr w14:paraId="6FB1D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Borders>
              <w:top w:val="nil"/>
              <w:left w:val="nil"/>
              <w:bottom w:val="nil"/>
              <w:right w:val="nil"/>
            </w:tcBorders>
          </w:tcPr>
          <w:p w14:paraId="67E14674">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图2</w:t>
            </w:r>
            <w:r>
              <w:rPr>
                <w:rStyle w:val="150"/>
                <w:rFonts w:hint="default" w:ascii="Times New Roman" w:hAnsi="Times New Roman" w:cs="Times New Roman"/>
                <w:i w:val="0"/>
                <w:iCs w:val="0"/>
                <w:color w:val="auto"/>
                <w:sz w:val="20"/>
                <w:szCs w:val="20"/>
              </w:rPr>
              <w:t>复合</w:t>
            </w:r>
            <w:r>
              <w:rPr>
                <w:rStyle w:val="150"/>
                <w:rFonts w:hint="default" w:cs="Times New Roman"/>
                <w:i w:val="0"/>
                <w:iCs w:val="0"/>
                <w:color w:val="auto"/>
                <w:sz w:val="20"/>
                <w:szCs w:val="20"/>
              </w:rPr>
              <w:t>Ⅰ</w:t>
            </w:r>
            <w:r>
              <w:rPr>
                <w:rStyle w:val="150"/>
                <w:rFonts w:hint="default" w:ascii="Times New Roman" w:hAnsi="Times New Roman" w:cs="Times New Roman"/>
                <w:i w:val="0"/>
                <w:iCs w:val="0"/>
                <w:color w:val="auto"/>
                <w:sz w:val="20"/>
                <w:szCs w:val="20"/>
              </w:rPr>
              <w:t>型</w:t>
            </w:r>
            <w:r>
              <w:rPr>
                <w:rFonts w:hint="eastAsia" w:ascii="Times New Roman" w:hAnsi="Times New Roman" w:cs="Times New Roman"/>
                <w:i w:val="0"/>
                <w:iCs w:val="0"/>
                <w:color w:val="auto"/>
                <w:sz w:val="20"/>
                <w:szCs w:val="20"/>
              </w:rPr>
              <w:t>试件试验最终破坏示意</w:t>
            </w:r>
          </w:p>
        </w:tc>
      </w:tr>
    </w:tbl>
    <w:p w14:paraId="7625DF32">
      <w:pPr>
        <w:spacing w:line="360" w:lineRule="auto"/>
        <w:ind w:firstLine="480" w:firstLineChars="200"/>
        <w:rPr>
          <w:rFonts w:hint="eastAsia" w:ascii="宋体" w:hAnsi="宋体" w:eastAsia="宋体" w:cs="黑体"/>
          <w:bCs/>
          <w:i w:val="0"/>
          <w:iCs w:val="0"/>
          <w:color w:val="auto"/>
          <w:kern w:val="0"/>
          <w:sz w:val="24"/>
          <w:szCs w:val="24"/>
          <w:u w:val="single"/>
        </w:rPr>
      </w:pPr>
    </w:p>
    <w:p w14:paraId="1595AA65">
      <w:pPr>
        <w:spacing w:line="360" w:lineRule="auto"/>
        <w:ind w:firstLine="480" w:firstLineChars="200"/>
        <w:rPr>
          <w:rFonts w:ascii="Times New Roman" w:hAnsi="Times New Roman" w:cs="Times New Roman"/>
          <w:i w:val="0"/>
          <w:iCs w:val="0"/>
          <w:color w:val="auto"/>
          <w:sz w:val="24"/>
          <w:szCs w:val="24"/>
        </w:rPr>
      </w:pPr>
      <w:r>
        <w:rPr>
          <w:rFonts w:hint="eastAsia" w:ascii="宋体" w:hAnsi="宋体" w:eastAsia="宋体" w:cs="黑体"/>
          <w:bCs/>
          <w:i w:val="0"/>
          <w:iCs w:val="0"/>
          <w:color w:val="auto"/>
          <w:kern w:val="0"/>
          <w:sz w:val="24"/>
          <w:szCs w:val="24"/>
          <w:u w:val="single"/>
        </w:rPr>
        <w:t>在复合Ⅱ型试件跨距取300mm试验时，加载初始阶段试件无明显变形，继续加载的过程中试件逐渐弯曲，试件底部并未出现明显裂缝，随后继续加载听到“砰”的一声，复合Ⅱ型试件下部钢丝网断裂，停止加载。各式件最终破坏见图3。观察各试件破坏图，发现各试件均在底部断裂，其中试件02、03、04试件底部为贯穿裂缝。</w:t>
      </w:r>
    </w:p>
    <w:tbl>
      <w:tblPr>
        <w:tblStyle w:val="8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14:paraId="1649A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1B970E37">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1515745" cy="2021205"/>
                  <wp:effectExtent l="0" t="0" r="17145" b="8255"/>
                  <wp:docPr id="37" name="图片 37" descr="e8ef8f56431c145460095eaa6fead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e8ef8f56431c145460095eaa6fead1e"/>
                          <pic:cNvPicPr>
                            <a:picLocks noChangeAspect="1"/>
                          </pic:cNvPicPr>
                        </pic:nvPicPr>
                        <pic:blipFill>
                          <a:blip r:embed="rId236"/>
                          <a:stretch>
                            <a:fillRect/>
                          </a:stretch>
                        </pic:blipFill>
                        <pic:spPr>
                          <a:xfrm rot="16200000">
                            <a:off x="0" y="0"/>
                            <a:ext cx="1515745" cy="2021205"/>
                          </a:xfrm>
                          <a:prstGeom prst="rect">
                            <a:avLst/>
                          </a:prstGeom>
                        </pic:spPr>
                      </pic:pic>
                    </a:graphicData>
                  </a:graphic>
                </wp:inline>
              </w:drawing>
            </w:r>
          </w:p>
        </w:tc>
        <w:tc>
          <w:tcPr>
            <w:tcW w:w="4261" w:type="dxa"/>
            <w:tcBorders>
              <w:top w:val="nil"/>
              <w:left w:val="nil"/>
              <w:bottom w:val="nil"/>
              <w:right w:val="nil"/>
            </w:tcBorders>
          </w:tcPr>
          <w:p w14:paraId="3CB0089D">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2021840" cy="1515745"/>
                  <wp:effectExtent l="0" t="0" r="16510" b="8255"/>
                  <wp:docPr id="38" name="图片 38" descr="2e7569c5ffa5faabc247231df3f9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2e7569c5ffa5faabc247231df3f9742"/>
                          <pic:cNvPicPr>
                            <a:picLocks noChangeAspect="1"/>
                          </pic:cNvPicPr>
                        </pic:nvPicPr>
                        <pic:blipFill>
                          <a:blip r:embed="rId237"/>
                          <a:stretch>
                            <a:fillRect/>
                          </a:stretch>
                        </pic:blipFill>
                        <pic:spPr>
                          <a:xfrm>
                            <a:off x="0" y="0"/>
                            <a:ext cx="2021840" cy="1515745"/>
                          </a:xfrm>
                          <a:prstGeom prst="rect">
                            <a:avLst/>
                          </a:prstGeom>
                        </pic:spPr>
                      </pic:pic>
                    </a:graphicData>
                  </a:graphic>
                </wp:inline>
              </w:drawing>
            </w:r>
          </w:p>
        </w:tc>
      </w:tr>
      <w:tr w14:paraId="0237D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030073B3">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（a）试件01底面裂缝</w:t>
            </w:r>
          </w:p>
        </w:tc>
        <w:tc>
          <w:tcPr>
            <w:tcW w:w="4261" w:type="dxa"/>
            <w:tcBorders>
              <w:top w:val="nil"/>
              <w:left w:val="nil"/>
              <w:bottom w:val="nil"/>
              <w:right w:val="nil"/>
            </w:tcBorders>
          </w:tcPr>
          <w:p w14:paraId="4B6DDE52">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（b）试件01侧面裂缝</w:t>
            </w:r>
          </w:p>
        </w:tc>
      </w:tr>
      <w:tr w14:paraId="4A00F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5CB6107E">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drawing>
                <wp:inline distT="0" distB="0" distL="114300" distR="114300">
                  <wp:extent cx="1515745" cy="2021840"/>
                  <wp:effectExtent l="0" t="0" r="16510" b="8255"/>
                  <wp:docPr id="39" name="图片 39" descr="e693cca089f7c4fd3ab6e0edf556c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e693cca089f7c4fd3ab6e0edf556c40"/>
                          <pic:cNvPicPr>
                            <a:picLocks noChangeAspect="1"/>
                          </pic:cNvPicPr>
                        </pic:nvPicPr>
                        <pic:blipFill>
                          <a:blip r:embed="rId238"/>
                          <a:stretch>
                            <a:fillRect/>
                          </a:stretch>
                        </pic:blipFill>
                        <pic:spPr>
                          <a:xfrm rot="16200000">
                            <a:off x="0" y="0"/>
                            <a:ext cx="1515745" cy="2021840"/>
                          </a:xfrm>
                          <a:prstGeom prst="rect">
                            <a:avLst/>
                          </a:prstGeom>
                        </pic:spPr>
                      </pic:pic>
                    </a:graphicData>
                  </a:graphic>
                </wp:inline>
              </w:drawing>
            </w:r>
          </w:p>
        </w:tc>
        <w:tc>
          <w:tcPr>
            <w:tcW w:w="4261" w:type="dxa"/>
            <w:tcBorders>
              <w:top w:val="nil"/>
              <w:left w:val="nil"/>
              <w:bottom w:val="nil"/>
              <w:right w:val="nil"/>
            </w:tcBorders>
          </w:tcPr>
          <w:p w14:paraId="7BA1248E">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drawing>
                <wp:inline distT="0" distB="0" distL="114300" distR="114300">
                  <wp:extent cx="1515745" cy="2021840"/>
                  <wp:effectExtent l="0" t="0" r="16510" b="8255"/>
                  <wp:docPr id="40" name="图片 40" descr="f363157f49c1e97e30ab8aad68580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f363157f49c1e97e30ab8aad685802d"/>
                          <pic:cNvPicPr>
                            <a:picLocks noChangeAspect="1"/>
                          </pic:cNvPicPr>
                        </pic:nvPicPr>
                        <pic:blipFill>
                          <a:blip r:embed="rId239"/>
                          <a:stretch>
                            <a:fillRect/>
                          </a:stretch>
                        </pic:blipFill>
                        <pic:spPr>
                          <a:xfrm rot="16200000">
                            <a:off x="0" y="0"/>
                            <a:ext cx="1515745" cy="2021840"/>
                          </a:xfrm>
                          <a:prstGeom prst="rect">
                            <a:avLst/>
                          </a:prstGeom>
                        </pic:spPr>
                      </pic:pic>
                    </a:graphicData>
                  </a:graphic>
                </wp:inline>
              </w:drawing>
            </w:r>
          </w:p>
        </w:tc>
      </w:tr>
      <w:tr w14:paraId="7DAEA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697A2724">
            <w:pPr>
              <w:spacing w:line="360" w:lineRule="auto"/>
              <w:jc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sz w:val="20"/>
                <w:szCs w:val="20"/>
              </w:rPr>
              <w:t>（c）试件02底面裂缝</w:t>
            </w:r>
          </w:p>
        </w:tc>
        <w:tc>
          <w:tcPr>
            <w:tcW w:w="4261" w:type="dxa"/>
            <w:tcBorders>
              <w:top w:val="nil"/>
              <w:left w:val="nil"/>
              <w:bottom w:val="nil"/>
              <w:right w:val="nil"/>
            </w:tcBorders>
          </w:tcPr>
          <w:p w14:paraId="5E6FE7A3">
            <w:pPr>
              <w:spacing w:line="360" w:lineRule="auto"/>
              <w:jc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sz w:val="20"/>
                <w:szCs w:val="20"/>
              </w:rPr>
              <w:t>（d）试件02侧面裂缝</w:t>
            </w:r>
          </w:p>
        </w:tc>
      </w:tr>
      <w:tr w14:paraId="6D0A8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386F8685">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drawing>
                <wp:inline distT="0" distB="0" distL="114300" distR="114300">
                  <wp:extent cx="2021840" cy="1515745"/>
                  <wp:effectExtent l="0" t="0" r="16510" b="8255"/>
                  <wp:docPr id="41" name="图片 41" descr="425e13cf1d5bcabd29bb1300831c8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425e13cf1d5bcabd29bb1300831c8b3"/>
                          <pic:cNvPicPr>
                            <a:picLocks noChangeAspect="1"/>
                          </pic:cNvPicPr>
                        </pic:nvPicPr>
                        <pic:blipFill>
                          <a:blip r:embed="rId240"/>
                          <a:stretch>
                            <a:fillRect/>
                          </a:stretch>
                        </pic:blipFill>
                        <pic:spPr>
                          <a:xfrm>
                            <a:off x="0" y="0"/>
                            <a:ext cx="2021840" cy="1515745"/>
                          </a:xfrm>
                          <a:prstGeom prst="rect">
                            <a:avLst/>
                          </a:prstGeom>
                        </pic:spPr>
                      </pic:pic>
                    </a:graphicData>
                  </a:graphic>
                </wp:inline>
              </w:drawing>
            </w:r>
          </w:p>
        </w:tc>
        <w:tc>
          <w:tcPr>
            <w:tcW w:w="4261" w:type="dxa"/>
            <w:tcBorders>
              <w:top w:val="nil"/>
              <w:left w:val="nil"/>
              <w:bottom w:val="nil"/>
              <w:right w:val="nil"/>
            </w:tcBorders>
          </w:tcPr>
          <w:p w14:paraId="220212D0">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drawing>
                <wp:inline distT="0" distB="0" distL="114300" distR="114300">
                  <wp:extent cx="2021840" cy="1515745"/>
                  <wp:effectExtent l="0" t="0" r="16510" b="8255"/>
                  <wp:docPr id="42" name="图片 42" descr="8fd00da3178de9064f561985c105e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8fd00da3178de9064f561985c105e0d"/>
                          <pic:cNvPicPr>
                            <a:picLocks noChangeAspect="1"/>
                          </pic:cNvPicPr>
                        </pic:nvPicPr>
                        <pic:blipFill>
                          <a:blip r:embed="rId241"/>
                          <a:stretch>
                            <a:fillRect/>
                          </a:stretch>
                        </pic:blipFill>
                        <pic:spPr>
                          <a:xfrm>
                            <a:off x="0" y="0"/>
                            <a:ext cx="2021840" cy="1515745"/>
                          </a:xfrm>
                          <a:prstGeom prst="rect">
                            <a:avLst/>
                          </a:prstGeom>
                        </pic:spPr>
                      </pic:pic>
                    </a:graphicData>
                  </a:graphic>
                </wp:inline>
              </w:drawing>
            </w:r>
          </w:p>
        </w:tc>
      </w:tr>
      <w:tr w14:paraId="254D5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6403F979">
            <w:pPr>
              <w:spacing w:line="360" w:lineRule="auto"/>
              <w:jc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sz w:val="20"/>
                <w:szCs w:val="20"/>
              </w:rPr>
              <w:t>（e）试件03底面裂缝</w:t>
            </w:r>
          </w:p>
        </w:tc>
        <w:tc>
          <w:tcPr>
            <w:tcW w:w="4261" w:type="dxa"/>
            <w:tcBorders>
              <w:top w:val="nil"/>
              <w:left w:val="nil"/>
              <w:bottom w:val="nil"/>
              <w:right w:val="nil"/>
            </w:tcBorders>
          </w:tcPr>
          <w:p w14:paraId="308499CB">
            <w:pPr>
              <w:spacing w:line="360" w:lineRule="auto"/>
              <w:jc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sz w:val="20"/>
                <w:szCs w:val="20"/>
              </w:rPr>
              <w:t>（f）试件03侧面裂缝</w:t>
            </w:r>
          </w:p>
        </w:tc>
      </w:tr>
      <w:tr w14:paraId="1E5EB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1EB24FE9">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1515745" cy="2021840"/>
                  <wp:effectExtent l="0" t="0" r="16510" b="8255"/>
                  <wp:docPr id="43" name="图片 43" descr="8fad5f4b8163a18802cdd59fc6bd0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8fad5f4b8163a18802cdd59fc6bd0f0"/>
                          <pic:cNvPicPr>
                            <a:picLocks noChangeAspect="1"/>
                          </pic:cNvPicPr>
                        </pic:nvPicPr>
                        <pic:blipFill>
                          <a:blip r:embed="rId242"/>
                          <a:stretch>
                            <a:fillRect/>
                          </a:stretch>
                        </pic:blipFill>
                        <pic:spPr>
                          <a:xfrm rot="16200000">
                            <a:off x="0" y="0"/>
                            <a:ext cx="1515745" cy="2021840"/>
                          </a:xfrm>
                          <a:prstGeom prst="rect">
                            <a:avLst/>
                          </a:prstGeom>
                        </pic:spPr>
                      </pic:pic>
                    </a:graphicData>
                  </a:graphic>
                </wp:inline>
              </w:drawing>
            </w:r>
          </w:p>
        </w:tc>
        <w:tc>
          <w:tcPr>
            <w:tcW w:w="4261" w:type="dxa"/>
            <w:tcBorders>
              <w:top w:val="nil"/>
              <w:left w:val="nil"/>
              <w:bottom w:val="nil"/>
              <w:right w:val="nil"/>
            </w:tcBorders>
          </w:tcPr>
          <w:p w14:paraId="0FC978EE">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1515745" cy="2021840"/>
                  <wp:effectExtent l="0" t="0" r="16510" b="8255"/>
                  <wp:docPr id="44" name="图片 44" descr="33fc572d50a72cb2f1152f320089c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33fc572d50a72cb2f1152f320089cb1"/>
                          <pic:cNvPicPr>
                            <a:picLocks noChangeAspect="1"/>
                          </pic:cNvPicPr>
                        </pic:nvPicPr>
                        <pic:blipFill>
                          <a:blip r:embed="rId243"/>
                          <a:stretch>
                            <a:fillRect/>
                          </a:stretch>
                        </pic:blipFill>
                        <pic:spPr>
                          <a:xfrm rot="16200000">
                            <a:off x="0" y="0"/>
                            <a:ext cx="1515745" cy="2021840"/>
                          </a:xfrm>
                          <a:prstGeom prst="rect">
                            <a:avLst/>
                          </a:prstGeom>
                        </pic:spPr>
                      </pic:pic>
                    </a:graphicData>
                  </a:graphic>
                </wp:inline>
              </w:drawing>
            </w:r>
          </w:p>
        </w:tc>
      </w:tr>
      <w:tr w14:paraId="23154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6F92B90B">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（g）试件04底面裂缝</w:t>
            </w:r>
          </w:p>
        </w:tc>
        <w:tc>
          <w:tcPr>
            <w:tcW w:w="4261" w:type="dxa"/>
            <w:tcBorders>
              <w:top w:val="nil"/>
              <w:left w:val="nil"/>
              <w:bottom w:val="nil"/>
              <w:right w:val="nil"/>
            </w:tcBorders>
          </w:tcPr>
          <w:p w14:paraId="1A47BB6D">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（h）试件04侧面裂缝</w:t>
            </w:r>
          </w:p>
        </w:tc>
      </w:tr>
      <w:tr w14:paraId="3F3A1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Borders>
              <w:top w:val="nil"/>
              <w:left w:val="nil"/>
              <w:bottom w:val="nil"/>
              <w:right w:val="nil"/>
            </w:tcBorders>
          </w:tcPr>
          <w:p w14:paraId="2DB7B883">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图3</w:t>
            </w:r>
            <w:r>
              <w:rPr>
                <w:rFonts w:hint="eastAsia" w:ascii="Times New Roman" w:hAnsi="Times New Roman" w:cs="Times New Roman"/>
                <w:i w:val="0"/>
                <w:iCs w:val="0"/>
                <w:color w:val="auto"/>
                <w:kern w:val="0"/>
                <w:sz w:val="20"/>
                <w:szCs w:val="20"/>
              </w:rPr>
              <w:t>复合</w:t>
            </w:r>
            <w:r>
              <w:rPr>
                <w:rFonts w:hint="eastAsia" w:cs="Times New Roman" w:asciiTheme="minorEastAsia" w:hAnsiTheme="minorEastAsia"/>
                <w:i w:val="0"/>
                <w:iCs w:val="0"/>
                <w:color w:val="auto"/>
                <w:kern w:val="0"/>
                <w:sz w:val="20"/>
                <w:szCs w:val="20"/>
              </w:rPr>
              <w:t>Ⅱ</w:t>
            </w:r>
            <w:r>
              <w:rPr>
                <w:rFonts w:hint="eastAsia" w:ascii="Times New Roman" w:hAnsi="Times New Roman" w:cs="Times New Roman"/>
                <w:i w:val="0"/>
                <w:iCs w:val="0"/>
                <w:color w:val="auto"/>
                <w:kern w:val="0"/>
                <w:sz w:val="20"/>
                <w:szCs w:val="20"/>
              </w:rPr>
              <w:t>型</w:t>
            </w:r>
            <w:r>
              <w:rPr>
                <w:rFonts w:hint="eastAsia" w:ascii="Times New Roman" w:hAnsi="Times New Roman" w:cs="Times New Roman"/>
                <w:i w:val="0"/>
                <w:iCs w:val="0"/>
                <w:color w:val="auto"/>
                <w:sz w:val="20"/>
                <w:szCs w:val="20"/>
              </w:rPr>
              <w:t>试件试验最终破坏示意</w:t>
            </w:r>
          </w:p>
        </w:tc>
      </w:tr>
    </w:tbl>
    <w:p w14:paraId="260404A7">
      <w:pPr>
        <w:spacing w:line="360" w:lineRule="auto"/>
        <w:ind w:firstLine="480" w:firstLineChars="200"/>
        <w:rPr>
          <w:rFonts w:hint="eastAsia" w:ascii="宋体" w:hAnsi="宋体" w:eastAsia="宋体" w:cs="黑体"/>
          <w:bCs/>
          <w:i w:val="0"/>
          <w:iCs w:val="0"/>
          <w:color w:val="auto"/>
          <w:kern w:val="0"/>
          <w:sz w:val="24"/>
          <w:szCs w:val="24"/>
          <w:u w:val="single"/>
        </w:rPr>
      </w:pPr>
      <w:r>
        <w:rPr>
          <w:rFonts w:hint="eastAsia" w:ascii="宋体" w:hAnsi="宋体" w:eastAsia="宋体" w:cs="黑体"/>
          <w:bCs/>
          <w:i w:val="0"/>
          <w:iCs w:val="0"/>
          <w:color w:val="auto"/>
          <w:kern w:val="0"/>
          <w:sz w:val="24"/>
          <w:szCs w:val="24"/>
          <w:u w:val="single"/>
        </w:rPr>
        <w:t>在叠合型试件跨距取300mm试验时，加载初始阶段试件无明显变形，继续加载的过程中试件逐渐弯曲，底部网格布部分拉伸断裂发出“沙沙”声，试件底部并未出现明显裂缝，随后继续加载试件加载端头处逐渐凹陷，随后“砰”的一声，叠合型试件底部断裂，停止加载。各试验式件在试件底面出现贯穿裂缝，其中01、03、04试件底面裂缝均有延伸倾向，侧面裂缝沿底面斜向上延伸到叠合板分层处，</w:t>
      </w:r>
      <w:r>
        <w:rPr>
          <w:rFonts w:hint="eastAsia" w:ascii="宋体" w:hAnsi="宋体" w:eastAsia="宋体" w:cs="黑体"/>
          <w:bCs/>
          <w:i w:val="0"/>
          <w:iCs w:val="0"/>
          <w:color w:val="auto"/>
          <w:kern w:val="0"/>
          <w:sz w:val="24"/>
          <w:szCs w:val="24"/>
          <w:u w:val="single"/>
          <w:lang w:eastAsia="zh-CN"/>
        </w:rPr>
        <w:t>各试件</w:t>
      </w:r>
      <w:r>
        <w:rPr>
          <w:rFonts w:hint="eastAsia" w:ascii="宋体" w:hAnsi="宋体" w:eastAsia="宋体" w:cs="黑体"/>
          <w:bCs/>
          <w:i w:val="0"/>
          <w:iCs w:val="0"/>
          <w:color w:val="auto"/>
          <w:kern w:val="0"/>
          <w:sz w:val="24"/>
          <w:szCs w:val="24"/>
          <w:u w:val="single"/>
        </w:rPr>
        <w:t>最终破坏见图4。</w:t>
      </w:r>
    </w:p>
    <w:tbl>
      <w:tblPr>
        <w:tblStyle w:val="8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14:paraId="2ACBE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797952D0">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2021840" cy="1515745"/>
                  <wp:effectExtent l="0" t="0" r="16510" b="8255"/>
                  <wp:docPr id="45" name="图片 45" descr="11d6df12ef7a92f83b0ae0e055a7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1d6df12ef7a92f83b0ae0e055a7346"/>
                          <pic:cNvPicPr>
                            <a:picLocks noChangeAspect="1"/>
                          </pic:cNvPicPr>
                        </pic:nvPicPr>
                        <pic:blipFill>
                          <a:blip r:embed="rId244"/>
                          <a:stretch>
                            <a:fillRect/>
                          </a:stretch>
                        </pic:blipFill>
                        <pic:spPr>
                          <a:xfrm>
                            <a:off x="0" y="0"/>
                            <a:ext cx="2021840" cy="1515745"/>
                          </a:xfrm>
                          <a:prstGeom prst="rect">
                            <a:avLst/>
                          </a:prstGeom>
                        </pic:spPr>
                      </pic:pic>
                    </a:graphicData>
                  </a:graphic>
                </wp:inline>
              </w:drawing>
            </w:r>
          </w:p>
        </w:tc>
        <w:tc>
          <w:tcPr>
            <w:tcW w:w="4261" w:type="dxa"/>
            <w:tcBorders>
              <w:top w:val="nil"/>
              <w:left w:val="nil"/>
              <w:bottom w:val="nil"/>
              <w:right w:val="nil"/>
            </w:tcBorders>
          </w:tcPr>
          <w:p w14:paraId="2E8F7EC0">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2021840" cy="1515745"/>
                  <wp:effectExtent l="0" t="0" r="16510" b="8255"/>
                  <wp:docPr id="46" name="图片 46" descr="eeed9e1e5710f285276f60d6ad90e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eeed9e1e5710f285276f60d6ad90e4b"/>
                          <pic:cNvPicPr>
                            <a:picLocks noChangeAspect="1"/>
                          </pic:cNvPicPr>
                        </pic:nvPicPr>
                        <pic:blipFill>
                          <a:blip r:embed="rId245"/>
                          <a:stretch>
                            <a:fillRect/>
                          </a:stretch>
                        </pic:blipFill>
                        <pic:spPr>
                          <a:xfrm>
                            <a:off x="0" y="0"/>
                            <a:ext cx="2021840" cy="1515745"/>
                          </a:xfrm>
                          <a:prstGeom prst="rect">
                            <a:avLst/>
                          </a:prstGeom>
                        </pic:spPr>
                      </pic:pic>
                    </a:graphicData>
                  </a:graphic>
                </wp:inline>
              </w:drawing>
            </w:r>
          </w:p>
        </w:tc>
      </w:tr>
      <w:tr w14:paraId="1C606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024F0BE2">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（a）试件01底面裂缝</w:t>
            </w:r>
          </w:p>
        </w:tc>
        <w:tc>
          <w:tcPr>
            <w:tcW w:w="4261" w:type="dxa"/>
            <w:tcBorders>
              <w:top w:val="nil"/>
              <w:left w:val="nil"/>
              <w:bottom w:val="nil"/>
              <w:right w:val="nil"/>
            </w:tcBorders>
          </w:tcPr>
          <w:p w14:paraId="7ECFEC6A">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（b）试件01侧面裂缝</w:t>
            </w:r>
          </w:p>
        </w:tc>
      </w:tr>
      <w:tr w14:paraId="0D501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3FFC4191">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drawing>
                <wp:inline distT="0" distB="0" distL="114300" distR="114300">
                  <wp:extent cx="2021840" cy="1515745"/>
                  <wp:effectExtent l="0" t="0" r="16510" b="8255"/>
                  <wp:docPr id="47" name="图片 47" descr="0470a2c8f4a955cdb55de2abebdef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0470a2c8f4a955cdb55de2abebdefc4"/>
                          <pic:cNvPicPr>
                            <a:picLocks noChangeAspect="1"/>
                          </pic:cNvPicPr>
                        </pic:nvPicPr>
                        <pic:blipFill>
                          <a:blip r:embed="rId246"/>
                          <a:stretch>
                            <a:fillRect/>
                          </a:stretch>
                        </pic:blipFill>
                        <pic:spPr>
                          <a:xfrm>
                            <a:off x="0" y="0"/>
                            <a:ext cx="2021840" cy="1515745"/>
                          </a:xfrm>
                          <a:prstGeom prst="rect">
                            <a:avLst/>
                          </a:prstGeom>
                        </pic:spPr>
                      </pic:pic>
                    </a:graphicData>
                  </a:graphic>
                </wp:inline>
              </w:drawing>
            </w:r>
          </w:p>
        </w:tc>
        <w:tc>
          <w:tcPr>
            <w:tcW w:w="4261" w:type="dxa"/>
            <w:tcBorders>
              <w:top w:val="nil"/>
              <w:left w:val="nil"/>
              <w:bottom w:val="nil"/>
              <w:right w:val="nil"/>
            </w:tcBorders>
          </w:tcPr>
          <w:p w14:paraId="2FBC954F">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drawing>
                <wp:inline distT="0" distB="0" distL="114300" distR="114300">
                  <wp:extent cx="2021840" cy="1515745"/>
                  <wp:effectExtent l="0" t="0" r="16510" b="8255"/>
                  <wp:docPr id="48" name="图片 48" descr="f7bb269028a58614b0044067ade0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f7bb269028a58614b0044067ade0356"/>
                          <pic:cNvPicPr>
                            <a:picLocks noChangeAspect="1"/>
                          </pic:cNvPicPr>
                        </pic:nvPicPr>
                        <pic:blipFill>
                          <a:blip r:embed="rId247"/>
                          <a:stretch>
                            <a:fillRect/>
                          </a:stretch>
                        </pic:blipFill>
                        <pic:spPr>
                          <a:xfrm rot="10800000">
                            <a:off x="0" y="0"/>
                            <a:ext cx="2021840" cy="1515745"/>
                          </a:xfrm>
                          <a:prstGeom prst="rect">
                            <a:avLst/>
                          </a:prstGeom>
                        </pic:spPr>
                      </pic:pic>
                    </a:graphicData>
                  </a:graphic>
                </wp:inline>
              </w:drawing>
            </w:r>
          </w:p>
        </w:tc>
      </w:tr>
      <w:tr w14:paraId="5429D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078AF140">
            <w:pPr>
              <w:spacing w:line="360" w:lineRule="auto"/>
              <w:jc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sz w:val="20"/>
                <w:szCs w:val="20"/>
              </w:rPr>
              <w:t>（c）试件02底面裂缝</w:t>
            </w:r>
          </w:p>
        </w:tc>
        <w:tc>
          <w:tcPr>
            <w:tcW w:w="4261" w:type="dxa"/>
            <w:tcBorders>
              <w:top w:val="nil"/>
              <w:left w:val="nil"/>
              <w:bottom w:val="nil"/>
              <w:right w:val="nil"/>
            </w:tcBorders>
          </w:tcPr>
          <w:p w14:paraId="1EA138BF">
            <w:pPr>
              <w:spacing w:line="360" w:lineRule="auto"/>
              <w:jc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sz w:val="20"/>
                <w:szCs w:val="20"/>
              </w:rPr>
              <w:t>（d）试件02侧面裂缝</w:t>
            </w:r>
          </w:p>
        </w:tc>
      </w:tr>
      <w:tr w14:paraId="380EF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2" w:hRule="atLeast"/>
        </w:trPr>
        <w:tc>
          <w:tcPr>
            <w:tcW w:w="4261" w:type="dxa"/>
            <w:tcBorders>
              <w:top w:val="nil"/>
              <w:left w:val="nil"/>
              <w:bottom w:val="nil"/>
              <w:right w:val="nil"/>
            </w:tcBorders>
          </w:tcPr>
          <w:p w14:paraId="2396573A">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drawing>
                <wp:inline distT="0" distB="0" distL="114300" distR="114300">
                  <wp:extent cx="1515745" cy="2021840"/>
                  <wp:effectExtent l="0" t="0" r="16510" b="8255"/>
                  <wp:docPr id="49" name="图片 49" descr="0ba6ce98c37d30fbca1585fe778c1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0ba6ce98c37d30fbca1585fe778c13a"/>
                          <pic:cNvPicPr>
                            <a:picLocks noChangeAspect="1"/>
                          </pic:cNvPicPr>
                        </pic:nvPicPr>
                        <pic:blipFill>
                          <a:blip r:embed="rId248"/>
                          <a:stretch>
                            <a:fillRect/>
                          </a:stretch>
                        </pic:blipFill>
                        <pic:spPr>
                          <a:xfrm rot="16200000">
                            <a:off x="0" y="0"/>
                            <a:ext cx="1515745" cy="2021840"/>
                          </a:xfrm>
                          <a:prstGeom prst="rect">
                            <a:avLst/>
                          </a:prstGeom>
                        </pic:spPr>
                      </pic:pic>
                    </a:graphicData>
                  </a:graphic>
                </wp:inline>
              </w:drawing>
            </w:r>
          </w:p>
        </w:tc>
        <w:tc>
          <w:tcPr>
            <w:tcW w:w="4261" w:type="dxa"/>
            <w:tcBorders>
              <w:top w:val="nil"/>
              <w:left w:val="nil"/>
              <w:bottom w:val="nil"/>
              <w:right w:val="nil"/>
            </w:tcBorders>
          </w:tcPr>
          <w:p w14:paraId="6EE6F0A0">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drawing>
                <wp:inline distT="0" distB="0" distL="114300" distR="114300">
                  <wp:extent cx="1515745" cy="2021840"/>
                  <wp:effectExtent l="0" t="0" r="16510" b="8255"/>
                  <wp:docPr id="50" name="图片 50" descr="b9973f89bd2c9cb3f79bee1c19807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b9973f89bd2c9cb3f79bee1c198071f"/>
                          <pic:cNvPicPr>
                            <a:picLocks noChangeAspect="1"/>
                          </pic:cNvPicPr>
                        </pic:nvPicPr>
                        <pic:blipFill>
                          <a:blip r:embed="rId249"/>
                          <a:stretch>
                            <a:fillRect/>
                          </a:stretch>
                        </pic:blipFill>
                        <pic:spPr>
                          <a:xfrm rot="16200000">
                            <a:off x="0" y="0"/>
                            <a:ext cx="1515745" cy="2021840"/>
                          </a:xfrm>
                          <a:prstGeom prst="rect">
                            <a:avLst/>
                          </a:prstGeom>
                        </pic:spPr>
                      </pic:pic>
                    </a:graphicData>
                  </a:graphic>
                </wp:inline>
              </w:drawing>
            </w:r>
          </w:p>
        </w:tc>
      </w:tr>
      <w:tr w14:paraId="256D7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4E4B6B2E">
            <w:pPr>
              <w:spacing w:line="360" w:lineRule="auto"/>
              <w:jc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sz w:val="20"/>
                <w:szCs w:val="20"/>
              </w:rPr>
              <w:t>（e）试件03底面裂缝</w:t>
            </w:r>
          </w:p>
        </w:tc>
        <w:tc>
          <w:tcPr>
            <w:tcW w:w="4261" w:type="dxa"/>
            <w:tcBorders>
              <w:top w:val="nil"/>
              <w:left w:val="nil"/>
              <w:bottom w:val="nil"/>
              <w:right w:val="nil"/>
            </w:tcBorders>
          </w:tcPr>
          <w:p w14:paraId="2E2A697A">
            <w:pPr>
              <w:spacing w:line="360" w:lineRule="auto"/>
              <w:jc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sz w:val="20"/>
                <w:szCs w:val="20"/>
              </w:rPr>
              <w:t>（f）试件03侧面裂缝</w:t>
            </w:r>
          </w:p>
        </w:tc>
      </w:tr>
      <w:tr w14:paraId="679DC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702B8A0F">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2021840" cy="1515745"/>
                  <wp:effectExtent l="0" t="0" r="16510" b="8255"/>
                  <wp:docPr id="51" name="图片 51" descr="eac5dcf41e7edbc7c421423161b4b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eac5dcf41e7edbc7c421423161b4b86"/>
                          <pic:cNvPicPr>
                            <a:picLocks noChangeAspect="1"/>
                          </pic:cNvPicPr>
                        </pic:nvPicPr>
                        <pic:blipFill>
                          <a:blip r:embed="rId250"/>
                          <a:stretch>
                            <a:fillRect/>
                          </a:stretch>
                        </pic:blipFill>
                        <pic:spPr>
                          <a:xfrm rot="10800000">
                            <a:off x="0" y="0"/>
                            <a:ext cx="2021840" cy="1515745"/>
                          </a:xfrm>
                          <a:prstGeom prst="rect">
                            <a:avLst/>
                          </a:prstGeom>
                        </pic:spPr>
                      </pic:pic>
                    </a:graphicData>
                  </a:graphic>
                </wp:inline>
              </w:drawing>
            </w:r>
          </w:p>
        </w:tc>
        <w:tc>
          <w:tcPr>
            <w:tcW w:w="4261" w:type="dxa"/>
            <w:tcBorders>
              <w:top w:val="nil"/>
              <w:left w:val="nil"/>
              <w:bottom w:val="nil"/>
              <w:right w:val="nil"/>
            </w:tcBorders>
          </w:tcPr>
          <w:p w14:paraId="74E029EF">
            <w:pPr>
              <w:spacing w:line="360" w:lineRule="auto"/>
              <w:jc w:val="center"/>
              <w:rPr>
                <w:rFonts w:ascii="Times New Roman" w:hAnsi="Times New Roman" w:cs="Times New Roman"/>
                <w:i w:val="0"/>
                <w:iCs w:val="0"/>
                <w:color w:val="auto"/>
                <w:sz w:val="20"/>
                <w:szCs w:val="20"/>
              </w:rPr>
            </w:pPr>
            <w:r>
              <w:rPr>
                <w:rFonts w:ascii="Times New Roman" w:hAnsi="Times New Roman" w:cs="Times New Roman"/>
                <w:i w:val="0"/>
                <w:iCs w:val="0"/>
                <w:color w:val="auto"/>
                <w:sz w:val="20"/>
                <w:szCs w:val="20"/>
              </w:rPr>
              <w:drawing>
                <wp:inline distT="0" distB="0" distL="114300" distR="114300">
                  <wp:extent cx="2021840" cy="1515745"/>
                  <wp:effectExtent l="0" t="0" r="16510" b="8255"/>
                  <wp:docPr id="52" name="图片 52" descr="251f105cde03232ad933258c44f0e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251f105cde03232ad933258c44f0ece"/>
                          <pic:cNvPicPr>
                            <a:picLocks noChangeAspect="1"/>
                          </pic:cNvPicPr>
                        </pic:nvPicPr>
                        <pic:blipFill>
                          <a:blip r:embed="rId251"/>
                          <a:stretch>
                            <a:fillRect/>
                          </a:stretch>
                        </pic:blipFill>
                        <pic:spPr>
                          <a:xfrm rot="10800000">
                            <a:off x="0" y="0"/>
                            <a:ext cx="2021840" cy="1515745"/>
                          </a:xfrm>
                          <a:prstGeom prst="rect">
                            <a:avLst/>
                          </a:prstGeom>
                        </pic:spPr>
                      </pic:pic>
                    </a:graphicData>
                  </a:graphic>
                </wp:inline>
              </w:drawing>
            </w:r>
          </w:p>
        </w:tc>
      </w:tr>
      <w:tr w14:paraId="757A9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tcPr>
          <w:p w14:paraId="39B273A8">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（g）试件04底面裂缝</w:t>
            </w:r>
          </w:p>
        </w:tc>
        <w:tc>
          <w:tcPr>
            <w:tcW w:w="4261" w:type="dxa"/>
            <w:tcBorders>
              <w:top w:val="nil"/>
              <w:left w:val="nil"/>
              <w:bottom w:val="nil"/>
              <w:right w:val="nil"/>
            </w:tcBorders>
          </w:tcPr>
          <w:p w14:paraId="5CCA0130">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（h）试件04侧面裂缝</w:t>
            </w:r>
          </w:p>
        </w:tc>
      </w:tr>
      <w:tr w14:paraId="473C3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Borders>
              <w:top w:val="nil"/>
              <w:left w:val="nil"/>
              <w:bottom w:val="nil"/>
              <w:right w:val="nil"/>
            </w:tcBorders>
          </w:tcPr>
          <w:p w14:paraId="7DF1F3F3">
            <w:pPr>
              <w:spacing w:line="360" w:lineRule="auto"/>
              <w:jc w:val="center"/>
              <w:rPr>
                <w:rFonts w:ascii="Times New Roman" w:hAnsi="Times New Roman" w:cs="Times New Roman"/>
                <w:i w:val="0"/>
                <w:iCs w:val="0"/>
                <w:color w:val="auto"/>
                <w:sz w:val="20"/>
                <w:szCs w:val="20"/>
              </w:rPr>
            </w:pPr>
            <w:r>
              <w:rPr>
                <w:rFonts w:hint="eastAsia" w:ascii="Times New Roman" w:hAnsi="Times New Roman" w:cs="Times New Roman"/>
                <w:i w:val="0"/>
                <w:iCs w:val="0"/>
                <w:color w:val="auto"/>
                <w:sz w:val="20"/>
                <w:szCs w:val="20"/>
              </w:rPr>
              <w:t>图4叠合型试件试验最终破坏示意</w:t>
            </w:r>
          </w:p>
        </w:tc>
      </w:tr>
    </w:tbl>
    <w:p w14:paraId="5C88C433">
      <w:pPr>
        <w:pStyle w:val="144"/>
        <w:tabs>
          <w:tab w:val="clear" w:pos="1620"/>
        </w:tabs>
        <w:spacing w:before="312" w:after="312"/>
        <w:rPr>
          <w:i w:val="0"/>
          <w:iCs w:val="0"/>
          <w:color w:val="auto"/>
        </w:rPr>
      </w:pPr>
      <w:bookmarkStart w:id="1762" w:name="_Toc28479"/>
      <w:r>
        <w:rPr>
          <w:rFonts w:hint="eastAsia"/>
          <w:i w:val="0"/>
          <w:iCs w:val="0"/>
          <w:color w:val="auto"/>
        </w:rPr>
        <w:t>4.4保温免拆模板保温芯材性能要求</w:t>
      </w:r>
      <w:bookmarkEnd w:id="1762"/>
    </w:p>
    <w:p w14:paraId="418E22B1">
      <w:pPr>
        <w:spacing w:line="300" w:lineRule="auto"/>
        <w:ind w:firstLine="482" w:firstLineChars="200"/>
        <w:rPr>
          <w:rFonts w:hint="eastAsia" w:ascii="楷体" w:hAnsi="楷体" w:eastAsia="楷体" w:cs="宋体"/>
          <w:i w:val="0"/>
          <w:iCs w:val="0"/>
          <w:color w:val="auto"/>
          <w:kern w:val="0"/>
          <w:sz w:val="24"/>
          <w:szCs w:val="24"/>
          <w:u w:val="single"/>
        </w:rPr>
      </w:pPr>
      <w:r>
        <w:rPr>
          <w:rFonts w:hint="eastAsia" w:ascii="宋体" w:hAnsi="宋体" w:cstheme="minorHAnsi"/>
          <w:b/>
          <w:i w:val="0"/>
          <w:iCs w:val="0"/>
          <w:color w:val="auto"/>
          <w:kern w:val="0"/>
          <w:sz w:val="24"/>
          <w:szCs w:val="24"/>
        </w:rPr>
        <w:t>4.4.1</w:t>
      </w:r>
      <w:r>
        <w:rPr>
          <w:rFonts w:hint="eastAsia" w:ascii="楷体" w:hAnsi="楷体" w:eastAsia="楷体" w:cs="黑体"/>
          <w:bCs/>
          <w:i w:val="0"/>
          <w:iCs w:val="0"/>
          <w:color w:val="auto"/>
          <w:kern w:val="0"/>
          <w:sz w:val="24"/>
          <w:szCs w:val="24"/>
          <w:u w:val="single"/>
        </w:rPr>
        <w:t>本条引用现行标准</w:t>
      </w:r>
      <w:r>
        <w:rPr>
          <w:rFonts w:hint="eastAsia" w:ascii="楷体" w:hAnsi="楷体" w:eastAsia="楷体" w:cs="黑体"/>
          <w:bCs/>
          <w:i w:val="0"/>
          <w:iCs w:val="0"/>
          <w:color w:val="auto"/>
          <w:sz w:val="24"/>
          <w:szCs w:val="24"/>
          <w:u w:val="single"/>
        </w:rPr>
        <w:t>《</w:t>
      </w:r>
      <w:r>
        <w:rPr>
          <w:i w:val="0"/>
          <w:iCs w:val="0"/>
          <w:color w:val="auto"/>
        </w:rPr>
        <w:fldChar w:fldCharType="begin"/>
      </w:r>
      <w:r>
        <w:rPr>
          <w:i w:val="0"/>
          <w:iCs w:val="0"/>
          <w:color w:val="auto"/>
        </w:rPr>
        <w:instrText xml:space="preserve"> HYPERLINK "http://www.jianbiaoku.com/webarbs/book/89762/2811876.shtml" \t "_self" </w:instrText>
      </w:r>
      <w:r>
        <w:rPr>
          <w:i w:val="0"/>
          <w:iCs w:val="0"/>
          <w:color w:val="auto"/>
        </w:rPr>
        <w:fldChar w:fldCharType="separate"/>
      </w:r>
      <w:r>
        <w:rPr>
          <w:rFonts w:hint="eastAsia" w:ascii="楷体" w:hAnsi="楷体" w:eastAsia="楷体" w:cs="黑体"/>
          <w:bCs/>
          <w:i w:val="0"/>
          <w:iCs w:val="0"/>
          <w:color w:val="auto"/>
          <w:sz w:val="24"/>
          <w:szCs w:val="24"/>
          <w:u w:val="single"/>
        </w:rPr>
        <w:t>热固复合聚苯乙烯泡沫保温板》</w:t>
      </w:r>
      <w:r>
        <w:rPr>
          <w:rFonts w:hint="eastAsia" w:ascii="楷体" w:hAnsi="楷体" w:eastAsia="楷体" w:cs="黑体"/>
          <w:bCs/>
          <w:i w:val="0"/>
          <w:iCs w:val="0"/>
          <w:color w:val="auto"/>
          <w:sz w:val="24"/>
          <w:szCs w:val="24"/>
          <w:u w:val="single"/>
        </w:rPr>
        <w:fldChar w:fldCharType="end"/>
      </w:r>
      <w:r>
        <w:rPr>
          <w:rFonts w:ascii="楷体" w:hAnsi="楷体" w:eastAsia="楷体" w:cs="黑体"/>
          <w:bCs/>
          <w:i w:val="0"/>
          <w:iCs w:val="0"/>
          <w:color w:val="auto"/>
          <w:sz w:val="24"/>
          <w:szCs w:val="24"/>
          <w:u w:val="single"/>
        </w:rPr>
        <w:t>JG</w:t>
      </w:r>
      <w:r>
        <w:rPr>
          <w:rFonts w:hint="eastAsia" w:ascii="楷体" w:hAnsi="楷体" w:eastAsia="楷体" w:cs="黑体"/>
          <w:bCs/>
          <w:i w:val="0"/>
          <w:iCs w:val="0"/>
          <w:color w:val="auto"/>
          <w:sz w:val="24"/>
          <w:szCs w:val="24"/>
          <w:u w:val="single"/>
        </w:rPr>
        <w:t>／</w:t>
      </w:r>
      <w:r>
        <w:rPr>
          <w:rFonts w:ascii="楷体" w:hAnsi="楷体" w:eastAsia="楷体" w:cs="黑体"/>
          <w:bCs/>
          <w:i w:val="0"/>
          <w:iCs w:val="0"/>
          <w:color w:val="auto"/>
          <w:sz w:val="24"/>
          <w:szCs w:val="24"/>
          <w:u w:val="single"/>
        </w:rPr>
        <w:t>T 536</w:t>
      </w:r>
      <w:r>
        <w:rPr>
          <w:rFonts w:hint="eastAsia" w:ascii="楷体" w:hAnsi="楷体" w:eastAsia="楷体" w:cs="黑体"/>
          <w:bCs/>
          <w:i w:val="0"/>
          <w:iCs w:val="0"/>
          <w:color w:val="auto"/>
          <w:sz w:val="24"/>
          <w:szCs w:val="24"/>
          <w:u w:val="single"/>
        </w:rPr>
        <w:t>中对</w:t>
      </w:r>
      <w:r>
        <w:rPr>
          <w:rFonts w:ascii="楷体" w:hAnsi="楷体" w:eastAsia="楷体" w:cs="黑体"/>
          <w:bCs/>
          <w:i w:val="0"/>
          <w:iCs w:val="0"/>
          <w:color w:val="auto"/>
          <w:sz w:val="24"/>
          <w:szCs w:val="24"/>
          <w:u w:val="single"/>
        </w:rPr>
        <w:t>G60</w:t>
      </w:r>
      <w:r>
        <w:rPr>
          <w:rFonts w:hint="eastAsia" w:ascii="楷体" w:hAnsi="楷体" w:eastAsia="楷体" w:cs="黑体"/>
          <w:bCs/>
          <w:i w:val="0"/>
          <w:iCs w:val="0"/>
          <w:color w:val="auto"/>
          <w:sz w:val="24"/>
          <w:szCs w:val="24"/>
          <w:u w:val="single"/>
        </w:rPr>
        <w:t>热固复合聚苯乙烯泡沫保温板性能的规定，亦是安徽省、合肥市多年来匀质板外墙外保温系统应用实践验证和建筑节能产业发展的成果总结。</w:t>
      </w:r>
    </w:p>
    <w:p w14:paraId="28D9E168">
      <w:pPr>
        <w:rPr>
          <w:rFonts w:hint="eastAsia" w:ascii="黑体" w:hAnsi="黑体" w:eastAsia="黑体" w:cs="黑体"/>
          <w:b/>
          <w:i w:val="0"/>
          <w:iCs w:val="0"/>
          <w:color w:val="auto"/>
          <w:kern w:val="0"/>
          <w:szCs w:val="21"/>
        </w:rPr>
      </w:pPr>
    </w:p>
    <w:p w14:paraId="4A3B3024">
      <w:pPr>
        <w:spacing w:line="300" w:lineRule="auto"/>
        <w:ind w:firstLine="482" w:firstLineChars="200"/>
        <w:rPr>
          <w:rFonts w:hint="eastAsia" w:ascii="楷体" w:hAnsi="楷体" w:eastAsia="楷体" w:cs="黑体"/>
          <w:bCs/>
          <w:i w:val="0"/>
          <w:iCs w:val="0"/>
          <w:color w:val="auto"/>
          <w:szCs w:val="21"/>
        </w:rPr>
      </w:pPr>
      <w:r>
        <w:rPr>
          <w:rFonts w:hint="eastAsia" w:ascii="宋体" w:hAnsi="宋体" w:cstheme="minorHAnsi"/>
          <w:b/>
          <w:i w:val="0"/>
          <w:iCs w:val="0"/>
          <w:color w:val="auto"/>
          <w:kern w:val="0"/>
          <w:sz w:val="24"/>
        </w:rPr>
        <w:t>4.4.2</w:t>
      </w:r>
      <w:r>
        <w:rPr>
          <w:rFonts w:hint="eastAsia" w:ascii="楷体" w:hAnsi="楷体" w:eastAsia="楷体" w:cs="黑体"/>
          <w:bCs/>
          <w:i w:val="0"/>
          <w:iCs w:val="0"/>
          <w:color w:val="auto"/>
          <w:kern w:val="0"/>
          <w:sz w:val="24"/>
          <w:szCs w:val="24"/>
          <w:u w:val="single"/>
        </w:rPr>
        <w:t>本条引用现行标准</w:t>
      </w:r>
      <w:r>
        <w:rPr>
          <w:rFonts w:hint="eastAsia" w:ascii="楷体" w:hAnsi="楷体" w:eastAsia="楷体" w:cs="黑体"/>
          <w:bCs/>
          <w:i w:val="0"/>
          <w:iCs w:val="0"/>
          <w:color w:val="auto"/>
          <w:sz w:val="24"/>
          <w:szCs w:val="24"/>
          <w:u w:val="single"/>
        </w:rPr>
        <w:t>《</w:t>
      </w:r>
      <w:r>
        <w:rPr>
          <w:i w:val="0"/>
          <w:iCs w:val="0"/>
          <w:color w:val="auto"/>
        </w:rPr>
        <w:fldChar w:fldCharType="begin"/>
      </w:r>
      <w:r>
        <w:rPr>
          <w:i w:val="0"/>
          <w:iCs w:val="0"/>
          <w:color w:val="auto"/>
        </w:rPr>
        <w:instrText xml:space="preserve"> HYPERLINK "http://www.jianbiaoku.com/webarbs/book/89762/2811876.shtml" \t "_self" </w:instrText>
      </w:r>
      <w:r>
        <w:rPr>
          <w:i w:val="0"/>
          <w:iCs w:val="0"/>
          <w:color w:val="auto"/>
        </w:rPr>
        <w:fldChar w:fldCharType="separate"/>
      </w:r>
      <w:r>
        <w:rPr>
          <w:rFonts w:hint="eastAsia" w:ascii="楷体" w:hAnsi="楷体" w:eastAsia="楷体" w:cs="黑体"/>
          <w:bCs/>
          <w:i w:val="0"/>
          <w:iCs w:val="0"/>
          <w:color w:val="auto"/>
          <w:sz w:val="24"/>
          <w:szCs w:val="24"/>
          <w:u w:val="single"/>
        </w:rPr>
        <w:t>挤塑聚苯板(</w:t>
      </w:r>
      <w:r>
        <w:rPr>
          <w:rFonts w:ascii="楷体" w:hAnsi="楷体" w:eastAsia="楷体" w:cs="黑体"/>
          <w:bCs/>
          <w:i w:val="0"/>
          <w:iCs w:val="0"/>
          <w:color w:val="auto"/>
          <w:sz w:val="24"/>
          <w:szCs w:val="24"/>
          <w:u w:val="single"/>
        </w:rPr>
        <w:t>XPS)</w:t>
      </w:r>
      <w:r>
        <w:rPr>
          <w:rFonts w:hint="eastAsia" w:ascii="楷体" w:hAnsi="楷体" w:eastAsia="楷体" w:cs="黑体"/>
          <w:bCs/>
          <w:i w:val="0"/>
          <w:iCs w:val="0"/>
          <w:color w:val="auto"/>
          <w:sz w:val="24"/>
          <w:szCs w:val="24"/>
          <w:u w:val="single"/>
        </w:rPr>
        <w:t>薄抹灰外墙外保温系统材料》</w:t>
      </w:r>
      <w:r>
        <w:rPr>
          <w:rFonts w:hint="eastAsia" w:ascii="楷体" w:hAnsi="楷体" w:eastAsia="楷体" w:cs="黑体"/>
          <w:bCs/>
          <w:i w:val="0"/>
          <w:iCs w:val="0"/>
          <w:color w:val="auto"/>
          <w:sz w:val="24"/>
          <w:szCs w:val="24"/>
          <w:u w:val="single"/>
        </w:rPr>
        <w:fldChar w:fldCharType="end"/>
      </w:r>
      <w:r>
        <w:rPr>
          <w:rFonts w:ascii="楷体" w:hAnsi="楷体" w:eastAsia="楷体" w:cs="黑体"/>
          <w:bCs/>
          <w:i w:val="0"/>
          <w:iCs w:val="0"/>
          <w:color w:val="auto"/>
          <w:sz w:val="24"/>
          <w:szCs w:val="24"/>
          <w:u w:val="single"/>
        </w:rPr>
        <w:t>GB</w:t>
      </w:r>
      <w:r>
        <w:rPr>
          <w:rFonts w:hint="eastAsia" w:ascii="楷体" w:hAnsi="楷体" w:eastAsia="楷体" w:cs="黑体"/>
          <w:bCs/>
          <w:i w:val="0"/>
          <w:iCs w:val="0"/>
          <w:color w:val="auto"/>
          <w:sz w:val="24"/>
          <w:szCs w:val="24"/>
          <w:u w:val="single"/>
        </w:rPr>
        <w:t>／</w:t>
      </w:r>
      <w:r>
        <w:rPr>
          <w:rFonts w:ascii="楷体" w:hAnsi="楷体" w:eastAsia="楷体" w:cs="黑体"/>
          <w:bCs/>
          <w:i w:val="0"/>
          <w:iCs w:val="0"/>
          <w:color w:val="auto"/>
          <w:sz w:val="24"/>
          <w:szCs w:val="24"/>
          <w:u w:val="single"/>
        </w:rPr>
        <w:t>T 30595及</w:t>
      </w:r>
      <w:r>
        <w:rPr>
          <w:rFonts w:hint="eastAsia" w:ascii="楷体" w:hAnsi="楷体" w:eastAsia="楷体" w:cs="黑体"/>
          <w:bCs/>
          <w:i w:val="0"/>
          <w:iCs w:val="0"/>
          <w:color w:val="auto"/>
          <w:sz w:val="24"/>
          <w:szCs w:val="24"/>
          <w:u w:val="single"/>
        </w:rPr>
        <w:t>《绝热用</w:t>
      </w:r>
      <w:r>
        <w:rPr>
          <w:i w:val="0"/>
          <w:iCs w:val="0"/>
          <w:color w:val="auto"/>
        </w:rPr>
        <w:fldChar w:fldCharType="begin"/>
      </w:r>
      <w:r>
        <w:rPr>
          <w:i w:val="0"/>
          <w:iCs w:val="0"/>
          <w:color w:val="auto"/>
        </w:rPr>
        <w:instrText xml:space="preserve"> HYPERLINK "http://www.jianbiaoku.com/webarbs/book/89762/2811876.shtml" \t "_self" </w:instrText>
      </w:r>
      <w:r>
        <w:rPr>
          <w:i w:val="0"/>
          <w:iCs w:val="0"/>
          <w:color w:val="auto"/>
        </w:rPr>
        <w:fldChar w:fldCharType="separate"/>
      </w:r>
      <w:r>
        <w:rPr>
          <w:rFonts w:hint="eastAsia" w:ascii="楷体" w:hAnsi="楷体" w:eastAsia="楷体" w:cs="黑体"/>
          <w:bCs/>
          <w:i w:val="0"/>
          <w:iCs w:val="0"/>
          <w:color w:val="auto"/>
          <w:sz w:val="24"/>
          <w:szCs w:val="24"/>
          <w:u w:val="single"/>
        </w:rPr>
        <w:t>挤塑聚苯乙烯泡沫塑料》</w:t>
      </w:r>
      <w:r>
        <w:rPr>
          <w:rFonts w:hint="eastAsia" w:ascii="楷体" w:hAnsi="楷体" w:eastAsia="楷体" w:cs="黑体"/>
          <w:bCs/>
          <w:i w:val="0"/>
          <w:iCs w:val="0"/>
          <w:color w:val="auto"/>
          <w:sz w:val="24"/>
          <w:szCs w:val="24"/>
          <w:u w:val="single"/>
        </w:rPr>
        <w:fldChar w:fldCharType="end"/>
      </w:r>
      <w:r>
        <w:rPr>
          <w:rFonts w:ascii="楷体" w:hAnsi="楷体" w:eastAsia="楷体" w:cs="黑体"/>
          <w:bCs/>
          <w:i w:val="0"/>
          <w:iCs w:val="0"/>
          <w:color w:val="auto"/>
          <w:sz w:val="24"/>
          <w:szCs w:val="24"/>
          <w:u w:val="single"/>
        </w:rPr>
        <w:t>GB</w:t>
      </w:r>
      <w:r>
        <w:rPr>
          <w:rFonts w:hint="eastAsia" w:ascii="楷体" w:hAnsi="楷体" w:eastAsia="楷体" w:cs="黑体"/>
          <w:bCs/>
          <w:i w:val="0"/>
          <w:iCs w:val="0"/>
          <w:color w:val="auto"/>
          <w:sz w:val="24"/>
          <w:szCs w:val="24"/>
          <w:u w:val="single"/>
        </w:rPr>
        <w:t>／</w:t>
      </w:r>
      <w:r>
        <w:rPr>
          <w:rFonts w:ascii="楷体" w:hAnsi="楷体" w:eastAsia="楷体" w:cs="黑体"/>
          <w:bCs/>
          <w:i w:val="0"/>
          <w:iCs w:val="0"/>
          <w:color w:val="auto"/>
          <w:sz w:val="24"/>
          <w:szCs w:val="24"/>
          <w:u w:val="single"/>
        </w:rPr>
        <w:t xml:space="preserve">T </w:t>
      </w:r>
      <w:r>
        <w:rPr>
          <w:rFonts w:hint="eastAsia" w:ascii="楷体" w:hAnsi="楷体" w:eastAsia="楷体" w:cs="黑体"/>
          <w:bCs/>
          <w:i w:val="0"/>
          <w:iCs w:val="0"/>
          <w:color w:val="auto"/>
          <w:sz w:val="24"/>
          <w:szCs w:val="24"/>
          <w:u w:val="single"/>
        </w:rPr>
        <w:t>10801.2中对挤塑聚苯板(</w:t>
      </w:r>
      <w:r>
        <w:rPr>
          <w:rFonts w:ascii="楷体" w:hAnsi="楷体" w:eastAsia="楷体" w:cs="黑体"/>
          <w:bCs/>
          <w:i w:val="0"/>
          <w:iCs w:val="0"/>
          <w:color w:val="auto"/>
          <w:sz w:val="24"/>
          <w:szCs w:val="24"/>
          <w:u w:val="single"/>
        </w:rPr>
        <w:t>XPS)</w:t>
      </w:r>
      <w:r>
        <w:rPr>
          <w:rFonts w:hint="eastAsia" w:ascii="楷体" w:hAnsi="楷体" w:eastAsia="楷体" w:cs="黑体"/>
          <w:bCs/>
          <w:i w:val="0"/>
          <w:iCs w:val="0"/>
          <w:color w:val="auto"/>
          <w:sz w:val="24"/>
          <w:szCs w:val="24"/>
          <w:u w:val="single"/>
        </w:rPr>
        <w:t>性能的要求。</w:t>
      </w:r>
    </w:p>
    <w:p w14:paraId="0EF32FFC">
      <w:pPr>
        <w:pStyle w:val="144"/>
        <w:tabs>
          <w:tab w:val="clear" w:pos="1620"/>
        </w:tabs>
        <w:spacing w:before="312" w:after="312"/>
        <w:rPr>
          <w:i w:val="0"/>
          <w:iCs w:val="0"/>
          <w:color w:val="auto"/>
        </w:rPr>
      </w:pPr>
    </w:p>
    <w:p w14:paraId="3850D87F">
      <w:pPr>
        <w:pStyle w:val="144"/>
        <w:tabs>
          <w:tab w:val="clear" w:pos="1620"/>
        </w:tabs>
        <w:spacing w:before="312" w:after="312"/>
        <w:rPr>
          <w:i w:val="0"/>
          <w:iCs w:val="0"/>
          <w:color w:val="auto"/>
        </w:rPr>
      </w:pPr>
      <w:bookmarkStart w:id="1763" w:name="_Toc21093"/>
      <w:r>
        <w:rPr>
          <w:rFonts w:hint="eastAsia"/>
          <w:i w:val="0"/>
          <w:iCs w:val="0"/>
          <w:color w:val="auto"/>
        </w:rPr>
        <w:t>4.5 配套材料技术要求</w:t>
      </w:r>
      <w:bookmarkEnd w:id="1763"/>
    </w:p>
    <w:p w14:paraId="530B5AAF">
      <w:pPr>
        <w:kinsoku w:val="0"/>
        <w:overflowPunct w:val="0"/>
        <w:autoSpaceDE w:val="0"/>
        <w:autoSpaceDN w:val="0"/>
        <w:adjustRightInd w:val="0"/>
        <w:spacing w:before="8"/>
        <w:ind w:firstLine="482" w:firstLineChars="200"/>
        <w:jc w:val="left"/>
        <w:rPr>
          <w:rFonts w:ascii="宋体" w:cs="宋体"/>
          <w:b/>
          <w:bCs/>
          <w:i w:val="0"/>
          <w:iCs w:val="0"/>
          <w:color w:val="auto"/>
          <w:kern w:val="0"/>
          <w:sz w:val="15"/>
          <w:szCs w:val="15"/>
        </w:rPr>
      </w:pPr>
      <w:r>
        <w:rPr>
          <w:rFonts w:hint="eastAsia" w:ascii="宋体" w:hAnsi="宋体" w:cstheme="minorHAnsi"/>
          <w:b/>
          <w:i w:val="0"/>
          <w:iCs w:val="0"/>
          <w:color w:val="auto"/>
          <w:kern w:val="0"/>
          <w:sz w:val="24"/>
        </w:rPr>
        <w:t>4.5.1</w:t>
      </w:r>
      <w:r>
        <w:rPr>
          <w:rFonts w:hint="eastAsia" w:ascii="楷体" w:hAnsi="楷体" w:eastAsia="楷体" w:cs="黑体"/>
          <w:bCs/>
          <w:i w:val="0"/>
          <w:iCs w:val="0"/>
          <w:color w:val="auto"/>
          <w:kern w:val="0"/>
          <w:sz w:val="24"/>
          <w:szCs w:val="24"/>
          <w:u w:val="single"/>
        </w:rPr>
        <w:t>抹面胶浆拉伸粘结强度指标过高会增大抹面层的水蒸气渗透阻，不利于墙体中水分的排出，本条规定了抹面胶浆的关键性能指标及要求。</w:t>
      </w:r>
    </w:p>
    <w:p w14:paraId="3C1122F6">
      <w:pPr>
        <w:pStyle w:val="122"/>
        <w:tabs>
          <w:tab w:val="left" w:pos="3969"/>
        </w:tabs>
        <w:snapToGrid w:val="0"/>
        <w:spacing w:line="300" w:lineRule="auto"/>
        <w:ind w:firstLine="482"/>
        <w:rPr>
          <w:rFonts w:ascii="Calibri" w:hAnsi="Calibri" w:cs="黑体"/>
          <w:bCs/>
          <w:i w:val="0"/>
          <w:iCs w:val="0"/>
          <w:color w:val="auto"/>
          <w:kern w:val="0"/>
          <w:sz w:val="24"/>
        </w:rPr>
      </w:pPr>
      <w:r>
        <w:rPr>
          <w:rFonts w:hint="eastAsia" w:ascii="宋体" w:hAnsi="宋体" w:cstheme="minorHAnsi"/>
          <w:b/>
          <w:i w:val="0"/>
          <w:iCs w:val="0"/>
          <w:color w:val="auto"/>
          <w:kern w:val="0"/>
          <w:sz w:val="24"/>
        </w:rPr>
        <w:t>4.5.3</w:t>
      </w:r>
      <w:r>
        <w:rPr>
          <w:rFonts w:hint="eastAsia" w:ascii="楷体" w:hAnsi="楷体" w:eastAsia="楷体" w:cs="楷体"/>
          <w:i w:val="0"/>
          <w:iCs w:val="0"/>
          <w:color w:val="auto"/>
          <w:sz w:val="24"/>
          <w:szCs w:val="24"/>
          <w:u w:val="single"/>
        </w:rPr>
        <w:t>耐碱玻纤网布为外保温系统面层的增强材料，主要作用是：改善面层的机械强度，保证饰面层的抗力连续性，分散面层的收缩压力和保温应力，避免应力集中，抵抗自然界、湿度变化及意外撞击所引起的面层开裂，因此耐碱玻纤网布在外保温系统中起着重要的功能和作用，所以选用好的耐碱玻纤网布也是保证外保温系统综合质量的重要组成部分。耐碱玻纤网布的主要性能指标是按照《耐碱玻璃纤维网布》J</w:t>
      </w:r>
      <w:r>
        <w:rPr>
          <w:rFonts w:ascii="楷体" w:hAnsi="楷体" w:eastAsia="楷体" w:cs="楷体"/>
          <w:i w:val="0"/>
          <w:iCs w:val="0"/>
          <w:color w:val="auto"/>
          <w:sz w:val="24"/>
          <w:szCs w:val="24"/>
          <w:u w:val="single"/>
        </w:rPr>
        <w:t>C/T 841</w:t>
      </w:r>
      <w:r>
        <w:rPr>
          <w:rFonts w:hint="eastAsia" w:ascii="楷体" w:hAnsi="楷体" w:eastAsia="楷体" w:cs="楷体"/>
          <w:i w:val="0"/>
          <w:iCs w:val="0"/>
          <w:color w:val="auto"/>
          <w:sz w:val="24"/>
          <w:szCs w:val="24"/>
          <w:u w:val="single"/>
        </w:rPr>
        <w:t>的指标确定的。</w:t>
      </w:r>
    </w:p>
    <w:p w14:paraId="7A0B4FDA">
      <w:pPr>
        <w:tabs>
          <w:tab w:val="left" w:pos="3969"/>
        </w:tabs>
        <w:snapToGrid w:val="0"/>
        <w:spacing w:line="520" w:lineRule="exact"/>
        <w:ind w:firstLine="482" w:firstLineChars="200"/>
        <w:rPr>
          <w:rFonts w:hint="eastAsia" w:ascii="楷体" w:hAnsi="楷体" w:eastAsia="楷体" w:cs="楷体"/>
          <w:i w:val="0"/>
          <w:iCs w:val="0"/>
          <w:color w:val="auto"/>
          <w:sz w:val="24"/>
          <w:szCs w:val="24"/>
          <w:u w:val="single"/>
        </w:rPr>
      </w:pPr>
      <w:r>
        <w:rPr>
          <w:rFonts w:ascii="Times New Roman" w:hAnsi="Times New Roman" w:cs="Times New Roman"/>
          <w:b/>
          <w:i w:val="0"/>
          <w:iCs w:val="0"/>
          <w:color w:val="auto"/>
          <w:kern w:val="0"/>
          <w:sz w:val="24"/>
        </w:rPr>
        <w:t>4.5.</w:t>
      </w:r>
      <w:r>
        <w:rPr>
          <w:rFonts w:hint="eastAsia" w:ascii="Times New Roman" w:hAnsi="Times New Roman" w:cs="Times New Roman"/>
          <w:b/>
          <w:i w:val="0"/>
          <w:iCs w:val="0"/>
          <w:color w:val="auto"/>
          <w:kern w:val="0"/>
          <w:sz w:val="24"/>
        </w:rPr>
        <w:t>4</w:t>
      </w:r>
      <w:r>
        <w:rPr>
          <w:rFonts w:hint="eastAsia" w:ascii="楷体" w:hAnsi="楷体" w:eastAsia="楷体" w:cs="楷体"/>
          <w:i w:val="0"/>
          <w:iCs w:val="0"/>
          <w:color w:val="auto"/>
          <w:sz w:val="24"/>
          <w:szCs w:val="24"/>
          <w:u w:val="single"/>
        </w:rPr>
        <w:t>专用连接锚固件在保温免拆模板外保温系统的全生命周期内，对整个系统的安全起到重要的作用，规定不得使用再生塑料，对钢质件应做防锈处理，以保证连接锚固件的耐久性。因保温免拆模板只使用在混凝土外墙上，所以试验的性能指标只用混凝土墙体的性能指标，没有JG/T 366中的其它墙体基层。</w:t>
      </w:r>
    </w:p>
    <w:p w14:paraId="424C8B24">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r>
        <w:rPr>
          <w:rFonts w:hint="eastAsia" w:ascii="楷体" w:hAnsi="楷体" w:eastAsia="楷体" w:cs="楷体"/>
          <w:i w:val="0"/>
          <w:iCs w:val="0"/>
          <w:color w:val="auto"/>
          <w:sz w:val="24"/>
          <w:szCs w:val="24"/>
          <w:u w:val="single"/>
        </w:rPr>
        <w:t>连接锚固件分为</w:t>
      </w:r>
      <w:r>
        <w:rPr>
          <w:rFonts w:hint="eastAsia" w:ascii="楷体" w:hAnsi="楷体" w:eastAsia="楷体" w:cs="楷体"/>
          <w:i w:val="0"/>
          <w:iCs w:val="0"/>
          <w:color w:val="auto"/>
          <w:sz w:val="24"/>
          <w:szCs w:val="24"/>
          <w:u w:val="single"/>
          <w:lang w:eastAsia="zh-CN"/>
        </w:rPr>
        <w:t>两种</w:t>
      </w:r>
      <w:r>
        <w:rPr>
          <w:rFonts w:hint="eastAsia" w:ascii="楷体" w:hAnsi="楷体" w:eastAsia="楷体" w:cs="楷体"/>
          <w:i w:val="0"/>
          <w:iCs w:val="0"/>
          <w:color w:val="auto"/>
          <w:sz w:val="24"/>
          <w:szCs w:val="24"/>
          <w:u w:val="single"/>
        </w:rPr>
        <w:t>，一种由聚酰胺、聚乙烯或聚丙烯制成的尾端带圆盘的工程塑料套管及HRB400热轧带肋钢筋制成的锚杆组成，位于混凝土中的塑料套管带有倒刺构造，塑料套管杆身长度为“保温免拆模板厚度+50mm”，锚杆直径应不小于6mm，长度不小于“保温免拆模板厚度+100mm”（见图5）。另外一种由聚酰胺、聚乙烯或聚丙烯制成的尾端带圆盘的工程塑料锚杆，位于混凝土中的锚杆部位带有倒刺构造，锚杆长度为“保温免拆模板厚度+100mm”（见图6）。塑料不得使用再生塑料。圆盘直径应不小于60mm。</w:t>
      </w:r>
    </w:p>
    <w:p w14:paraId="125785C1">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r>
        <w:rPr>
          <w:rFonts w:hint="eastAsia" w:ascii="楷体" w:hAnsi="楷体" w:eastAsia="楷体" w:cs="楷体"/>
          <w:i w:val="0"/>
          <w:iCs w:val="0"/>
          <w:color w:val="auto"/>
          <w:sz w:val="24"/>
          <w:szCs w:val="24"/>
          <w:u w:val="single"/>
        </w:rPr>
        <w:drawing>
          <wp:anchor distT="0" distB="0" distL="114300" distR="114300" simplePos="0" relativeHeight="251663360" behindDoc="0" locked="0" layoutInCell="1" allowOverlap="1">
            <wp:simplePos x="0" y="0"/>
            <wp:positionH relativeFrom="column">
              <wp:posOffset>390525</wp:posOffset>
            </wp:positionH>
            <wp:positionV relativeFrom="paragraph">
              <wp:posOffset>101600</wp:posOffset>
            </wp:positionV>
            <wp:extent cx="4286250" cy="3257550"/>
            <wp:effectExtent l="0" t="0" r="0" b="0"/>
            <wp:wrapNone/>
            <wp:docPr id="53" name="图片 28" descr="锚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8" descr="锚栓.JPG"/>
                    <pic:cNvPicPr>
                      <a:picLocks noChangeAspect="1"/>
                    </pic:cNvPicPr>
                  </pic:nvPicPr>
                  <pic:blipFill>
                    <a:blip r:embed="rId252" cstate="print"/>
                    <a:stretch>
                      <a:fillRect/>
                    </a:stretch>
                  </pic:blipFill>
                  <pic:spPr>
                    <a:xfrm>
                      <a:off x="0" y="0"/>
                      <a:ext cx="4286250" cy="3257550"/>
                    </a:xfrm>
                    <a:prstGeom prst="rect">
                      <a:avLst/>
                    </a:prstGeom>
                  </pic:spPr>
                </pic:pic>
              </a:graphicData>
            </a:graphic>
          </wp:anchor>
        </w:drawing>
      </w:r>
    </w:p>
    <w:p w14:paraId="405DF17A">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12E06C81">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633D1EDA">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28260E25">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7D4D5B6D">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493C2318">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04346B2A">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1D62B03F">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27FF8A9F">
      <w:pPr>
        <w:tabs>
          <w:tab w:val="left" w:pos="3969"/>
        </w:tabs>
        <w:snapToGrid w:val="0"/>
        <w:spacing w:line="520" w:lineRule="exact"/>
        <w:rPr>
          <w:rFonts w:hint="eastAsia" w:ascii="楷体" w:hAnsi="楷体" w:eastAsia="楷体" w:cs="楷体"/>
          <w:i w:val="0"/>
          <w:iCs w:val="0"/>
          <w:color w:val="auto"/>
          <w:sz w:val="24"/>
          <w:szCs w:val="24"/>
          <w:u w:val="single"/>
        </w:rPr>
      </w:pPr>
    </w:p>
    <w:p w14:paraId="412128D4">
      <w:pPr>
        <w:tabs>
          <w:tab w:val="left" w:pos="3969"/>
        </w:tabs>
        <w:snapToGrid w:val="0"/>
        <w:spacing w:line="520" w:lineRule="exact"/>
        <w:ind w:firstLine="480" w:firstLineChars="200"/>
        <w:jc w:val="center"/>
        <w:rPr>
          <w:rFonts w:hint="eastAsia" w:ascii="楷体" w:hAnsi="楷体" w:eastAsia="楷体" w:cs="楷体"/>
          <w:i w:val="0"/>
          <w:iCs w:val="0"/>
          <w:color w:val="auto"/>
          <w:sz w:val="24"/>
          <w:szCs w:val="24"/>
          <w:u w:val="single"/>
        </w:rPr>
      </w:pPr>
      <w:r>
        <w:rPr>
          <w:rFonts w:hint="eastAsia" w:ascii="楷体" w:hAnsi="楷体" w:eastAsia="楷体" w:cs="楷体"/>
          <w:i w:val="0"/>
          <w:iCs w:val="0"/>
          <w:color w:val="auto"/>
          <w:sz w:val="24"/>
          <w:szCs w:val="24"/>
          <w:u w:val="single"/>
        </w:rPr>
        <w:t>图5连接锚固件一示意</w:t>
      </w:r>
    </w:p>
    <w:p w14:paraId="1984DC13">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r>
        <w:rPr>
          <w:rFonts w:hint="eastAsia" w:ascii="楷体" w:hAnsi="楷体" w:eastAsia="楷体" w:cs="楷体"/>
          <w:i w:val="0"/>
          <w:iCs w:val="0"/>
          <w:color w:val="auto"/>
          <w:sz w:val="24"/>
          <w:szCs w:val="24"/>
          <w:u w:val="single"/>
        </w:rPr>
        <w:drawing>
          <wp:anchor distT="0" distB="0" distL="114300" distR="114300" simplePos="0" relativeHeight="251662336" behindDoc="0" locked="0" layoutInCell="1" allowOverlap="1">
            <wp:simplePos x="0" y="0"/>
            <wp:positionH relativeFrom="column">
              <wp:posOffset>371475</wp:posOffset>
            </wp:positionH>
            <wp:positionV relativeFrom="paragraph">
              <wp:posOffset>95250</wp:posOffset>
            </wp:positionV>
            <wp:extent cx="4305300" cy="3171825"/>
            <wp:effectExtent l="0" t="0" r="0" b="9525"/>
            <wp:wrapNone/>
            <wp:docPr id="54" name="图片 24" descr="塑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4" descr="塑料.jpg"/>
                    <pic:cNvPicPr>
                      <a:picLocks noChangeAspect="1"/>
                    </pic:cNvPicPr>
                  </pic:nvPicPr>
                  <pic:blipFill>
                    <a:blip r:embed="rId253" cstate="print"/>
                    <a:stretch>
                      <a:fillRect/>
                    </a:stretch>
                  </pic:blipFill>
                  <pic:spPr>
                    <a:xfrm>
                      <a:off x="0" y="0"/>
                      <a:ext cx="4305300" cy="3171825"/>
                    </a:xfrm>
                    <a:prstGeom prst="rect">
                      <a:avLst/>
                    </a:prstGeom>
                  </pic:spPr>
                </pic:pic>
              </a:graphicData>
            </a:graphic>
          </wp:anchor>
        </w:drawing>
      </w:r>
    </w:p>
    <w:p w14:paraId="45AC61EC">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2B376A2A">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30889D8E">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7F6ED594">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66EBF5C9">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2868720B">
      <w:pPr>
        <w:tabs>
          <w:tab w:val="left" w:pos="3969"/>
        </w:tabs>
        <w:snapToGrid w:val="0"/>
        <w:spacing w:line="520" w:lineRule="exact"/>
        <w:ind w:firstLine="480" w:firstLineChars="200"/>
        <w:rPr>
          <w:rFonts w:hint="eastAsia" w:ascii="楷体" w:hAnsi="楷体" w:eastAsia="楷体" w:cs="楷体"/>
          <w:i w:val="0"/>
          <w:iCs w:val="0"/>
          <w:color w:val="auto"/>
          <w:sz w:val="24"/>
          <w:szCs w:val="24"/>
          <w:u w:val="single"/>
        </w:rPr>
      </w:pPr>
    </w:p>
    <w:p w14:paraId="30DC0272">
      <w:pPr>
        <w:tabs>
          <w:tab w:val="left" w:pos="3969"/>
        </w:tabs>
        <w:snapToGrid w:val="0"/>
        <w:spacing w:line="520" w:lineRule="exact"/>
        <w:ind w:firstLine="482" w:firstLineChars="200"/>
        <w:rPr>
          <w:rFonts w:hint="eastAsia" w:ascii="宋体" w:hAnsi="宋体" w:cstheme="minorHAnsi"/>
          <w:b/>
          <w:i w:val="0"/>
          <w:iCs w:val="0"/>
          <w:color w:val="auto"/>
          <w:kern w:val="0"/>
          <w:sz w:val="24"/>
        </w:rPr>
      </w:pPr>
    </w:p>
    <w:p w14:paraId="31A246EF">
      <w:pPr>
        <w:tabs>
          <w:tab w:val="left" w:pos="3969"/>
        </w:tabs>
        <w:snapToGrid w:val="0"/>
        <w:spacing w:line="520" w:lineRule="exact"/>
        <w:ind w:firstLine="482" w:firstLineChars="200"/>
        <w:rPr>
          <w:rFonts w:hint="eastAsia" w:ascii="宋体" w:hAnsi="宋体" w:cstheme="minorHAnsi"/>
          <w:b/>
          <w:i w:val="0"/>
          <w:iCs w:val="0"/>
          <w:color w:val="auto"/>
          <w:kern w:val="0"/>
          <w:sz w:val="24"/>
        </w:rPr>
      </w:pPr>
    </w:p>
    <w:p w14:paraId="1844464A">
      <w:pPr>
        <w:tabs>
          <w:tab w:val="left" w:pos="3969"/>
        </w:tabs>
        <w:snapToGrid w:val="0"/>
        <w:spacing w:line="520" w:lineRule="exact"/>
        <w:ind w:firstLine="482" w:firstLineChars="200"/>
        <w:rPr>
          <w:rFonts w:hint="eastAsia" w:ascii="宋体" w:hAnsi="宋体" w:cstheme="minorHAnsi"/>
          <w:b/>
          <w:i w:val="0"/>
          <w:iCs w:val="0"/>
          <w:color w:val="auto"/>
          <w:kern w:val="0"/>
          <w:sz w:val="24"/>
        </w:rPr>
      </w:pPr>
    </w:p>
    <w:p w14:paraId="252C0CA6">
      <w:pPr>
        <w:tabs>
          <w:tab w:val="left" w:pos="3969"/>
        </w:tabs>
        <w:snapToGrid w:val="0"/>
        <w:spacing w:line="520" w:lineRule="exact"/>
        <w:ind w:firstLine="480" w:firstLineChars="200"/>
        <w:jc w:val="center"/>
        <w:rPr>
          <w:rFonts w:hint="eastAsia" w:ascii="楷体" w:hAnsi="楷体" w:eastAsia="楷体" w:cs="楷体"/>
          <w:i w:val="0"/>
          <w:iCs w:val="0"/>
          <w:color w:val="auto"/>
          <w:sz w:val="24"/>
          <w:szCs w:val="24"/>
          <w:u w:val="single"/>
        </w:rPr>
      </w:pPr>
      <w:r>
        <w:rPr>
          <w:rFonts w:hint="eastAsia" w:ascii="楷体" w:hAnsi="楷体" w:eastAsia="楷体" w:cs="楷体"/>
          <w:i w:val="0"/>
          <w:iCs w:val="0"/>
          <w:color w:val="auto"/>
          <w:sz w:val="24"/>
          <w:szCs w:val="24"/>
          <w:u w:val="single"/>
        </w:rPr>
        <w:t>图6连接锚固件二示意</w:t>
      </w:r>
    </w:p>
    <w:p w14:paraId="219E0FDB">
      <w:pPr>
        <w:pStyle w:val="13"/>
        <w:adjustRightInd w:val="0"/>
        <w:snapToGrid w:val="0"/>
        <w:spacing w:line="360" w:lineRule="auto"/>
        <w:ind w:left="0" w:leftChars="0" w:firstLine="480" w:firstLineChars="200"/>
        <w:jc w:val="left"/>
        <w:rPr>
          <w:rFonts w:hint="eastAsia" w:ascii="宋体" w:hAnsi="宋体" w:cstheme="minorHAnsi"/>
          <w:bCs/>
          <w:i w:val="0"/>
          <w:iCs w:val="0"/>
          <w:color w:val="auto"/>
          <w:kern w:val="0"/>
          <w:sz w:val="24"/>
        </w:rPr>
      </w:pPr>
    </w:p>
    <w:p w14:paraId="32168CD7">
      <w:pPr>
        <w:pStyle w:val="13"/>
        <w:adjustRightInd w:val="0"/>
        <w:snapToGrid w:val="0"/>
        <w:spacing w:line="360" w:lineRule="auto"/>
        <w:ind w:left="0" w:leftChars="0" w:firstLine="480" w:firstLineChars="200"/>
        <w:jc w:val="left"/>
        <w:rPr>
          <w:rFonts w:hint="eastAsia" w:ascii="宋体" w:hAnsi="宋体" w:cstheme="minorHAnsi"/>
          <w:bCs/>
          <w:i w:val="0"/>
          <w:iCs w:val="0"/>
          <w:color w:val="auto"/>
          <w:kern w:val="0"/>
          <w:sz w:val="24"/>
        </w:rPr>
      </w:pPr>
    </w:p>
    <w:p w14:paraId="1A64A6E3">
      <w:pPr>
        <w:rPr>
          <w:i w:val="0"/>
          <w:iCs w:val="0"/>
          <w:color w:val="auto"/>
        </w:rPr>
        <w:sectPr>
          <w:pgSz w:w="11906" w:h="16838"/>
          <w:pgMar w:top="1440" w:right="1800" w:bottom="1440" w:left="1800" w:header="851" w:footer="992" w:gutter="0"/>
          <w:cols w:space="425" w:num="1"/>
          <w:docGrid w:type="lines" w:linePitch="312" w:charSpace="0"/>
        </w:sectPr>
      </w:pPr>
    </w:p>
    <w:p w14:paraId="538A9EFC">
      <w:pPr>
        <w:pStyle w:val="4"/>
        <w:jc w:val="center"/>
        <w:rPr>
          <w:rFonts w:ascii="Times New Roman" w:hAnsi="Times New Roman" w:eastAsia="宋体" w:cs="Times New Roman"/>
          <w:i w:val="0"/>
          <w:iCs w:val="0"/>
          <w:color w:val="auto"/>
          <w:sz w:val="28"/>
        </w:rPr>
      </w:pPr>
      <w:bookmarkStart w:id="1764" w:name="_Toc18816"/>
      <w:r>
        <w:rPr>
          <w:rFonts w:hint="eastAsia" w:ascii="Times New Roman" w:hAnsi="Times New Roman" w:cs="Times New Roman"/>
          <w:i w:val="0"/>
          <w:iCs w:val="0"/>
          <w:color w:val="auto"/>
          <w:sz w:val="28"/>
        </w:rPr>
        <w:t>5 设计</w:t>
      </w:r>
      <w:bookmarkEnd w:id="1764"/>
    </w:p>
    <w:p w14:paraId="11F42313">
      <w:pPr>
        <w:pStyle w:val="144"/>
        <w:tabs>
          <w:tab w:val="clear" w:pos="1620"/>
        </w:tabs>
        <w:spacing w:before="312" w:after="312"/>
        <w:rPr>
          <w:i w:val="0"/>
          <w:iCs w:val="0"/>
          <w:color w:val="auto"/>
        </w:rPr>
      </w:pPr>
      <w:bookmarkStart w:id="1765" w:name="_Toc25741"/>
      <w:r>
        <w:rPr>
          <w:rFonts w:hint="eastAsia"/>
          <w:i w:val="0"/>
          <w:iCs w:val="0"/>
          <w:color w:val="auto"/>
        </w:rPr>
        <w:t>5.1一般规定</w:t>
      </w:r>
      <w:bookmarkEnd w:id="1765"/>
    </w:p>
    <w:p w14:paraId="5E0222EA">
      <w:pPr>
        <w:spacing w:line="360" w:lineRule="auto"/>
        <w:ind w:firstLine="482" w:firstLineChars="200"/>
        <w:rPr>
          <w:rFonts w:ascii="Times New Roman" w:hAnsi="Times New Roman" w:eastAsia="楷体" w:cs="楷体"/>
          <w:bCs/>
          <w:i w:val="0"/>
          <w:iCs w:val="0"/>
          <w:color w:val="auto"/>
          <w:sz w:val="24"/>
          <w:szCs w:val="24"/>
          <w:u w:val="single"/>
        </w:rPr>
      </w:pPr>
      <w:r>
        <w:rPr>
          <w:rFonts w:hint="eastAsia" w:ascii="Times New Roman" w:hAnsi="Times New Roman" w:eastAsia="宋体"/>
          <w:b/>
          <w:bCs/>
          <w:i w:val="0"/>
          <w:iCs w:val="0"/>
          <w:color w:val="auto"/>
          <w:sz w:val="24"/>
          <w:szCs w:val="24"/>
        </w:rPr>
        <w:t>5.1.1</w:t>
      </w:r>
      <w:r>
        <w:rPr>
          <w:rFonts w:hint="eastAsia" w:ascii="Times New Roman" w:hAnsi="Times New Roman" w:eastAsia="楷体" w:cs="楷体"/>
          <w:bCs/>
          <w:i w:val="0"/>
          <w:iCs w:val="0"/>
          <w:color w:val="auto"/>
          <w:sz w:val="24"/>
          <w:szCs w:val="24"/>
          <w:u w:val="single"/>
        </w:rPr>
        <w:t>采用保温免拆模板的建筑工程，仅保温工程施工时间和方法发生了改变，保温工程作为主体结构的附属系统，其主体结构及相关构造基本没有变化，按照国家、行业及安徽省现行有关标准和规定的要求进行设计即可。</w:t>
      </w:r>
    </w:p>
    <w:p w14:paraId="5C4D8D15">
      <w:pPr>
        <w:spacing w:line="360" w:lineRule="auto"/>
        <w:ind w:firstLine="482" w:firstLineChars="200"/>
        <w:rPr>
          <w:i w:val="0"/>
          <w:iCs w:val="0"/>
          <w:color w:val="auto"/>
        </w:rPr>
      </w:pPr>
      <w:r>
        <w:rPr>
          <w:rFonts w:hint="eastAsia" w:ascii="Times New Roman" w:hAnsi="Times New Roman" w:eastAsia="宋体"/>
          <w:b/>
          <w:bCs/>
          <w:i w:val="0"/>
          <w:iCs w:val="0"/>
          <w:color w:val="auto"/>
          <w:sz w:val="24"/>
          <w:szCs w:val="24"/>
        </w:rPr>
        <w:t>5.1.8</w:t>
      </w:r>
      <w:r>
        <w:rPr>
          <w:rFonts w:hint="eastAsia" w:ascii="Times New Roman" w:hAnsi="Times New Roman" w:eastAsia="宋体"/>
          <w:i w:val="0"/>
          <w:iCs w:val="0"/>
          <w:color w:val="auto"/>
          <w:sz w:val="24"/>
          <w:szCs w:val="24"/>
        </w:rPr>
        <w:t xml:space="preserve"> </w:t>
      </w:r>
      <w:r>
        <w:rPr>
          <w:rFonts w:hint="eastAsia" w:ascii="Times New Roman" w:hAnsi="Times New Roman" w:eastAsia="楷体" w:cs="楷体"/>
          <w:bCs/>
          <w:i w:val="0"/>
          <w:iCs w:val="0"/>
          <w:color w:val="auto"/>
          <w:sz w:val="24"/>
          <w:szCs w:val="24"/>
          <w:u w:val="single"/>
        </w:rPr>
        <w:t>保温免拆模板自身的强度和刚度仅能保证其作为模板的刚度变形要求，不能作为内外墙、楼板底部其他部件安装的锚固基体，不得以复合保温模板为锚固基体安装放置重物的金属支架、落水管等。确需安装金属支架、落水管等，锚固件应穿透保温免拆模板，锚固于基层钢筋混凝土墙、柱、梁上，并应符合安全要求，相应开孔位置需做好防水密封措施。</w:t>
      </w:r>
    </w:p>
    <w:p w14:paraId="79B49D24">
      <w:pPr>
        <w:pStyle w:val="144"/>
        <w:tabs>
          <w:tab w:val="clear" w:pos="1620"/>
        </w:tabs>
        <w:spacing w:before="312" w:after="312"/>
        <w:rPr>
          <w:rFonts w:eastAsia="楷体" w:cs="楷体"/>
          <w:bCs/>
          <w:i w:val="0"/>
          <w:iCs w:val="0"/>
          <w:color w:val="auto"/>
          <w:u w:val="single"/>
        </w:rPr>
      </w:pPr>
      <w:bookmarkStart w:id="1766" w:name="_Toc11323"/>
      <w:r>
        <w:rPr>
          <w:rFonts w:hint="eastAsia"/>
          <w:i w:val="0"/>
          <w:iCs w:val="0"/>
          <w:color w:val="auto"/>
        </w:rPr>
        <w:t>5.2热工设计</w:t>
      </w:r>
      <w:bookmarkEnd w:id="1766"/>
    </w:p>
    <w:p w14:paraId="19D93958">
      <w:pPr>
        <w:spacing w:line="360" w:lineRule="auto"/>
        <w:ind w:firstLine="482" w:firstLineChars="200"/>
        <w:rPr>
          <w:rFonts w:ascii="Times New Roman" w:hAnsi="Times New Roman" w:eastAsia="楷体" w:cs="楷体"/>
          <w:bCs/>
          <w:i w:val="0"/>
          <w:iCs w:val="0"/>
          <w:color w:val="auto"/>
          <w:sz w:val="24"/>
          <w:szCs w:val="24"/>
          <w:u w:val="single"/>
        </w:rPr>
      </w:pPr>
      <w:r>
        <w:rPr>
          <w:rFonts w:hint="eastAsia" w:ascii="Times New Roman" w:hAnsi="Times New Roman" w:eastAsia="宋体"/>
          <w:b/>
          <w:bCs/>
          <w:i w:val="0"/>
          <w:iCs w:val="0"/>
          <w:color w:val="auto"/>
          <w:sz w:val="24"/>
          <w:szCs w:val="24"/>
        </w:rPr>
        <w:t>5.2.1</w:t>
      </w:r>
      <w:r>
        <w:rPr>
          <w:rFonts w:hint="eastAsia" w:ascii="Times New Roman" w:hAnsi="Times New Roman" w:eastAsia="楷体" w:cs="楷体"/>
          <w:bCs/>
          <w:i w:val="0"/>
          <w:iCs w:val="0"/>
          <w:color w:val="auto"/>
          <w:sz w:val="24"/>
          <w:szCs w:val="24"/>
          <w:u w:val="single"/>
        </w:rPr>
        <w:t>由于热桥部位的传热系数远大于主体部位的传热系数，因此,进行建筑节能热工计算时,应考虑结构热桥的影响，防止冬季热桥部位内表面温度低于室内空气露点温度时,外墙热桥局部产生的结露问题。本条规定要求对建筑围护结构各个重点热桥部位和薄弱环节应进行验算。对热桥部位的处理,宜采用与结构同寿命的适用技术。门窗框外侧洞口不做保温与做保温相比,保温墙体平均传热系数增加最多可达70%以上；空调器托板、女儿墙以及阳台等热桥部位的传热损失也是相当大的，因此这些热桥部位宜用保温浆料做保温处理。</w:t>
      </w:r>
    </w:p>
    <w:p w14:paraId="6577352C">
      <w:pPr>
        <w:spacing w:line="360" w:lineRule="auto"/>
        <w:ind w:firstLine="723" w:firstLineChars="300"/>
        <w:rPr>
          <w:i w:val="0"/>
          <w:iCs w:val="0"/>
          <w:color w:val="auto"/>
        </w:rPr>
      </w:pPr>
      <w:r>
        <w:rPr>
          <w:rFonts w:hint="eastAsia" w:ascii="Times New Roman" w:hAnsi="Times New Roman" w:eastAsia="宋体"/>
          <w:b/>
          <w:i w:val="0"/>
          <w:iCs w:val="0"/>
          <w:color w:val="auto"/>
          <w:sz w:val="24"/>
          <w:szCs w:val="24"/>
        </w:rPr>
        <w:t>5.2.2</w:t>
      </w:r>
      <w:r>
        <w:rPr>
          <w:rFonts w:hint="eastAsia" w:ascii="Times New Roman" w:hAnsi="Times New Roman" w:eastAsia="楷体" w:cs="楷体"/>
          <w:bCs/>
          <w:i w:val="0"/>
          <w:iCs w:val="0"/>
          <w:color w:val="auto"/>
          <w:sz w:val="24"/>
          <w:szCs w:val="24"/>
          <w:u w:val="single"/>
        </w:rPr>
        <w:t>本条保温材料导热系数修正系数主要考虑使用环境和连接锚固件的热桥影响。使用环境修正系数引用国家标准《民用建筑热工设计规范》GB50176-2016夏热冬冷地区保温材料导热系数修正系数。连接锚固件热桥修正系数参考有关厂家资料，并经理论分析，根据有无隔热措施确定，其修正系数分别为1.1和1.3，当保温材料导热系数的计算值采用修正后的数值时，材料蓄热系数的计算值宜按照修正后的导热系数值重新计算。</w:t>
      </w:r>
    </w:p>
    <w:p w14:paraId="4EC4A082">
      <w:pPr>
        <w:pStyle w:val="144"/>
        <w:tabs>
          <w:tab w:val="clear" w:pos="1620"/>
        </w:tabs>
        <w:spacing w:before="312" w:after="312"/>
        <w:rPr>
          <w:i w:val="0"/>
          <w:iCs w:val="0"/>
          <w:color w:val="auto"/>
        </w:rPr>
      </w:pPr>
    </w:p>
    <w:p w14:paraId="3C6797BB">
      <w:pPr>
        <w:pStyle w:val="144"/>
        <w:tabs>
          <w:tab w:val="clear" w:pos="1620"/>
        </w:tabs>
        <w:spacing w:before="312" w:after="312"/>
        <w:rPr>
          <w:rFonts w:cs="楷体"/>
          <w:bCs/>
          <w:i w:val="0"/>
          <w:iCs w:val="0"/>
          <w:color w:val="auto"/>
          <w:u w:val="single"/>
        </w:rPr>
      </w:pPr>
      <w:bookmarkStart w:id="1767" w:name="_Toc31966"/>
      <w:r>
        <w:rPr>
          <w:rFonts w:hint="eastAsia"/>
          <w:i w:val="0"/>
          <w:iCs w:val="0"/>
          <w:color w:val="auto"/>
        </w:rPr>
        <w:t>5.3设计与构造</w:t>
      </w:r>
      <w:bookmarkEnd w:id="1767"/>
    </w:p>
    <w:p w14:paraId="2C0E4087">
      <w:pPr>
        <w:adjustRightInd w:val="0"/>
        <w:snapToGrid w:val="0"/>
        <w:spacing w:line="360" w:lineRule="auto"/>
        <w:ind w:firstLine="723" w:firstLineChars="300"/>
        <w:rPr>
          <w:rFonts w:ascii="Times New Roman" w:hAnsi="Times New Roman" w:eastAsia="宋体"/>
          <w:b/>
          <w:i w:val="0"/>
          <w:iCs w:val="0"/>
          <w:color w:val="auto"/>
          <w:sz w:val="24"/>
          <w:szCs w:val="24"/>
        </w:rPr>
      </w:pPr>
      <w:r>
        <w:rPr>
          <w:rFonts w:hint="eastAsia" w:ascii="Times New Roman" w:hAnsi="Times New Roman" w:eastAsia="宋体"/>
          <w:b/>
          <w:bCs/>
          <w:i w:val="0"/>
          <w:iCs w:val="0"/>
          <w:color w:val="auto"/>
          <w:sz w:val="24"/>
          <w:szCs w:val="24"/>
        </w:rPr>
        <w:t>5.3.4</w:t>
      </w:r>
      <w:r>
        <w:rPr>
          <w:rFonts w:hint="eastAsia" w:ascii="Times New Roman" w:hAnsi="Times New Roman" w:eastAsia="楷体" w:cs="楷体"/>
          <w:bCs/>
          <w:i w:val="0"/>
          <w:iCs w:val="0"/>
          <w:color w:val="auto"/>
          <w:sz w:val="24"/>
          <w:szCs w:val="24"/>
          <w:u w:val="single"/>
        </w:rPr>
        <w:t>外墙变形缝密封和防水的构造设计主要包括变形缝的设置位置和构造等。变形缝除了注意防水外，还应满足防火要求，缝内的填充材料应采用防水和不燃材料，并应设置金属盖板进行保护。</w:t>
      </w:r>
    </w:p>
    <w:p w14:paraId="21CDB54D">
      <w:pPr>
        <w:adjustRightInd w:val="0"/>
        <w:snapToGrid w:val="0"/>
        <w:spacing w:line="360" w:lineRule="auto"/>
        <w:ind w:firstLine="482" w:firstLineChars="200"/>
        <w:rPr>
          <w:rFonts w:ascii="Times New Roman" w:hAnsi="Times New Roman" w:eastAsia="宋体"/>
          <w:b/>
          <w:i w:val="0"/>
          <w:iCs w:val="0"/>
          <w:color w:val="auto"/>
          <w:sz w:val="24"/>
          <w:szCs w:val="24"/>
        </w:rPr>
      </w:pPr>
      <w:r>
        <w:rPr>
          <w:rFonts w:hint="eastAsia" w:ascii="Times New Roman" w:hAnsi="Times New Roman" w:eastAsia="宋体"/>
          <w:b/>
          <w:i w:val="0"/>
          <w:iCs w:val="0"/>
          <w:color w:val="auto"/>
          <w:sz w:val="24"/>
          <w:szCs w:val="24"/>
        </w:rPr>
        <w:t>5.3.5</w:t>
      </w:r>
      <w:r>
        <w:rPr>
          <w:rFonts w:hint="eastAsia" w:ascii="Times New Roman" w:hAnsi="Times New Roman" w:eastAsia="楷体" w:cs="楷体"/>
          <w:bCs/>
          <w:i w:val="0"/>
          <w:iCs w:val="0"/>
          <w:color w:val="auto"/>
          <w:sz w:val="24"/>
          <w:szCs w:val="24"/>
          <w:u w:val="single"/>
        </w:rPr>
        <w:t>保温免拆模板系统设置分格缝,有利于消除墙面收缩裂缝的产生。本条文对分格缝设置位置、部位及规格进行了规定，并强调分隔缝的设置不应破坏墙面防水层。</w:t>
      </w:r>
    </w:p>
    <w:p w14:paraId="522FF6FE">
      <w:pPr>
        <w:adjustRightInd w:val="0"/>
        <w:snapToGrid w:val="0"/>
        <w:spacing w:line="360" w:lineRule="auto"/>
        <w:ind w:firstLine="482" w:firstLineChars="200"/>
        <w:rPr>
          <w:rFonts w:ascii="Times New Roman" w:hAnsi="Times New Roman" w:eastAsia="宋体"/>
          <w:i w:val="0"/>
          <w:iCs w:val="0"/>
          <w:color w:val="auto"/>
          <w:sz w:val="24"/>
          <w:szCs w:val="24"/>
        </w:rPr>
      </w:pPr>
      <w:r>
        <w:rPr>
          <w:rFonts w:hint="eastAsia" w:ascii="Times New Roman" w:hAnsi="Times New Roman" w:eastAsia="宋体"/>
          <w:b/>
          <w:bCs/>
          <w:i w:val="0"/>
          <w:iCs w:val="0"/>
          <w:color w:val="auto"/>
          <w:sz w:val="24"/>
          <w:szCs w:val="24"/>
        </w:rPr>
        <w:t>5.3.</w:t>
      </w:r>
      <w:r>
        <w:rPr>
          <w:rFonts w:hint="eastAsia" w:ascii="Times New Roman" w:hAnsi="Times New Roman" w:eastAsia="宋体"/>
          <w:b/>
          <w:i w:val="0"/>
          <w:iCs w:val="0"/>
          <w:color w:val="auto"/>
          <w:sz w:val="24"/>
          <w:szCs w:val="24"/>
        </w:rPr>
        <w:t>6</w:t>
      </w:r>
      <w:r>
        <w:rPr>
          <w:rFonts w:hint="eastAsia" w:ascii="Times New Roman" w:hAnsi="Times New Roman" w:eastAsia="楷体" w:cs="楷体"/>
          <w:bCs/>
          <w:i w:val="0"/>
          <w:iCs w:val="0"/>
          <w:color w:val="auto"/>
          <w:sz w:val="24"/>
          <w:szCs w:val="24"/>
          <w:u w:val="single"/>
        </w:rPr>
        <w:t>保温免拆模板拼缝处及与建筑填充墙交接处，由于收缩应力影响，易出现应力集中，需要加强抗裂构造。门窗洞口四角应力集中部位的小块网格布加强，可防止角部开裂。</w:t>
      </w:r>
    </w:p>
    <w:p w14:paraId="2440ADA3">
      <w:pPr>
        <w:spacing w:line="360" w:lineRule="auto"/>
        <w:ind w:firstLine="482" w:firstLineChars="200"/>
        <w:rPr>
          <w:rFonts w:ascii="Times New Roman" w:hAnsi="Times New Roman" w:eastAsia="楷体" w:cs="楷体"/>
          <w:bCs/>
          <w:i w:val="0"/>
          <w:iCs w:val="0"/>
          <w:color w:val="auto"/>
          <w:sz w:val="24"/>
          <w:szCs w:val="24"/>
          <w:u w:val="single"/>
        </w:rPr>
      </w:pPr>
      <w:r>
        <w:rPr>
          <w:rFonts w:hint="eastAsia" w:ascii="Times New Roman" w:hAnsi="Times New Roman" w:eastAsia="宋体"/>
          <w:b/>
          <w:bCs/>
          <w:i w:val="0"/>
          <w:iCs w:val="0"/>
          <w:color w:val="auto"/>
          <w:sz w:val="24"/>
          <w:szCs w:val="24"/>
        </w:rPr>
        <w:t>5.3.1</w:t>
      </w:r>
      <w:r>
        <w:rPr>
          <w:rFonts w:ascii="Times New Roman" w:hAnsi="Times New Roman" w:eastAsia="宋体"/>
          <w:b/>
          <w:bCs/>
          <w:i w:val="0"/>
          <w:iCs w:val="0"/>
          <w:color w:val="auto"/>
          <w:sz w:val="24"/>
          <w:szCs w:val="24"/>
        </w:rPr>
        <w:t>0</w:t>
      </w:r>
      <w:r>
        <w:rPr>
          <w:rFonts w:hint="eastAsia" w:ascii="Times New Roman" w:hAnsi="Times New Roman" w:eastAsia="宋体"/>
          <w:i w:val="0"/>
          <w:iCs w:val="0"/>
          <w:color w:val="auto"/>
          <w:sz w:val="24"/>
          <w:szCs w:val="24"/>
        </w:rPr>
        <w:t xml:space="preserve"> </w:t>
      </w:r>
      <w:r>
        <w:rPr>
          <w:rFonts w:hint="eastAsia" w:ascii="Times New Roman" w:hAnsi="Times New Roman" w:eastAsia="楷体" w:cs="楷体"/>
          <w:bCs/>
          <w:i w:val="0"/>
          <w:iCs w:val="0"/>
          <w:color w:val="auto"/>
          <w:sz w:val="24"/>
          <w:szCs w:val="24"/>
          <w:u w:val="single"/>
        </w:rPr>
        <w:t>楼板保温免拆模板作为施工阶段模板需要满足强度、刚度的要求。对比楼板普通建筑面层厚度，避免影响建筑净高,其厚度要求30</w:t>
      </w:r>
      <w:r>
        <w:rPr>
          <w:rFonts w:ascii="Times New Roman" w:hAnsi="Times New Roman" w:eastAsia="楷体" w:cs="楷体"/>
          <w:bCs/>
          <w:i w:val="0"/>
          <w:iCs w:val="0"/>
          <w:color w:val="auto"/>
          <w:sz w:val="24"/>
          <w:szCs w:val="24"/>
          <w:u w:val="single"/>
        </w:rPr>
        <w:t>mm</w:t>
      </w:r>
      <w:r>
        <w:rPr>
          <w:rFonts w:hint="eastAsia" w:ascii="Times New Roman" w:hAnsi="Times New Roman" w:eastAsia="楷体" w:cs="楷体"/>
          <w:bCs/>
          <w:i w:val="0"/>
          <w:iCs w:val="0"/>
          <w:color w:val="auto"/>
          <w:sz w:val="24"/>
          <w:szCs w:val="24"/>
          <w:u w:val="single"/>
        </w:rPr>
        <w:t>~50mm。</w:t>
      </w:r>
    </w:p>
    <w:p w14:paraId="5419AE94">
      <w:pPr>
        <w:spacing w:line="360" w:lineRule="auto"/>
        <w:ind w:firstLine="482" w:firstLineChars="200"/>
        <w:rPr>
          <w:rFonts w:ascii="Times New Roman" w:hAnsi="Times New Roman" w:eastAsia="宋体"/>
          <w:i w:val="0"/>
          <w:iCs w:val="0"/>
          <w:color w:val="auto"/>
          <w:sz w:val="24"/>
          <w:szCs w:val="24"/>
        </w:rPr>
      </w:pPr>
      <w:r>
        <w:rPr>
          <w:rFonts w:hint="eastAsia" w:ascii="Times New Roman" w:hAnsi="Times New Roman" w:eastAsia="宋体"/>
          <w:b/>
          <w:bCs/>
          <w:i w:val="0"/>
          <w:iCs w:val="0"/>
          <w:color w:val="auto"/>
          <w:sz w:val="24"/>
          <w:szCs w:val="24"/>
        </w:rPr>
        <w:t>5.3.11</w:t>
      </w:r>
      <w:r>
        <w:rPr>
          <w:rFonts w:hint="eastAsia" w:ascii="Times New Roman" w:hAnsi="Times New Roman" w:eastAsia="楷体" w:cs="楷体"/>
          <w:bCs/>
          <w:i w:val="0"/>
          <w:iCs w:val="0"/>
          <w:color w:val="auto"/>
          <w:sz w:val="24"/>
          <w:szCs w:val="24"/>
          <w:u w:val="single"/>
        </w:rPr>
        <w:t>外墙保温工程的密封和防水对围护墙热工性能影响较大，应做好重点部位的密封和防水构造设计，如外墙缝隙以及直接受雨淋或易积水的出挑部位表面。出挑部位包括窗台、女儿墙、阳台、雨篷等，这些部位有可能出现积水、积雪情况，外墙底端可采取排水沟槽等排水措施，以便于将水排出，避免外墙底端被水浸泡。外墙保温的防水构造设计应符合现行行业标准《建筑外墙防水工程技术规程》JGJ/T235等其他相关标准的规定，变形缝、分格缝、门窗周边、穿墙管线洞口、檐口、女儿墙、勒脚、阳台雨篷以及不同构造、不同材料结合处等重点部位应有节点构造图。</w:t>
      </w:r>
    </w:p>
    <w:p w14:paraId="7699ABB1">
      <w:pPr>
        <w:ind w:firstLine="482" w:firstLineChars="200"/>
        <w:rPr>
          <w:rFonts w:ascii="Times New Roman" w:hAnsi="Times New Roman" w:eastAsia="宋体" w:cs="Times New Roman"/>
          <w:i w:val="0"/>
          <w:iCs w:val="0"/>
          <w:color w:val="auto"/>
          <w:spacing w:val="-4"/>
          <w:sz w:val="24"/>
          <w:szCs w:val="24"/>
        </w:rPr>
      </w:pPr>
      <w:r>
        <w:rPr>
          <w:rFonts w:hint="eastAsia" w:ascii="Times New Roman" w:hAnsi="Times New Roman" w:eastAsia="宋体"/>
          <w:b/>
          <w:bCs/>
          <w:i w:val="0"/>
          <w:iCs w:val="0"/>
          <w:color w:val="auto"/>
          <w:sz w:val="24"/>
          <w:szCs w:val="24"/>
        </w:rPr>
        <w:t>5.3.14</w:t>
      </w:r>
      <w:r>
        <w:rPr>
          <w:rFonts w:hint="eastAsia" w:ascii="Times New Roman" w:hAnsi="Times New Roman" w:eastAsia="楷体" w:cs="楷体"/>
          <w:bCs/>
          <w:i w:val="0"/>
          <w:iCs w:val="0"/>
          <w:color w:val="auto"/>
          <w:sz w:val="24"/>
          <w:szCs w:val="24"/>
          <w:u w:val="single"/>
        </w:rPr>
        <w:t>建筑围护墙包括保温免拆板复合剪力墙和建筑填充外墙，采用与保温免拆模板剪力墙匹配的自保温填充砌块，可以提升建筑的保温性能，以满足围护墙节能设计标准，施工方便，工期缩短，是一个比较经济、合理、安全可靠的保温措施。</w:t>
      </w:r>
    </w:p>
    <w:p w14:paraId="467B9ECB">
      <w:pPr>
        <w:rPr>
          <w:rFonts w:ascii="Times New Roman" w:hAnsi="Times New Roman" w:eastAsia="宋体"/>
          <w:bCs/>
          <w:i w:val="0"/>
          <w:iCs w:val="0"/>
          <w:color w:val="auto"/>
          <w:sz w:val="24"/>
          <w:szCs w:val="24"/>
        </w:rPr>
      </w:pPr>
    </w:p>
    <w:p w14:paraId="58961F2E">
      <w:pPr>
        <w:rPr>
          <w:rFonts w:ascii="Times New Roman" w:hAnsi="Times New Roman" w:eastAsia="宋体"/>
          <w:bCs/>
          <w:i w:val="0"/>
          <w:iCs w:val="0"/>
          <w:color w:val="auto"/>
          <w:sz w:val="24"/>
          <w:szCs w:val="24"/>
        </w:rPr>
      </w:pPr>
    </w:p>
    <w:p w14:paraId="14DC9B9E">
      <w:pPr>
        <w:pStyle w:val="4"/>
        <w:jc w:val="center"/>
        <w:rPr>
          <w:rFonts w:ascii="Times New Roman" w:hAnsi="Times New Roman" w:cs="Times New Roman"/>
          <w:i w:val="0"/>
          <w:iCs w:val="0"/>
          <w:color w:val="auto"/>
          <w:sz w:val="28"/>
        </w:rPr>
        <w:sectPr>
          <w:pgSz w:w="11906" w:h="16838"/>
          <w:pgMar w:top="1440" w:right="1800" w:bottom="1440" w:left="1800" w:header="851" w:footer="992" w:gutter="0"/>
          <w:cols w:space="425" w:num="1"/>
          <w:docGrid w:type="lines" w:linePitch="312" w:charSpace="0"/>
        </w:sectPr>
      </w:pPr>
    </w:p>
    <w:p w14:paraId="284273A0">
      <w:pPr>
        <w:pStyle w:val="4"/>
        <w:jc w:val="center"/>
        <w:rPr>
          <w:rFonts w:ascii="Times New Roman" w:hAnsi="Times New Roman" w:cs="Times New Roman"/>
          <w:i w:val="0"/>
          <w:iCs w:val="0"/>
          <w:color w:val="auto"/>
          <w:sz w:val="28"/>
        </w:rPr>
      </w:pPr>
      <w:bookmarkStart w:id="1768" w:name="_Toc32097"/>
      <w:r>
        <w:rPr>
          <w:rFonts w:hint="eastAsia" w:ascii="Times New Roman" w:hAnsi="Times New Roman" w:cs="Times New Roman"/>
          <w:i w:val="0"/>
          <w:iCs w:val="0"/>
          <w:color w:val="auto"/>
          <w:sz w:val="28"/>
        </w:rPr>
        <w:t>6 模板设计与计算</w:t>
      </w:r>
      <w:bookmarkEnd w:id="1768"/>
    </w:p>
    <w:p w14:paraId="3344762A">
      <w:pPr>
        <w:pStyle w:val="144"/>
        <w:tabs>
          <w:tab w:val="clear" w:pos="1620"/>
        </w:tabs>
        <w:spacing w:before="312" w:after="312"/>
        <w:rPr>
          <w:i w:val="0"/>
          <w:iCs w:val="0"/>
          <w:color w:val="auto"/>
        </w:rPr>
      </w:pPr>
      <w:bookmarkStart w:id="1769" w:name="_Toc10305"/>
      <w:r>
        <w:rPr>
          <w:rFonts w:hint="eastAsia"/>
          <w:i w:val="0"/>
          <w:iCs w:val="0"/>
          <w:color w:val="auto"/>
        </w:rPr>
        <w:t>6.1模板设计</w:t>
      </w:r>
      <w:bookmarkEnd w:id="1769"/>
    </w:p>
    <w:p w14:paraId="21491FB1">
      <w:pPr>
        <w:rPr>
          <w:i w:val="0"/>
          <w:iCs w:val="0"/>
          <w:color w:val="auto"/>
        </w:rPr>
      </w:pPr>
    </w:p>
    <w:p w14:paraId="2317CD3A">
      <w:pPr>
        <w:spacing w:line="360" w:lineRule="auto"/>
        <w:ind w:firstLine="482" w:firstLineChars="200"/>
        <w:rPr>
          <w:rFonts w:ascii="Times New Roman" w:hAnsi="Times New Roman" w:eastAsia="宋体"/>
          <w:bCs/>
          <w:i w:val="0"/>
          <w:iCs w:val="0"/>
          <w:color w:val="auto"/>
          <w:sz w:val="24"/>
          <w:szCs w:val="24"/>
          <w:u w:val="single"/>
        </w:rPr>
      </w:pPr>
      <w:r>
        <w:rPr>
          <w:rFonts w:hint="eastAsia" w:ascii="Times New Roman" w:hAnsi="Times New Roman" w:eastAsia="宋体"/>
          <w:b/>
          <w:i w:val="0"/>
          <w:iCs w:val="0"/>
          <w:color w:val="auto"/>
          <w:sz w:val="24"/>
          <w:szCs w:val="24"/>
        </w:rPr>
        <w:t>6.1</w:t>
      </w:r>
      <w:r>
        <w:rPr>
          <w:rFonts w:ascii="Times New Roman" w:hAnsi="Times New Roman" w:eastAsia="宋体"/>
          <w:b/>
          <w:i w:val="0"/>
          <w:iCs w:val="0"/>
          <w:color w:val="auto"/>
          <w:sz w:val="24"/>
          <w:szCs w:val="24"/>
        </w:rPr>
        <w:t>.</w:t>
      </w:r>
      <w:r>
        <w:rPr>
          <w:rFonts w:hint="eastAsia" w:ascii="Times New Roman" w:hAnsi="Times New Roman" w:eastAsia="宋体"/>
          <w:b/>
          <w:i w:val="0"/>
          <w:iCs w:val="0"/>
          <w:color w:val="auto"/>
          <w:sz w:val="24"/>
          <w:szCs w:val="24"/>
        </w:rPr>
        <w:t>2</w:t>
      </w:r>
      <w:r>
        <w:rPr>
          <w:rFonts w:hint="eastAsia" w:ascii="Times New Roman" w:hAnsi="Times New Roman" w:eastAsia="宋体"/>
          <w:bCs/>
          <w:i w:val="0"/>
          <w:iCs w:val="0"/>
          <w:color w:val="auto"/>
          <w:sz w:val="24"/>
          <w:szCs w:val="24"/>
          <w:u w:val="single"/>
        </w:rPr>
        <w:t>设计内容总的归纳起来应包括：选型、选材、模板计算、绘制施工图及编写施工说明。</w:t>
      </w:r>
    </w:p>
    <w:p w14:paraId="1FB7EB90">
      <w:pPr>
        <w:adjustRightInd w:val="0"/>
        <w:snapToGrid w:val="0"/>
        <w:spacing w:line="360" w:lineRule="auto"/>
        <w:ind w:firstLine="482" w:firstLineChars="200"/>
        <w:rPr>
          <w:rFonts w:ascii="Times New Roman" w:hAnsi="Times New Roman" w:eastAsia="楷体" w:cs="楷体"/>
          <w:bCs/>
          <w:i w:val="0"/>
          <w:iCs w:val="0"/>
          <w:color w:val="auto"/>
          <w:sz w:val="24"/>
          <w:szCs w:val="24"/>
          <w:u w:val="single"/>
        </w:rPr>
      </w:pPr>
      <w:r>
        <w:rPr>
          <w:rFonts w:hint="eastAsia" w:ascii="Times New Roman" w:hAnsi="Times New Roman" w:eastAsia="宋体"/>
          <w:b/>
          <w:bCs/>
          <w:i w:val="0"/>
          <w:iCs w:val="0"/>
          <w:color w:val="auto"/>
          <w:sz w:val="24"/>
          <w:szCs w:val="24"/>
        </w:rPr>
        <w:t>6.1.</w:t>
      </w:r>
      <w:r>
        <w:rPr>
          <w:rFonts w:ascii="Times New Roman" w:hAnsi="Times New Roman" w:eastAsia="宋体"/>
          <w:b/>
          <w:bCs/>
          <w:i w:val="0"/>
          <w:iCs w:val="0"/>
          <w:color w:val="auto"/>
          <w:sz w:val="24"/>
          <w:szCs w:val="24"/>
        </w:rPr>
        <w:t>5</w:t>
      </w:r>
      <w:r>
        <w:rPr>
          <w:rFonts w:hint="eastAsia" w:ascii="Times New Roman" w:hAnsi="Times New Roman" w:eastAsia="宋体"/>
          <w:i w:val="0"/>
          <w:iCs w:val="0"/>
          <w:color w:val="auto"/>
          <w:sz w:val="24"/>
          <w:szCs w:val="24"/>
        </w:rPr>
        <w:t xml:space="preserve"> </w:t>
      </w:r>
      <w:r>
        <w:rPr>
          <w:rFonts w:hint="eastAsia" w:ascii="Times New Roman" w:hAnsi="Times New Roman" w:eastAsia="楷体" w:cs="楷体"/>
          <w:bCs/>
          <w:i w:val="0"/>
          <w:iCs w:val="0"/>
          <w:color w:val="auto"/>
          <w:sz w:val="24"/>
          <w:szCs w:val="24"/>
          <w:u w:val="single"/>
        </w:rPr>
        <w:t>该条是确保免保温拆模板在风荷载、地震荷载等外力作用下，对连接锚固件的规格、安装间距等所做出的要求。</w:t>
      </w:r>
    </w:p>
    <w:p w14:paraId="2E49B59E">
      <w:pPr>
        <w:pStyle w:val="145"/>
        <w:ind w:firstLine="480" w:firstLineChars="200"/>
        <w:jc w:val="both"/>
        <w:rPr>
          <w:rFonts w:eastAsia="楷体" w:cs="楷体"/>
          <w:bCs/>
          <w:i w:val="0"/>
          <w:iCs w:val="0"/>
          <w:color w:val="auto"/>
          <w:sz w:val="24"/>
          <w:szCs w:val="24"/>
          <w:u w:val="single"/>
        </w:rPr>
      </w:pPr>
      <w:r>
        <w:rPr>
          <w:rFonts w:hint="eastAsia" w:eastAsia="楷体" w:cs="楷体"/>
          <w:bCs/>
          <w:i w:val="0"/>
          <w:iCs w:val="0"/>
          <w:color w:val="auto"/>
          <w:sz w:val="24"/>
          <w:szCs w:val="24"/>
          <w:u w:val="single"/>
        </w:rPr>
        <w:t>锚栓是免拆保温模板外墙的重要组成部分，锚栓的用法与数量直接关乎保温模板的连接安全。通过对模板每1㎡设置5个连接件的承载力计算得到以下结果:</w:t>
      </w:r>
    </w:p>
    <w:p w14:paraId="1D99B762">
      <w:pPr>
        <w:pStyle w:val="145"/>
        <w:ind w:firstLine="480" w:firstLineChars="200"/>
        <w:jc w:val="both"/>
        <w:rPr>
          <w:rFonts w:eastAsia="楷体" w:cs="楷体"/>
          <w:bCs/>
          <w:i w:val="0"/>
          <w:iCs w:val="0"/>
          <w:color w:val="auto"/>
          <w:sz w:val="24"/>
          <w:szCs w:val="24"/>
          <w:u w:val="single"/>
        </w:rPr>
      </w:pPr>
      <w:r>
        <w:rPr>
          <w:rFonts w:hint="eastAsia" w:eastAsia="楷体" w:cs="楷体"/>
          <w:bCs/>
          <w:i w:val="0"/>
          <w:iCs w:val="0"/>
          <w:color w:val="auto"/>
          <w:sz w:val="24"/>
          <w:szCs w:val="24"/>
          <w:u w:val="single"/>
        </w:rPr>
        <w:t>1.依照现行协会标准《自承重砌体墙技术规程》CECS281:2010和现行国家标准《建筑结构荷载规范》GB50009,对建筑物位于密集建筑群,且房屋较高的城市中心的100m高处的最大风荷载计算,每1㎡模板所受拉力为1. 31kN,该值小于5个连接件抗拉极限承载力值1.72kN。计算中，每个连接件抗拉承载力设计值按标准值0. 6kN除以材料分项系数1.4，5个连接件共同工作系数取0.8考虑。</w:t>
      </w:r>
    </w:p>
    <w:p w14:paraId="41105EB6">
      <w:pPr>
        <w:pStyle w:val="145"/>
        <w:ind w:firstLine="480" w:firstLineChars="200"/>
        <w:jc w:val="both"/>
        <w:rPr>
          <w:rFonts w:eastAsia="楷体" w:cs="楷体"/>
          <w:bCs/>
          <w:i w:val="0"/>
          <w:iCs w:val="0"/>
          <w:color w:val="auto"/>
          <w:sz w:val="24"/>
          <w:szCs w:val="24"/>
          <w:u w:val="single"/>
        </w:rPr>
      </w:pPr>
      <w:r>
        <w:rPr>
          <w:rFonts w:hint="eastAsia" w:eastAsia="楷体" w:cs="楷体"/>
          <w:bCs/>
          <w:i w:val="0"/>
          <w:iCs w:val="0"/>
          <w:color w:val="auto"/>
          <w:sz w:val="24"/>
          <w:szCs w:val="24"/>
          <w:u w:val="single"/>
        </w:rPr>
        <w:t>2.依照现行协会标准《自承重砌体墙技术规程》CECS281:2010和现行国家标准《</w:t>
      </w:r>
      <w:r>
        <w:rPr>
          <w:rFonts w:hint="eastAsia" w:eastAsia="楷体" w:cs="楷体"/>
          <w:bCs/>
          <w:i w:val="0"/>
          <w:iCs w:val="0"/>
          <w:color w:val="auto"/>
          <w:sz w:val="24"/>
          <w:szCs w:val="24"/>
          <w:u w:val="single"/>
          <w:lang w:eastAsia="zh-CN"/>
        </w:rPr>
        <w:t>建筑抗震设计标准</w:t>
      </w:r>
      <w:r>
        <w:rPr>
          <w:rFonts w:hint="eastAsia" w:eastAsia="楷体" w:cs="楷体"/>
          <w:bCs/>
          <w:i w:val="0"/>
          <w:iCs w:val="0"/>
          <w:color w:val="auto"/>
          <w:sz w:val="24"/>
          <w:szCs w:val="24"/>
          <w:u w:val="single"/>
        </w:rPr>
        <w:t>》</w:t>
      </w:r>
      <w:r>
        <w:rPr>
          <w:rFonts w:hint="eastAsia" w:eastAsia="楷体" w:cs="楷体"/>
          <w:bCs/>
          <w:i w:val="0"/>
          <w:iCs w:val="0"/>
          <w:color w:val="auto"/>
          <w:sz w:val="24"/>
          <w:szCs w:val="24"/>
          <w:u w:val="single"/>
          <w:lang w:eastAsia="zh-CN"/>
        </w:rPr>
        <w:t>GB/T 50011-2010[2024年版]</w:t>
      </w:r>
      <w:r>
        <w:rPr>
          <w:rFonts w:hint="eastAsia" w:eastAsia="楷体" w:cs="楷体"/>
          <w:bCs/>
          <w:i w:val="0"/>
          <w:iCs w:val="0"/>
          <w:color w:val="auto"/>
          <w:sz w:val="24"/>
          <w:szCs w:val="24"/>
          <w:u w:val="single"/>
        </w:rPr>
        <w:t>,在8度多遇地震(地震影响系数最大值取0.24)时,每1㎡模板所受拉力为0.51kN,大大小于5个连接件的极限承载力值1. 72kN。</w:t>
      </w:r>
    </w:p>
    <w:p w14:paraId="07FF1DB4">
      <w:pPr>
        <w:pStyle w:val="145"/>
        <w:ind w:firstLine="480" w:firstLineChars="200"/>
        <w:jc w:val="both"/>
        <w:rPr>
          <w:rFonts w:eastAsia="楷体" w:cs="楷体"/>
          <w:bCs/>
          <w:i w:val="0"/>
          <w:iCs w:val="0"/>
          <w:color w:val="auto"/>
          <w:sz w:val="24"/>
          <w:szCs w:val="24"/>
          <w:u w:val="single"/>
        </w:rPr>
      </w:pPr>
      <w:r>
        <w:rPr>
          <w:rFonts w:hint="eastAsia" w:eastAsia="楷体" w:cs="楷体"/>
          <w:bCs/>
          <w:i w:val="0"/>
          <w:iCs w:val="0"/>
          <w:color w:val="auto"/>
          <w:sz w:val="24"/>
          <w:szCs w:val="24"/>
          <w:u w:val="single"/>
        </w:rPr>
        <w:t>因此,本条“保温免拆模板外墙的连接件设置数量为每平方米不少于5个,进</w:t>
      </w:r>
      <w:r>
        <w:rPr>
          <w:rFonts w:hint="eastAsia" w:eastAsia="楷体" w:cs="楷体"/>
          <w:bCs/>
          <w:i w:val="0"/>
          <w:iCs w:val="0"/>
          <w:color w:val="auto"/>
          <w:sz w:val="24"/>
          <w:szCs w:val="24"/>
          <w:u w:val="single"/>
          <w:lang w:eastAsia="zh-CN"/>
        </w:rPr>
        <w:t>入</w:t>
      </w:r>
      <w:r>
        <w:rPr>
          <w:rFonts w:hint="eastAsia" w:eastAsia="楷体" w:cs="楷体"/>
          <w:bCs/>
          <w:i w:val="0"/>
          <w:iCs w:val="0"/>
          <w:color w:val="auto"/>
          <w:sz w:val="24"/>
          <w:szCs w:val="24"/>
          <w:u w:val="single"/>
        </w:rPr>
        <w:t>混凝土结构的锚固深度不应小于50mm"的规定是安全合理的。</w:t>
      </w:r>
    </w:p>
    <w:p w14:paraId="152CD888">
      <w:pPr>
        <w:spacing w:line="360" w:lineRule="auto"/>
        <w:ind w:firstLine="723" w:firstLineChars="300"/>
        <w:rPr>
          <w:rFonts w:ascii="Times New Roman" w:hAnsi="Times New Roman" w:eastAsia="楷体" w:cs="楷体"/>
          <w:bCs/>
          <w:i w:val="0"/>
          <w:iCs w:val="0"/>
          <w:color w:val="auto"/>
          <w:sz w:val="24"/>
          <w:u w:val="single"/>
        </w:rPr>
      </w:pPr>
      <w:r>
        <w:rPr>
          <w:rFonts w:hint="eastAsia" w:ascii="Times New Roman" w:hAnsi="Times New Roman" w:eastAsia="宋体"/>
          <w:b/>
          <w:bCs/>
          <w:i w:val="0"/>
          <w:iCs w:val="0"/>
          <w:color w:val="auto"/>
          <w:sz w:val="24"/>
        </w:rPr>
        <w:t>6.1.</w:t>
      </w:r>
      <w:r>
        <w:rPr>
          <w:rFonts w:ascii="Times New Roman" w:hAnsi="Times New Roman" w:eastAsia="宋体"/>
          <w:b/>
          <w:bCs/>
          <w:i w:val="0"/>
          <w:iCs w:val="0"/>
          <w:color w:val="auto"/>
          <w:sz w:val="24"/>
        </w:rPr>
        <w:t>6</w:t>
      </w:r>
      <w:r>
        <w:rPr>
          <w:rFonts w:hint="eastAsia" w:ascii="Times New Roman" w:hAnsi="Times New Roman" w:eastAsia="楷体" w:cs="楷体"/>
          <w:bCs/>
          <w:i w:val="0"/>
          <w:iCs w:val="0"/>
          <w:color w:val="auto"/>
          <w:sz w:val="24"/>
          <w:u w:val="single"/>
        </w:rPr>
        <w:t>现浇混凝土作于外侧免拆模板的侧压力是根据《建筑施工模板安全技术规范》 JGJ 162 及《混凝土结构工程施工规范》 GB50666等技术规范的规定计算得出。试验研究表明。当次楞间距在2</w:t>
      </w:r>
      <w:r>
        <w:rPr>
          <w:rFonts w:ascii="Times New Roman" w:hAnsi="Times New Roman" w:eastAsia="楷体" w:cs="楷体"/>
          <w:bCs/>
          <w:i w:val="0"/>
          <w:iCs w:val="0"/>
          <w:color w:val="auto"/>
          <w:sz w:val="24"/>
          <w:u w:val="single"/>
        </w:rPr>
        <w:t>50</w:t>
      </w:r>
      <w:r>
        <w:rPr>
          <w:rFonts w:hint="eastAsia" w:ascii="Times New Roman" w:hAnsi="Times New Roman" w:eastAsia="楷体" w:cs="楷体"/>
          <w:bCs/>
          <w:i w:val="0"/>
          <w:iCs w:val="0"/>
          <w:color w:val="auto"/>
          <w:sz w:val="24"/>
          <w:u w:val="single"/>
        </w:rPr>
        <w:t>mm时，试验数据见表6.1.9-1，叠合型保温免拆模板与保温免拆模板复合型的变形量均远远小于《混凝土结构工程施工规范》 GB50666-2011中规定的平整度指标作为限值，完全满足要求。</w:t>
      </w:r>
    </w:p>
    <w:p w14:paraId="0AD7EF4E">
      <w:pPr>
        <w:spacing w:line="360" w:lineRule="auto"/>
        <w:ind w:firstLine="2730" w:firstLineChars="1300"/>
        <w:rPr>
          <w:rFonts w:ascii="Times New Roman" w:hAnsi="Times New Roman" w:cs="Times New Roman"/>
          <w:i w:val="0"/>
          <w:iCs w:val="0"/>
          <w:color w:val="auto"/>
          <w:szCs w:val="21"/>
        </w:rPr>
      </w:pPr>
      <w:r>
        <w:rPr>
          <w:rFonts w:hint="eastAsia" w:ascii="Times New Roman" w:hAnsi="Times New Roman" w:cs="Times New Roman"/>
          <w:i w:val="0"/>
          <w:iCs w:val="0"/>
          <w:color w:val="auto"/>
          <w:szCs w:val="21"/>
        </w:rPr>
        <w:t>表2 各试件的变形最大值</w:t>
      </w:r>
    </w:p>
    <w:tbl>
      <w:tblPr>
        <w:tblStyle w:val="89"/>
        <w:tblW w:w="82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459"/>
        <w:gridCol w:w="1568"/>
        <w:gridCol w:w="1660"/>
        <w:gridCol w:w="1660"/>
      </w:tblGrid>
      <w:tr w14:paraId="644C1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1951" w:type="dxa"/>
            <w:vAlign w:val="center"/>
          </w:tcPr>
          <w:p w14:paraId="30C7C7DE">
            <w:pPr>
              <w:widowControl/>
              <w:spacing w:line="360" w:lineRule="exact"/>
              <w:jc w:val="center"/>
              <w:textAlignment w:val="center"/>
              <w:rPr>
                <w:rFonts w:ascii="Times New Roman" w:hAnsi="Times New Roman" w:cs="Times New Roman"/>
                <w:i w:val="0"/>
                <w:iCs w:val="0"/>
                <w:color w:val="auto"/>
                <w:kern w:val="0"/>
                <w:szCs w:val="21"/>
                <w:lang w:bidi="ar"/>
              </w:rPr>
            </w:pPr>
            <w:r>
              <w:rPr>
                <w:rFonts w:hint="eastAsia" w:ascii="Times New Roman" w:hAnsi="Times New Roman" w:cs="Times New Roman"/>
                <w:i w:val="0"/>
                <w:iCs w:val="0"/>
                <w:color w:val="auto"/>
                <w:kern w:val="0"/>
                <w:szCs w:val="21"/>
                <w:lang w:bidi="ar"/>
              </w:rPr>
              <w:t>试件</w:t>
            </w:r>
          </w:p>
        </w:tc>
        <w:tc>
          <w:tcPr>
            <w:tcW w:w="1459" w:type="dxa"/>
            <w:vAlign w:val="center"/>
          </w:tcPr>
          <w:p w14:paraId="50D17F40">
            <w:pPr>
              <w:widowControl/>
              <w:spacing w:line="360" w:lineRule="exact"/>
              <w:jc w:val="center"/>
              <w:textAlignment w:val="center"/>
              <w:rPr>
                <w:rFonts w:ascii="Times New Roman" w:hAnsi="Times New Roman" w:cs="Times New Roman"/>
                <w:i w:val="0"/>
                <w:iCs w:val="0"/>
                <w:color w:val="auto"/>
                <w:kern w:val="0"/>
                <w:szCs w:val="21"/>
                <w:lang w:bidi="ar"/>
              </w:rPr>
            </w:pPr>
            <w:r>
              <w:rPr>
                <w:rFonts w:hint="eastAsia" w:ascii="Times New Roman" w:hAnsi="Times New Roman" w:cs="Times New Roman"/>
                <w:i w:val="0"/>
                <w:iCs w:val="0"/>
                <w:color w:val="auto"/>
                <w:kern w:val="0"/>
                <w:szCs w:val="21"/>
                <w:lang w:bidi="ar"/>
              </w:rPr>
              <w:t>叠合型保温免拆模板1</w:t>
            </w:r>
          </w:p>
        </w:tc>
        <w:tc>
          <w:tcPr>
            <w:tcW w:w="1568" w:type="dxa"/>
            <w:vAlign w:val="center"/>
          </w:tcPr>
          <w:p w14:paraId="5E983B2F">
            <w:pPr>
              <w:widowControl/>
              <w:spacing w:line="360" w:lineRule="exact"/>
              <w:jc w:val="center"/>
              <w:textAlignment w:val="center"/>
              <w:rPr>
                <w:rFonts w:ascii="Times New Roman" w:hAnsi="Times New Roman" w:cs="Times New Roman"/>
                <w:i w:val="0"/>
                <w:iCs w:val="0"/>
                <w:color w:val="auto"/>
                <w:kern w:val="0"/>
                <w:szCs w:val="21"/>
                <w:lang w:bidi="ar"/>
              </w:rPr>
            </w:pPr>
            <w:r>
              <w:rPr>
                <w:rFonts w:hint="eastAsia" w:ascii="Times New Roman" w:hAnsi="Times New Roman" w:cs="Times New Roman"/>
                <w:i w:val="0"/>
                <w:iCs w:val="0"/>
                <w:color w:val="auto"/>
                <w:kern w:val="0"/>
                <w:szCs w:val="21"/>
                <w:lang w:bidi="ar"/>
              </w:rPr>
              <w:t>叠合型保温免拆模板2</w:t>
            </w:r>
          </w:p>
        </w:tc>
        <w:tc>
          <w:tcPr>
            <w:tcW w:w="1660" w:type="dxa"/>
            <w:vAlign w:val="center"/>
          </w:tcPr>
          <w:p w14:paraId="1EF78E70">
            <w:pPr>
              <w:widowControl/>
              <w:spacing w:line="360" w:lineRule="exact"/>
              <w:jc w:val="center"/>
              <w:textAlignment w:val="center"/>
              <w:rPr>
                <w:rFonts w:ascii="Times New Roman" w:hAnsi="Times New Roman" w:cs="Times New Roman"/>
                <w:i w:val="0"/>
                <w:iCs w:val="0"/>
                <w:color w:val="auto"/>
                <w:kern w:val="0"/>
                <w:szCs w:val="21"/>
                <w:lang w:bidi="ar"/>
              </w:rPr>
            </w:pPr>
            <w:r>
              <w:rPr>
                <w:rFonts w:hint="eastAsia" w:ascii="Times New Roman" w:hAnsi="Times New Roman" w:cs="Times New Roman"/>
                <w:i w:val="0"/>
                <w:iCs w:val="0"/>
                <w:color w:val="auto"/>
                <w:kern w:val="0"/>
                <w:szCs w:val="21"/>
                <w:lang w:bidi="ar"/>
              </w:rPr>
              <w:t>保温免拆模板复合I型</w:t>
            </w:r>
          </w:p>
        </w:tc>
        <w:tc>
          <w:tcPr>
            <w:tcW w:w="1660" w:type="dxa"/>
            <w:vAlign w:val="center"/>
          </w:tcPr>
          <w:p w14:paraId="6C160E6E">
            <w:pPr>
              <w:widowControl/>
              <w:spacing w:line="360" w:lineRule="exact"/>
              <w:jc w:val="center"/>
              <w:textAlignment w:val="center"/>
              <w:rPr>
                <w:rFonts w:ascii="Times New Roman" w:hAnsi="Times New Roman" w:cs="Times New Roman"/>
                <w:i w:val="0"/>
                <w:iCs w:val="0"/>
                <w:color w:val="auto"/>
                <w:kern w:val="0"/>
                <w:szCs w:val="21"/>
                <w:lang w:bidi="ar"/>
              </w:rPr>
            </w:pPr>
            <w:r>
              <w:rPr>
                <w:rFonts w:hint="eastAsia" w:ascii="Times New Roman" w:hAnsi="Times New Roman" w:cs="Times New Roman"/>
                <w:i w:val="0"/>
                <w:iCs w:val="0"/>
                <w:color w:val="auto"/>
                <w:kern w:val="0"/>
                <w:szCs w:val="21"/>
                <w:lang w:bidi="ar"/>
              </w:rPr>
              <w:t>保温免拆模板复合II型</w:t>
            </w:r>
          </w:p>
        </w:tc>
      </w:tr>
      <w:tr w14:paraId="4ED93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1951" w:type="dxa"/>
            <w:vAlign w:val="center"/>
          </w:tcPr>
          <w:p w14:paraId="4153D5B3">
            <w:pPr>
              <w:widowControl/>
              <w:spacing w:line="360" w:lineRule="exact"/>
              <w:jc w:val="center"/>
              <w:textAlignment w:val="center"/>
              <w:rPr>
                <w:rFonts w:ascii="Times New Roman" w:hAnsi="Times New Roman" w:cs="Times New Roman"/>
                <w:i w:val="0"/>
                <w:iCs w:val="0"/>
                <w:color w:val="auto"/>
                <w:kern w:val="0"/>
                <w:szCs w:val="21"/>
                <w:lang w:bidi="ar"/>
              </w:rPr>
            </w:pPr>
            <w:r>
              <w:rPr>
                <w:rFonts w:hint="eastAsia" w:ascii="Times New Roman" w:hAnsi="Times New Roman" w:cs="Times New Roman"/>
                <w:i w:val="0"/>
                <w:iCs w:val="0"/>
                <w:color w:val="auto"/>
                <w:kern w:val="0"/>
                <w:szCs w:val="21"/>
                <w:lang w:bidi="ar"/>
              </w:rPr>
              <w:t>变形差（%）</w:t>
            </w:r>
          </w:p>
        </w:tc>
        <w:tc>
          <w:tcPr>
            <w:tcW w:w="1459" w:type="dxa"/>
            <w:vAlign w:val="center"/>
          </w:tcPr>
          <w:p w14:paraId="404A6ED2">
            <w:pPr>
              <w:widowControl/>
              <w:spacing w:line="360" w:lineRule="exact"/>
              <w:jc w:val="center"/>
              <w:textAlignment w:val="center"/>
              <w:rPr>
                <w:rFonts w:ascii="Times New Roman" w:hAnsi="Times New Roman" w:cs="Times New Roman"/>
                <w:i w:val="0"/>
                <w:iCs w:val="0"/>
                <w:color w:val="auto"/>
                <w:kern w:val="0"/>
                <w:sz w:val="24"/>
                <w:lang w:bidi="ar"/>
              </w:rPr>
            </w:pPr>
            <w:r>
              <w:rPr>
                <w:rFonts w:hint="eastAsia" w:ascii="Times New Roman" w:hAnsi="Times New Roman" w:cs="Times New Roman"/>
                <w:i w:val="0"/>
                <w:iCs w:val="0"/>
                <w:color w:val="auto"/>
                <w:kern w:val="0"/>
                <w:sz w:val="24"/>
                <w:lang w:bidi="ar"/>
              </w:rPr>
              <w:t>0.0128</w:t>
            </w:r>
          </w:p>
        </w:tc>
        <w:tc>
          <w:tcPr>
            <w:tcW w:w="1568" w:type="dxa"/>
            <w:vAlign w:val="center"/>
          </w:tcPr>
          <w:p w14:paraId="46A316A3">
            <w:pPr>
              <w:widowControl/>
              <w:spacing w:line="360" w:lineRule="exact"/>
              <w:jc w:val="center"/>
              <w:textAlignment w:val="center"/>
              <w:rPr>
                <w:rFonts w:ascii="Times New Roman" w:hAnsi="Times New Roman" w:cs="Times New Roman"/>
                <w:i w:val="0"/>
                <w:iCs w:val="0"/>
                <w:color w:val="auto"/>
                <w:kern w:val="0"/>
                <w:sz w:val="24"/>
                <w:lang w:bidi="ar"/>
              </w:rPr>
            </w:pPr>
            <w:r>
              <w:rPr>
                <w:rFonts w:hint="eastAsia" w:ascii="Times New Roman" w:hAnsi="Times New Roman" w:cs="Times New Roman"/>
                <w:i w:val="0"/>
                <w:iCs w:val="0"/>
                <w:color w:val="auto"/>
                <w:kern w:val="0"/>
                <w:sz w:val="24"/>
                <w:lang w:bidi="ar"/>
              </w:rPr>
              <w:t>0.0108</w:t>
            </w:r>
          </w:p>
        </w:tc>
        <w:tc>
          <w:tcPr>
            <w:tcW w:w="1660" w:type="dxa"/>
            <w:vAlign w:val="center"/>
          </w:tcPr>
          <w:p w14:paraId="619803F9">
            <w:pPr>
              <w:widowControl/>
              <w:spacing w:line="360" w:lineRule="exact"/>
              <w:jc w:val="center"/>
              <w:textAlignment w:val="center"/>
              <w:rPr>
                <w:rFonts w:ascii="Times New Roman" w:hAnsi="Times New Roman" w:cs="Times New Roman"/>
                <w:i w:val="0"/>
                <w:iCs w:val="0"/>
                <w:color w:val="auto"/>
                <w:kern w:val="0"/>
                <w:sz w:val="24"/>
                <w:lang w:bidi="ar"/>
              </w:rPr>
            </w:pPr>
            <w:r>
              <w:rPr>
                <w:rFonts w:hint="eastAsia" w:ascii="Times New Roman" w:hAnsi="Times New Roman" w:cs="Times New Roman"/>
                <w:i w:val="0"/>
                <w:iCs w:val="0"/>
                <w:color w:val="auto"/>
                <w:kern w:val="0"/>
                <w:sz w:val="24"/>
                <w:lang w:bidi="ar"/>
              </w:rPr>
              <w:t>0.00001</w:t>
            </w:r>
          </w:p>
        </w:tc>
        <w:tc>
          <w:tcPr>
            <w:tcW w:w="1660" w:type="dxa"/>
            <w:vAlign w:val="center"/>
          </w:tcPr>
          <w:p w14:paraId="5E5AB26B">
            <w:pPr>
              <w:widowControl/>
              <w:spacing w:line="360" w:lineRule="exact"/>
              <w:jc w:val="center"/>
              <w:textAlignment w:val="center"/>
              <w:rPr>
                <w:rFonts w:ascii="Times New Roman" w:hAnsi="Times New Roman" w:cs="Times New Roman"/>
                <w:i w:val="0"/>
                <w:iCs w:val="0"/>
                <w:color w:val="auto"/>
                <w:kern w:val="0"/>
                <w:sz w:val="24"/>
                <w:lang w:bidi="ar"/>
              </w:rPr>
            </w:pPr>
            <w:r>
              <w:rPr>
                <w:rFonts w:hint="eastAsia" w:ascii="Times New Roman" w:hAnsi="Times New Roman" w:cs="Times New Roman"/>
                <w:i w:val="0"/>
                <w:iCs w:val="0"/>
                <w:color w:val="auto"/>
                <w:kern w:val="0"/>
                <w:sz w:val="24"/>
                <w:lang w:bidi="ar"/>
              </w:rPr>
              <w:t>0.059</w:t>
            </w:r>
          </w:p>
        </w:tc>
      </w:tr>
    </w:tbl>
    <w:p w14:paraId="78F28169">
      <w:pPr>
        <w:spacing w:line="360" w:lineRule="auto"/>
        <w:ind w:firstLine="720" w:firstLineChars="300"/>
        <w:rPr>
          <w:rFonts w:ascii="Times New Roman" w:hAnsi="Times New Roman" w:eastAsia="楷体" w:cs="楷体"/>
          <w:bCs/>
          <w:i w:val="0"/>
          <w:iCs w:val="0"/>
          <w:color w:val="auto"/>
          <w:sz w:val="24"/>
          <w:u w:val="single"/>
        </w:rPr>
      </w:pPr>
      <w:r>
        <w:rPr>
          <w:rFonts w:hint="eastAsia" w:ascii="Times New Roman" w:hAnsi="Times New Roman" w:eastAsia="楷体" w:cs="楷体"/>
          <w:bCs/>
          <w:i w:val="0"/>
          <w:iCs w:val="0"/>
          <w:color w:val="auto"/>
          <w:sz w:val="24"/>
          <w:u w:val="single"/>
        </w:rPr>
        <w:t>根据表4.3.1-1免拆保温模板抗弯试验所得建议弹性模量取值。根据下式推算免拆保温模板受均布荷载时跨中挠度。计算数据见表3。</w:t>
      </w:r>
    </w:p>
    <w:p w14:paraId="5224CB95">
      <w:pPr>
        <w:spacing w:line="360" w:lineRule="auto"/>
        <w:jc w:val="center"/>
        <w:rPr>
          <w:rFonts w:ascii="Times New Roman" w:hAnsi="Times New Roman" w:eastAsia="楷体" w:cs="楷体"/>
          <w:bCs/>
          <w:i w:val="0"/>
          <w:iCs w:val="0"/>
          <w:color w:val="auto"/>
          <w:sz w:val="24"/>
          <w:u w:val="single"/>
        </w:rPr>
      </w:pPr>
      <w:r>
        <w:rPr>
          <w:rFonts w:hint="eastAsia" w:ascii="Times New Roman" w:hAnsi="Times New Roman" w:cs="Times New Roman"/>
          <w:i w:val="0"/>
          <w:iCs w:val="0"/>
          <w:color w:val="auto"/>
          <w:position w:val="-24"/>
          <w:szCs w:val="28"/>
        </w:rPr>
        <w:object>
          <v:shape id="_x0000_i1123" o:spt="75" type="#_x0000_t75" style="height:33pt;width:56.25pt;" o:ole="t" filled="f" coordsize="21600,21600">
            <v:path/>
            <v:fill on="f" focussize="0,0"/>
            <v:stroke/>
            <v:imagedata r:id="rId255" o:title=""/>
            <o:lock v:ext="edit" aspectratio="t"/>
            <w10:wrap type="none"/>
            <w10:anchorlock/>
          </v:shape>
          <o:OLEObject Type="Embed" ProgID="Equation.3" ShapeID="_x0000_i1123" DrawAspect="Content" ObjectID="_1468075823" r:id="rId254">
            <o:LockedField>false</o:LockedField>
          </o:OLEObject>
        </w:object>
      </w:r>
    </w:p>
    <w:p w14:paraId="51FF7B31">
      <w:pPr>
        <w:spacing w:line="360" w:lineRule="auto"/>
        <w:rPr>
          <w:rFonts w:ascii="Times New Roman" w:hAnsi="Times New Roman" w:eastAsia="楷体" w:cs="楷体"/>
          <w:bCs/>
          <w:i w:val="0"/>
          <w:iCs w:val="0"/>
          <w:color w:val="auto"/>
          <w:sz w:val="24"/>
          <w:u w:val="single"/>
        </w:rPr>
      </w:pPr>
      <w:r>
        <w:rPr>
          <w:rFonts w:hint="eastAsia" w:ascii="Times New Roman" w:hAnsi="Times New Roman" w:eastAsia="楷体" w:cs="楷体"/>
          <w:bCs/>
          <w:i w:val="0"/>
          <w:iCs w:val="0"/>
          <w:color w:val="auto"/>
          <w:sz w:val="24"/>
          <w:u w:val="single"/>
        </w:rPr>
        <w:t>式中：δ为推算的免拆保温模板受均布荷载时跨中挠度，m；</w:t>
      </w:r>
    </w:p>
    <w:p w14:paraId="3E1F2EE8">
      <w:pPr>
        <w:spacing w:line="360" w:lineRule="auto"/>
        <w:rPr>
          <w:rFonts w:ascii="Times New Roman" w:hAnsi="Times New Roman" w:eastAsia="楷体" w:cs="楷体"/>
          <w:bCs/>
          <w:i w:val="0"/>
          <w:iCs w:val="0"/>
          <w:color w:val="auto"/>
          <w:sz w:val="24"/>
          <w:u w:val="single"/>
        </w:rPr>
      </w:pPr>
      <w:r>
        <w:rPr>
          <w:rFonts w:hint="eastAsia" w:ascii="Times New Roman" w:hAnsi="Times New Roman" w:eastAsia="楷体" w:cs="楷体"/>
          <w:bCs/>
          <w:i w:val="0"/>
          <w:iCs w:val="0"/>
          <w:color w:val="auto"/>
          <w:sz w:val="24"/>
          <w:u w:val="single"/>
        </w:rPr>
        <w:t>L为试验跨距，m；</w:t>
      </w:r>
    </w:p>
    <w:p w14:paraId="36793C68">
      <w:pPr>
        <w:spacing w:line="360" w:lineRule="auto"/>
        <w:rPr>
          <w:rFonts w:ascii="Times New Roman" w:hAnsi="Times New Roman" w:eastAsia="楷体" w:cs="楷体"/>
          <w:bCs/>
          <w:i w:val="0"/>
          <w:iCs w:val="0"/>
          <w:color w:val="auto"/>
          <w:sz w:val="24"/>
          <w:u w:val="single"/>
        </w:rPr>
      </w:pPr>
      <w:r>
        <w:rPr>
          <w:rFonts w:hint="eastAsia" w:ascii="Times New Roman" w:hAnsi="Times New Roman" w:eastAsia="楷体" w:cs="楷体"/>
          <w:bCs/>
          <w:i w:val="0"/>
          <w:iCs w:val="0"/>
          <w:color w:val="auto"/>
          <w:sz w:val="24"/>
          <w:u w:val="single"/>
        </w:rPr>
        <w:t>q为按单位宽度考虑保温模板承受的均布荷载，kN/m；</w:t>
      </w:r>
    </w:p>
    <w:p w14:paraId="5F207C7A">
      <w:pPr>
        <w:spacing w:line="360" w:lineRule="auto"/>
        <w:rPr>
          <w:rFonts w:ascii="Times New Roman" w:hAnsi="Times New Roman" w:eastAsia="楷体" w:cs="楷体"/>
          <w:bCs/>
          <w:i w:val="0"/>
          <w:iCs w:val="0"/>
          <w:color w:val="auto"/>
          <w:sz w:val="24"/>
          <w:u w:val="single"/>
        </w:rPr>
      </w:pPr>
      <w:r>
        <w:rPr>
          <w:rFonts w:hint="eastAsia" w:ascii="Times New Roman" w:hAnsi="Times New Roman" w:eastAsia="楷体" w:cs="楷体"/>
          <w:bCs/>
          <w:i w:val="0"/>
          <w:iCs w:val="0"/>
          <w:color w:val="auto"/>
          <w:sz w:val="24"/>
          <w:u w:val="single"/>
        </w:rPr>
        <w:t>E为模板弹性模量，MPa；</w:t>
      </w:r>
    </w:p>
    <w:p w14:paraId="1FD857C1">
      <w:pPr>
        <w:spacing w:line="360" w:lineRule="auto"/>
        <w:rPr>
          <w:rFonts w:hint="eastAsia" w:ascii="宋体" w:hAnsi="宋体" w:eastAsia="宋体" w:cs="Times New Roman"/>
          <w:i w:val="0"/>
          <w:iCs w:val="0"/>
          <w:color w:val="auto"/>
          <w:sz w:val="24"/>
          <w:szCs w:val="28"/>
        </w:rPr>
      </w:pPr>
      <w:r>
        <w:rPr>
          <w:rFonts w:hint="eastAsia" w:ascii="Times New Roman" w:hAnsi="Times New Roman" w:eastAsia="楷体" w:cs="楷体"/>
          <w:bCs/>
          <w:i w:val="0"/>
          <w:iCs w:val="0"/>
          <w:color w:val="auto"/>
          <w:sz w:val="24"/>
          <w:u w:val="single"/>
        </w:rPr>
        <w:t>I为模板截面惯性矩，即模板厚度，mm</w:t>
      </w:r>
      <w:r>
        <w:rPr>
          <w:rFonts w:hint="eastAsia" w:ascii="Times New Roman" w:hAnsi="Times New Roman" w:eastAsia="楷体" w:cs="楷体"/>
          <w:bCs/>
          <w:i w:val="0"/>
          <w:iCs w:val="0"/>
          <w:color w:val="auto"/>
          <w:sz w:val="24"/>
          <w:u w:val="single"/>
          <w:vertAlign w:val="superscript"/>
        </w:rPr>
        <w:t>4</w:t>
      </w:r>
      <w:r>
        <w:rPr>
          <w:rFonts w:hint="eastAsia" w:ascii="Times New Roman" w:hAnsi="Times New Roman" w:eastAsia="楷体" w:cs="楷体"/>
          <w:bCs/>
          <w:i w:val="0"/>
          <w:iCs w:val="0"/>
          <w:color w:val="auto"/>
          <w:sz w:val="24"/>
          <w:u w:val="single"/>
        </w:rPr>
        <w:t>。</w:t>
      </w:r>
    </w:p>
    <w:tbl>
      <w:tblPr>
        <w:tblStyle w:val="88"/>
        <w:tblW w:w="8295" w:type="dxa"/>
        <w:jc w:val="center"/>
        <w:tblLayout w:type="fixed"/>
        <w:tblCellMar>
          <w:top w:w="0" w:type="dxa"/>
          <w:left w:w="108" w:type="dxa"/>
          <w:bottom w:w="0" w:type="dxa"/>
          <w:right w:w="108" w:type="dxa"/>
        </w:tblCellMar>
      </w:tblPr>
      <w:tblGrid>
        <w:gridCol w:w="1659"/>
        <w:gridCol w:w="1659"/>
        <w:gridCol w:w="1659"/>
        <w:gridCol w:w="1659"/>
        <w:gridCol w:w="1659"/>
      </w:tblGrid>
      <w:tr w14:paraId="2DC9128F">
        <w:tblPrEx>
          <w:tblCellMar>
            <w:top w:w="0" w:type="dxa"/>
            <w:left w:w="108" w:type="dxa"/>
            <w:bottom w:w="0" w:type="dxa"/>
            <w:right w:w="108" w:type="dxa"/>
          </w:tblCellMar>
        </w:tblPrEx>
        <w:trPr>
          <w:trHeight w:val="270" w:hRule="atLeast"/>
          <w:jc w:val="center"/>
        </w:trPr>
        <w:tc>
          <w:tcPr>
            <w:tcW w:w="8295" w:type="dxa"/>
            <w:gridSpan w:val="5"/>
            <w:tcBorders>
              <w:top w:val="nil"/>
              <w:left w:val="nil"/>
              <w:bottom w:val="single" w:color="auto" w:sz="4" w:space="0"/>
              <w:right w:val="nil"/>
            </w:tcBorders>
            <w:shd w:val="clear" w:color="auto" w:fill="auto"/>
            <w:vAlign w:val="center"/>
          </w:tcPr>
          <w:p w14:paraId="06EBA2C2">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表</w:t>
            </w:r>
            <w:r>
              <w:rPr>
                <w:rFonts w:hint="eastAsia" w:ascii="Times New Roman" w:hAnsi="Times New Roman" w:cs="Times New Roman"/>
                <w:i w:val="0"/>
                <w:iCs w:val="0"/>
                <w:color w:val="auto"/>
                <w:szCs w:val="21"/>
              </w:rPr>
              <w:t>3</w:t>
            </w:r>
            <w:r>
              <w:rPr>
                <w:rFonts w:ascii="Times New Roman" w:hAnsi="Times New Roman" w:cs="Times New Roman"/>
                <w:i w:val="0"/>
                <w:iCs w:val="0"/>
                <w:color w:val="auto"/>
                <w:kern w:val="0"/>
                <w:sz w:val="20"/>
                <w:szCs w:val="20"/>
                <w:lang w:bidi="ar"/>
              </w:rPr>
              <w:t xml:space="preserve"> 保温模板</w:t>
            </w:r>
            <w:r>
              <w:rPr>
                <w:rFonts w:hint="eastAsia" w:ascii="Times New Roman" w:hAnsi="Times New Roman" w:cs="Times New Roman"/>
                <w:i w:val="0"/>
                <w:iCs w:val="0"/>
                <w:color w:val="auto"/>
                <w:kern w:val="0"/>
                <w:sz w:val="20"/>
                <w:szCs w:val="20"/>
                <w:lang w:bidi="ar"/>
              </w:rPr>
              <w:t>跨中挠度验算</w:t>
            </w:r>
          </w:p>
        </w:tc>
      </w:tr>
      <w:tr w14:paraId="3D578127">
        <w:tblPrEx>
          <w:tblCellMar>
            <w:top w:w="0" w:type="dxa"/>
            <w:left w:w="108" w:type="dxa"/>
            <w:bottom w:w="0" w:type="dxa"/>
            <w:right w:w="108" w:type="dxa"/>
          </w:tblCellMar>
        </w:tblPrEx>
        <w:trPr>
          <w:trHeight w:val="270" w:hRule="atLeast"/>
          <w:jc w:val="center"/>
        </w:trPr>
        <w:tc>
          <w:tcPr>
            <w:tcW w:w="1659" w:type="dxa"/>
            <w:tcBorders>
              <w:top w:val="single" w:color="auto" w:sz="4" w:space="0"/>
              <w:left w:val="nil"/>
              <w:bottom w:val="single" w:color="auto" w:sz="4" w:space="0"/>
              <w:right w:val="nil"/>
            </w:tcBorders>
            <w:shd w:val="clear" w:color="auto" w:fill="auto"/>
            <w:vAlign w:val="center"/>
          </w:tcPr>
          <w:p w14:paraId="1CBE45BC">
            <w:pPr>
              <w:widowControl/>
              <w:jc w:val="center"/>
              <w:textAlignment w:val="center"/>
              <w:rPr>
                <w:rFonts w:ascii="Times New Roman" w:hAnsi="Times New Roman" w:eastAsia="宋体"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板类型</w:t>
            </w:r>
          </w:p>
        </w:tc>
        <w:tc>
          <w:tcPr>
            <w:tcW w:w="1659" w:type="dxa"/>
            <w:tcBorders>
              <w:top w:val="nil"/>
              <w:left w:val="nil"/>
              <w:bottom w:val="single" w:color="auto" w:sz="4" w:space="0"/>
              <w:right w:val="nil"/>
            </w:tcBorders>
            <w:shd w:val="clear" w:color="auto" w:fill="auto"/>
            <w:vAlign w:val="center"/>
          </w:tcPr>
          <w:p w14:paraId="1ADB90F7">
            <w:pPr>
              <w:widowControl/>
              <w:jc w:val="center"/>
              <w:textAlignment w:val="center"/>
              <w:rPr>
                <w:rFonts w:ascii="Times New Roman" w:hAnsi="Times New Roman" w:eastAsia="宋体"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跨距</w:t>
            </w:r>
            <w:r>
              <w:rPr>
                <w:rFonts w:hint="eastAsia" w:ascii="Times New Roman" w:hAnsi="Times New Roman" w:cs="Times New Roman"/>
                <w:i w:val="0"/>
                <w:iCs w:val="0"/>
                <w:color w:val="auto"/>
                <w:kern w:val="0"/>
                <w:sz w:val="20"/>
                <w:szCs w:val="20"/>
                <w:lang w:bidi="ar"/>
              </w:rPr>
              <w:t>（</w:t>
            </w:r>
            <w:r>
              <w:rPr>
                <w:rFonts w:ascii="Times New Roman" w:hAnsi="Times New Roman" w:cs="Times New Roman"/>
                <w:i w:val="0"/>
                <w:iCs w:val="0"/>
                <w:color w:val="auto"/>
                <w:kern w:val="0"/>
                <w:sz w:val="20"/>
                <w:szCs w:val="20"/>
                <w:lang w:bidi="ar"/>
              </w:rPr>
              <w:t>mm</w:t>
            </w:r>
            <w:r>
              <w:rPr>
                <w:rFonts w:hint="eastAsia" w:ascii="Times New Roman" w:hAnsi="Times New Roman" w:cs="Times New Roman"/>
                <w:i w:val="0"/>
                <w:iCs w:val="0"/>
                <w:color w:val="auto"/>
                <w:kern w:val="0"/>
                <w:sz w:val="20"/>
                <w:szCs w:val="20"/>
                <w:lang w:bidi="ar"/>
              </w:rPr>
              <w:t>）</w:t>
            </w:r>
          </w:p>
        </w:tc>
        <w:tc>
          <w:tcPr>
            <w:tcW w:w="1659" w:type="dxa"/>
            <w:tcBorders>
              <w:top w:val="nil"/>
              <w:left w:val="nil"/>
              <w:bottom w:val="single" w:color="auto" w:sz="4" w:space="0"/>
              <w:right w:val="nil"/>
            </w:tcBorders>
            <w:shd w:val="clear" w:color="auto" w:fill="auto"/>
            <w:vAlign w:val="center"/>
          </w:tcPr>
          <w:p w14:paraId="7C828DFC">
            <w:pPr>
              <w:widowControl/>
              <w:jc w:val="center"/>
              <w:textAlignment w:val="center"/>
              <w:rPr>
                <w:rFonts w:ascii="Times New Roman" w:hAnsi="Times New Roman" w:eastAsia="宋体"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挠度</w:t>
            </w:r>
            <w:r>
              <w:rPr>
                <w:rFonts w:ascii="Times New Roman" w:hAnsi="Times New Roman" w:cs="Times New Roman"/>
                <w:i w:val="0"/>
                <w:iCs w:val="0"/>
                <w:color w:val="auto"/>
                <w:kern w:val="0"/>
                <w:sz w:val="20"/>
                <w:szCs w:val="20"/>
                <w:lang w:bidi="ar"/>
              </w:rPr>
              <w:t>/</w:t>
            </w:r>
            <w:r>
              <w:rPr>
                <w:rFonts w:hint="eastAsia" w:ascii="Times New Roman" w:hAnsi="Times New Roman" w:cs="Times New Roman"/>
                <w:i w:val="0"/>
                <w:iCs w:val="0"/>
                <w:color w:val="auto"/>
                <w:kern w:val="0"/>
                <w:sz w:val="20"/>
                <w:szCs w:val="20"/>
                <w:lang w:bidi="ar"/>
              </w:rPr>
              <w:t>mm</w:t>
            </w:r>
          </w:p>
        </w:tc>
        <w:tc>
          <w:tcPr>
            <w:tcW w:w="1659" w:type="dxa"/>
            <w:tcBorders>
              <w:top w:val="nil"/>
              <w:left w:val="nil"/>
              <w:bottom w:val="single" w:color="auto" w:sz="4" w:space="0"/>
              <w:right w:val="nil"/>
            </w:tcBorders>
            <w:shd w:val="clear" w:color="auto" w:fill="auto"/>
            <w:vAlign w:val="center"/>
          </w:tcPr>
          <w:p w14:paraId="66FB0AA9">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1/250跨距（mm）</w:t>
            </w:r>
          </w:p>
        </w:tc>
        <w:tc>
          <w:tcPr>
            <w:tcW w:w="1659" w:type="dxa"/>
            <w:tcBorders>
              <w:top w:val="nil"/>
              <w:left w:val="nil"/>
              <w:bottom w:val="single" w:color="auto" w:sz="4" w:space="0"/>
              <w:right w:val="nil"/>
            </w:tcBorders>
            <w:shd w:val="clear" w:color="auto" w:fill="auto"/>
            <w:vAlign w:val="center"/>
          </w:tcPr>
          <w:p w14:paraId="34CF663E">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判断</w:t>
            </w:r>
          </w:p>
        </w:tc>
      </w:tr>
      <w:tr w14:paraId="3A675AEF">
        <w:tblPrEx>
          <w:tblCellMar>
            <w:top w:w="0" w:type="dxa"/>
            <w:left w:w="108" w:type="dxa"/>
            <w:bottom w:w="0" w:type="dxa"/>
            <w:right w:w="108" w:type="dxa"/>
          </w:tblCellMar>
        </w:tblPrEx>
        <w:trPr>
          <w:trHeight w:val="270" w:hRule="atLeast"/>
          <w:jc w:val="center"/>
        </w:trPr>
        <w:tc>
          <w:tcPr>
            <w:tcW w:w="1659" w:type="dxa"/>
            <w:vMerge w:val="restart"/>
            <w:tcBorders>
              <w:top w:val="single" w:color="auto" w:sz="4" w:space="0"/>
              <w:left w:val="nil"/>
              <w:right w:val="nil"/>
            </w:tcBorders>
            <w:shd w:val="clear" w:color="auto" w:fill="auto"/>
            <w:vAlign w:val="center"/>
          </w:tcPr>
          <w:p w14:paraId="22E08E23">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叠合型保温免拆模板</w:t>
            </w:r>
          </w:p>
        </w:tc>
        <w:tc>
          <w:tcPr>
            <w:tcW w:w="1659" w:type="dxa"/>
            <w:tcBorders>
              <w:top w:val="single" w:color="auto" w:sz="4" w:space="0"/>
              <w:left w:val="nil"/>
              <w:bottom w:val="nil"/>
              <w:right w:val="nil"/>
            </w:tcBorders>
            <w:shd w:val="clear" w:color="auto" w:fill="auto"/>
            <w:vAlign w:val="center"/>
          </w:tcPr>
          <w:p w14:paraId="2BB0E9B2">
            <w:pPr>
              <w:widowControl/>
              <w:jc w:val="center"/>
              <w:textAlignment w:val="center"/>
              <w:rPr>
                <w:rFonts w:ascii="Times New Roman" w:hAnsi="Times New Roman" w:eastAsia="宋体"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200</w:t>
            </w:r>
          </w:p>
        </w:tc>
        <w:tc>
          <w:tcPr>
            <w:tcW w:w="1659" w:type="dxa"/>
            <w:tcBorders>
              <w:top w:val="single" w:color="auto" w:sz="4" w:space="0"/>
              <w:left w:val="nil"/>
              <w:bottom w:val="nil"/>
              <w:right w:val="nil"/>
            </w:tcBorders>
            <w:shd w:val="clear" w:color="auto" w:fill="auto"/>
            <w:vAlign w:val="center"/>
          </w:tcPr>
          <w:p w14:paraId="05F9C5B4">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0.38</w:t>
            </w:r>
          </w:p>
        </w:tc>
        <w:tc>
          <w:tcPr>
            <w:tcW w:w="1659" w:type="dxa"/>
            <w:tcBorders>
              <w:top w:val="single" w:color="auto" w:sz="4" w:space="0"/>
              <w:left w:val="nil"/>
              <w:bottom w:val="nil"/>
              <w:right w:val="nil"/>
            </w:tcBorders>
            <w:shd w:val="clear" w:color="auto" w:fill="auto"/>
            <w:vAlign w:val="center"/>
          </w:tcPr>
          <w:p w14:paraId="0E861F03">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0.</w:t>
            </w:r>
            <w:r>
              <w:rPr>
                <w:rFonts w:ascii="Times New Roman" w:hAnsi="Times New Roman" w:cs="Times New Roman"/>
                <w:i w:val="0"/>
                <w:iCs w:val="0"/>
                <w:color w:val="auto"/>
                <w:kern w:val="0"/>
                <w:sz w:val="20"/>
                <w:szCs w:val="20"/>
                <w:lang w:bidi="ar"/>
              </w:rPr>
              <w:t>8</w:t>
            </w:r>
          </w:p>
        </w:tc>
        <w:tc>
          <w:tcPr>
            <w:tcW w:w="1659" w:type="dxa"/>
            <w:tcBorders>
              <w:top w:val="single" w:color="auto" w:sz="4" w:space="0"/>
              <w:left w:val="nil"/>
              <w:bottom w:val="nil"/>
              <w:right w:val="nil"/>
            </w:tcBorders>
            <w:shd w:val="clear" w:color="auto" w:fill="auto"/>
            <w:vAlign w:val="center"/>
          </w:tcPr>
          <w:p w14:paraId="5F07DBA2">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满足</w:t>
            </w:r>
          </w:p>
        </w:tc>
      </w:tr>
      <w:tr w14:paraId="5E99D148">
        <w:tblPrEx>
          <w:tblCellMar>
            <w:top w:w="0" w:type="dxa"/>
            <w:left w:w="108" w:type="dxa"/>
            <w:bottom w:w="0" w:type="dxa"/>
            <w:right w:w="108" w:type="dxa"/>
          </w:tblCellMar>
        </w:tblPrEx>
        <w:trPr>
          <w:trHeight w:val="270" w:hRule="atLeast"/>
          <w:jc w:val="center"/>
        </w:trPr>
        <w:tc>
          <w:tcPr>
            <w:tcW w:w="1659" w:type="dxa"/>
            <w:vMerge w:val="continue"/>
            <w:tcBorders>
              <w:left w:val="nil"/>
              <w:right w:val="nil"/>
            </w:tcBorders>
            <w:shd w:val="clear" w:color="auto" w:fill="auto"/>
            <w:vAlign w:val="center"/>
          </w:tcPr>
          <w:p w14:paraId="00B762E0">
            <w:pPr>
              <w:widowControl/>
              <w:jc w:val="center"/>
              <w:textAlignment w:val="center"/>
              <w:rPr>
                <w:rFonts w:ascii="Times New Roman" w:hAnsi="Times New Roman" w:eastAsia="宋体" w:cs="Times New Roman"/>
                <w:i w:val="0"/>
                <w:iCs w:val="0"/>
                <w:color w:val="auto"/>
                <w:kern w:val="0"/>
                <w:sz w:val="20"/>
                <w:szCs w:val="20"/>
                <w:lang w:bidi="ar"/>
              </w:rPr>
            </w:pPr>
          </w:p>
        </w:tc>
        <w:tc>
          <w:tcPr>
            <w:tcW w:w="1659" w:type="dxa"/>
            <w:tcBorders>
              <w:top w:val="nil"/>
              <w:left w:val="nil"/>
              <w:bottom w:val="nil"/>
              <w:right w:val="nil"/>
            </w:tcBorders>
            <w:shd w:val="clear" w:color="auto" w:fill="auto"/>
            <w:vAlign w:val="center"/>
          </w:tcPr>
          <w:p w14:paraId="019C5D20">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lang w:bidi="ar"/>
              </w:rPr>
              <w:t>250</w:t>
            </w:r>
          </w:p>
        </w:tc>
        <w:tc>
          <w:tcPr>
            <w:tcW w:w="1659" w:type="dxa"/>
            <w:tcBorders>
              <w:top w:val="nil"/>
              <w:left w:val="nil"/>
              <w:bottom w:val="nil"/>
              <w:right w:val="nil"/>
            </w:tcBorders>
            <w:shd w:val="clear" w:color="auto" w:fill="auto"/>
            <w:vAlign w:val="center"/>
          </w:tcPr>
          <w:p w14:paraId="6D99D17D">
            <w:pPr>
              <w:widowControl/>
              <w:jc w:val="center"/>
              <w:textAlignment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kern w:val="0"/>
                <w:sz w:val="20"/>
                <w:szCs w:val="20"/>
                <w:lang w:bidi="ar"/>
              </w:rPr>
              <w:t>0.93</w:t>
            </w:r>
          </w:p>
        </w:tc>
        <w:tc>
          <w:tcPr>
            <w:tcW w:w="1659" w:type="dxa"/>
            <w:tcBorders>
              <w:top w:val="nil"/>
              <w:left w:val="nil"/>
              <w:bottom w:val="nil"/>
              <w:right w:val="nil"/>
            </w:tcBorders>
            <w:shd w:val="clear" w:color="auto" w:fill="auto"/>
            <w:vAlign w:val="center"/>
          </w:tcPr>
          <w:p w14:paraId="009DD683">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1</w:t>
            </w:r>
          </w:p>
        </w:tc>
        <w:tc>
          <w:tcPr>
            <w:tcW w:w="1659" w:type="dxa"/>
            <w:tcBorders>
              <w:top w:val="nil"/>
              <w:left w:val="nil"/>
              <w:bottom w:val="nil"/>
              <w:right w:val="nil"/>
            </w:tcBorders>
            <w:shd w:val="clear" w:color="auto" w:fill="auto"/>
            <w:vAlign w:val="center"/>
          </w:tcPr>
          <w:p w14:paraId="05139017">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满足</w:t>
            </w:r>
          </w:p>
        </w:tc>
      </w:tr>
      <w:tr w14:paraId="0A781BBD">
        <w:tblPrEx>
          <w:tblCellMar>
            <w:top w:w="0" w:type="dxa"/>
            <w:left w:w="108" w:type="dxa"/>
            <w:bottom w:w="0" w:type="dxa"/>
            <w:right w:w="108" w:type="dxa"/>
          </w:tblCellMar>
        </w:tblPrEx>
        <w:trPr>
          <w:trHeight w:val="270" w:hRule="atLeast"/>
          <w:jc w:val="center"/>
        </w:trPr>
        <w:tc>
          <w:tcPr>
            <w:tcW w:w="1659" w:type="dxa"/>
            <w:vMerge w:val="continue"/>
            <w:tcBorders>
              <w:left w:val="nil"/>
              <w:right w:val="nil"/>
            </w:tcBorders>
            <w:shd w:val="clear" w:color="auto" w:fill="auto"/>
            <w:vAlign w:val="center"/>
          </w:tcPr>
          <w:p w14:paraId="798F38EE">
            <w:pPr>
              <w:widowControl/>
              <w:jc w:val="center"/>
              <w:textAlignment w:val="center"/>
              <w:rPr>
                <w:rFonts w:ascii="Times New Roman" w:hAnsi="Times New Roman" w:eastAsia="宋体" w:cs="Times New Roman"/>
                <w:i w:val="0"/>
                <w:iCs w:val="0"/>
                <w:color w:val="auto"/>
                <w:kern w:val="0"/>
                <w:sz w:val="20"/>
                <w:szCs w:val="20"/>
                <w:lang w:bidi="ar"/>
              </w:rPr>
            </w:pPr>
          </w:p>
        </w:tc>
        <w:tc>
          <w:tcPr>
            <w:tcW w:w="1659" w:type="dxa"/>
            <w:tcBorders>
              <w:top w:val="nil"/>
              <w:left w:val="nil"/>
              <w:bottom w:val="nil"/>
              <w:right w:val="nil"/>
            </w:tcBorders>
            <w:shd w:val="clear" w:color="auto" w:fill="auto"/>
            <w:vAlign w:val="center"/>
          </w:tcPr>
          <w:p w14:paraId="093A31D4">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lang w:bidi="ar"/>
              </w:rPr>
              <w:t>300</w:t>
            </w:r>
          </w:p>
        </w:tc>
        <w:tc>
          <w:tcPr>
            <w:tcW w:w="1659" w:type="dxa"/>
            <w:tcBorders>
              <w:top w:val="nil"/>
              <w:left w:val="nil"/>
              <w:bottom w:val="nil"/>
              <w:right w:val="nil"/>
            </w:tcBorders>
            <w:shd w:val="clear" w:color="auto" w:fill="auto"/>
            <w:vAlign w:val="center"/>
          </w:tcPr>
          <w:p w14:paraId="18264533">
            <w:pPr>
              <w:widowControl/>
              <w:jc w:val="center"/>
              <w:textAlignment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kern w:val="0"/>
                <w:sz w:val="20"/>
                <w:szCs w:val="20"/>
                <w:lang w:bidi="ar"/>
              </w:rPr>
              <w:t>1.93</w:t>
            </w:r>
          </w:p>
        </w:tc>
        <w:tc>
          <w:tcPr>
            <w:tcW w:w="1659" w:type="dxa"/>
            <w:tcBorders>
              <w:top w:val="nil"/>
              <w:left w:val="nil"/>
              <w:bottom w:val="nil"/>
              <w:right w:val="nil"/>
            </w:tcBorders>
            <w:shd w:val="clear" w:color="auto" w:fill="auto"/>
            <w:vAlign w:val="center"/>
          </w:tcPr>
          <w:p w14:paraId="3270AB64">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1.2</w:t>
            </w:r>
          </w:p>
        </w:tc>
        <w:tc>
          <w:tcPr>
            <w:tcW w:w="1659" w:type="dxa"/>
            <w:tcBorders>
              <w:top w:val="nil"/>
              <w:left w:val="nil"/>
              <w:bottom w:val="nil"/>
              <w:right w:val="nil"/>
            </w:tcBorders>
            <w:shd w:val="clear" w:color="auto" w:fill="auto"/>
            <w:vAlign w:val="center"/>
          </w:tcPr>
          <w:p w14:paraId="5B3FFF34">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不满足</w:t>
            </w:r>
          </w:p>
        </w:tc>
      </w:tr>
      <w:tr w14:paraId="614380AA">
        <w:tblPrEx>
          <w:tblCellMar>
            <w:top w:w="0" w:type="dxa"/>
            <w:left w:w="108" w:type="dxa"/>
            <w:bottom w:w="0" w:type="dxa"/>
            <w:right w:w="108" w:type="dxa"/>
          </w:tblCellMar>
        </w:tblPrEx>
        <w:trPr>
          <w:trHeight w:val="270" w:hRule="atLeast"/>
          <w:jc w:val="center"/>
        </w:trPr>
        <w:tc>
          <w:tcPr>
            <w:tcW w:w="1659" w:type="dxa"/>
            <w:vMerge w:val="continue"/>
            <w:tcBorders>
              <w:left w:val="nil"/>
              <w:bottom w:val="nil"/>
              <w:right w:val="nil"/>
            </w:tcBorders>
            <w:shd w:val="clear" w:color="auto" w:fill="auto"/>
            <w:vAlign w:val="center"/>
          </w:tcPr>
          <w:p w14:paraId="15E898FE">
            <w:pPr>
              <w:widowControl/>
              <w:jc w:val="center"/>
              <w:textAlignment w:val="center"/>
              <w:rPr>
                <w:rFonts w:ascii="Times New Roman" w:hAnsi="Times New Roman" w:eastAsia="宋体" w:cs="Times New Roman"/>
                <w:i w:val="0"/>
                <w:iCs w:val="0"/>
                <w:color w:val="auto"/>
                <w:kern w:val="0"/>
                <w:sz w:val="20"/>
                <w:szCs w:val="20"/>
                <w:lang w:bidi="ar"/>
              </w:rPr>
            </w:pPr>
          </w:p>
        </w:tc>
        <w:tc>
          <w:tcPr>
            <w:tcW w:w="1659" w:type="dxa"/>
            <w:tcBorders>
              <w:top w:val="nil"/>
              <w:left w:val="nil"/>
              <w:bottom w:val="nil"/>
              <w:right w:val="nil"/>
            </w:tcBorders>
            <w:shd w:val="clear" w:color="auto" w:fill="auto"/>
            <w:vAlign w:val="center"/>
          </w:tcPr>
          <w:p w14:paraId="32B121EC">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lang w:bidi="ar"/>
              </w:rPr>
              <w:t>400</w:t>
            </w:r>
          </w:p>
        </w:tc>
        <w:tc>
          <w:tcPr>
            <w:tcW w:w="1659" w:type="dxa"/>
            <w:tcBorders>
              <w:top w:val="nil"/>
              <w:left w:val="nil"/>
              <w:bottom w:val="nil"/>
              <w:right w:val="nil"/>
            </w:tcBorders>
            <w:shd w:val="clear" w:color="auto" w:fill="auto"/>
            <w:vAlign w:val="center"/>
          </w:tcPr>
          <w:p w14:paraId="5C067B69">
            <w:pPr>
              <w:widowControl/>
              <w:jc w:val="center"/>
              <w:textAlignment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kern w:val="0"/>
                <w:sz w:val="20"/>
                <w:szCs w:val="20"/>
                <w:lang w:bidi="ar"/>
              </w:rPr>
              <w:t>6.11</w:t>
            </w:r>
          </w:p>
        </w:tc>
        <w:tc>
          <w:tcPr>
            <w:tcW w:w="1659" w:type="dxa"/>
            <w:tcBorders>
              <w:top w:val="nil"/>
              <w:left w:val="nil"/>
              <w:bottom w:val="nil"/>
              <w:right w:val="nil"/>
            </w:tcBorders>
            <w:shd w:val="clear" w:color="auto" w:fill="auto"/>
            <w:vAlign w:val="center"/>
          </w:tcPr>
          <w:p w14:paraId="1CB57A8A">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1</w:t>
            </w:r>
            <w:r>
              <w:rPr>
                <w:rFonts w:ascii="Times New Roman" w:hAnsi="Times New Roman" w:cs="Times New Roman"/>
                <w:i w:val="0"/>
                <w:iCs w:val="0"/>
                <w:color w:val="auto"/>
                <w:kern w:val="0"/>
                <w:sz w:val="20"/>
                <w:szCs w:val="20"/>
                <w:lang w:bidi="ar"/>
              </w:rPr>
              <w:t>.6</w:t>
            </w:r>
          </w:p>
        </w:tc>
        <w:tc>
          <w:tcPr>
            <w:tcW w:w="1659" w:type="dxa"/>
            <w:tcBorders>
              <w:top w:val="nil"/>
              <w:left w:val="nil"/>
              <w:bottom w:val="nil"/>
              <w:right w:val="nil"/>
            </w:tcBorders>
            <w:shd w:val="clear" w:color="auto" w:fill="auto"/>
            <w:vAlign w:val="center"/>
          </w:tcPr>
          <w:p w14:paraId="0B60D773">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不满足</w:t>
            </w:r>
          </w:p>
        </w:tc>
      </w:tr>
      <w:tr w14:paraId="6F31DF4D">
        <w:tblPrEx>
          <w:tblCellMar>
            <w:top w:w="0" w:type="dxa"/>
            <w:left w:w="108" w:type="dxa"/>
            <w:bottom w:w="0" w:type="dxa"/>
            <w:right w:w="108" w:type="dxa"/>
          </w:tblCellMar>
        </w:tblPrEx>
        <w:trPr>
          <w:trHeight w:val="270" w:hRule="atLeast"/>
          <w:jc w:val="center"/>
        </w:trPr>
        <w:tc>
          <w:tcPr>
            <w:tcW w:w="1659" w:type="dxa"/>
            <w:vMerge w:val="restart"/>
            <w:tcBorders>
              <w:top w:val="nil"/>
              <w:left w:val="nil"/>
              <w:right w:val="nil"/>
            </w:tcBorders>
            <w:shd w:val="clear" w:color="auto" w:fill="auto"/>
            <w:vAlign w:val="center"/>
          </w:tcPr>
          <w:p w14:paraId="1B757124">
            <w:pPr>
              <w:widowControl/>
              <w:jc w:val="center"/>
              <w:textAlignment w:val="center"/>
              <w:rPr>
                <w:rFonts w:ascii="Times New Roman" w:hAnsi="Times New Roman" w:eastAsia="宋体" w:cs="Times New Roman"/>
                <w:i w:val="0"/>
                <w:iCs w:val="0"/>
                <w:color w:val="auto"/>
                <w:kern w:val="0"/>
                <w:sz w:val="20"/>
                <w:szCs w:val="20"/>
                <w:lang w:bidi="ar"/>
              </w:rPr>
            </w:pPr>
            <w:r>
              <w:rPr>
                <w:rFonts w:hint="eastAsia" w:ascii="Times New Roman" w:hAnsi="Times New Roman" w:eastAsia="宋体" w:cs="Times New Roman"/>
                <w:i w:val="0"/>
                <w:iCs w:val="0"/>
                <w:color w:val="auto"/>
                <w:kern w:val="0"/>
                <w:sz w:val="20"/>
                <w:szCs w:val="20"/>
                <w:lang w:bidi="ar"/>
              </w:rPr>
              <w:t>复合Ⅰ型保温免拆模板</w:t>
            </w:r>
          </w:p>
        </w:tc>
        <w:tc>
          <w:tcPr>
            <w:tcW w:w="1659" w:type="dxa"/>
            <w:tcBorders>
              <w:top w:val="nil"/>
              <w:left w:val="nil"/>
              <w:bottom w:val="nil"/>
              <w:right w:val="nil"/>
            </w:tcBorders>
            <w:shd w:val="clear" w:color="auto" w:fill="auto"/>
            <w:vAlign w:val="center"/>
          </w:tcPr>
          <w:p w14:paraId="48C5EC0B">
            <w:pPr>
              <w:widowControl/>
              <w:jc w:val="center"/>
              <w:textAlignment w:val="center"/>
              <w:rPr>
                <w:rFonts w:ascii="Times New Roman" w:hAnsi="Times New Roman" w:eastAsia="宋体"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200</w:t>
            </w:r>
          </w:p>
        </w:tc>
        <w:tc>
          <w:tcPr>
            <w:tcW w:w="1659" w:type="dxa"/>
            <w:tcBorders>
              <w:top w:val="nil"/>
              <w:left w:val="nil"/>
              <w:bottom w:val="nil"/>
              <w:right w:val="nil"/>
            </w:tcBorders>
            <w:shd w:val="clear" w:color="auto" w:fill="auto"/>
            <w:vAlign w:val="center"/>
          </w:tcPr>
          <w:p w14:paraId="091D3BDE">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0.18</w:t>
            </w:r>
          </w:p>
        </w:tc>
        <w:tc>
          <w:tcPr>
            <w:tcW w:w="1659" w:type="dxa"/>
            <w:tcBorders>
              <w:top w:val="nil"/>
              <w:left w:val="nil"/>
              <w:bottom w:val="nil"/>
              <w:right w:val="nil"/>
            </w:tcBorders>
            <w:shd w:val="clear" w:color="auto" w:fill="auto"/>
            <w:vAlign w:val="center"/>
          </w:tcPr>
          <w:p w14:paraId="5317CFD5">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0.8</w:t>
            </w:r>
          </w:p>
        </w:tc>
        <w:tc>
          <w:tcPr>
            <w:tcW w:w="1659" w:type="dxa"/>
            <w:tcBorders>
              <w:top w:val="nil"/>
              <w:left w:val="nil"/>
              <w:bottom w:val="nil"/>
              <w:right w:val="nil"/>
            </w:tcBorders>
            <w:shd w:val="clear" w:color="auto" w:fill="auto"/>
            <w:vAlign w:val="center"/>
          </w:tcPr>
          <w:p w14:paraId="575B68F8">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满足</w:t>
            </w:r>
          </w:p>
        </w:tc>
      </w:tr>
      <w:tr w14:paraId="17C07DFD">
        <w:tblPrEx>
          <w:tblCellMar>
            <w:top w:w="0" w:type="dxa"/>
            <w:left w:w="108" w:type="dxa"/>
            <w:bottom w:w="0" w:type="dxa"/>
            <w:right w:w="108" w:type="dxa"/>
          </w:tblCellMar>
        </w:tblPrEx>
        <w:trPr>
          <w:trHeight w:val="270" w:hRule="atLeast"/>
          <w:jc w:val="center"/>
        </w:trPr>
        <w:tc>
          <w:tcPr>
            <w:tcW w:w="1659" w:type="dxa"/>
            <w:vMerge w:val="continue"/>
            <w:tcBorders>
              <w:left w:val="nil"/>
              <w:right w:val="nil"/>
            </w:tcBorders>
            <w:shd w:val="clear" w:color="auto" w:fill="auto"/>
            <w:vAlign w:val="center"/>
          </w:tcPr>
          <w:p w14:paraId="7C796346">
            <w:pPr>
              <w:widowControl/>
              <w:jc w:val="center"/>
              <w:textAlignment w:val="center"/>
              <w:rPr>
                <w:rFonts w:ascii="Times New Roman" w:hAnsi="Times New Roman" w:eastAsia="宋体" w:cs="Times New Roman"/>
                <w:i w:val="0"/>
                <w:iCs w:val="0"/>
                <w:color w:val="auto"/>
                <w:kern w:val="0"/>
                <w:sz w:val="20"/>
                <w:szCs w:val="20"/>
                <w:lang w:bidi="ar"/>
              </w:rPr>
            </w:pPr>
          </w:p>
        </w:tc>
        <w:tc>
          <w:tcPr>
            <w:tcW w:w="1659" w:type="dxa"/>
            <w:tcBorders>
              <w:top w:val="nil"/>
              <w:left w:val="nil"/>
              <w:bottom w:val="nil"/>
              <w:right w:val="nil"/>
            </w:tcBorders>
            <w:shd w:val="clear" w:color="auto" w:fill="auto"/>
            <w:vAlign w:val="center"/>
          </w:tcPr>
          <w:p w14:paraId="45ACA651">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eastAsia="宋体" w:cs="Times New Roman"/>
                <w:i w:val="0"/>
                <w:iCs w:val="0"/>
                <w:color w:val="auto"/>
                <w:kern w:val="0"/>
                <w:sz w:val="20"/>
                <w:szCs w:val="20"/>
                <w:lang w:bidi="ar"/>
              </w:rPr>
              <w:t>25</w:t>
            </w:r>
            <w:r>
              <w:rPr>
                <w:rFonts w:ascii="Times New Roman" w:hAnsi="Times New Roman" w:cs="Times New Roman"/>
                <w:i w:val="0"/>
                <w:iCs w:val="0"/>
                <w:color w:val="auto"/>
                <w:kern w:val="0"/>
                <w:sz w:val="20"/>
                <w:szCs w:val="20"/>
                <w:lang w:bidi="ar"/>
              </w:rPr>
              <w:t>0</w:t>
            </w:r>
          </w:p>
        </w:tc>
        <w:tc>
          <w:tcPr>
            <w:tcW w:w="1659" w:type="dxa"/>
            <w:tcBorders>
              <w:top w:val="nil"/>
              <w:left w:val="nil"/>
              <w:bottom w:val="nil"/>
              <w:right w:val="nil"/>
            </w:tcBorders>
            <w:shd w:val="clear" w:color="auto" w:fill="auto"/>
            <w:vAlign w:val="center"/>
          </w:tcPr>
          <w:p w14:paraId="0882FC81">
            <w:pPr>
              <w:widowControl/>
              <w:jc w:val="center"/>
              <w:textAlignment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kern w:val="0"/>
                <w:sz w:val="20"/>
                <w:szCs w:val="20"/>
                <w:lang w:bidi="ar"/>
              </w:rPr>
              <w:t>0.44</w:t>
            </w:r>
          </w:p>
        </w:tc>
        <w:tc>
          <w:tcPr>
            <w:tcW w:w="1659" w:type="dxa"/>
            <w:tcBorders>
              <w:top w:val="nil"/>
              <w:left w:val="nil"/>
              <w:bottom w:val="nil"/>
              <w:right w:val="nil"/>
            </w:tcBorders>
            <w:shd w:val="clear" w:color="auto" w:fill="auto"/>
            <w:vAlign w:val="center"/>
          </w:tcPr>
          <w:p w14:paraId="09B67B60">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1</w:t>
            </w:r>
          </w:p>
        </w:tc>
        <w:tc>
          <w:tcPr>
            <w:tcW w:w="1659" w:type="dxa"/>
            <w:tcBorders>
              <w:top w:val="nil"/>
              <w:left w:val="nil"/>
              <w:bottom w:val="nil"/>
              <w:right w:val="nil"/>
            </w:tcBorders>
            <w:shd w:val="clear" w:color="auto" w:fill="auto"/>
            <w:vAlign w:val="center"/>
          </w:tcPr>
          <w:p w14:paraId="762D66CF">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满足</w:t>
            </w:r>
          </w:p>
        </w:tc>
      </w:tr>
      <w:tr w14:paraId="6D489F8C">
        <w:tblPrEx>
          <w:tblCellMar>
            <w:top w:w="0" w:type="dxa"/>
            <w:left w:w="108" w:type="dxa"/>
            <w:bottom w:w="0" w:type="dxa"/>
            <w:right w:w="108" w:type="dxa"/>
          </w:tblCellMar>
        </w:tblPrEx>
        <w:trPr>
          <w:trHeight w:val="270" w:hRule="atLeast"/>
          <w:jc w:val="center"/>
        </w:trPr>
        <w:tc>
          <w:tcPr>
            <w:tcW w:w="1659" w:type="dxa"/>
            <w:vMerge w:val="continue"/>
            <w:tcBorders>
              <w:left w:val="nil"/>
              <w:right w:val="nil"/>
            </w:tcBorders>
            <w:shd w:val="clear" w:color="auto" w:fill="auto"/>
            <w:vAlign w:val="center"/>
          </w:tcPr>
          <w:p w14:paraId="2F9258D2">
            <w:pPr>
              <w:widowControl/>
              <w:jc w:val="center"/>
              <w:textAlignment w:val="center"/>
              <w:rPr>
                <w:rFonts w:ascii="Times New Roman" w:hAnsi="Times New Roman" w:eastAsia="宋体" w:cs="Times New Roman"/>
                <w:i w:val="0"/>
                <w:iCs w:val="0"/>
                <w:color w:val="auto"/>
                <w:kern w:val="0"/>
                <w:sz w:val="20"/>
                <w:szCs w:val="20"/>
                <w:lang w:bidi="ar"/>
              </w:rPr>
            </w:pPr>
          </w:p>
        </w:tc>
        <w:tc>
          <w:tcPr>
            <w:tcW w:w="1659" w:type="dxa"/>
            <w:tcBorders>
              <w:top w:val="nil"/>
              <w:left w:val="nil"/>
              <w:bottom w:val="nil"/>
              <w:right w:val="nil"/>
            </w:tcBorders>
            <w:shd w:val="clear" w:color="auto" w:fill="auto"/>
            <w:vAlign w:val="center"/>
          </w:tcPr>
          <w:p w14:paraId="3A5F8205">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cs="Times New Roman"/>
                <w:i w:val="0"/>
                <w:iCs w:val="0"/>
                <w:color w:val="auto"/>
                <w:kern w:val="0"/>
                <w:sz w:val="20"/>
                <w:szCs w:val="20"/>
                <w:lang w:bidi="ar"/>
              </w:rPr>
              <w:t>3</w:t>
            </w:r>
            <w:r>
              <w:rPr>
                <w:rFonts w:ascii="Times New Roman" w:hAnsi="Times New Roman" w:eastAsia="宋体" w:cs="Times New Roman"/>
                <w:i w:val="0"/>
                <w:iCs w:val="0"/>
                <w:color w:val="auto"/>
                <w:kern w:val="0"/>
                <w:sz w:val="20"/>
                <w:szCs w:val="20"/>
                <w:lang w:bidi="ar"/>
              </w:rPr>
              <w:t>00</w:t>
            </w:r>
          </w:p>
        </w:tc>
        <w:tc>
          <w:tcPr>
            <w:tcW w:w="1659" w:type="dxa"/>
            <w:tcBorders>
              <w:top w:val="nil"/>
              <w:left w:val="nil"/>
              <w:bottom w:val="nil"/>
              <w:right w:val="nil"/>
            </w:tcBorders>
            <w:shd w:val="clear" w:color="auto" w:fill="auto"/>
            <w:vAlign w:val="center"/>
          </w:tcPr>
          <w:p w14:paraId="16E26680">
            <w:pPr>
              <w:widowControl/>
              <w:jc w:val="center"/>
              <w:textAlignment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kern w:val="0"/>
                <w:sz w:val="20"/>
                <w:szCs w:val="20"/>
                <w:lang w:bidi="ar"/>
              </w:rPr>
              <w:t>0.92</w:t>
            </w:r>
          </w:p>
        </w:tc>
        <w:tc>
          <w:tcPr>
            <w:tcW w:w="1659" w:type="dxa"/>
            <w:tcBorders>
              <w:top w:val="nil"/>
              <w:left w:val="nil"/>
              <w:bottom w:val="nil"/>
              <w:right w:val="nil"/>
            </w:tcBorders>
            <w:shd w:val="clear" w:color="auto" w:fill="auto"/>
            <w:vAlign w:val="center"/>
          </w:tcPr>
          <w:p w14:paraId="25152A8C">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1.2</w:t>
            </w:r>
          </w:p>
        </w:tc>
        <w:tc>
          <w:tcPr>
            <w:tcW w:w="1659" w:type="dxa"/>
            <w:tcBorders>
              <w:top w:val="nil"/>
              <w:left w:val="nil"/>
              <w:bottom w:val="nil"/>
              <w:right w:val="nil"/>
            </w:tcBorders>
            <w:shd w:val="clear" w:color="auto" w:fill="auto"/>
            <w:vAlign w:val="center"/>
          </w:tcPr>
          <w:p w14:paraId="30CD66C7">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满足</w:t>
            </w:r>
          </w:p>
        </w:tc>
      </w:tr>
      <w:tr w14:paraId="1AB2819E">
        <w:tblPrEx>
          <w:tblCellMar>
            <w:top w:w="0" w:type="dxa"/>
            <w:left w:w="108" w:type="dxa"/>
            <w:bottom w:w="0" w:type="dxa"/>
            <w:right w:w="108" w:type="dxa"/>
          </w:tblCellMar>
        </w:tblPrEx>
        <w:trPr>
          <w:trHeight w:val="270" w:hRule="atLeast"/>
          <w:jc w:val="center"/>
        </w:trPr>
        <w:tc>
          <w:tcPr>
            <w:tcW w:w="1659" w:type="dxa"/>
            <w:vMerge w:val="continue"/>
            <w:tcBorders>
              <w:left w:val="nil"/>
              <w:right w:val="nil"/>
            </w:tcBorders>
            <w:shd w:val="clear" w:color="auto" w:fill="auto"/>
            <w:vAlign w:val="center"/>
          </w:tcPr>
          <w:p w14:paraId="23FEF81C">
            <w:pPr>
              <w:widowControl/>
              <w:jc w:val="center"/>
              <w:textAlignment w:val="center"/>
              <w:rPr>
                <w:rFonts w:ascii="Times New Roman" w:hAnsi="Times New Roman" w:eastAsia="宋体" w:cs="Times New Roman"/>
                <w:i w:val="0"/>
                <w:iCs w:val="0"/>
                <w:color w:val="auto"/>
                <w:kern w:val="0"/>
                <w:sz w:val="20"/>
                <w:szCs w:val="20"/>
                <w:lang w:bidi="ar"/>
              </w:rPr>
            </w:pPr>
          </w:p>
        </w:tc>
        <w:tc>
          <w:tcPr>
            <w:tcW w:w="1659" w:type="dxa"/>
            <w:tcBorders>
              <w:top w:val="nil"/>
              <w:left w:val="nil"/>
              <w:bottom w:val="nil"/>
              <w:right w:val="nil"/>
            </w:tcBorders>
            <w:shd w:val="clear" w:color="auto" w:fill="auto"/>
            <w:vAlign w:val="center"/>
          </w:tcPr>
          <w:p w14:paraId="24EE244D">
            <w:pPr>
              <w:widowControl/>
              <w:jc w:val="center"/>
              <w:textAlignment w:val="center"/>
              <w:rPr>
                <w:rFonts w:ascii="Times New Roman" w:hAnsi="Times New Roman" w:eastAsia="宋体" w:cs="Times New Roman"/>
                <w:i w:val="0"/>
                <w:iCs w:val="0"/>
                <w:color w:val="auto"/>
                <w:sz w:val="20"/>
                <w:szCs w:val="20"/>
              </w:rPr>
            </w:pPr>
            <w:r>
              <w:rPr>
                <w:rFonts w:ascii="Times New Roman" w:hAnsi="Times New Roman" w:cs="Times New Roman"/>
                <w:i w:val="0"/>
                <w:iCs w:val="0"/>
                <w:color w:val="auto"/>
                <w:kern w:val="0"/>
                <w:sz w:val="20"/>
                <w:szCs w:val="20"/>
                <w:lang w:bidi="ar"/>
              </w:rPr>
              <w:t>4</w:t>
            </w:r>
            <w:r>
              <w:rPr>
                <w:rFonts w:ascii="Times New Roman" w:hAnsi="Times New Roman" w:eastAsia="宋体" w:cs="Times New Roman"/>
                <w:i w:val="0"/>
                <w:iCs w:val="0"/>
                <w:color w:val="auto"/>
                <w:kern w:val="0"/>
                <w:sz w:val="20"/>
                <w:szCs w:val="20"/>
                <w:lang w:bidi="ar"/>
              </w:rPr>
              <w:t>00</w:t>
            </w:r>
          </w:p>
        </w:tc>
        <w:tc>
          <w:tcPr>
            <w:tcW w:w="1659" w:type="dxa"/>
            <w:tcBorders>
              <w:top w:val="nil"/>
              <w:left w:val="nil"/>
              <w:bottom w:val="nil"/>
              <w:right w:val="nil"/>
            </w:tcBorders>
            <w:shd w:val="clear" w:color="auto" w:fill="auto"/>
            <w:vAlign w:val="center"/>
          </w:tcPr>
          <w:p w14:paraId="52FAF540">
            <w:pPr>
              <w:widowControl/>
              <w:jc w:val="center"/>
              <w:textAlignment w:val="center"/>
              <w:rPr>
                <w:rFonts w:ascii="Times New Roman" w:hAnsi="Times New Roman" w:eastAsia="宋体" w:cs="Times New Roman"/>
                <w:i w:val="0"/>
                <w:iCs w:val="0"/>
                <w:color w:val="auto"/>
                <w:sz w:val="20"/>
                <w:szCs w:val="20"/>
              </w:rPr>
            </w:pPr>
            <w:r>
              <w:rPr>
                <w:rFonts w:hint="eastAsia" w:ascii="Times New Roman" w:hAnsi="Times New Roman" w:cs="Times New Roman"/>
                <w:i w:val="0"/>
                <w:iCs w:val="0"/>
                <w:color w:val="auto"/>
                <w:kern w:val="0"/>
                <w:sz w:val="20"/>
                <w:szCs w:val="20"/>
                <w:lang w:bidi="ar"/>
              </w:rPr>
              <w:t>2.91</w:t>
            </w:r>
          </w:p>
        </w:tc>
        <w:tc>
          <w:tcPr>
            <w:tcW w:w="1659" w:type="dxa"/>
            <w:tcBorders>
              <w:top w:val="nil"/>
              <w:left w:val="nil"/>
              <w:bottom w:val="nil"/>
              <w:right w:val="nil"/>
            </w:tcBorders>
            <w:shd w:val="clear" w:color="auto" w:fill="auto"/>
            <w:vAlign w:val="center"/>
          </w:tcPr>
          <w:p w14:paraId="4BF39DE3">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1.6</w:t>
            </w:r>
          </w:p>
        </w:tc>
        <w:tc>
          <w:tcPr>
            <w:tcW w:w="1659" w:type="dxa"/>
            <w:tcBorders>
              <w:top w:val="nil"/>
              <w:left w:val="nil"/>
              <w:bottom w:val="nil"/>
              <w:right w:val="nil"/>
            </w:tcBorders>
            <w:shd w:val="clear" w:color="auto" w:fill="auto"/>
            <w:vAlign w:val="center"/>
          </w:tcPr>
          <w:p w14:paraId="4186C972">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不满足</w:t>
            </w:r>
          </w:p>
        </w:tc>
      </w:tr>
      <w:tr w14:paraId="674E3AF2">
        <w:tblPrEx>
          <w:tblCellMar>
            <w:top w:w="0" w:type="dxa"/>
            <w:left w:w="108" w:type="dxa"/>
            <w:bottom w:w="0" w:type="dxa"/>
            <w:right w:w="108" w:type="dxa"/>
          </w:tblCellMar>
        </w:tblPrEx>
        <w:trPr>
          <w:trHeight w:val="90" w:hRule="atLeast"/>
          <w:jc w:val="center"/>
        </w:trPr>
        <w:tc>
          <w:tcPr>
            <w:tcW w:w="1659" w:type="dxa"/>
            <w:vMerge w:val="restart"/>
            <w:tcBorders>
              <w:left w:val="nil"/>
              <w:right w:val="nil"/>
            </w:tcBorders>
            <w:shd w:val="clear" w:color="auto" w:fill="auto"/>
            <w:vAlign w:val="center"/>
          </w:tcPr>
          <w:p w14:paraId="42024635">
            <w:pPr>
              <w:widowControl/>
              <w:jc w:val="center"/>
              <w:textAlignment w:val="center"/>
              <w:rPr>
                <w:rFonts w:ascii="Times New Roman" w:hAnsi="Times New Roman" w:eastAsia="宋体"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保温免拆模板复合</w:t>
            </w:r>
            <w:r>
              <w:rPr>
                <w:rFonts w:hint="eastAsia" w:ascii="Times New Roman" w:hAnsi="Times New Roman" w:cs="Times New Roman"/>
                <w:i w:val="0"/>
                <w:iCs w:val="0"/>
                <w:color w:val="auto"/>
                <w:kern w:val="0"/>
                <w:szCs w:val="21"/>
                <w:lang w:bidi="ar"/>
              </w:rPr>
              <w:t>II</w:t>
            </w:r>
            <w:r>
              <w:rPr>
                <w:rFonts w:ascii="Times New Roman" w:hAnsi="Times New Roman" w:cs="Times New Roman"/>
                <w:i w:val="0"/>
                <w:iCs w:val="0"/>
                <w:color w:val="auto"/>
                <w:kern w:val="0"/>
                <w:sz w:val="20"/>
                <w:szCs w:val="20"/>
                <w:lang w:bidi="ar"/>
              </w:rPr>
              <w:t>型</w:t>
            </w:r>
          </w:p>
        </w:tc>
        <w:tc>
          <w:tcPr>
            <w:tcW w:w="1659" w:type="dxa"/>
            <w:tcBorders>
              <w:top w:val="nil"/>
              <w:left w:val="nil"/>
              <w:bottom w:val="nil"/>
              <w:right w:val="nil"/>
            </w:tcBorders>
            <w:shd w:val="clear" w:color="auto" w:fill="auto"/>
            <w:vAlign w:val="center"/>
          </w:tcPr>
          <w:p w14:paraId="2A4AD530">
            <w:pPr>
              <w:widowControl/>
              <w:jc w:val="center"/>
              <w:textAlignment w:val="center"/>
              <w:rPr>
                <w:rFonts w:ascii="Times New Roman" w:hAnsi="Times New Roman" w:eastAsia="宋体"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160</w:t>
            </w:r>
          </w:p>
        </w:tc>
        <w:tc>
          <w:tcPr>
            <w:tcW w:w="1659" w:type="dxa"/>
            <w:tcBorders>
              <w:top w:val="nil"/>
              <w:left w:val="nil"/>
              <w:bottom w:val="nil"/>
              <w:right w:val="nil"/>
            </w:tcBorders>
            <w:shd w:val="clear" w:color="auto" w:fill="auto"/>
            <w:vAlign w:val="center"/>
          </w:tcPr>
          <w:p w14:paraId="3FF31E3D">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0.39</w:t>
            </w:r>
          </w:p>
        </w:tc>
        <w:tc>
          <w:tcPr>
            <w:tcW w:w="1659" w:type="dxa"/>
            <w:tcBorders>
              <w:top w:val="nil"/>
              <w:left w:val="nil"/>
              <w:bottom w:val="nil"/>
              <w:right w:val="nil"/>
            </w:tcBorders>
            <w:shd w:val="clear" w:color="auto" w:fill="auto"/>
            <w:vAlign w:val="center"/>
          </w:tcPr>
          <w:p w14:paraId="08BC56F1">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0.64</w:t>
            </w:r>
          </w:p>
        </w:tc>
        <w:tc>
          <w:tcPr>
            <w:tcW w:w="1659" w:type="dxa"/>
            <w:tcBorders>
              <w:top w:val="nil"/>
              <w:left w:val="nil"/>
              <w:bottom w:val="nil"/>
              <w:right w:val="nil"/>
            </w:tcBorders>
            <w:shd w:val="clear" w:color="auto" w:fill="auto"/>
            <w:vAlign w:val="center"/>
          </w:tcPr>
          <w:p w14:paraId="06A18B1D">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满足</w:t>
            </w:r>
          </w:p>
        </w:tc>
      </w:tr>
      <w:tr w14:paraId="27F945B6">
        <w:tblPrEx>
          <w:tblCellMar>
            <w:top w:w="0" w:type="dxa"/>
            <w:left w:w="108" w:type="dxa"/>
            <w:bottom w:w="0" w:type="dxa"/>
            <w:right w:w="108" w:type="dxa"/>
          </w:tblCellMar>
        </w:tblPrEx>
        <w:trPr>
          <w:trHeight w:val="270" w:hRule="atLeast"/>
          <w:jc w:val="center"/>
        </w:trPr>
        <w:tc>
          <w:tcPr>
            <w:tcW w:w="1659" w:type="dxa"/>
            <w:vMerge w:val="continue"/>
            <w:tcBorders>
              <w:left w:val="nil"/>
              <w:right w:val="nil"/>
            </w:tcBorders>
            <w:shd w:val="clear" w:color="auto" w:fill="auto"/>
            <w:vAlign w:val="center"/>
          </w:tcPr>
          <w:p w14:paraId="699CB9B4">
            <w:pPr>
              <w:widowControl/>
              <w:jc w:val="center"/>
              <w:textAlignment w:val="center"/>
              <w:rPr>
                <w:rFonts w:ascii="Times New Roman" w:hAnsi="Times New Roman" w:cs="Times New Roman"/>
                <w:i w:val="0"/>
                <w:iCs w:val="0"/>
                <w:color w:val="auto"/>
                <w:kern w:val="0"/>
                <w:sz w:val="20"/>
                <w:szCs w:val="20"/>
                <w:lang w:bidi="ar"/>
              </w:rPr>
            </w:pPr>
          </w:p>
        </w:tc>
        <w:tc>
          <w:tcPr>
            <w:tcW w:w="1659" w:type="dxa"/>
            <w:tcBorders>
              <w:top w:val="nil"/>
              <w:left w:val="nil"/>
              <w:bottom w:val="nil"/>
              <w:right w:val="nil"/>
            </w:tcBorders>
            <w:shd w:val="clear" w:color="auto" w:fill="auto"/>
            <w:vAlign w:val="center"/>
          </w:tcPr>
          <w:p w14:paraId="218427FD">
            <w:pPr>
              <w:widowControl/>
              <w:jc w:val="center"/>
              <w:textAlignment w:val="center"/>
              <w:rPr>
                <w:rFonts w:ascii="Times New Roman" w:hAnsi="Times New Roman" w:eastAsia="宋体"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200</w:t>
            </w:r>
          </w:p>
        </w:tc>
        <w:tc>
          <w:tcPr>
            <w:tcW w:w="1659" w:type="dxa"/>
            <w:tcBorders>
              <w:top w:val="nil"/>
              <w:left w:val="nil"/>
              <w:bottom w:val="nil"/>
              <w:right w:val="nil"/>
            </w:tcBorders>
            <w:shd w:val="clear" w:color="auto" w:fill="auto"/>
            <w:vAlign w:val="center"/>
          </w:tcPr>
          <w:p w14:paraId="28F31057">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0.94</w:t>
            </w:r>
          </w:p>
        </w:tc>
        <w:tc>
          <w:tcPr>
            <w:tcW w:w="1659" w:type="dxa"/>
            <w:tcBorders>
              <w:top w:val="nil"/>
              <w:left w:val="nil"/>
              <w:bottom w:val="nil"/>
              <w:right w:val="nil"/>
            </w:tcBorders>
            <w:shd w:val="clear" w:color="auto" w:fill="auto"/>
            <w:vAlign w:val="center"/>
          </w:tcPr>
          <w:p w14:paraId="707B7169">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0.8</w:t>
            </w:r>
          </w:p>
        </w:tc>
        <w:tc>
          <w:tcPr>
            <w:tcW w:w="1659" w:type="dxa"/>
            <w:tcBorders>
              <w:top w:val="nil"/>
              <w:left w:val="nil"/>
              <w:bottom w:val="nil"/>
              <w:right w:val="nil"/>
            </w:tcBorders>
            <w:shd w:val="clear" w:color="auto" w:fill="auto"/>
            <w:vAlign w:val="center"/>
          </w:tcPr>
          <w:p w14:paraId="044433FB">
            <w:pPr>
              <w:widowControl/>
              <w:jc w:val="center"/>
              <w:textAlignment w:val="center"/>
              <w:rPr>
                <w:rFonts w:ascii="Times New Roman" w:hAnsi="Times New Roman" w:eastAsia="宋体"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不满足</w:t>
            </w:r>
          </w:p>
        </w:tc>
      </w:tr>
      <w:tr w14:paraId="13C45965">
        <w:tblPrEx>
          <w:tblCellMar>
            <w:top w:w="0" w:type="dxa"/>
            <w:left w:w="108" w:type="dxa"/>
            <w:bottom w:w="0" w:type="dxa"/>
            <w:right w:w="108" w:type="dxa"/>
          </w:tblCellMar>
        </w:tblPrEx>
        <w:trPr>
          <w:trHeight w:val="270" w:hRule="atLeast"/>
          <w:jc w:val="center"/>
        </w:trPr>
        <w:tc>
          <w:tcPr>
            <w:tcW w:w="1659" w:type="dxa"/>
            <w:vMerge w:val="continue"/>
            <w:tcBorders>
              <w:left w:val="nil"/>
              <w:right w:val="nil"/>
            </w:tcBorders>
            <w:shd w:val="clear" w:color="auto" w:fill="auto"/>
            <w:vAlign w:val="center"/>
          </w:tcPr>
          <w:p w14:paraId="796A2266">
            <w:pPr>
              <w:widowControl/>
              <w:jc w:val="center"/>
              <w:textAlignment w:val="center"/>
              <w:rPr>
                <w:rFonts w:ascii="Times New Roman" w:hAnsi="Times New Roman" w:eastAsia="宋体" w:cs="Times New Roman"/>
                <w:i w:val="0"/>
                <w:iCs w:val="0"/>
                <w:color w:val="auto"/>
                <w:kern w:val="0"/>
                <w:sz w:val="20"/>
                <w:szCs w:val="20"/>
                <w:lang w:bidi="ar"/>
              </w:rPr>
            </w:pPr>
          </w:p>
        </w:tc>
        <w:tc>
          <w:tcPr>
            <w:tcW w:w="1659" w:type="dxa"/>
            <w:tcBorders>
              <w:top w:val="nil"/>
              <w:left w:val="nil"/>
              <w:bottom w:val="nil"/>
              <w:right w:val="nil"/>
            </w:tcBorders>
            <w:shd w:val="clear" w:color="auto" w:fill="auto"/>
            <w:vAlign w:val="center"/>
          </w:tcPr>
          <w:p w14:paraId="029FAFE7">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eastAsia="宋体" w:cs="Times New Roman"/>
                <w:i w:val="0"/>
                <w:iCs w:val="0"/>
                <w:color w:val="auto"/>
                <w:kern w:val="0"/>
                <w:sz w:val="20"/>
                <w:szCs w:val="20"/>
                <w:lang w:bidi="ar"/>
              </w:rPr>
              <w:t>25</w:t>
            </w:r>
            <w:r>
              <w:rPr>
                <w:rFonts w:ascii="Times New Roman" w:hAnsi="Times New Roman" w:cs="Times New Roman"/>
                <w:i w:val="0"/>
                <w:iCs w:val="0"/>
                <w:color w:val="auto"/>
                <w:kern w:val="0"/>
                <w:sz w:val="20"/>
                <w:szCs w:val="20"/>
                <w:lang w:bidi="ar"/>
              </w:rPr>
              <w:t>0</w:t>
            </w:r>
          </w:p>
        </w:tc>
        <w:tc>
          <w:tcPr>
            <w:tcW w:w="1659" w:type="dxa"/>
            <w:tcBorders>
              <w:top w:val="nil"/>
              <w:left w:val="nil"/>
              <w:bottom w:val="nil"/>
              <w:right w:val="nil"/>
            </w:tcBorders>
            <w:shd w:val="clear" w:color="auto" w:fill="auto"/>
            <w:vAlign w:val="center"/>
          </w:tcPr>
          <w:p w14:paraId="58BADBF7">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2.31</w:t>
            </w:r>
          </w:p>
        </w:tc>
        <w:tc>
          <w:tcPr>
            <w:tcW w:w="1659" w:type="dxa"/>
            <w:tcBorders>
              <w:top w:val="nil"/>
              <w:left w:val="nil"/>
              <w:bottom w:val="nil"/>
              <w:right w:val="nil"/>
            </w:tcBorders>
            <w:shd w:val="clear" w:color="auto" w:fill="auto"/>
            <w:vAlign w:val="center"/>
          </w:tcPr>
          <w:p w14:paraId="4BB0E865">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1</w:t>
            </w:r>
          </w:p>
        </w:tc>
        <w:tc>
          <w:tcPr>
            <w:tcW w:w="1659" w:type="dxa"/>
            <w:tcBorders>
              <w:top w:val="nil"/>
              <w:left w:val="nil"/>
              <w:bottom w:val="nil"/>
              <w:right w:val="nil"/>
            </w:tcBorders>
            <w:shd w:val="clear" w:color="auto" w:fill="auto"/>
            <w:vAlign w:val="center"/>
          </w:tcPr>
          <w:p w14:paraId="59A55FBE">
            <w:pPr>
              <w:widowControl/>
              <w:jc w:val="center"/>
              <w:textAlignment w:val="center"/>
              <w:rPr>
                <w:rFonts w:ascii="Times New Roman" w:hAnsi="Times New Roman" w:eastAsia="宋体"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不满足</w:t>
            </w:r>
          </w:p>
        </w:tc>
      </w:tr>
      <w:tr w14:paraId="6019F996">
        <w:tblPrEx>
          <w:tblCellMar>
            <w:top w:w="0" w:type="dxa"/>
            <w:left w:w="108" w:type="dxa"/>
            <w:bottom w:w="0" w:type="dxa"/>
            <w:right w:w="108" w:type="dxa"/>
          </w:tblCellMar>
        </w:tblPrEx>
        <w:trPr>
          <w:trHeight w:val="270" w:hRule="atLeast"/>
          <w:jc w:val="center"/>
        </w:trPr>
        <w:tc>
          <w:tcPr>
            <w:tcW w:w="1659" w:type="dxa"/>
            <w:vMerge w:val="continue"/>
            <w:tcBorders>
              <w:left w:val="nil"/>
              <w:right w:val="nil"/>
            </w:tcBorders>
            <w:shd w:val="clear" w:color="auto" w:fill="auto"/>
            <w:vAlign w:val="center"/>
          </w:tcPr>
          <w:p w14:paraId="0DA8E5C2">
            <w:pPr>
              <w:widowControl/>
              <w:jc w:val="center"/>
              <w:textAlignment w:val="center"/>
              <w:rPr>
                <w:rFonts w:ascii="Times New Roman" w:hAnsi="Times New Roman" w:eastAsia="宋体" w:cs="Times New Roman"/>
                <w:i w:val="0"/>
                <w:iCs w:val="0"/>
                <w:color w:val="auto"/>
                <w:kern w:val="0"/>
                <w:sz w:val="20"/>
                <w:szCs w:val="20"/>
                <w:lang w:bidi="ar"/>
              </w:rPr>
            </w:pPr>
          </w:p>
        </w:tc>
        <w:tc>
          <w:tcPr>
            <w:tcW w:w="1659" w:type="dxa"/>
            <w:tcBorders>
              <w:top w:val="nil"/>
              <w:left w:val="nil"/>
              <w:bottom w:val="nil"/>
              <w:right w:val="nil"/>
            </w:tcBorders>
            <w:shd w:val="clear" w:color="auto" w:fill="auto"/>
            <w:vAlign w:val="center"/>
          </w:tcPr>
          <w:p w14:paraId="444CB14D">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3</w:t>
            </w:r>
            <w:r>
              <w:rPr>
                <w:rFonts w:ascii="Times New Roman" w:hAnsi="Times New Roman" w:eastAsia="宋体" w:cs="Times New Roman"/>
                <w:i w:val="0"/>
                <w:iCs w:val="0"/>
                <w:color w:val="auto"/>
                <w:kern w:val="0"/>
                <w:sz w:val="20"/>
                <w:szCs w:val="20"/>
                <w:lang w:bidi="ar"/>
              </w:rPr>
              <w:t>00</w:t>
            </w:r>
          </w:p>
        </w:tc>
        <w:tc>
          <w:tcPr>
            <w:tcW w:w="1659" w:type="dxa"/>
            <w:tcBorders>
              <w:top w:val="nil"/>
              <w:left w:val="nil"/>
              <w:bottom w:val="nil"/>
              <w:right w:val="nil"/>
            </w:tcBorders>
            <w:shd w:val="clear" w:color="auto" w:fill="auto"/>
            <w:vAlign w:val="center"/>
          </w:tcPr>
          <w:p w14:paraId="4B814DE1">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4.78</w:t>
            </w:r>
          </w:p>
        </w:tc>
        <w:tc>
          <w:tcPr>
            <w:tcW w:w="1659" w:type="dxa"/>
            <w:tcBorders>
              <w:top w:val="nil"/>
              <w:left w:val="nil"/>
              <w:bottom w:val="nil"/>
              <w:right w:val="nil"/>
            </w:tcBorders>
            <w:shd w:val="clear" w:color="auto" w:fill="auto"/>
            <w:vAlign w:val="center"/>
          </w:tcPr>
          <w:p w14:paraId="48D81198">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1.2</w:t>
            </w:r>
          </w:p>
        </w:tc>
        <w:tc>
          <w:tcPr>
            <w:tcW w:w="1659" w:type="dxa"/>
            <w:tcBorders>
              <w:top w:val="nil"/>
              <w:left w:val="nil"/>
              <w:bottom w:val="nil"/>
              <w:right w:val="nil"/>
            </w:tcBorders>
            <w:shd w:val="clear" w:color="auto" w:fill="auto"/>
            <w:vAlign w:val="center"/>
          </w:tcPr>
          <w:p w14:paraId="27D4090C">
            <w:pPr>
              <w:widowControl/>
              <w:jc w:val="center"/>
              <w:textAlignment w:val="center"/>
              <w:rPr>
                <w:rFonts w:ascii="Times New Roman" w:hAnsi="Times New Roman" w:eastAsia="宋体"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不满足</w:t>
            </w:r>
          </w:p>
        </w:tc>
      </w:tr>
      <w:tr w14:paraId="333E0EF1">
        <w:tblPrEx>
          <w:tblCellMar>
            <w:top w:w="0" w:type="dxa"/>
            <w:left w:w="108" w:type="dxa"/>
            <w:bottom w:w="0" w:type="dxa"/>
            <w:right w:w="108" w:type="dxa"/>
          </w:tblCellMar>
        </w:tblPrEx>
        <w:trPr>
          <w:trHeight w:val="270" w:hRule="atLeast"/>
          <w:jc w:val="center"/>
        </w:trPr>
        <w:tc>
          <w:tcPr>
            <w:tcW w:w="1659" w:type="dxa"/>
            <w:vMerge w:val="continue"/>
            <w:tcBorders>
              <w:left w:val="nil"/>
              <w:bottom w:val="single" w:color="auto" w:sz="4" w:space="0"/>
              <w:right w:val="nil"/>
            </w:tcBorders>
            <w:shd w:val="clear" w:color="auto" w:fill="auto"/>
            <w:vAlign w:val="center"/>
          </w:tcPr>
          <w:p w14:paraId="73A3243F">
            <w:pPr>
              <w:widowControl/>
              <w:jc w:val="center"/>
              <w:textAlignment w:val="center"/>
              <w:rPr>
                <w:rFonts w:ascii="Times New Roman" w:hAnsi="Times New Roman" w:eastAsia="宋体" w:cs="Times New Roman"/>
                <w:i w:val="0"/>
                <w:iCs w:val="0"/>
                <w:color w:val="auto"/>
                <w:kern w:val="0"/>
                <w:sz w:val="20"/>
                <w:szCs w:val="20"/>
                <w:lang w:bidi="ar"/>
              </w:rPr>
            </w:pPr>
          </w:p>
        </w:tc>
        <w:tc>
          <w:tcPr>
            <w:tcW w:w="1659" w:type="dxa"/>
            <w:tcBorders>
              <w:top w:val="nil"/>
              <w:left w:val="nil"/>
              <w:bottom w:val="single" w:color="auto" w:sz="4" w:space="0"/>
              <w:right w:val="nil"/>
            </w:tcBorders>
            <w:shd w:val="clear" w:color="auto" w:fill="auto"/>
            <w:vAlign w:val="center"/>
          </w:tcPr>
          <w:p w14:paraId="4B08B271">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4</w:t>
            </w:r>
            <w:r>
              <w:rPr>
                <w:rFonts w:ascii="Times New Roman" w:hAnsi="Times New Roman" w:eastAsia="宋体" w:cs="Times New Roman"/>
                <w:i w:val="0"/>
                <w:iCs w:val="0"/>
                <w:color w:val="auto"/>
                <w:kern w:val="0"/>
                <w:sz w:val="20"/>
                <w:szCs w:val="20"/>
                <w:lang w:bidi="ar"/>
              </w:rPr>
              <w:t>00</w:t>
            </w:r>
          </w:p>
        </w:tc>
        <w:tc>
          <w:tcPr>
            <w:tcW w:w="1659" w:type="dxa"/>
            <w:tcBorders>
              <w:top w:val="nil"/>
              <w:left w:val="nil"/>
              <w:bottom w:val="single" w:color="auto" w:sz="4" w:space="0"/>
              <w:right w:val="nil"/>
            </w:tcBorders>
            <w:shd w:val="clear" w:color="auto" w:fill="auto"/>
            <w:vAlign w:val="center"/>
          </w:tcPr>
          <w:p w14:paraId="64371819">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15.11</w:t>
            </w:r>
          </w:p>
        </w:tc>
        <w:tc>
          <w:tcPr>
            <w:tcW w:w="1659" w:type="dxa"/>
            <w:tcBorders>
              <w:top w:val="nil"/>
              <w:left w:val="nil"/>
              <w:bottom w:val="single" w:color="auto" w:sz="4" w:space="0"/>
              <w:right w:val="nil"/>
            </w:tcBorders>
            <w:shd w:val="clear" w:color="auto" w:fill="auto"/>
            <w:vAlign w:val="center"/>
          </w:tcPr>
          <w:p w14:paraId="0A80C624">
            <w:pPr>
              <w:widowControl/>
              <w:jc w:val="center"/>
              <w:textAlignment w:val="center"/>
              <w:rPr>
                <w:rFonts w:ascii="Times New Roman" w:hAnsi="Times New Roman" w:cs="Times New Roman"/>
                <w:i w:val="0"/>
                <w:iCs w:val="0"/>
                <w:color w:val="auto"/>
                <w:kern w:val="0"/>
                <w:sz w:val="20"/>
                <w:szCs w:val="20"/>
                <w:lang w:bidi="ar"/>
              </w:rPr>
            </w:pPr>
            <w:r>
              <w:rPr>
                <w:rFonts w:ascii="Times New Roman" w:hAnsi="Times New Roman" w:cs="Times New Roman"/>
                <w:i w:val="0"/>
                <w:iCs w:val="0"/>
                <w:color w:val="auto"/>
                <w:kern w:val="0"/>
                <w:sz w:val="20"/>
                <w:szCs w:val="20"/>
                <w:lang w:bidi="ar"/>
              </w:rPr>
              <w:t>1.6</w:t>
            </w:r>
          </w:p>
        </w:tc>
        <w:tc>
          <w:tcPr>
            <w:tcW w:w="1659" w:type="dxa"/>
            <w:tcBorders>
              <w:top w:val="nil"/>
              <w:left w:val="nil"/>
              <w:bottom w:val="single" w:color="auto" w:sz="4" w:space="0"/>
              <w:right w:val="nil"/>
            </w:tcBorders>
            <w:shd w:val="clear" w:color="auto" w:fill="auto"/>
            <w:vAlign w:val="center"/>
          </w:tcPr>
          <w:p w14:paraId="73C856EA">
            <w:pPr>
              <w:widowControl/>
              <w:jc w:val="center"/>
              <w:textAlignment w:val="center"/>
              <w:rPr>
                <w:rFonts w:ascii="Times New Roman" w:hAnsi="Times New Roman" w:cs="Times New Roman"/>
                <w:i w:val="0"/>
                <w:iCs w:val="0"/>
                <w:color w:val="auto"/>
                <w:kern w:val="0"/>
                <w:sz w:val="20"/>
                <w:szCs w:val="20"/>
                <w:lang w:bidi="ar"/>
              </w:rPr>
            </w:pPr>
            <w:r>
              <w:rPr>
                <w:rFonts w:hint="eastAsia" w:ascii="Times New Roman" w:hAnsi="Times New Roman" w:cs="Times New Roman"/>
                <w:i w:val="0"/>
                <w:iCs w:val="0"/>
                <w:color w:val="auto"/>
                <w:kern w:val="0"/>
                <w:sz w:val="20"/>
                <w:szCs w:val="20"/>
                <w:lang w:bidi="ar"/>
              </w:rPr>
              <w:t>不满足</w:t>
            </w:r>
          </w:p>
        </w:tc>
      </w:tr>
    </w:tbl>
    <w:p w14:paraId="42E94A56">
      <w:pPr>
        <w:pStyle w:val="144"/>
        <w:tabs>
          <w:tab w:val="clear" w:pos="1620"/>
        </w:tabs>
        <w:spacing w:before="312" w:after="312"/>
        <w:rPr>
          <w:i w:val="0"/>
          <w:iCs w:val="0"/>
          <w:color w:val="auto"/>
        </w:rPr>
      </w:pPr>
      <w:bookmarkStart w:id="1770" w:name="_Toc22358"/>
      <w:r>
        <w:rPr>
          <w:rFonts w:hint="eastAsia"/>
          <w:i w:val="0"/>
          <w:iCs w:val="0"/>
          <w:color w:val="auto"/>
        </w:rPr>
        <w:t>6.2 模板计算</w:t>
      </w:r>
      <w:bookmarkEnd w:id="1770"/>
    </w:p>
    <w:p w14:paraId="0727C4F7">
      <w:pPr>
        <w:tabs>
          <w:tab w:val="left" w:pos="3969"/>
        </w:tabs>
        <w:snapToGrid w:val="0"/>
        <w:spacing w:line="300" w:lineRule="auto"/>
        <w:ind w:firstLine="482" w:firstLineChars="200"/>
        <w:rPr>
          <w:rFonts w:hint="eastAsia" w:ascii="楷体" w:hAnsi="楷体" w:eastAsia="楷体" w:cs="黑体"/>
          <w:bCs/>
          <w:i w:val="0"/>
          <w:iCs w:val="0"/>
          <w:color w:val="auto"/>
          <w:kern w:val="0"/>
          <w:sz w:val="24"/>
          <w:u w:val="single"/>
        </w:rPr>
      </w:pPr>
      <w:r>
        <w:rPr>
          <w:rFonts w:hint="eastAsia" w:ascii="Times New Roman" w:hAnsi="Times New Roman" w:eastAsia="宋体"/>
          <w:b/>
          <w:i w:val="0"/>
          <w:iCs w:val="0"/>
          <w:color w:val="auto"/>
          <w:sz w:val="24"/>
          <w:szCs w:val="24"/>
        </w:rPr>
        <w:t>6.2</w:t>
      </w:r>
      <w:r>
        <w:rPr>
          <w:rFonts w:ascii="Times New Roman" w:hAnsi="Times New Roman" w:eastAsia="宋体"/>
          <w:b/>
          <w:i w:val="0"/>
          <w:iCs w:val="0"/>
          <w:color w:val="auto"/>
          <w:sz w:val="24"/>
          <w:szCs w:val="24"/>
        </w:rPr>
        <w:t>.</w:t>
      </w:r>
      <w:r>
        <w:rPr>
          <w:rFonts w:hint="eastAsia" w:ascii="Times New Roman" w:hAnsi="Times New Roman" w:eastAsia="宋体"/>
          <w:b/>
          <w:i w:val="0"/>
          <w:iCs w:val="0"/>
          <w:color w:val="auto"/>
          <w:sz w:val="24"/>
          <w:szCs w:val="24"/>
        </w:rPr>
        <w:t>2</w:t>
      </w:r>
      <w:r>
        <w:rPr>
          <w:rFonts w:hint="eastAsia" w:ascii="楷体" w:hAnsi="楷体" w:eastAsia="楷体" w:cs="黑体"/>
          <w:bCs/>
          <w:i w:val="0"/>
          <w:iCs w:val="0"/>
          <w:color w:val="auto"/>
          <w:kern w:val="0"/>
          <w:sz w:val="24"/>
          <w:u w:val="single"/>
        </w:rPr>
        <w:t>公式(6.2.2-4)为均布荷载作用下的挠度计算公式，公式(6.2.2-5)为均布荷载与集中荷载共同作用下的挠度计算公式。</w:t>
      </w:r>
    </w:p>
    <w:p w14:paraId="681FC6DD">
      <w:pPr>
        <w:spacing w:line="360" w:lineRule="auto"/>
        <w:ind w:firstLine="482" w:firstLineChars="200"/>
        <w:rPr>
          <w:rFonts w:hint="eastAsia" w:ascii="楷体" w:hAnsi="楷体" w:eastAsia="楷体" w:cs="黑体"/>
          <w:bCs/>
          <w:i w:val="0"/>
          <w:iCs w:val="0"/>
          <w:color w:val="auto"/>
          <w:kern w:val="0"/>
          <w:sz w:val="24"/>
          <w:u w:val="single"/>
        </w:rPr>
      </w:pPr>
      <w:r>
        <w:rPr>
          <w:rFonts w:hint="eastAsia" w:ascii="Times New Roman" w:hAnsi="Times New Roman" w:eastAsia="宋体"/>
          <w:b/>
          <w:i w:val="0"/>
          <w:iCs w:val="0"/>
          <w:color w:val="auto"/>
          <w:sz w:val="24"/>
          <w:szCs w:val="24"/>
        </w:rPr>
        <w:t>6.</w:t>
      </w:r>
      <w:r>
        <w:rPr>
          <w:rFonts w:ascii="Times New Roman" w:hAnsi="Times New Roman" w:eastAsia="宋体"/>
          <w:b/>
          <w:i w:val="0"/>
          <w:iCs w:val="0"/>
          <w:color w:val="auto"/>
          <w:sz w:val="24"/>
          <w:szCs w:val="24"/>
        </w:rPr>
        <w:t xml:space="preserve">2.3 </w:t>
      </w:r>
      <w:r>
        <w:rPr>
          <w:rFonts w:hint="eastAsia" w:ascii="楷体" w:hAnsi="楷体" w:eastAsia="楷体" w:cs="楷体"/>
          <w:i w:val="0"/>
          <w:iCs w:val="0"/>
          <w:color w:val="auto"/>
          <w:sz w:val="24"/>
          <w:szCs w:val="24"/>
          <w:u w:val="single"/>
        </w:rPr>
        <w:t>最不利弯矩设计值应从均布荷载产生的弯矩设计值 M1、均布荷载与集中荷载产生的弯矩设计值 M2 和悬臂端产生的弯矩设计值 M3 三者中，选取计算结果较大者；</w:t>
      </w:r>
    </w:p>
    <w:p w14:paraId="180F5B4B">
      <w:pPr>
        <w:spacing w:line="360" w:lineRule="auto"/>
        <w:ind w:firstLine="480" w:firstLineChars="200"/>
        <w:rPr>
          <w:rFonts w:hint="eastAsia" w:ascii="楷体" w:hAnsi="楷体" w:eastAsia="楷体" w:cs="黑体"/>
          <w:bCs/>
          <w:i w:val="0"/>
          <w:iCs w:val="0"/>
          <w:color w:val="auto"/>
          <w:kern w:val="0"/>
          <w:sz w:val="24"/>
          <w:u w:val="single"/>
        </w:rPr>
      </w:pPr>
      <w:r>
        <w:rPr>
          <w:rFonts w:hint="eastAsia" w:ascii="楷体" w:hAnsi="楷体" w:eastAsia="楷体" w:cs="黑体"/>
          <w:bCs/>
          <w:i w:val="0"/>
          <w:iCs w:val="0"/>
          <w:color w:val="auto"/>
          <w:kern w:val="0"/>
          <w:sz w:val="24"/>
          <w:u w:val="single"/>
        </w:rPr>
        <w:t>次、主楞材料抗弯强度设计值可</w:t>
      </w:r>
      <w:r>
        <w:rPr>
          <w:rFonts w:hint="eastAsia" w:ascii="楷体" w:hAnsi="楷体" w:eastAsia="楷体" w:cs="楷体"/>
          <w:i w:val="0"/>
          <w:iCs w:val="0"/>
          <w:color w:val="auto"/>
          <w:sz w:val="24"/>
          <w:szCs w:val="24"/>
          <w:u w:val="single"/>
        </w:rPr>
        <w:t>引用</w:t>
      </w:r>
      <w:r>
        <w:rPr>
          <w:rFonts w:hint="eastAsia" w:ascii="楷体" w:hAnsi="楷体" w:eastAsia="楷体" w:cs="黑体"/>
          <w:bCs/>
          <w:i w:val="0"/>
          <w:iCs w:val="0"/>
          <w:color w:val="auto"/>
          <w:kern w:val="0"/>
          <w:sz w:val="24"/>
          <w:u w:val="single"/>
        </w:rPr>
        <w:t>现行标准《建筑施工模板安全技术规范</w:t>
      </w:r>
      <w:r>
        <w:rPr>
          <w:rFonts w:ascii="楷体" w:hAnsi="楷体" w:eastAsia="楷体" w:cs="黑体"/>
          <w:bCs/>
          <w:i w:val="0"/>
          <w:iCs w:val="0"/>
          <w:color w:val="auto"/>
          <w:kern w:val="0"/>
          <w:sz w:val="24"/>
          <w:u w:val="single"/>
        </w:rPr>
        <w:t>》</w:t>
      </w:r>
      <w:r>
        <w:rPr>
          <w:rFonts w:hint="eastAsia" w:ascii="楷体" w:hAnsi="楷体" w:eastAsia="楷体" w:cs="黑体"/>
          <w:bCs/>
          <w:i w:val="0"/>
          <w:iCs w:val="0"/>
          <w:color w:val="auto"/>
          <w:kern w:val="0"/>
          <w:sz w:val="24"/>
          <w:u w:val="single"/>
        </w:rPr>
        <w:t>JGJ 162-2008附录A。</w:t>
      </w:r>
    </w:p>
    <w:p w14:paraId="4D3791DE">
      <w:pPr>
        <w:spacing w:line="360" w:lineRule="auto"/>
        <w:ind w:firstLine="480" w:firstLineChars="200"/>
        <w:rPr>
          <w:rFonts w:ascii="Times New Roman" w:hAnsi="Times New Roman" w:eastAsia="宋体"/>
          <w:bCs/>
          <w:i w:val="0"/>
          <w:iCs w:val="0"/>
          <w:color w:val="auto"/>
          <w:sz w:val="24"/>
          <w:szCs w:val="24"/>
        </w:rPr>
      </w:pPr>
      <w:r>
        <w:rPr>
          <w:rFonts w:hint="eastAsia" w:ascii="楷体" w:hAnsi="楷体" w:eastAsia="楷体" w:cs="黑体"/>
          <w:bCs/>
          <w:i w:val="0"/>
          <w:iCs w:val="0"/>
          <w:color w:val="auto"/>
          <w:kern w:val="0"/>
          <w:sz w:val="24"/>
          <w:u w:val="single"/>
        </w:rPr>
        <w:t>次、主楞材料抗剪强度设计值可</w:t>
      </w:r>
      <w:r>
        <w:rPr>
          <w:rFonts w:hint="eastAsia" w:ascii="楷体" w:hAnsi="楷体" w:eastAsia="楷体" w:cs="楷体"/>
          <w:i w:val="0"/>
          <w:iCs w:val="0"/>
          <w:color w:val="auto"/>
          <w:sz w:val="24"/>
          <w:szCs w:val="24"/>
          <w:u w:val="single"/>
        </w:rPr>
        <w:t>引用</w:t>
      </w:r>
      <w:r>
        <w:rPr>
          <w:rFonts w:hint="eastAsia" w:ascii="楷体" w:hAnsi="楷体" w:eastAsia="楷体" w:cs="黑体"/>
          <w:bCs/>
          <w:i w:val="0"/>
          <w:iCs w:val="0"/>
          <w:color w:val="auto"/>
          <w:kern w:val="0"/>
          <w:sz w:val="24"/>
          <w:u w:val="single"/>
        </w:rPr>
        <w:t>现行标准《建筑施工模板安全技术规范</w:t>
      </w:r>
      <w:r>
        <w:rPr>
          <w:rFonts w:ascii="楷体" w:hAnsi="楷体" w:eastAsia="楷体" w:cs="黑体"/>
          <w:bCs/>
          <w:i w:val="0"/>
          <w:iCs w:val="0"/>
          <w:color w:val="auto"/>
          <w:kern w:val="0"/>
          <w:sz w:val="24"/>
          <w:u w:val="single"/>
        </w:rPr>
        <w:t>》</w:t>
      </w:r>
      <w:r>
        <w:rPr>
          <w:rFonts w:hint="eastAsia" w:ascii="楷体" w:hAnsi="楷体" w:eastAsia="楷体" w:cs="黑体"/>
          <w:bCs/>
          <w:i w:val="0"/>
          <w:iCs w:val="0"/>
          <w:color w:val="auto"/>
          <w:kern w:val="0"/>
          <w:sz w:val="24"/>
          <w:u w:val="single"/>
        </w:rPr>
        <w:t>JGJ 162-2008附录A。</w:t>
      </w:r>
    </w:p>
    <w:p w14:paraId="6CD24B9F">
      <w:pPr>
        <w:rPr>
          <w:rFonts w:ascii="Times New Roman" w:hAnsi="Times New Roman" w:eastAsia="宋体"/>
          <w:bCs/>
          <w:i w:val="0"/>
          <w:iCs w:val="0"/>
          <w:color w:val="auto"/>
          <w:sz w:val="24"/>
          <w:szCs w:val="24"/>
        </w:rPr>
      </w:pPr>
    </w:p>
    <w:p w14:paraId="71C907E0">
      <w:pPr>
        <w:spacing w:line="360" w:lineRule="auto"/>
        <w:rPr>
          <w:rFonts w:hint="eastAsia" w:ascii="楷体" w:hAnsi="楷体" w:eastAsia="楷体" w:cs="楷体"/>
          <w:i w:val="0"/>
          <w:iCs w:val="0"/>
          <w:color w:val="auto"/>
          <w:sz w:val="24"/>
          <w:szCs w:val="24"/>
          <w:u w:val="single"/>
        </w:rPr>
      </w:pPr>
      <w:r>
        <w:rPr>
          <w:rFonts w:hint="eastAsia" w:ascii="Times New Roman" w:hAnsi="Times New Roman" w:eastAsia="宋体"/>
          <w:b/>
          <w:i w:val="0"/>
          <w:iCs w:val="0"/>
          <w:color w:val="auto"/>
          <w:sz w:val="24"/>
          <w:szCs w:val="24"/>
        </w:rPr>
        <w:t>6.</w:t>
      </w:r>
      <w:r>
        <w:rPr>
          <w:rFonts w:ascii="Times New Roman" w:hAnsi="Times New Roman" w:eastAsia="宋体"/>
          <w:b/>
          <w:i w:val="0"/>
          <w:iCs w:val="0"/>
          <w:color w:val="auto"/>
          <w:sz w:val="24"/>
          <w:szCs w:val="24"/>
        </w:rPr>
        <w:t>2</w:t>
      </w:r>
      <w:r>
        <w:rPr>
          <w:rFonts w:hint="eastAsia" w:ascii="Times New Roman" w:hAnsi="Times New Roman" w:eastAsia="宋体"/>
          <w:b/>
          <w:i w:val="0"/>
          <w:iCs w:val="0"/>
          <w:color w:val="auto"/>
          <w:sz w:val="24"/>
          <w:szCs w:val="24"/>
        </w:rPr>
        <w:t>.</w:t>
      </w:r>
      <w:r>
        <w:rPr>
          <w:rFonts w:ascii="Times New Roman" w:hAnsi="Times New Roman" w:eastAsia="宋体"/>
          <w:b/>
          <w:i w:val="0"/>
          <w:iCs w:val="0"/>
          <w:color w:val="auto"/>
          <w:sz w:val="24"/>
          <w:szCs w:val="24"/>
        </w:rPr>
        <w:t>4</w:t>
      </w:r>
      <w:r>
        <w:rPr>
          <w:rFonts w:hint="eastAsia" w:ascii="楷体" w:hAnsi="楷体" w:eastAsia="楷体" w:cs="楷体"/>
          <w:i w:val="0"/>
          <w:iCs w:val="0"/>
          <w:color w:val="auto"/>
          <w:sz w:val="24"/>
          <w:szCs w:val="24"/>
          <w:u w:val="single"/>
        </w:rPr>
        <w:t>公式6.</w:t>
      </w:r>
      <w:r>
        <w:rPr>
          <w:rFonts w:ascii="楷体" w:hAnsi="楷体" w:eastAsia="楷体" w:cs="楷体"/>
          <w:i w:val="0"/>
          <w:iCs w:val="0"/>
          <w:color w:val="auto"/>
          <w:sz w:val="24"/>
          <w:szCs w:val="24"/>
          <w:u w:val="single"/>
        </w:rPr>
        <w:t>2</w:t>
      </w:r>
      <w:r>
        <w:rPr>
          <w:rFonts w:hint="eastAsia" w:ascii="楷体" w:hAnsi="楷体" w:eastAsia="楷体" w:cs="楷体"/>
          <w:i w:val="0"/>
          <w:iCs w:val="0"/>
          <w:color w:val="auto"/>
          <w:sz w:val="24"/>
          <w:szCs w:val="24"/>
          <w:u w:val="single"/>
        </w:rPr>
        <w:t>.</w:t>
      </w:r>
      <w:r>
        <w:rPr>
          <w:rFonts w:ascii="楷体" w:hAnsi="楷体" w:eastAsia="楷体" w:cs="楷体"/>
          <w:i w:val="0"/>
          <w:iCs w:val="0"/>
          <w:color w:val="auto"/>
          <w:sz w:val="24"/>
          <w:szCs w:val="24"/>
          <w:u w:val="single"/>
        </w:rPr>
        <w:t>4</w:t>
      </w:r>
      <w:r>
        <w:rPr>
          <w:rFonts w:hint="eastAsia" w:ascii="楷体" w:hAnsi="楷体" w:eastAsia="楷体" w:cs="楷体"/>
          <w:i w:val="0"/>
          <w:iCs w:val="0"/>
          <w:color w:val="auto"/>
          <w:sz w:val="24"/>
          <w:szCs w:val="24"/>
          <w:u w:val="single"/>
        </w:rPr>
        <w:t>-1、6.</w:t>
      </w:r>
      <w:r>
        <w:rPr>
          <w:rFonts w:ascii="楷体" w:hAnsi="楷体" w:eastAsia="楷体" w:cs="楷体"/>
          <w:i w:val="0"/>
          <w:iCs w:val="0"/>
          <w:color w:val="auto"/>
          <w:sz w:val="24"/>
          <w:szCs w:val="24"/>
          <w:u w:val="single"/>
        </w:rPr>
        <w:t>2</w:t>
      </w:r>
      <w:r>
        <w:rPr>
          <w:rFonts w:hint="eastAsia" w:ascii="楷体" w:hAnsi="楷体" w:eastAsia="楷体" w:cs="楷体"/>
          <w:i w:val="0"/>
          <w:iCs w:val="0"/>
          <w:color w:val="auto"/>
          <w:sz w:val="24"/>
          <w:szCs w:val="24"/>
          <w:u w:val="single"/>
        </w:rPr>
        <w:t>.</w:t>
      </w:r>
      <w:r>
        <w:rPr>
          <w:rFonts w:ascii="楷体" w:hAnsi="楷体" w:eastAsia="楷体" w:cs="楷体"/>
          <w:i w:val="0"/>
          <w:iCs w:val="0"/>
          <w:color w:val="auto"/>
          <w:sz w:val="24"/>
          <w:szCs w:val="24"/>
          <w:u w:val="single"/>
        </w:rPr>
        <w:t>4</w:t>
      </w:r>
      <w:r>
        <w:rPr>
          <w:rFonts w:hint="eastAsia" w:ascii="楷体" w:hAnsi="楷体" w:eastAsia="楷体" w:cs="楷体"/>
          <w:i w:val="0"/>
          <w:iCs w:val="0"/>
          <w:color w:val="auto"/>
          <w:sz w:val="24"/>
          <w:szCs w:val="24"/>
          <w:u w:val="single"/>
        </w:rPr>
        <w:t>-2、6.</w:t>
      </w:r>
      <w:r>
        <w:rPr>
          <w:rFonts w:ascii="楷体" w:hAnsi="楷体" w:eastAsia="楷体" w:cs="楷体"/>
          <w:i w:val="0"/>
          <w:iCs w:val="0"/>
          <w:color w:val="auto"/>
          <w:sz w:val="24"/>
          <w:szCs w:val="24"/>
          <w:u w:val="single"/>
        </w:rPr>
        <w:t>2</w:t>
      </w:r>
      <w:r>
        <w:rPr>
          <w:rFonts w:hint="eastAsia" w:ascii="楷体" w:hAnsi="楷体" w:eastAsia="楷体" w:cs="楷体"/>
          <w:i w:val="0"/>
          <w:iCs w:val="0"/>
          <w:color w:val="auto"/>
          <w:sz w:val="24"/>
          <w:szCs w:val="24"/>
          <w:u w:val="single"/>
        </w:rPr>
        <w:t>.</w:t>
      </w:r>
      <w:r>
        <w:rPr>
          <w:rFonts w:ascii="楷体" w:hAnsi="楷体" w:eastAsia="楷体" w:cs="楷体"/>
          <w:i w:val="0"/>
          <w:iCs w:val="0"/>
          <w:color w:val="auto"/>
          <w:sz w:val="24"/>
          <w:szCs w:val="24"/>
          <w:u w:val="single"/>
        </w:rPr>
        <w:t>4</w:t>
      </w:r>
      <w:r>
        <w:rPr>
          <w:rFonts w:hint="eastAsia" w:ascii="楷体" w:hAnsi="楷体" w:eastAsia="楷体" w:cs="楷体"/>
          <w:i w:val="0"/>
          <w:iCs w:val="0"/>
          <w:color w:val="auto"/>
          <w:sz w:val="24"/>
          <w:szCs w:val="24"/>
          <w:u w:val="single"/>
        </w:rPr>
        <w:t>-3引用</w:t>
      </w:r>
      <w:r>
        <w:rPr>
          <w:rFonts w:hint="eastAsia" w:ascii="楷体" w:hAnsi="楷体" w:eastAsia="楷体" w:cs="黑体"/>
          <w:bCs/>
          <w:i w:val="0"/>
          <w:iCs w:val="0"/>
          <w:color w:val="auto"/>
          <w:kern w:val="0"/>
          <w:sz w:val="24"/>
          <w:u w:val="single"/>
        </w:rPr>
        <w:t>现行标准《建筑施工模板安全技术规范</w:t>
      </w:r>
      <w:r>
        <w:rPr>
          <w:rFonts w:ascii="楷体" w:hAnsi="楷体" w:eastAsia="楷体" w:cs="黑体"/>
          <w:bCs/>
          <w:i w:val="0"/>
          <w:iCs w:val="0"/>
          <w:color w:val="auto"/>
          <w:kern w:val="0"/>
          <w:sz w:val="24"/>
          <w:u w:val="single"/>
        </w:rPr>
        <w:t>》</w:t>
      </w:r>
      <w:r>
        <w:rPr>
          <w:rFonts w:hint="eastAsia" w:ascii="楷体" w:hAnsi="楷体" w:eastAsia="楷体" w:cs="黑体"/>
          <w:bCs/>
          <w:i w:val="0"/>
          <w:iCs w:val="0"/>
          <w:color w:val="auto"/>
          <w:kern w:val="0"/>
          <w:sz w:val="24"/>
          <w:u w:val="single"/>
        </w:rPr>
        <w:t>JGJ 162-2008.</w:t>
      </w:r>
    </w:p>
    <w:p w14:paraId="639ABEE7">
      <w:pPr>
        <w:spacing w:line="360" w:lineRule="auto"/>
        <w:rPr>
          <w:rFonts w:hint="eastAsia" w:ascii="楷体" w:hAnsi="楷体" w:eastAsia="楷体" w:cs="楷体"/>
          <w:i w:val="0"/>
          <w:iCs w:val="0"/>
          <w:color w:val="auto"/>
          <w:sz w:val="24"/>
          <w:szCs w:val="24"/>
          <w:u w:val="single"/>
        </w:rPr>
      </w:pPr>
      <w:r>
        <w:rPr>
          <w:rFonts w:hint="eastAsia" w:ascii="Times New Roman" w:hAnsi="Times New Roman" w:eastAsia="宋体"/>
          <w:b/>
          <w:i w:val="0"/>
          <w:iCs w:val="0"/>
          <w:color w:val="auto"/>
          <w:sz w:val="24"/>
          <w:szCs w:val="24"/>
        </w:rPr>
        <w:t>6.</w:t>
      </w:r>
      <w:r>
        <w:rPr>
          <w:rFonts w:ascii="Times New Roman" w:hAnsi="Times New Roman" w:eastAsia="宋体"/>
          <w:b/>
          <w:i w:val="0"/>
          <w:iCs w:val="0"/>
          <w:color w:val="auto"/>
          <w:sz w:val="24"/>
          <w:szCs w:val="24"/>
        </w:rPr>
        <w:t>2.5</w:t>
      </w:r>
      <w:r>
        <w:rPr>
          <w:rFonts w:hint="eastAsia" w:ascii="楷体" w:hAnsi="楷体" w:eastAsia="楷体" w:cs="楷体"/>
          <w:i w:val="0"/>
          <w:iCs w:val="0"/>
          <w:color w:val="auto"/>
          <w:sz w:val="24"/>
          <w:szCs w:val="24"/>
          <w:u w:val="single"/>
        </w:rPr>
        <w:t>公式6.</w:t>
      </w:r>
      <w:r>
        <w:rPr>
          <w:rFonts w:ascii="楷体" w:hAnsi="楷体" w:eastAsia="楷体" w:cs="楷体"/>
          <w:i w:val="0"/>
          <w:iCs w:val="0"/>
          <w:color w:val="auto"/>
          <w:sz w:val="24"/>
          <w:szCs w:val="24"/>
          <w:u w:val="single"/>
        </w:rPr>
        <w:t>2</w:t>
      </w:r>
      <w:r>
        <w:rPr>
          <w:rFonts w:hint="eastAsia" w:ascii="楷体" w:hAnsi="楷体" w:eastAsia="楷体" w:cs="楷体"/>
          <w:i w:val="0"/>
          <w:iCs w:val="0"/>
          <w:color w:val="auto"/>
          <w:sz w:val="24"/>
          <w:szCs w:val="24"/>
          <w:u w:val="single"/>
        </w:rPr>
        <w:t>.</w:t>
      </w:r>
      <w:r>
        <w:rPr>
          <w:rFonts w:ascii="楷体" w:hAnsi="楷体" w:eastAsia="楷体" w:cs="楷体"/>
          <w:i w:val="0"/>
          <w:iCs w:val="0"/>
          <w:color w:val="auto"/>
          <w:sz w:val="24"/>
          <w:szCs w:val="24"/>
          <w:u w:val="single"/>
        </w:rPr>
        <w:t>5</w:t>
      </w:r>
      <w:r>
        <w:rPr>
          <w:rFonts w:hint="eastAsia" w:ascii="楷体" w:hAnsi="楷体" w:eastAsia="楷体" w:cs="楷体"/>
          <w:i w:val="0"/>
          <w:iCs w:val="0"/>
          <w:color w:val="auto"/>
          <w:sz w:val="24"/>
          <w:szCs w:val="24"/>
          <w:u w:val="single"/>
        </w:rPr>
        <w:t>-1参考</w:t>
      </w:r>
      <w:r>
        <w:rPr>
          <w:rFonts w:ascii="å®‹ä½“" w:hAnsi="å®‹ä½“" w:eastAsia="å®‹ä½“" w:cs="å®‹ä½“"/>
          <w:i w:val="0"/>
          <w:iCs w:val="0"/>
          <w:color w:val="auto"/>
          <w:sz w:val="24"/>
          <w:szCs w:val="24"/>
          <w:shd w:val="clear" w:color="auto" w:fill="FFFFFF"/>
        </w:rPr>
        <w:t>《混凝土结构设计标准》</w:t>
      </w:r>
      <w:r>
        <w:rPr>
          <w:rFonts w:hint="eastAsia" w:ascii="å®‹ä½“" w:hAnsi="å®‹ä½“" w:eastAsia="宋体" w:cs="å®‹ä½“"/>
          <w:i w:val="0"/>
          <w:iCs w:val="0"/>
          <w:color w:val="auto"/>
          <w:sz w:val="24"/>
          <w:szCs w:val="24"/>
          <w:shd w:val="clear" w:color="auto" w:fill="FFFFFF"/>
          <w:lang w:eastAsia="zh-CN"/>
        </w:rPr>
        <w:t>GB/T 50010-2010[2024年版]</w:t>
      </w:r>
      <w:r>
        <w:rPr>
          <w:rFonts w:hint="eastAsia" w:ascii="楷体" w:hAnsi="楷体" w:eastAsia="楷体" w:cs="黑体"/>
          <w:bCs/>
          <w:i w:val="0"/>
          <w:iCs w:val="0"/>
          <w:color w:val="auto"/>
          <w:kern w:val="0"/>
          <w:sz w:val="24"/>
          <w:u w:val="single"/>
        </w:rPr>
        <w:t>。</w:t>
      </w:r>
    </w:p>
    <w:p w14:paraId="109E78CD">
      <w:pPr>
        <w:rPr>
          <w:rFonts w:ascii="Times New Roman" w:hAnsi="Times New Roman" w:cs="Times New Roman"/>
          <w:i w:val="0"/>
          <w:iCs w:val="0"/>
          <w:color w:val="auto"/>
          <w:sz w:val="28"/>
        </w:rPr>
      </w:pPr>
    </w:p>
    <w:p w14:paraId="27950E3A">
      <w:pPr>
        <w:rPr>
          <w:rFonts w:ascii="Times New Roman" w:hAnsi="Times New Roman" w:cs="Times New Roman"/>
          <w:i w:val="0"/>
          <w:iCs w:val="0"/>
          <w:color w:val="auto"/>
          <w:sz w:val="28"/>
        </w:rPr>
      </w:pPr>
    </w:p>
    <w:p w14:paraId="72B2CF01">
      <w:pPr>
        <w:rPr>
          <w:rFonts w:ascii="Times New Roman" w:hAnsi="Times New Roman" w:cs="Times New Roman"/>
          <w:i w:val="0"/>
          <w:iCs w:val="0"/>
          <w:color w:val="auto"/>
          <w:sz w:val="28"/>
        </w:rPr>
      </w:pPr>
    </w:p>
    <w:p w14:paraId="5B1C98E3">
      <w:pPr>
        <w:rPr>
          <w:rFonts w:ascii="Times New Roman" w:hAnsi="Times New Roman" w:cs="Times New Roman"/>
          <w:i w:val="0"/>
          <w:iCs w:val="0"/>
          <w:color w:val="auto"/>
          <w:sz w:val="28"/>
        </w:rPr>
      </w:pPr>
    </w:p>
    <w:p w14:paraId="6C6F0D90">
      <w:pPr>
        <w:rPr>
          <w:rFonts w:ascii="Times New Roman" w:hAnsi="Times New Roman" w:cs="Times New Roman"/>
          <w:i w:val="0"/>
          <w:iCs w:val="0"/>
          <w:color w:val="auto"/>
          <w:sz w:val="28"/>
        </w:rPr>
      </w:pPr>
    </w:p>
    <w:p w14:paraId="511BA016">
      <w:pPr>
        <w:rPr>
          <w:rFonts w:ascii="Times New Roman" w:hAnsi="Times New Roman" w:cs="Times New Roman"/>
          <w:i w:val="0"/>
          <w:iCs w:val="0"/>
          <w:color w:val="auto"/>
          <w:sz w:val="28"/>
        </w:rPr>
      </w:pPr>
    </w:p>
    <w:p w14:paraId="786E544C">
      <w:pPr>
        <w:rPr>
          <w:rFonts w:ascii="Times New Roman" w:hAnsi="Times New Roman" w:cs="Times New Roman"/>
          <w:i w:val="0"/>
          <w:iCs w:val="0"/>
          <w:color w:val="auto"/>
          <w:sz w:val="28"/>
        </w:rPr>
      </w:pPr>
    </w:p>
    <w:p w14:paraId="583B6635">
      <w:pPr>
        <w:rPr>
          <w:rFonts w:ascii="Times New Roman" w:hAnsi="Times New Roman" w:cs="Times New Roman"/>
          <w:i w:val="0"/>
          <w:iCs w:val="0"/>
          <w:color w:val="auto"/>
          <w:sz w:val="28"/>
        </w:rPr>
      </w:pPr>
    </w:p>
    <w:p w14:paraId="05104957">
      <w:pPr>
        <w:rPr>
          <w:rFonts w:ascii="Times New Roman" w:hAnsi="Times New Roman" w:cs="Times New Roman"/>
          <w:i w:val="0"/>
          <w:iCs w:val="0"/>
          <w:color w:val="auto"/>
          <w:sz w:val="28"/>
        </w:rPr>
      </w:pPr>
    </w:p>
    <w:p w14:paraId="5291F8EB">
      <w:pPr>
        <w:rPr>
          <w:rFonts w:ascii="Times New Roman" w:hAnsi="Times New Roman" w:cs="Times New Roman"/>
          <w:i w:val="0"/>
          <w:iCs w:val="0"/>
          <w:color w:val="auto"/>
          <w:sz w:val="28"/>
        </w:rPr>
      </w:pPr>
    </w:p>
    <w:p w14:paraId="530939A8">
      <w:pPr>
        <w:rPr>
          <w:rFonts w:ascii="Times New Roman" w:hAnsi="Times New Roman" w:cs="Times New Roman"/>
          <w:i w:val="0"/>
          <w:iCs w:val="0"/>
          <w:color w:val="auto"/>
          <w:sz w:val="28"/>
        </w:rPr>
      </w:pPr>
    </w:p>
    <w:p w14:paraId="300C30B2">
      <w:pPr>
        <w:rPr>
          <w:rFonts w:ascii="Times New Roman" w:hAnsi="Times New Roman" w:cs="Times New Roman"/>
          <w:i w:val="0"/>
          <w:iCs w:val="0"/>
          <w:color w:val="auto"/>
          <w:sz w:val="28"/>
        </w:rPr>
      </w:pPr>
    </w:p>
    <w:p w14:paraId="55D14A8F">
      <w:pPr>
        <w:rPr>
          <w:rFonts w:ascii="Times New Roman" w:hAnsi="Times New Roman" w:cs="Times New Roman"/>
          <w:i w:val="0"/>
          <w:iCs w:val="0"/>
          <w:color w:val="auto"/>
          <w:sz w:val="28"/>
        </w:rPr>
      </w:pPr>
    </w:p>
    <w:p w14:paraId="7D695835">
      <w:pPr>
        <w:rPr>
          <w:rFonts w:ascii="Times New Roman" w:hAnsi="Times New Roman" w:cs="Times New Roman"/>
          <w:i w:val="0"/>
          <w:iCs w:val="0"/>
          <w:color w:val="auto"/>
          <w:sz w:val="28"/>
        </w:rPr>
      </w:pPr>
    </w:p>
    <w:p w14:paraId="750A8CA4">
      <w:pPr>
        <w:rPr>
          <w:rFonts w:ascii="Times New Roman" w:hAnsi="Times New Roman" w:cs="Times New Roman"/>
          <w:i w:val="0"/>
          <w:iCs w:val="0"/>
          <w:color w:val="auto"/>
          <w:sz w:val="28"/>
        </w:rPr>
      </w:pPr>
    </w:p>
    <w:p w14:paraId="3A952EF7">
      <w:pPr>
        <w:rPr>
          <w:rFonts w:ascii="Times New Roman" w:hAnsi="Times New Roman" w:cs="Times New Roman"/>
          <w:i w:val="0"/>
          <w:iCs w:val="0"/>
          <w:color w:val="auto"/>
          <w:sz w:val="28"/>
        </w:rPr>
      </w:pPr>
    </w:p>
    <w:p w14:paraId="746B72B8">
      <w:pPr>
        <w:rPr>
          <w:rFonts w:ascii="Times New Roman" w:hAnsi="Times New Roman" w:cs="Times New Roman"/>
          <w:i w:val="0"/>
          <w:iCs w:val="0"/>
          <w:color w:val="auto"/>
          <w:sz w:val="28"/>
        </w:rPr>
      </w:pPr>
    </w:p>
    <w:p w14:paraId="699EADA4">
      <w:pPr>
        <w:pStyle w:val="4"/>
        <w:jc w:val="center"/>
        <w:rPr>
          <w:rFonts w:ascii="Times New Roman" w:hAnsi="Times New Roman" w:cs="Times New Roman"/>
          <w:i w:val="0"/>
          <w:iCs w:val="0"/>
          <w:color w:val="auto"/>
          <w:sz w:val="28"/>
        </w:rPr>
      </w:pPr>
      <w:bookmarkStart w:id="1771" w:name="_Toc23588"/>
      <w:r>
        <w:rPr>
          <w:rFonts w:hint="eastAsia" w:ascii="Times New Roman" w:hAnsi="Times New Roman" w:cs="Times New Roman"/>
          <w:i w:val="0"/>
          <w:iCs w:val="0"/>
          <w:color w:val="auto"/>
          <w:sz w:val="28"/>
        </w:rPr>
        <w:t>7施工</w:t>
      </w:r>
      <w:bookmarkEnd w:id="1771"/>
    </w:p>
    <w:p w14:paraId="66DD2966">
      <w:pPr>
        <w:pStyle w:val="5"/>
        <w:jc w:val="center"/>
        <w:rPr>
          <w:rFonts w:ascii="Times New Roman" w:hAnsi="Times New Roman" w:cs="Times New Roman" w:eastAsiaTheme="minorEastAsia"/>
          <w:i w:val="0"/>
          <w:iCs w:val="0"/>
          <w:color w:val="auto"/>
          <w:sz w:val="24"/>
        </w:rPr>
      </w:pPr>
      <w:bookmarkStart w:id="1772" w:name="_Toc29703"/>
      <w:r>
        <w:rPr>
          <w:rFonts w:hint="eastAsia" w:ascii="Times New Roman" w:hAnsi="Times New Roman" w:cs="Times New Roman" w:eastAsiaTheme="minorEastAsia"/>
          <w:i w:val="0"/>
          <w:iCs w:val="0"/>
          <w:color w:val="auto"/>
          <w:sz w:val="24"/>
        </w:rPr>
        <w:t>7.1 一般规定</w:t>
      </w:r>
      <w:bookmarkEnd w:id="1772"/>
    </w:p>
    <w:p w14:paraId="0A45291F">
      <w:pPr>
        <w:adjustRightInd w:val="0"/>
        <w:snapToGrid w:val="0"/>
        <w:spacing w:line="360" w:lineRule="auto"/>
        <w:ind w:firstLine="482" w:firstLineChars="200"/>
        <w:rPr>
          <w:rFonts w:ascii="Times New Roman" w:hAnsi="Times New Roman" w:eastAsia="楷体" w:cs="楷体"/>
          <w:bCs/>
          <w:i w:val="0"/>
          <w:iCs w:val="0"/>
          <w:color w:val="auto"/>
          <w:sz w:val="24"/>
          <w:szCs w:val="24"/>
          <w:u w:val="single"/>
        </w:rPr>
      </w:pPr>
      <w:r>
        <w:rPr>
          <w:rFonts w:hint="eastAsia" w:ascii="宋体" w:hAnsi="宋体" w:eastAsia="宋体" w:cs="宋体"/>
          <w:b/>
          <w:bCs/>
          <w:i w:val="0"/>
          <w:iCs w:val="0"/>
          <w:color w:val="auto"/>
          <w:kern w:val="0"/>
          <w:sz w:val="24"/>
          <w:szCs w:val="24"/>
        </w:rPr>
        <w:t>7.1.2</w:t>
      </w:r>
      <w:r>
        <w:rPr>
          <w:rFonts w:hint="eastAsia" w:ascii="宋体" w:hAnsi="宋体" w:eastAsia="宋体" w:cs="宋体"/>
          <w:i w:val="0"/>
          <w:iCs w:val="0"/>
          <w:color w:val="auto"/>
          <w:kern w:val="0"/>
          <w:sz w:val="24"/>
          <w:szCs w:val="24"/>
        </w:rPr>
        <w:t xml:space="preserve">  </w:t>
      </w:r>
      <w:r>
        <w:rPr>
          <w:rFonts w:hint="eastAsia" w:ascii="Times New Roman" w:hAnsi="Times New Roman" w:eastAsia="楷体" w:cs="楷体"/>
          <w:bCs/>
          <w:i w:val="0"/>
          <w:iCs w:val="0"/>
          <w:color w:val="auto"/>
          <w:sz w:val="24"/>
          <w:szCs w:val="24"/>
          <w:u w:val="single"/>
        </w:rPr>
        <w:t>保温免拆模板是一种新型的建筑节能与结构一体化技术，应在施工前编制专项施工方案，并经相关单位审批后方可实施。</w:t>
      </w:r>
    </w:p>
    <w:p w14:paraId="7877C2C1">
      <w:pPr>
        <w:adjustRightInd w:val="0"/>
        <w:snapToGrid w:val="0"/>
        <w:spacing w:line="360" w:lineRule="auto"/>
        <w:ind w:firstLine="482" w:firstLineChars="200"/>
        <w:rPr>
          <w:rFonts w:ascii="Times New Roman" w:hAnsi="Times New Roman" w:eastAsia="楷体" w:cs="楷体"/>
          <w:bCs/>
          <w:i w:val="0"/>
          <w:iCs w:val="0"/>
          <w:color w:val="auto"/>
          <w:sz w:val="24"/>
          <w:szCs w:val="24"/>
          <w:u w:val="single"/>
        </w:rPr>
      </w:pPr>
      <w:r>
        <w:rPr>
          <w:rFonts w:hint="eastAsia" w:ascii="宋体" w:hAnsi="宋体" w:eastAsia="宋体" w:cs="宋体"/>
          <w:b/>
          <w:bCs/>
          <w:i w:val="0"/>
          <w:iCs w:val="0"/>
          <w:color w:val="auto"/>
          <w:kern w:val="0"/>
          <w:sz w:val="24"/>
          <w:szCs w:val="24"/>
        </w:rPr>
        <w:t>7.1.4</w:t>
      </w:r>
      <w:r>
        <w:rPr>
          <w:rFonts w:hint="eastAsia" w:ascii="宋体" w:hAnsi="宋体" w:eastAsia="宋体" w:cs="宋体"/>
          <w:i w:val="0"/>
          <w:iCs w:val="0"/>
          <w:color w:val="auto"/>
          <w:kern w:val="0"/>
          <w:sz w:val="24"/>
          <w:szCs w:val="24"/>
        </w:rPr>
        <w:t xml:space="preserve">  </w:t>
      </w:r>
      <w:r>
        <w:rPr>
          <w:rFonts w:hint="eastAsia" w:ascii="Times New Roman" w:hAnsi="Times New Roman" w:eastAsia="楷体" w:cs="楷体"/>
          <w:bCs/>
          <w:i w:val="0"/>
          <w:iCs w:val="0"/>
          <w:color w:val="auto"/>
          <w:sz w:val="24"/>
          <w:szCs w:val="24"/>
          <w:u w:val="single"/>
        </w:rPr>
        <w:t>保温免拆模板是一种新型的建筑节能与结构一体化技术，应在施工前对有关人员进行技术交底和必要的实际操作培训，技术交底和培训均应留有记录。</w:t>
      </w:r>
    </w:p>
    <w:p w14:paraId="086228B1">
      <w:pPr>
        <w:pStyle w:val="5"/>
        <w:jc w:val="center"/>
        <w:rPr>
          <w:rFonts w:ascii="Times New Roman" w:hAnsi="Times New Roman" w:cs="Times New Roman" w:eastAsiaTheme="minorEastAsia"/>
          <w:i w:val="0"/>
          <w:iCs w:val="0"/>
          <w:color w:val="auto"/>
          <w:sz w:val="24"/>
        </w:rPr>
      </w:pPr>
      <w:bookmarkStart w:id="1773" w:name="_Toc25645"/>
      <w:r>
        <w:rPr>
          <w:rFonts w:hint="eastAsia" w:ascii="Times New Roman" w:hAnsi="Times New Roman" w:cs="Times New Roman" w:eastAsiaTheme="minorEastAsia"/>
          <w:i w:val="0"/>
          <w:iCs w:val="0"/>
          <w:color w:val="auto"/>
          <w:sz w:val="24"/>
        </w:rPr>
        <w:t>7.2 进场验收</w:t>
      </w:r>
      <w:bookmarkEnd w:id="1773"/>
    </w:p>
    <w:p w14:paraId="1FBAB251">
      <w:pPr>
        <w:adjustRightInd w:val="0"/>
        <w:snapToGrid w:val="0"/>
        <w:spacing w:line="360" w:lineRule="auto"/>
        <w:ind w:firstLine="482" w:firstLineChars="200"/>
        <w:rPr>
          <w:rFonts w:ascii="Times New Roman" w:hAnsi="Times New Roman" w:eastAsia="楷体" w:cs="楷体"/>
          <w:bCs/>
          <w:i w:val="0"/>
          <w:iCs w:val="0"/>
          <w:color w:val="auto"/>
          <w:sz w:val="24"/>
          <w:szCs w:val="24"/>
          <w:u w:val="single"/>
        </w:rPr>
      </w:pPr>
      <w:r>
        <w:rPr>
          <w:rFonts w:hint="eastAsia" w:ascii="宋体" w:hAnsi="宋体" w:eastAsia="宋体" w:cs="宋体"/>
          <w:b/>
          <w:bCs/>
          <w:i w:val="0"/>
          <w:iCs w:val="0"/>
          <w:color w:val="auto"/>
          <w:kern w:val="0"/>
          <w:sz w:val="24"/>
          <w:szCs w:val="24"/>
        </w:rPr>
        <w:t>7.2.</w:t>
      </w:r>
      <w:r>
        <w:rPr>
          <w:rFonts w:ascii="宋体" w:hAnsi="宋体" w:eastAsia="宋体" w:cs="宋体"/>
          <w:b/>
          <w:bCs/>
          <w:i w:val="0"/>
          <w:iCs w:val="0"/>
          <w:color w:val="auto"/>
          <w:kern w:val="0"/>
          <w:sz w:val="24"/>
          <w:szCs w:val="24"/>
        </w:rPr>
        <w:t>1</w:t>
      </w:r>
      <w:r>
        <w:rPr>
          <w:rFonts w:hint="eastAsia" w:ascii="宋体" w:hAnsi="宋体" w:eastAsia="宋体" w:cs="宋体"/>
          <w:i w:val="0"/>
          <w:iCs w:val="0"/>
          <w:color w:val="auto"/>
          <w:kern w:val="0"/>
          <w:sz w:val="24"/>
          <w:szCs w:val="24"/>
        </w:rPr>
        <w:t xml:space="preserve">  </w:t>
      </w:r>
      <w:r>
        <w:rPr>
          <w:rFonts w:hint="eastAsia" w:ascii="Times New Roman" w:hAnsi="Times New Roman" w:eastAsia="楷体" w:cs="楷体"/>
          <w:bCs/>
          <w:i w:val="0"/>
          <w:iCs w:val="0"/>
          <w:color w:val="auto"/>
          <w:sz w:val="24"/>
          <w:szCs w:val="24"/>
          <w:u w:val="single"/>
        </w:rPr>
        <w:t>该条对免拆复合保温模板外观质量提出基本要求。</w:t>
      </w:r>
    </w:p>
    <w:p w14:paraId="25A653A5">
      <w:pPr>
        <w:adjustRightInd w:val="0"/>
        <w:snapToGrid w:val="0"/>
        <w:spacing w:line="360" w:lineRule="auto"/>
        <w:ind w:firstLine="482" w:firstLineChars="200"/>
        <w:rPr>
          <w:rFonts w:ascii="Times New Roman" w:hAnsi="Times New Roman" w:eastAsia="楷体" w:cs="楷体"/>
          <w:bCs/>
          <w:i w:val="0"/>
          <w:iCs w:val="0"/>
          <w:color w:val="auto"/>
          <w:sz w:val="24"/>
          <w:szCs w:val="24"/>
          <w:u w:val="single"/>
        </w:rPr>
      </w:pPr>
      <w:r>
        <w:rPr>
          <w:rFonts w:hint="eastAsia" w:ascii="宋体" w:hAnsi="宋体" w:eastAsia="宋体" w:cs="宋体"/>
          <w:b/>
          <w:bCs/>
          <w:i w:val="0"/>
          <w:iCs w:val="0"/>
          <w:color w:val="auto"/>
          <w:kern w:val="0"/>
          <w:sz w:val="24"/>
          <w:szCs w:val="24"/>
        </w:rPr>
        <w:t>7.2.</w:t>
      </w:r>
      <w:r>
        <w:rPr>
          <w:rFonts w:ascii="宋体" w:hAnsi="宋体" w:eastAsia="宋体" w:cs="宋体"/>
          <w:b/>
          <w:bCs/>
          <w:i w:val="0"/>
          <w:iCs w:val="0"/>
          <w:color w:val="auto"/>
          <w:kern w:val="0"/>
          <w:sz w:val="24"/>
          <w:szCs w:val="24"/>
        </w:rPr>
        <w:t>2</w:t>
      </w:r>
      <w:r>
        <w:rPr>
          <w:rFonts w:hint="eastAsia" w:ascii="宋体" w:hAnsi="宋体" w:eastAsia="宋体" w:cs="宋体"/>
          <w:i w:val="0"/>
          <w:iCs w:val="0"/>
          <w:color w:val="auto"/>
          <w:kern w:val="0"/>
          <w:sz w:val="24"/>
          <w:szCs w:val="24"/>
        </w:rPr>
        <w:t xml:space="preserve">  </w:t>
      </w:r>
      <w:r>
        <w:rPr>
          <w:rFonts w:hint="eastAsia" w:ascii="Times New Roman" w:hAnsi="Times New Roman" w:eastAsia="楷体" w:cs="楷体"/>
          <w:bCs/>
          <w:i w:val="0"/>
          <w:iCs w:val="0"/>
          <w:color w:val="auto"/>
          <w:sz w:val="24"/>
          <w:szCs w:val="24"/>
          <w:u w:val="single"/>
        </w:rPr>
        <w:t>该条对免拆复合保温模板在运输、存放提出基本要求。</w:t>
      </w:r>
    </w:p>
    <w:p w14:paraId="3CB41F4F">
      <w:pPr>
        <w:widowControl/>
        <w:spacing w:line="360" w:lineRule="auto"/>
        <w:ind w:firstLine="482" w:firstLineChars="200"/>
        <w:jc w:val="left"/>
        <w:rPr>
          <w:rFonts w:ascii="Times New Roman" w:hAnsi="Times New Roman" w:eastAsia="楷体" w:cs="楷体"/>
          <w:bCs/>
          <w:i w:val="0"/>
          <w:iCs w:val="0"/>
          <w:color w:val="auto"/>
          <w:sz w:val="24"/>
          <w:szCs w:val="24"/>
          <w:u w:val="single"/>
        </w:rPr>
      </w:pPr>
      <w:r>
        <w:rPr>
          <w:rFonts w:hint="eastAsia" w:ascii="宋体" w:hAnsi="宋体" w:eastAsia="宋体" w:cs="宋体"/>
          <w:b/>
          <w:bCs/>
          <w:i w:val="0"/>
          <w:iCs w:val="0"/>
          <w:color w:val="auto"/>
          <w:kern w:val="0"/>
          <w:sz w:val="24"/>
          <w:szCs w:val="24"/>
        </w:rPr>
        <w:t>7.2.</w:t>
      </w:r>
      <w:r>
        <w:rPr>
          <w:rFonts w:ascii="宋体" w:hAnsi="宋体" w:eastAsia="宋体" w:cs="宋体"/>
          <w:b/>
          <w:bCs/>
          <w:i w:val="0"/>
          <w:iCs w:val="0"/>
          <w:color w:val="auto"/>
          <w:kern w:val="0"/>
          <w:sz w:val="24"/>
          <w:szCs w:val="24"/>
        </w:rPr>
        <w:t>5</w:t>
      </w:r>
      <w:r>
        <w:rPr>
          <w:rFonts w:hint="eastAsia" w:ascii="宋体" w:hAnsi="宋体" w:eastAsia="宋体" w:cs="宋体"/>
          <w:i w:val="0"/>
          <w:iCs w:val="0"/>
          <w:color w:val="auto"/>
          <w:kern w:val="0"/>
          <w:sz w:val="24"/>
          <w:szCs w:val="24"/>
        </w:rPr>
        <w:t xml:space="preserve">  </w:t>
      </w:r>
      <w:r>
        <w:rPr>
          <w:rFonts w:hint="eastAsia" w:ascii="Times New Roman" w:hAnsi="Times New Roman" w:eastAsia="楷体" w:cs="楷体"/>
          <w:bCs/>
          <w:i w:val="0"/>
          <w:iCs w:val="0"/>
          <w:color w:val="auto"/>
          <w:sz w:val="24"/>
          <w:szCs w:val="24"/>
          <w:u w:val="single"/>
        </w:rPr>
        <w:t>本条列出了保温免拆模板进场复验的具体项目。性能指标要求和试验方法应符合本规程4.1.5条的规定。</w:t>
      </w:r>
    </w:p>
    <w:p w14:paraId="05C3093B">
      <w:pPr>
        <w:pStyle w:val="5"/>
        <w:jc w:val="center"/>
        <w:rPr>
          <w:rFonts w:ascii="Times New Roman" w:hAnsi="Times New Roman" w:cs="Times New Roman" w:eastAsiaTheme="minorEastAsia"/>
          <w:i w:val="0"/>
          <w:iCs w:val="0"/>
          <w:color w:val="auto"/>
          <w:sz w:val="24"/>
        </w:rPr>
      </w:pPr>
      <w:bookmarkStart w:id="1774" w:name="_Toc2746"/>
      <w:r>
        <w:rPr>
          <w:rFonts w:hint="eastAsia" w:ascii="Times New Roman" w:hAnsi="Times New Roman" w:cs="Times New Roman" w:eastAsiaTheme="minorEastAsia"/>
          <w:i w:val="0"/>
          <w:iCs w:val="0"/>
          <w:color w:val="auto"/>
          <w:sz w:val="24"/>
        </w:rPr>
        <w:t>7.3 模板施工</w:t>
      </w:r>
      <w:bookmarkEnd w:id="1774"/>
    </w:p>
    <w:p w14:paraId="53C5B770">
      <w:pPr>
        <w:adjustRightInd w:val="0"/>
        <w:snapToGrid w:val="0"/>
        <w:spacing w:line="360" w:lineRule="auto"/>
        <w:ind w:firstLine="482" w:firstLineChars="200"/>
        <w:rPr>
          <w:rFonts w:ascii="Times New Roman" w:hAnsi="Times New Roman" w:eastAsia="楷体" w:cs="楷体"/>
          <w:bCs/>
          <w:i w:val="0"/>
          <w:iCs w:val="0"/>
          <w:color w:val="auto"/>
          <w:sz w:val="24"/>
          <w:szCs w:val="24"/>
          <w:u w:val="single"/>
        </w:rPr>
      </w:pPr>
      <w:r>
        <w:rPr>
          <w:rFonts w:hint="eastAsia" w:ascii="宋体" w:hAnsi="宋体" w:eastAsia="宋体" w:cs="宋体"/>
          <w:b/>
          <w:bCs/>
          <w:i w:val="0"/>
          <w:iCs w:val="0"/>
          <w:color w:val="auto"/>
          <w:kern w:val="0"/>
          <w:sz w:val="24"/>
          <w:szCs w:val="24"/>
        </w:rPr>
        <w:t>7.3.1</w:t>
      </w:r>
      <w:r>
        <w:rPr>
          <w:rFonts w:hint="eastAsia" w:ascii="宋体" w:hAnsi="宋体" w:eastAsia="宋体" w:cs="宋体"/>
          <w:i w:val="0"/>
          <w:iCs w:val="0"/>
          <w:color w:val="auto"/>
          <w:kern w:val="0"/>
          <w:sz w:val="24"/>
          <w:szCs w:val="24"/>
        </w:rPr>
        <w:t xml:space="preserve">  </w:t>
      </w:r>
      <w:r>
        <w:rPr>
          <w:rFonts w:hint="eastAsia" w:ascii="Times New Roman" w:hAnsi="Times New Roman" w:eastAsia="楷体" w:cs="楷体"/>
          <w:bCs/>
          <w:i w:val="0"/>
          <w:iCs w:val="0"/>
          <w:color w:val="auto"/>
          <w:sz w:val="24"/>
          <w:szCs w:val="24"/>
          <w:u w:val="single"/>
        </w:rPr>
        <w:t>该条是根据当前建筑业混凝土梁、柱、墙通常的现浇做法，结合保温免拆模板的特点，确定的施工工序。对于部分保温免拆模板固定困难或拆模后难以保证外墙保温免拆模板的整体平整度时，可在保温免拆模板外侧增加普通模板，以保证其整体平整度。</w:t>
      </w:r>
    </w:p>
    <w:p w14:paraId="4EDBEB13">
      <w:pPr>
        <w:adjustRightInd w:val="0"/>
        <w:snapToGrid w:val="0"/>
        <w:spacing w:line="360" w:lineRule="auto"/>
        <w:ind w:firstLine="482" w:firstLineChars="200"/>
        <w:rPr>
          <w:rFonts w:ascii="Times New Roman" w:hAnsi="Times New Roman" w:eastAsia="楷体" w:cs="楷体"/>
          <w:bCs/>
          <w:i w:val="0"/>
          <w:iCs w:val="0"/>
          <w:color w:val="auto"/>
          <w:sz w:val="24"/>
          <w:szCs w:val="24"/>
          <w:u w:val="single"/>
        </w:rPr>
      </w:pPr>
      <w:r>
        <w:rPr>
          <w:rFonts w:hint="eastAsia" w:ascii="宋体" w:hAnsi="宋体" w:eastAsia="宋体" w:cs="宋体"/>
          <w:b/>
          <w:bCs/>
          <w:i w:val="0"/>
          <w:iCs w:val="0"/>
          <w:color w:val="auto"/>
          <w:kern w:val="0"/>
          <w:sz w:val="24"/>
          <w:szCs w:val="24"/>
        </w:rPr>
        <w:t>7.3.2</w:t>
      </w:r>
      <w:r>
        <w:rPr>
          <w:rFonts w:hint="eastAsia" w:ascii="宋体" w:hAnsi="宋体" w:eastAsia="宋体" w:cs="宋体"/>
          <w:i w:val="0"/>
          <w:iCs w:val="0"/>
          <w:color w:val="auto"/>
          <w:kern w:val="0"/>
          <w:sz w:val="24"/>
          <w:szCs w:val="24"/>
        </w:rPr>
        <w:t xml:space="preserve">  </w:t>
      </w:r>
      <w:r>
        <w:rPr>
          <w:rFonts w:hint="eastAsia" w:ascii="Times New Roman" w:hAnsi="Times New Roman" w:eastAsia="楷体" w:cs="楷体"/>
          <w:bCs/>
          <w:i w:val="0"/>
          <w:iCs w:val="0"/>
          <w:color w:val="auto"/>
          <w:sz w:val="24"/>
          <w:szCs w:val="24"/>
          <w:u w:val="single"/>
        </w:rPr>
        <w:t>该条是要求在施工前根据节能设计要求对保温免拆模板进行设计，绘制模板施工图和节点施工大样图，明确门窗洞口、线条、挑板等部位的施工做法，并满足节能要求。为保证保温免拆模板的强度、刚度及稳定性，确保施工后保温免拆模板的平整度和垂直度，应对免拆保温模板进行设计验算。模板施工图包括模板平面布置配板图、支撑布置图、分块图、组装图、节点大样图等。根据总图对梁、板、柱等尺寸及编号设计出配板图，标出不同型号、尺寸、单块模板平面布置、纵横龙骨规格、数量及排列尺寸、支撑系统的竖向支撑、侧向支撑、横向拉接件的型号、间距等。</w:t>
      </w:r>
    </w:p>
    <w:p w14:paraId="4023BB21">
      <w:pPr>
        <w:adjustRightInd w:val="0"/>
        <w:snapToGrid w:val="0"/>
        <w:spacing w:line="360" w:lineRule="auto"/>
        <w:ind w:firstLine="482" w:firstLineChars="200"/>
        <w:rPr>
          <w:rFonts w:ascii="Times New Roman" w:hAnsi="Times New Roman" w:eastAsia="楷体" w:cs="楷体"/>
          <w:bCs/>
          <w:i w:val="0"/>
          <w:iCs w:val="0"/>
          <w:color w:val="auto"/>
          <w:sz w:val="24"/>
          <w:szCs w:val="24"/>
          <w:u w:val="single"/>
        </w:rPr>
      </w:pPr>
      <w:r>
        <w:rPr>
          <w:rFonts w:hint="eastAsia" w:ascii="宋体" w:hAnsi="宋体" w:eastAsia="宋体" w:cs="宋体"/>
          <w:b/>
          <w:bCs/>
          <w:i w:val="0"/>
          <w:iCs w:val="0"/>
          <w:color w:val="auto"/>
          <w:kern w:val="0"/>
          <w:sz w:val="24"/>
          <w:szCs w:val="24"/>
        </w:rPr>
        <w:t>7.3.4~7.3.5</w:t>
      </w:r>
      <w:r>
        <w:rPr>
          <w:rFonts w:hint="eastAsia" w:ascii="Times New Roman" w:hAnsi="Times New Roman" w:eastAsia="楷体" w:cs="楷体"/>
          <w:bCs/>
          <w:i w:val="0"/>
          <w:iCs w:val="0"/>
          <w:color w:val="auto"/>
          <w:sz w:val="24"/>
          <w:szCs w:val="24"/>
          <w:u w:val="single"/>
        </w:rPr>
        <w:t>保温免拆模板安装专用支撑件与现浇墙板钢筋绑扎固定，能够起到施工过程中防止保温免拆模板发生坠落和控制墙板厚度的作用。保温免拆模板安装连接锚固件并附加短钢筋与现浇墙板钢筋绑扎固定，能够起到施工过程中防止保温免拆模板发生坠落的作用，但对于墙板厚度的控制，另需要增设支撑件。</w:t>
      </w:r>
    </w:p>
    <w:p w14:paraId="2C95DBAD">
      <w:pPr>
        <w:adjustRightInd w:val="0"/>
        <w:snapToGrid w:val="0"/>
        <w:spacing w:line="360" w:lineRule="auto"/>
        <w:ind w:firstLine="482" w:firstLineChars="200"/>
        <w:rPr>
          <w:rFonts w:ascii="Times New Roman" w:hAnsi="Times New Roman" w:eastAsia="楷体" w:cs="楷体"/>
          <w:bCs/>
          <w:i w:val="0"/>
          <w:iCs w:val="0"/>
          <w:color w:val="auto"/>
          <w:sz w:val="24"/>
          <w:szCs w:val="24"/>
          <w:u w:val="single"/>
        </w:rPr>
      </w:pPr>
      <w:r>
        <w:rPr>
          <w:rFonts w:hint="eastAsia" w:ascii="宋体" w:hAnsi="宋体" w:eastAsia="宋体" w:cs="宋体"/>
          <w:b/>
          <w:bCs/>
          <w:i w:val="0"/>
          <w:iCs w:val="0"/>
          <w:color w:val="auto"/>
          <w:kern w:val="0"/>
          <w:sz w:val="24"/>
          <w:szCs w:val="24"/>
        </w:rPr>
        <w:t>7.3.</w:t>
      </w:r>
      <w:r>
        <w:rPr>
          <w:rFonts w:ascii="宋体" w:hAnsi="宋体" w:eastAsia="宋体" w:cs="宋体"/>
          <w:b/>
          <w:bCs/>
          <w:i w:val="0"/>
          <w:iCs w:val="0"/>
          <w:color w:val="auto"/>
          <w:kern w:val="0"/>
          <w:sz w:val="24"/>
          <w:szCs w:val="24"/>
        </w:rPr>
        <w:t>6</w:t>
      </w:r>
      <w:r>
        <w:rPr>
          <w:rFonts w:hint="eastAsia" w:ascii="宋体" w:hAnsi="宋体" w:eastAsia="宋体" w:cs="宋体"/>
          <w:i w:val="0"/>
          <w:iCs w:val="0"/>
          <w:color w:val="auto"/>
          <w:kern w:val="0"/>
          <w:sz w:val="24"/>
          <w:szCs w:val="24"/>
        </w:rPr>
        <w:t xml:space="preserve">  </w:t>
      </w:r>
      <w:r>
        <w:rPr>
          <w:rFonts w:hint="eastAsia" w:ascii="Times New Roman" w:hAnsi="Times New Roman" w:eastAsia="楷体" w:cs="楷体"/>
          <w:bCs/>
          <w:i w:val="0"/>
          <w:iCs w:val="0"/>
          <w:color w:val="auto"/>
          <w:sz w:val="24"/>
          <w:szCs w:val="24"/>
          <w:u w:val="single"/>
        </w:rPr>
        <w:t>保温免拆模板为标准定型化产品，施工中所需的保温免拆模板尺寸需要根据图纸设计进行裁割，为了保证裁割尺寸准确，边角齐整，保证安装质量，一般采用厂家提供的切割锯切割。部分切割后的保温免拆模板，可能缺失连接件，此时可采用手枪钻在免拆模板相应位置穿孔，补充安装连接锚固件。</w:t>
      </w:r>
    </w:p>
    <w:p w14:paraId="06578ACE">
      <w:pPr>
        <w:pStyle w:val="4"/>
        <w:jc w:val="center"/>
        <w:rPr>
          <w:rFonts w:ascii="Times New Roman" w:hAnsi="Times New Roman" w:cs="Times New Roman"/>
          <w:i w:val="0"/>
          <w:iCs w:val="0"/>
          <w:color w:val="auto"/>
          <w:sz w:val="28"/>
        </w:rPr>
      </w:pPr>
      <w:bookmarkStart w:id="1775" w:name="_Toc2738"/>
      <w:r>
        <w:rPr>
          <w:rFonts w:hint="eastAsia" w:ascii="Times New Roman" w:hAnsi="Times New Roman" w:cs="Times New Roman"/>
          <w:i w:val="0"/>
          <w:iCs w:val="0"/>
          <w:color w:val="auto"/>
          <w:sz w:val="28"/>
        </w:rPr>
        <w:t>8验收</w:t>
      </w:r>
      <w:bookmarkEnd w:id="1775"/>
    </w:p>
    <w:p w14:paraId="7BB841C3">
      <w:pPr>
        <w:pStyle w:val="5"/>
        <w:jc w:val="center"/>
        <w:rPr>
          <w:rFonts w:ascii="Times New Roman" w:hAnsi="Times New Roman" w:cs="Times New Roman" w:eastAsiaTheme="minorEastAsia"/>
          <w:i w:val="0"/>
          <w:iCs w:val="0"/>
          <w:color w:val="auto"/>
          <w:sz w:val="24"/>
        </w:rPr>
      </w:pPr>
      <w:bookmarkStart w:id="1776" w:name="_Toc14878"/>
      <w:r>
        <w:rPr>
          <w:rFonts w:hint="eastAsia" w:ascii="Times New Roman" w:hAnsi="Times New Roman" w:cs="Times New Roman" w:eastAsiaTheme="minorEastAsia"/>
          <w:i w:val="0"/>
          <w:iCs w:val="0"/>
          <w:color w:val="auto"/>
          <w:sz w:val="24"/>
        </w:rPr>
        <w:t>8.1一般规定</w:t>
      </w:r>
      <w:bookmarkEnd w:id="1776"/>
    </w:p>
    <w:p w14:paraId="3965FDDE">
      <w:pPr>
        <w:widowControl/>
        <w:spacing w:line="360" w:lineRule="auto"/>
        <w:ind w:firstLine="482" w:firstLineChars="200"/>
        <w:jc w:val="left"/>
        <w:rPr>
          <w:rFonts w:hint="eastAsia" w:ascii="楷体" w:hAnsi="楷体" w:eastAsia="楷体" w:cs="楷体"/>
          <w:i w:val="0"/>
          <w:iCs w:val="0"/>
          <w:color w:val="auto"/>
          <w:kern w:val="0"/>
          <w:sz w:val="24"/>
          <w:szCs w:val="24"/>
          <w:u w:val="single"/>
        </w:rPr>
      </w:pPr>
      <w:r>
        <w:rPr>
          <w:rFonts w:hint="eastAsia" w:ascii="宋体" w:hAnsi="宋体" w:eastAsia="宋体" w:cs="宋体"/>
          <w:b/>
          <w:bCs/>
          <w:i w:val="0"/>
          <w:iCs w:val="0"/>
          <w:color w:val="auto"/>
          <w:kern w:val="0"/>
          <w:sz w:val="24"/>
          <w:szCs w:val="24"/>
        </w:rPr>
        <w:t>8.1.1、8.1.2</w:t>
      </w:r>
      <w:r>
        <w:rPr>
          <w:rFonts w:hint="eastAsia" w:ascii="楷体" w:hAnsi="楷体" w:eastAsia="楷体" w:cs="楷体"/>
          <w:i w:val="0"/>
          <w:iCs w:val="0"/>
          <w:color w:val="auto"/>
          <w:kern w:val="0"/>
          <w:sz w:val="24"/>
          <w:szCs w:val="24"/>
          <w:u w:val="single"/>
        </w:rPr>
        <w:t xml:space="preserve"> 保温免拆模板系统工程</w:t>
      </w:r>
      <w:r>
        <w:rPr>
          <w:rFonts w:hint="eastAsia" w:ascii="楷体" w:hAnsi="楷体" w:eastAsia="楷体" w:cs="楷体"/>
          <w:i w:val="0"/>
          <w:iCs w:val="0"/>
          <w:color w:val="auto"/>
          <w:kern w:val="0"/>
          <w:sz w:val="24"/>
          <w:szCs w:val="24"/>
          <w:u w:val="single"/>
          <w:lang w:eastAsia="zh-CN"/>
        </w:rPr>
        <w:t>涉及</w:t>
      </w:r>
      <w:r>
        <w:rPr>
          <w:rFonts w:hint="eastAsia" w:ascii="楷体" w:hAnsi="楷体" w:eastAsia="楷体" w:cs="楷体"/>
          <w:i w:val="0"/>
          <w:iCs w:val="0"/>
          <w:color w:val="auto"/>
          <w:kern w:val="0"/>
          <w:sz w:val="24"/>
          <w:szCs w:val="24"/>
          <w:u w:val="single"/>
        </w:rPr>
        <w:t>主体结构分部的模板分项工程和建筑节能分部的墙体节能分项工程的部分内容。因此，在施工过程中应及时</w:t>
      </w:r>
      <w:r>
        <w:rPr>
          <w:rFonts w:hint="eastAsia" w:ascii="楷体" w:hAnsi="楷体" w:eastAsia="楷体" w:cs="楷体"/>
          <w:i w:val="0"/>
          <w:iCs w:val="0"/>
          <w:color w:val="auto"/>
          <w:kern w:val="0"/>
          <w:sz w:val="24"/>
          <w:szCs w:val="24"/>
          <w:u w:val="single"/>
          <w:lang w:eastAsia="zh-CN"/>
        </w:rPr>
        <w:t>按照</w:t>
      </w:r>
      <w:r>
        <w:rPr>
          <w:rFonts w:hint="eastAsia" w:ascii="楷体" w:hAnsi="楷体" w:eastAsia="楷体" w:cs="楷体"/>
          <w:i w:val="0"/>
          <w:iCs w:val="0"/>
          <w:color w:val="auto"/>
          <w:kern w:val="0"/>
          <w:sz w:val="24"/>
          <w:szCs w:val="24"/>
          <w:u w:val="single"/>
        </w:rPr>
        <w:t>《建筑工程施工质量验收统一标准》GB50300、《混凝土结构工程施工质量验收规范》GB50204、《建筑节能工程施工质量验收标准》GB50411等对材料及施工质量进行验收。</w:t>
      </w:r>
    </w:p>
    <w:p w14:paraId="40CB6022">
      <w:pPr>
        <w:widowControl/>
        <w:spacing w:line="360" w:lineRule="auto"/>
        <w:ind w:left="-5"/>
        <w:jc w:val="left"/>
        <w:rPr>
          <w:rFonts w:ascii="Times New Roman" w:cs="Times New Roman"/>
          <w:i w:val="0"/>
          <w:iCs w:val="0"/>
          <w:color w:val="auto"/>
          <w:sz w:val="24"/>
        </w:rPr>
      </w:pPr>
      <w:r>
        <w:rPr>
          <w:rFonts w:hint="eastAsia" w:ascii="Times New Roman" w:cs="Times New Roman"/>
          <w:b/>
          <w:bCs/>
          <w:i w:val="0"/>
          <w:iCs w:val="0"/>
          <w:color w:val="auto"/>
          <w:sz w:val="24"/>
        </w:rPr>
        <w:t>8.1.3</w:t>
      </w:r>
      <w:r>
        <w:rPr>
          <w:rFonts w:hint="eastAsia" w:ascii="楷体" w:hAnsi="楷体" w:eastAsia="楷体" w:cs="楷体"/>
          <w:i w:val="0"/>
          <w:iCs w:val="0"/>
          <w:color w:val="auto"/>
          <w:kern w:val="0"/>
          <w:sz w:val="24"/>
          <w:szCs w:val="24"/>
          <w:u w:val="single"/>
        </w:rPr>
        <w:t>本条规定在混凝土浇筑前，应对涉及保温免拆模板系统进行隐蔽工程验收的内容。非保温免拆模板、钢筋工程以及后续涉及的保温节能工程的隐蔽工程验收仍应按相关验收规范、标准执行。影像资料包括隐蔽工程全貌和有代表性的局部或部位影像，其分辨率应能够准确表达隐蔽工程情况。影像应作为隐蔽工程验收资料与文字记录资料一同归档保存。当施工中出现本条未列出的内容时，应在施工组织设计、专项施工方案中对隐蔽工程验收内容加以补充。</w:t>
      </w:r>
    </w:p>
    <w:p w14:paraId="15273DC9">
      <w:pPr>
        <w:pStyle w:val="5"/>
        <w:jc w:val="center"/>
        <w:rPr>
          <w:rFonts w:ascii="Times New Roman" w:hAnsi="Times New Roman" w:cs="Times New Roman" w:eastAsiaTheme="minorEastAsia"/>
          <w:i w:val="0"/>
          <w:iCs w:val="0"/>
          <w:color w:val="auto"/>
          <w:sz w:val="24"/>
        </w:rPr>
      </w:pPr>
    </w:p>
    <w:p w14:paraId="0002942F">
      <w:pPr>
        <w:rPr>
          <w:rFonts w:ascii="Times New Roman" w:hAnsi="Times New Roman" w:cs="Times New Roman"/>
          <w:i w:val="0"/>
          <w:iCs w:val="0"/>
          <w:color w:val="auto"/>
          <w:sz w:val="24"/>
        </w:rPr>
      </w:pPr>
    </w:p>
    <w:p w14:paraId="1996A08B">
      <w:pPr>
        <w:rPr>
          <w:rFonts w:ascii="Times New Roman" w:hAnsi="Times New Roman" w:cs="Times New Roman"/>
          <w:i w:val="0"/>
          <w:iCs w:val="0"/>
          <w:color w:val="auto"/>
          <w:sz w:val="24"/>
        </w:rPr>
      </w:pPr>
    </w:p>
    <w:p w14:paraId="62085445">
      <w:pPr>
        <w:pStyle w:val="5"/>
        <w:jc w:val="center"/>
        <w:rPr>
          <w:rFonts w:ascii="Times New Roman" w:hAnsi="Times New Roman" w:cs="Times New Roman" w:eastAsiaTheme="minorEastAsia"/>
          <w:i w:val="0"/>
          <w:iCs w:val="0"/>
          <w:color w:val="auto"/>
          <w:sz w:val="24"/>
        </w:rPr>
      </w:pPr>
      <w:bookmarkStart w:id="1777" w:name="_Toc22740"/>
      <w:r>
        <w:rPr>
          <w:rFonts w:hint="eastAsia" w:ascii="Times New Roman" w:hAnsi="Times New Roman" w:cs="Times New Roman" w:eastAsiaTheme="minorEastAsia"/>
          <w:i w:val="0"/>
          <w:iCs w:val="0"/>
          <w:color w:val="auto"/>
          <w:sz w:val="24"/>
        </w:rPr>
        <w:t>8.2  保温免拆模板安装工程</w:t>
      </w:r>
      <w:bookmarkEnd w:id="1777"/>
    </w:p>
    <w:p w14:paraId="73FB6D12">
      <w:pPr>
        <w:widowControl/>
        <w:spacing w:line="360" w:lineRule="auto"/>
        <w:ind w:left="-5"/>
        <w:jc w:val="center"/>
        <w:rPr>
          <w:rFonts w:ascii="Times New Roman" w:cs="Times New Roman"/>
          <w:i w:val="0"/>
          <w:iCs w:val="0"/>
          <w:color w:val="auto"/>
          <w:sz w:val="24"/>
        </w:rPr>
      </w:pPr>
      <w:r>
        <w:rPr>
          <w:rFonts w:hint="eastAsia" w:ascii="Times New Roman" w:cs="Times New Roman"/>
          <w:i w:val="0"/>
          <w:iCs w:val="0"/>
          <w:color w:val="auto"/>
          <w:sz w:val="24"/>
        </w:rPr>
        <w:t>主控项目</w:t>
      </w:r>
    </w:p>
    <w:p w14:paraId="2C656218">
      <w:pPr>
        <w:widowControl/>
        <w:spacing w:line="360" w:lineRule="auto"/>
        <w:ind w:left="-5"/>
        <w:jc w:val="left"/>
        <w:rPr>
          <w:rFonts w:hint="eastAsia" w:ascii="楷体" w:hAnsi="楷体" w:eastAsia="楷体" w:cs="楷体"/>
          <w:i w:val="0"/>
          <w:iCs w:val="0"/>
          <w:color w:val="auto"/>
          <w:kern w:val="0"/>
          <w:sz w:val="24"/>
          <w:szCs w:val="24"/>
          <w:u w:val="single"/>
        </w:rPr>
      </w:pPr>
      <w:r>
        <w:rPr>
          <w:rFonts w:hint="eastAsia" w:ascii="Times New Roman" w:cs="Times New Roman"/>
          <w:i w:val="0"/>
          <w:iCs w:val="0"/>
          <w:color w:val="auto"/>
          <w:sz w:val="24"/>
        </w:rPr>
        <w:t xml:space="preserve">8.2.2 </w:t>
      </w:r>
      <w:r>
        <w:rPr>
          <w:rFonts w:hint="eastAsia" w:ascii="楷体" w:hAnsi="楷体" w:eastAsia="楷体" w:cs="楷体"/>
          <w:i w:val="0"/>
          <w:iCs w:val="0"/>
          <w:color w:val="auto"/>
          <w:kern w:val="0"/>
          <w:sz w:val="24"/>
          <w:szCs w:val="24"/>
          <w:u w:val="single"/>
        </w:rPr>
        <w:t>保温免拆模板系统的模板及支架的安装质量检查重点是：主、次楞间距及安装方法和固定措施等，以保证模板在安装及浇筑混凝土过程中不发生超出本规程允许的变形。</w:t>
      </w:r>
    </w:p>
    <w:p w14:paraId="15791EEA">
      <w:pPr>
        <w:widowControl/>
        <w:spacing w:line="360" w:lineRule="auto"/>
        <w:ind w:left="-5"/>
        <w:jc w:val="center"/>
        <w:rPr>
          <w:rFonts w:ascii="Times New Roman" w:cs="Times New Roman"/>
          <w:i w:val="0"/>
          <w:iCs w:val="0"/>
          <w:color w:val="auto"/>
          <w:sz w:val="24"/>
        </w:rPr>
      </w:pPr>
      <w:r>
        <w:rPr>
          <w:rFonts w:hint="eastAsia" w:ascii="Times New Roman" w:cs="Times New Roman"/>
          <w:i w:val="0"/>
          <w:iCs w:val="0"/>
          <w:color w:val="auto"/>
          <w:sz w:val="24"/>
        </w:rPr>
        <w:t>一般项目</w:t>
      </w:r>
    </w:p>
    <w:p w14:paraId="2E8EA23C">
      <w:pPr>
        <w:widowControl/>
        <w:spacing w:line="360" w:lineRule="auto"/>
        <w:ind w:left="-5"/>
        <w:jc w:val="left"/>
        <w:rPr>
          <w:rFonts w:ascii="Times New Roman" w:cs="Times New Roman"/>
          <w:i w:val="0"/>
          <w:iCs w:val="0"/>
          <w:color w:val="auto"/>
          <w:sz w:val="24"/>
        </w:rPr>
      </w:pPr>
      <w:r>
        <w:rPr>
          <w:rFonts w:hint="eastAsia" w:ascii="Times New Roman" w:cs="Times New Roman"/>
          <w:i w:val="0"/>
          <w:iCs w:val="0"/>
          <w:color w:val="auto"/>
          <w:sz w:val="24"/>
        </w:rPr>
        <w:t xml:space="preserve">8.2.8 </w:t>
      </w:r>
      <w:r>
        <w:rPr>
          <w:rFonts w:hint="eastAsia" w:ascii="楷体" w:hAnsi="楷体" w:eastAsia="楷体" w:cs="楷体"/>
          <w:i w:val="0"/>
          <w:iCs w:val="0"/>
          <w:color w:val="auto"/>
          <w:kern w:val="0"/>
          <w:sz w:val="24"/>
          <w:szCs w:val="24"/>
          <w:u w:val="single"/>
        </w:rPr>
        <w:t>因保温免拆模板外表面为保温工程的薄抹灰基层，因此，对模板安装的尺寸偏差要求比《混凝土结构工程施工质量验收规范》GB50204中模板安装质量要求高。保温免拆模板安装尺寸允许偏差应按本规程执行。</w:t>
      </w:r>
    </w:p>
    <w:p w14:paraId="622D901C">
      <w:pPr>
        <w:pStyle w:val="5"/>
        <w:jc w:val="center"/>
        <w:rPr>
          <w:rFonts w:ascii="Times New Roman" w:hAnsi="Times New Roman" w:cs="Times New Roman" w:eastAsiaTheme="minorEastAsia"/>
          <w:i w:val="0"/>
          <w:iCs w:val="0"/>
          <w:color w:val="auto"/>
          <w:sz w:val="24"/>
        </w:rPr>
      </w:pPr>
      <w:bookmarkStart w:id="1778" w:name="_Toc1268"/>
      <w:r>
        <w:rPr>
          <w:rFonts w:hint="eastAsia" w:ascii="Times New Roman" w:hAnsi="Times New Roman" w:cs="Times New Roman" w:eastAsiaTheme="minorEastAsia"/>
          <w:i w:val="0"/>
          <w:iCs w:val="0"/>
          <w:color w:val="auto"/>
          <w:sz w:val="24"/>
        </w:rPr>
        <w:t>8.3  保温免拆模板系统节能工程</w:t>
      </w:r>
      <w:bookmarkEnd w:id="1778"/>
    </w:p>
    <w:p w14:paraId="04637E97">
      <w:pPr>
        <w:widowControl/>
        <w:spacing w:line="360" w:lineRule="auto"/>
        <w:jc w:val="left"/>
        <w:rPr>
          <w:i w:val="0"/>
          <w:iCs w:val="0"/>
          <w:color w:val="auto"/>
        </w:rPr>
      </w:pPr>
      <w:r>
        <w:rPr>
          <w:rFonts w:hint="eastAsia" w:ascii="Times New Roman" w:cs="Times New Roman"/>
          <w:b/>
          <w:i w:val="0"/>
          <w:iCs w:val="0"/>
          <w:color w:val="auto"/>
          <w:sz w:val="24"/>
        </w:rPr>
        <w:t>8.3.2</w:t>
      </w:r>
      <w:r>
        <w:rPr>
          <w:rFonts w:hint="eastAsia" w:ascii="楷体" w:hAnsi="楷体" w:eastAsia="楷体" w:cs="楷体"/>
          <w:i w:val="0"/>
          <w:iCs w:val="0"/>
          <w:color w:val="auto"/>
          <w:kern w:val="0"/>
          <w:sz w:val="24"/>
          <w:szCs w:val="24"/>
          <w:u w:val="single"/>
        </w:rPr>
        <w:t>根据保温免拆模板工程的特点，连接锚固件是保证保温板施工质量的重要内容之一，此外，为保证后续薄抹灰工程施工质量，混凝土浇筑完成后，保温板不得有严重变形、翘曲、脱空等缺陷，同时，成型后的保温板垂直度和表面平整度偏差不可过大，如有严重缺陷或偏差过大，应采取技术措施进行处理。因此，本条规定了保温免拆模板保温工程检验批、分项工程验收时，除了《建筑节能工程施工质量验收标准》GB50411规定的内容外，尚应增加上述检查验收项目。</w:t>
      </w: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imesNewRomanPSMT">
    <w:altName w:val="微软雅黑"/>
    <w:panose1 w:val="00000000000000000000"/>
    <w:charset w:val="86"/>
    <w:family w:val="auto"/>
    <w:pitch w:val="default"/>
    <w:sig w:usb0="00000000" w:usb1="00000000" w:usb2="00000010" w:usb3="00000000" w:csb0="00040001"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modern"/>
    <w:pitch w:val="default"/>
    <w:sig w:usb0="800002BF" w:usb1="38CF7CFA" w:usb2="00000016" w:usb3="00000000" w:csb0="00040001" w:csb1="00000000"/>
  </w:font>
  <w:font w:name="华文仿宋">
    <w:altName w:val="仿宋"/>
    <w:panose1 w:val="02010600040101010101"/>
    <w:charset w:val="86"/>
    <w:family w:val="auto"/>
    <w:pitch w:val="default"/>
    <w:sig w:usb0="00000000" w:usb1="00000000" w:usb2="00000000" w:usb3="00000000" w:csb0="0004009F" w:csb1="DFD70000"/>
  </w:font>
  <w:font w:name="TimesNewRomanPS-ItalicMT">
    <w:altName w:val="微软雅黑"/>
    <w:panose1 w:val="00000000000000000000"/>
    <w:charset w:val="86"/>
    <w:family w:val="auto"/>
    <w:pitch w:val="default"/>
    <w:sig w:usb0="00000000" w:usb1="00000000" w:usb2="00000010" w:usb3="00000000" w:csb0="00040000" w:csb1="00000000"/>
  </w:font>
  <w:font w:name="新宋体">
    <w:panose1 w:val="02010609030101010101"/>
    <w:charset w:val="86"/>
    <w:family w:val="modern"/>
    <w:pitch w:val="default"/>
    <w:sig w:usb0="00000283" w:usb1="288F0000" w:usb2="00000006" w:usb3="00000000" w:csb0="00040001" w:csb1="00000000"/>
  </w:font>
  <w:font w:name="å®‹ä½“">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36F3CB">
    <w:pPr>
      <w:pStyle w:val="55"/>
      <w:jc w:val="center"/>
    </w:pPr>
    <w:r>
      <w:fldChar w:fldCharType="begin"/>
    </w:r>
    <w:r>
      <w:instrText xml:space="preserve"> PAGE   \* MERGEFORMAT </w:instrText>
    </w:r>
    <w:r>
      <w:fldChar w:fldCharType="separate"/>
    </w:r>
    <w:r>
      <w:rPr>
        <w:lang w:val="zh-CN"/>
      </w:rPr>
      <w:t>II</w:t>
    </w:r>
    <w:r>
      <w:rPr>
        <w:lang w:val="zh-CN"/>
      </w:rPr>
      <w:fldChar w:fldCharType="end"/>
    </w:r>
  </w:p>
  <w:p w14:paraId="2142B785">
    <w:pPr>
      <w:pStyle w:val="5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450506">
    <w:pPr>
      <w:pStyle w:val="5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5D29D7">
    <w:pPr>
      <w:pStyle w:val="5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2" name="文本框 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D039B0">
                          <w:pPr>
                            <w:pStyle w:val="5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tfTTAtAgAAVwQAAA4AAABkcnMvZTJvRG9jLnhtbK1UzY7TMBC+I/EO&#10;lu80aRFL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dUK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tfTTAtAgAAVwQAAA4AAAAAAAAAAQAgAAAAHwEAAGRycy9lMm9Eb2MueG1sUEsFBgAAAAAG&#10;AAYAWQEAAL4FAAAAAA==&#10;">
              <v:fill on="f" focussize="0,0"/>
              <v:stroke on="f" weight="0.5pt"/>
              <v:imagedata o:title=""/>
              <o:lock v:ext="edit" aspectratio="f"/>
              <v:textbox inset="0mm,0mm,0mm,0mm" style="mso-fit-shape-to-text:t;">
                <w:txbxContent>
                  <w:p w14:paraId="40D039B0">
                    <w:pPr>
                      <w:pStyle w:val="5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AAD83C">
    <w:pPr>
      <w:pStyle w:val="55"/>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73" name="文本框 7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8CBB1B">
                          <w:pPr>
                            <w:pStyle w:val="5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MSHnAtAgAAVwQAAA4AAABkcnMvZTJvRG9jLnhtbK1UzY7TMBC+I/EO&#10;lu80aVcs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b56na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IMSHnAtAgAAVwQAAA4AAAAAAAAAAQAgAAAAHwEAAGRycy9lMm9Eb2MueG1sUEsFBgAAAAAG&#10;AAYAWQEAAL4FAAAAAA==&#10;">
              <v:fill on="f" focussize="0,0"/>
              <v:stroke on="f" weight="0.5pt"/>
              <v:imagedata o:title=""/>
              <o:lock v:ext="edit" aspectratio="f"/>
              <v:textbox inset="0mm,0mm,0mm,0mm" style="mso-fit-shape-to-text:t;">
                <w:txbxContent>
                  <w:p w14:paraId="678CBB1B">
                    <w:pPr>
                      <w:pStyle w:val="55"/>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137009"/>
    <w:multiLevelType w:val="singleLevel"/>
    <w:tmpl w:val="B3137009"/>
    <w:lvl w:ilvl="0" w:tentative="0">
      <w:start w:val="1"/>
      <w:numFmt w:val="decimal"/>
      <w:suff w:val="nothing"/>
      <w:lvlText w:val="%1-"/>
      <w:lvlJc w:val="left"/>
    </w:lvl>
  </w:abstractNum>
  <w:abstractNum w:abstractNumId="1">
    <w:nsid w:val="FFFFFF7C"/>
    <w:multiLevelType w:val="singleLevel"/>
    <w:tmpl w:val="FFFFFF7C"/>
    <w:lvl w:ilvl="0" w:tentative="0">
      <w:start w:val="1"/>
      <w:numFmt w:val="decimal"/>
      <w:pStyle w:val="65"/>
      <w:lvlText w:val="%1."/>
      <w:lvlJc w:val="left"/>
      <w:pPr>
        <w:tabs>
          <w:tab w:val="left" w:pos="2040"/>
        </w:tabs>
        <w:ind w:left="2040" w:leftChars="800" w:hanging="360" w:hangingChars="200"/>
      </w:pPr>
    </w:lvl>
  </w:abstractNum>
  <w:abstractNum w:abstractNumId="2">
    <w:nsid w:val="FFFFFF7D"/>
    <w:multiLevelType w:val="singleLevel"/>
    <w:tmpl w:val="FFFFFF7D"/>
    <w:lvl w:ilvl="0" w:tentative="0">
      <w:start w:val="1"/>
      <w:numFmt w:val="decimal"/>
      <w:pStyle w:val="47"/>
      <w:lvlText w:val="%1."/>
      <w:lvlJc w:val="left"/>
      <w:pPr>
        <w:tabs>
          <w:tab w:val="left" w:pos="1620"/>
        </w:tabs>
        <w:ind w:left="1620" w:leftChars="600" w:hanging="360" w:hangingChars="200"/>
      </w:pPr>
    </w:lvl>
  </w:abstractNum>
  <w:abstractNum w:abstractNumId="3">
    <w:nsid w:val="FFFFFF7E"/>
    <w:multiLevelType w:val="singleLevel"/>
    <w:tmpl w:val="FFFFFF7E"/>
    <w:lvl w:ilvl="0" w:tentative="0">
      <w:start w:val="1"/>
      <w:numFmt w:val="decimal"/>
      <w:pStyle w:val="36"/>
      <w:lvlText w:val="%1."/>
      <w:lvlJc w:val="left"/>
      <w:pPr>
        <w:tabs>
          <w:tab w:val="left" w:pos="1200"/>
        </w:tabs>
        <w:ind w:left="1200" w:leftChars="400" w:hanging="360" w:hangingChars="200"/>
      </w:pPr>
    </w:lvl>
  </w:abstractNum>
  <w:abstractNum w:abstractNumId="4">
    <w:nsid w:val="FFFFFF7F"/>
    <w:multiLevelType w:val="singleLevel"/>
    <w:tmpl w:val="FFFFFF7F"/>
    <w:lvl w:ilvl="0" w:tentative="0">
      <w:start w:val="1"/>
      <w:numFmt w:val="decimal"/>
      <w:pStyle w:val="15"/>
      <w:lvlText w:val="%1."/>
      <w:lvlJc w:val="left"/>
      <w:pPr>
        <w:tabs>
          <w:tab w:val="left" w:pos="780"/>
        </w:tabs>
        <w:ind w:left="780" w:leftChars="200" w:hanging="360" w:hangingChars="200"/>
      </w:pPr>
    </w:lvl>
  </w:abstractNum>
  <w:abstractNum w:abstractNumId="5">
    <w:nsid w:val="FFFFFF80"/>
    <w:multiLevelType w:val="singleLevel"/>
    <w:tmpl w:val="FFFFFF80"/>
    <w:lvl w:ilvl="0" w:tentative="0">
      <w:start w:val="1"/>
      <w:numFmt w:val="bullet"/>
      <w:pStyle w:val="46"/>
      <w:lvlText w:val=""/>
      <w:lvlJc w:val="left"/>
      <w:pPr>
        <w:tabs>
          <w:tab w:val="left" w:pos="2040"/>
        </w:tabs>
        <w:ind w:left="2040" w:leftChars="800" w:hanging="360" w:hangingChars="200"/>
      </w:pPr>
      <w:rPr>
        <w:rFonts w:hint="default" w:ascii="Wingdings" w:hAnsi="Wingdings"/>
      </w:rPr>
    </w:lvl>
  </w:abstractNum>
  <w:abstractNum w:abstractNumId="6">
    <w:nsid w:val="FFFFFF81"/>
    <w:multiLevelType w:val="singleLevel"/>
    <w:tmpl w:val="FFFFFF81"/>
    <w:lvl w:ilvl="0" w:tentative="0">
      <w:start w:val="1"/>
      <w:numFmt w:val="bullet"/>
      <w:pStyle w:val="18"/>
      <w:lvlText w:val=""/>
      <w:lvlJc w:val="left"/>
      <w:pPr>
        <w:tabs>
          <w:tab w:val="left" w:pos="1620"/>
        </w:tabs>
        <w:ind w:left="1620" w:leftChars="600" w:hanging="360" w:hangingChars="200"/>
      </w:pPr>
      <w:rPr>
        <w:rFonts w:hint="default" w:ascii="Wingdings" w:hAnsi="Wingdings"/>
      </w:rPr>
    </w:lvl>
  </w:abstractNum>
  <w:abstractNum w:abstractNumId="7">
    <w:nsid w:val="FFFFFF82"/>
    <w:multiLevelType w:val="singleLevel"/>
    <w:tmpl w:val="FFFFFF82"/>
    <w:lvl w:ilvl="0" w:tentative="0">
      <w:start w:val="1"/>
      <w:numFmt w:val="bullet"/>
      <w:pStyle w:val="33"/>
      <w:lvlText w:val=""/>
      <w:lvlJc w:val="left"/>
      <w:pPr>
        <w:tabs>
          <w:tab w:val="left" w:pos="1200"/>
        </w:tabs>
        <w:ind w:left="1200" w:leftChars="400" w:hanging="360" w:hangingChars="200"/>
      </w:pPr>
      <w:rPr>
        <w:rFonts w:hint="default" w:ascii="Wingdings" w:hAnsi="Wingdings"/>
      </w:rPr>
    </w:lvl>
  </w:abstractNum>
  <w:abstractNum w:abstractNumId="8">
    <w:nsid w:val="FFFFFF83"/>
    <w:multiLevelType w:val="singleLevel"/>
    <w:tmpl w:val="FFFFFF83"/>
    <w:lvl w:ilvl="0" w:tentative="0">
      <w:start w:val="1"/>
      <w:numFmt w:val="bullet"/>
      <w:pStyle w:val="40"/>
      <w:lvlText w:val=""/>
      <w:lvlJc w:val="left"/>
      <w:pPr>
        <w:tabs>
          <w:tab w:val="left" w:pos="780"/>
        </w:tabs>
        <w:ind w:left="780" w:leftChars="200" w:hanging="360" w:hangingChars="200"/>
      </w:pPr>
      <w:rPr>
        <w:rFonts w:hint="default" w:ascii="Wingdings" w:hAnsi="Wingdings"/>
      </w:rPr>
    </w:lvl>
  </w:abstractNum>
  <w:abstractNum w:abstractNumId="9">
    <w:nsid w:val="FFFFFF88"/>
    <w:multiLevelType w:val="singleLevel"/>
    <w:tmpl w:val="FFFFFF88"/>
    <w:lvl w:ilvl="0" w:tentative="0">
      <w:start w:val="1"/>
      <w:numFmt w:val="decimal"/>
      <w:pStyle w:val="21"/>
      <w:lvlText w:val="%1."/>
      <w:lvlJc w:val="left"/>
      <w:pPr>
        <w:tabs>
          <w:tab w:val="left" w:pos="360"/>
        </w:tabs>
        <w:ind w:left="360" w:hanging="360" w:hangingChars="200"/>
      </w:pPr>
    </w:lvl>
  </w:abstractNum>
  <w:abstractNum w:abstractNumId="10">
    <w:nsid w:val="FFFFFF89"/>
    <w:multiLevelType w:val="singleLevel"/>
    <w:tmpl w:val="FFFFFF89"/>
    <w:lvl w:ilvl="0" w:tentative="0">
      <w:start w:val="1"/>
      <w:numFmt w:val="bullet"/>
      <w:pStyle w:val="24"/>
      <w:lvlText w:val=""/>
      <w:lvlJc w:val="left"/>
      <w:pPr>
        <w:tabs>
          <w:tab w:val="left" w:pos="360"/>
        </w:tabs>
        <w:ind w:left="360" w:hanging="360" w:hangingChars="200"/>
      </w:pPr>
      <w:rPr>
        <w:rFonts w:hint="default" w:ascii="Wingdings" w:hAnsi="Wingdings"/>
      </w:rPr>
    </w:lvl>
  </w:abstractNum>
  <w:abstractNum w:abstractNumId="11">
    <w:nsid w:val="0D43EF79"/>
    <w:multiLevelType w:val="singleLevel"/>
    <w:tmpl w:val="0D43EF79"/>
    <w:lvl w:ilvl="0" w:tentative="0">
      <w:start w:val="1"/>
      <w:numFmt w:val="decimal"/>
      <w:suff w:val="nothing"/>
      <w:lvlText w:val="%1."/>
      <w:lvlJc w:val="left"/>
      <w:pPr>
        <w:ind w:left="360" w:hanging="360"/>
      </w:pPr>
      <w:rPr>
        <w:rFonts w:hint="default"/>
        <w:b/>
        <w:bCs/>
        <w:sz w:val="24"/>
        <w:szCs w:val="24"/>
      </w:rPr>
    </w:lvl>
  </w:abstractNum>
  <w:abstractNum w:abstractNumId="12">
    <w:nsid w:val="14083727"/>
    <w:multiLevelType w:val="multilevel"/>
    <w:tmpl w:val="14083727"/>
    <w:lvl w:ilvl="0" w:tentative="0">
      <w:start w:val="1"/>
      <w:numFmt w:val="decimal"/>
      <w:lvlText w:val="%1"/>
      <w:lvlJc w:val="left"/>
      <w:pPr>
        <w:ind w:left="840" w:hanging="360"/>
      </w:pPr>
      <w:rPr>
        <w:rFonts w:hint="default"/>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3">
    <w:nsid w:val="16A8BE75"/>
    <w:multiLevelType w:val="singleLevel"/>
    <w:tmpl w:val="16A8BE75"/>
    <w:lvl w:ilvl="0" w:tentative="0">
      <w:start w:val="1"/>
      <w:numFmt w:val="decimal"/>
      <w:suff w:val="nothing"/>
      <w:lvlText w:val="%1-"/>
      <w:lvlJc w:val="left"/>
    </w:lvl>
  </w:abstractNum>
  <w:abstractNum w:abstractNumId="14">
    <w:nsid w:val="45A9F7FC"/>
    <w:multiLevelType w:val="singleLevel"/>
    <w:tmpl w:val="45A9F7FC"/>
    <w:lvl w:ilvl="0" w:tentative="0">
      <w:start w:val="1"/>
      <w:numFmt w:val="decimal"/>
      <w:suff w:val="nothing"/>
      <w:lvlText w:val="%1-"/>
      <w:lvlJc w:val="left"/>
    </w:lvl>
  </w:abstractNum>
  <w:abstractNum w:abstractNumId="15">
    <w:nsid w:val="45DE0E10"/>
    <w:multiLevelType w:val="multilevel"/>
    <w:tmpl w:val="45DE0E10"/>
    <w:lvl w:ilvl="0" w:tentative="0">
      <w:start w:val="1"/>
      <w:numFmt w:val="decimal"/>
      <w:lvlText w:val="（%1）"/>
      <w:lvlJc w:val="left"/>
      <w:pPr>
        <w:ind w:left="720" w:hanging="72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6">
    <w:nsid w:val="555E9E11"/>
    <w:multiLevelType w:val="singleLevel"/>
    <w:tmpl w:val="555E9E11"/>
    <w:lvl w:ilvl="0" w:tentative="0">
      <w:start w:val="1"/>
      <w:numFmt w:val="decimal"/>
      <w:suff w:val="nothing"/>
      <w:lvlText w:val="%1-"/>
      <w:lvlJc w:val="left"/>
    </w:lvl>
  </w:abstractNum>
  <w:abstractNum w:abstractNumId="17">
    <w:nsid w:val="5D8C177F"/>
    <w:multiLevelType w:val="multilevel"/>
    <w:tmpl w:val="5D8C177F"/>
    <w:lvl w:ilvl="0" w:tentative="0">
      <w:start w:val="1"/>
      <w:numFmt w:val="decimal"/>
      <w:lvlText w:val="%1"/>
      <w:lvlJc w:val="left"/>
      <w:pPr>
        <w:ind w:left="471" w:hanging="471"/>
      </w:pPr>
      <w:rPr>
        <w:rFonts w:hint="default" w:cs="Times New Roman"/>
        <w:b/>
      </w:rPr>
    </w:lvl>
    <w:lvl w:ilvl="1" w:tentative="0">
      <w:start w:val="0"/>
      <w:numFmt w:val="decimal"/>
      <w:lvlText w:val="%1.%2"/>
      <w:lvlJc w:val="left"/>
      <w:pPr>
        <w:ind w:left="697" w:hanging="697"/>
      </w:pPr>
      <w:rPr>
        <w:rFonts w:hint="default" w:ascii="宋体" w:hAnsi="宋体" w:eastAsia="宋体" w:cs="Times New Roman"/>
        <w:b/>
      </w:rPr>
    </w:lvl>
    <w:lvl w:ilvl="2" w:tentative="0">
      <w:start w:val="1"/>
      <w:numFmt w:val="decimal"/>
      <w:suff w:val="space"/>
      <w:lvlText w:val="%1.%2.%3"/>
      <w:lvlJc w:val="left"/>
      <w:rPr>
        <w:rFonts w:hint="default" w:ascii="宋体" w:hAnsi="宋体" w:eastAsia="宋体" w:cs="Times New Roman"/>
        <w:b/>
        <w:color w:val="auto"/>
        <w:sz w:val="30"/>
        <w:szCs w:val="30"/>
      </w:rPr>
    </w:lvl>
    <w:lvl w:ilvl="3" w:tentative="0">
      <w:start w:val="1"/>
      <w:numFmt w:val="decimal"/>
      <w:lvlText w:val="%1.%2.%3.%4"/>
      <w:lvlJc w:val="left"/>
      <w:pPr>
        <w:ind w:left="1080" w:hanging="1080"/>
      </w:pPr>
      <w:rPr>
        <w:rFonts w:hint="default" w:cs="Times New Roman"/>
        <w:b/>
      </w:rPr>
    </w:lvl>
    <w:lvl w:ilvl="4" w:tentative="0">
      <w:start w:val="1"/>
      <w:numFmt w:val="decimal"/>
      <w:lvlText w:val="%1.%2.%3.%4.%5"/>
      <w:lvlJc w:val="left"/>
      <w:pPr>
        <w:ind w:left="1440" w:hanging="1440"/>
      </w:pPr>
      <w:rPr>
        <w:rFonts w:hint="default" w:cs="Times New Roman"/>
        <w:b/>
      </w:rPr>
    </w:lvl>
    <w:lvl w:ilvl="5" w:tentative="0">
      <w:start w:val="1"/>
      <w:numFmt w:val="decimal"/>
      <w:lvlText w:val="%1.%2.%3.%4.%5.%6"/>
      <w:lvlJc w:val="left"/>
      <w:pPr>
        <w:ind w:left="1800" w:hanging="1800"/>
      </w:pPr>
      <w:rPr>
        <w:rFonts w:hint="default" w:cs="Times New Roman"/>
        <w:b/>
      </w:rPr>
    </w:lvl>
    <w:lvl w:ilvl="6" w:tentative="0">
      <w:start w:val="1"/>
      <w:numFmt w:val="decimal"/>
      <w:lvlText w:val="%1.%2.%3.%4.%5.%6.%7"/>
      <w:lvlJc w:val="left"/>
      <w:pPr>
        <w:ind w:left="2160" w:hanging="2160"/>
      </w:pPr>
      <w:rPr>
        <w:rFonts w:hint="default" w:cs="Times New Roman"/>
        <w:b/>
      </w:rPr>
    </w:lvl>
    <w:lvl w:ilvl="7" w:tentative="0">
      <w:start w:val="1"/>
      <w:numFmt w:val="decimal"/>
      <w:lvlText w:val="%1.%2.%3.%4.%5.%6.%7.%8"/>
      <w:lvlJc w:val="left"/>
      <w:pPr>
        <w:ind w:left="2520" w:hanging="2520"/>
      </w:pPr>
      <w:rPr>
        <w:rFonts w:hint="default" w:cs="Times New Roman"/>
        <w:b/>
      </w:rPr>
    </w:lvl>
    <w:lvl w:ilvl="8" w:tentative="0">
      <w:start w:val="1"/>
      <w:numFmt w:val="decimal"/>
      <w:lvlText w:val="%1.%2.%3.%4.%5.%6.%7.%8.%9"/>
      <w:lvlJc w:val="left"/>
      <w:pPr>
        <w:ind w:left="2880" w:hanging="2880"/>
      </w:pPr>
      <w:rPr>
        <w:rFonts w:hint="default" w:cs="Times New Roman"/>
        <w:b/>
      </w:rPr>
    </w:lvl>
  </w:abstractNum>
  <w:abstractNum w:abstractNumId="18">
    <w:nsid w:val="60C5428F"/>
    <w:multiLevelType w:val="multilevel"/>
    <w:tmpl w:val="60C5428F"/>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9">
    <w:nsid w:val="6FB704C7"/>
    <w:multiLevelType w:val="multilevel"/>
    <w:tmpl w:val="6FB704C7"/>
    <w:lvl w:ilvl="0" w:tentative="0">
      <w:start w:val="1"/>
      <w:numFmt w:val="decimal"/>
      <w:lvlText w:val="%1）"/>
      <w:lvlJc w:val="left"/>
      <w:pPr>
        <w:ind w:left="1320" w:hanging="360"/>
      </w:pPr>
      <w:rPr>
        <w:rFonts w:hint="default"/>
      </w:rPr>
    </w:lvl>
    <w:lvl w:ilvl="1" w:tentative="0">
      <w:start w:val="1"/>
      <w:numFmt w:val="lowerLetter"/>
      <w:lvlText w:val="%2)"/>
      <w:lvlJc w:val="left"/>
      <w:pPr>
        <w:ind w:left="1840" w:hanging="440"/>
      </w:pPr>
    </w:lvl>
    <w:lvl w:ilvl="2" w:tentative="0">
      <w:start w:val="1"/>
      <w:numFmt w:val="lowerRoman"/>
      <w:lvlText w:val="%3."/>
      <w:lvlJc w:val="right"/>
      <w:pPr>
        <w:ind w:left="2280" w:hanging="440"/>
      </w:pPr>
    </w:lvl>
    <w:lvl w:ilvl="3" w:tentative="0">
      <w:start w:val="1"/>
      <w:numFmt w:val="decimal"/>
      <w:lvlText w:val="%4."/>
      <w:lvlJc w:val="left"/>
      <w:pPr>
        <w:ind w:left="2720" w:hanging="440"/>
      </w:pPr>
    </w:lvl>
    <w:lvl w:ilvl="4" w:tentative="0">
      <w:start w:val="1"/>
      <w:numFmt w:val="lowerLetter"/>
      <w:lvlText w:val="%5)"/>
      <w:lvlJc w:val="left"/>
      <w:pPr>
        <w:ind w:left="3160" w:hanging="440"/>
      </w:pPr>
    </w:lvl>
    <w:lvl w:ilvl="5" w:tentative="0">
      <w:start w:val="1"/>
      <w:numFmt w:val="lowerRoman"/>
      <w:lvlText w:val="%6."/>
      <w:lvlJc w:val="right"/>
      <w:pPr>
        <w:ind w:left="3600" w:hanging="440"/>
      </w:pPr>
    </w:lvl>
    <w:lvl w:ilvl="6" w:tentative="0">
      <w:start w:val="1"/>
      <w:numFmt w:val="decimal"/>
      <w:lvlText w:val="%7."/>
      <w:lvlJc w:val="left"/>
      <w:pPr>
        <w:ind w:left="4040" w:hanging="440"/>
      </w:pPr>
    </w:lvl>
    <w:lvl w:ilvl="7" w:tentative="0">
      <w:start w:val="1"/>
      <w:numFmt w:val="lowerLetter"/>
      <w:lvlText w:val="%8)"/>
      <w:lvlJc w:val="left"/>
      <w:pPr>
        <w:ind w:left="4480" w:hanging="440"/>
      </w:pPr>
    </w:lvl>
    <w:lvl w:ilvl="8" w:tentative="0">
      <w:start w:val="1"/>
      <w:numFmt w:val="lowerRoman"/>
      <w:lvlText w:val="%9."/>
      <w:lvlJc w:val="right"/>
      <w:pPr>
        <w:ind w:left="4920" w:hanging="440"/>
      </w:pPr>
    </w:lvl>
  </w:abstractNum>
  <w:abstractNum w:abstractNumId="20">
    <w:nsid w:val="70D32A60"/>
    <w:multiLevelType w:val="multilevel"/>
    <w:tmpl w:val="70D32A60"/>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 w:numId="12">
    <w:abstractNumId w:val="13"/>
  </w:num>
  <w:num w:numId="13">
    <w:abstractNumId w:val="14"/>
  </w:num>
  <w:num w:numId="14">
    <w:abstractNumId w:val="16"/>
  </w:num>
  <w:num w:numId="15">
    <w:abstractNumId w:val="19"/>
  </w:num>
  <w:num w:numId="16">
    <w:abstractNumId w:val="12"/>
  </w:num>
  <w:num w:numId="17">
    <w:abstractNumId w:val="20"/>
  </w:num>
  <w:num w:numId="18">
    <w:abstractNumId w:val="15"/>
  </w:num>
  <w:num w:numId="19">
    <w:abstractNumId w:val="18"/>
  </w:num>
  <w:num w:numId="20">
    <w:abstractNumId w:val="17"/>
  </w:num>
  <w:num w:numId="2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dhMmI1NGM4MDg4ZjhhZmJiYWM1ODNjZDk1MTM2MjMifQ=="/>
    <w:docVar w:name="KSO_WPS_MARK_KEY" w:val="9df84f06-75dd-498b-9699-8a84faf91651"/>
  </w:docVars>
  <w:rsids>
    <w:rsidRoot w:val="008D1D1D"/>
    <w:rsid w:val="000013B5"/>
    <w:rsid w:val="00007072"/>
    <w:rsid w:val="00024111"/>
    <w:rsid w:val="000353FB"/>
    <w:rsid w:val="00035D7F"/>
    <w:rsid w:val="00041E90"/>
    <w:rsid w:val="00043CEB"/>
    <w:rsid w:val="000453FE"/>
    <w:rsid w:val="00051EA9"/>
    <w:rsid w:val="00052613"/>
    <w:rsid w:val="00054D41"/>
    <w:rsid w:val="000564F7"/>
    <w:rsid w:val="00062F4D"/>
    <w:rsid w:val="00063D9B"/>
    <w:rsid w:val="0006708A"/>
    <w:rsid w:val="00074965"/>
    <w:rsid w:val="00091D72"/>
    <w:rsid w:val="00097160"/>
    <w:rsid w:val="0009734D"/>
    <w:rsid w:val="00097A6C"/>
    <w:rsid w:val="000A1B04"/>
    <w:rsid w:val="000A36AD"/>
    <w:rsid w:val="000A3F68"/>
    <w:rsid w:val="000B3067"/>
    <w:rsid w:val="000B4960"/>
    <w:rsid w:val="000C0682"/>
    <w:rsid w:val="000C0DB7"/>
    <w:rsid w:val="000D1887"/>
    <w:rsid w:val="000D49BE"/>
    <w:rsid w:val="000D625D"/>
    <w:rsid w:val="000D62D9"/>
    <w:rsid w:val="000D6BA3"/>
    <w:rsid w:val="000E2485"/>
    <w:rsid w:val="000E488C"/>
    <w:rsid w:val="000F0088"/>
    <w:rsid w:val="000F6819"/>
    <w:rsid w:val="00102743"/>
    <w:rsid w:val="00115DD1"/>
    <w:rsid w:val="00120107"/>
    <w:rsid w:val="00120F46"/>
    <w:rsid w:val="00122160"/>
    <w:rsid w:val="00131916"/>
    <w:rsid w:val="00132B37"/>
    <w:rsid w:val="00145EE1"/>
    <w:rsid w:val="00155751"/>
    <w:rsid w:val="0016194A"/>
    <w:rsid w:val="001650BC"/>
    <w:rsid w:val="0016675C"/>
    <w:rsid w:val="00172306"/>
    <w:rsid w:val="001810C7"/>
    <w:rsid w:val="0018317F"/>
    <w:rsid w:val="00185D4A"/>
    <w:rsid w:val="00192C54"/>
    <w:rsid w:val="00192E71"/>
    <w:rsid w:val="0019530E"/>
    <w:rsid w:val="001A1A14"/>
    <w:rsid w:val="001A1E64"/>
    <w:rsid w:val="001A50FE"/>
    <w:rsid w:val="001B57CD"/>
    <w:rsid w:val="001C339A"/>
    <w:rsid w:val="001C5062"/>
    <w:rsid w:val="001C5336"/>
    <w:rsid w:val="001D54B5"/>
    <w:rsid w:val="001D5D97"/>
    <w:rsid w:val="001E1E95"/>
    <w:rsid w:val="001F0A2B"/>
    <w:rsid w:val="001F1CB8"/>
    <w:rsid w:val="00200EAF"/>
    <w:rsid w:val="00200F38"/>
    <w:rsid w:val="0020448A"/>
    <w:rsid w:val="00214875"/>
    <w:rsid w:val="00215914"/>
    <w:rsid w:val="00227ADB"/>
    <w:rsid w:val="002305E7"/>
    <w:rsid w:val="00236F09"/>
    <w:rsid w:val="00237267"/>
    <w:rsid w:val="00237782"/>
    <w:rsid w:val="00255DE6"/>
    <w:rsid w:val="00257000"/>
    <w:rsid w:val="00261377"/>
    <w:rsid w:val="002626CB"/>
    <w:rsid w:val="00264EEC"/>
    <w:rsid w:val="00267D8F"/>
    <w:rsid w:val="0027078A"/>
    <w:rsid w:val="00274D15"/>
    <w:rsid w:val="0027507E"/>
    <w:rsid w:val="00280322"/>
    <w:rsid w:val="00280DE0"/>
    <w:rsid w:val="002826ED"/>
    <w:rsid w:val="00283FA9"/>
    <w:rsid w:val="00290EA5"/>
    <w:rsid w:val="00293E01"/>
    <w:rsid w:val="002A2C5A"/>
    <w:rsid w:val="002A60CD"/>
    <w:rsid w:val="002B2664"/>
    <w:rsid w:val="002C0426"/>
    <w:rsid w:val="002C1C7C"/>
    <w:rsid w:val="002C1C92"/>
    <w:rsid w:val="002C3437"/>
    <w:rsid w:val="002C634F"/>
    <w:rsid w:val="002C6FCF"/>
    <w:rsid w:val="002C79B5"/>
    <w:rsid w:val="002C7CD5"/>
    <w:rsid w:val="002D2AFA"/>
    <w:rsid w:val="002D494E"/>
    <w:rsid w:val="002E537C"/>
    <w:rsid w:val="002E746F"/>
    <w:rsid w:val="002F4771"/>
    <w:rsid w:val="00301309"/>
    <w:rsid w:val="0030764B"/>
    <w:rsid w:val="003124FE"/>
    <w:rsid w:val="003139CF"/>
    <w:rsid w:val="00314D11"/>
    <w:rsid w:val="00324DD9"/>
    <w:rsid w:val="00326C43"/>
    <w:rsid w:val="00331F2D"/>
    <w:rsid w:val="0033487A"/>
    <w:rsid w:val="00334B49"/>
    <w:rsid w:val="00334CC6"/>
    <w:rsid w:val="003376C5"/>
    <w:rsid w:val="003423DF"/>
    <w:rsid w:val="0034588B"/>
    <w:rsid w:val="00346252"/>
    <w:rsid w:val="003468A8"/>
    <w:rsid w:val="003502B8"/>
    <w:rsid w:val="00350E79"/>
    <w:rsid w:val="00355FBB"/>
    <w:rsid w:val="00361177"/>
    <w:rsid w:val="00361E3B"/>
    <w:rsid w:val="00365F89"/>
    <w:rsid w:val="0037243D"/>
    <w:rsid w:val="00373C43"/>
    <w:rsid w:val="00376D69"/>
    <w:rsid w:val="00377B34"/>
    <w:rsid w:val="00383D29"/>
    <w:rsid w:val="003867C3"/>
    <w:rsid w:val="00394316"/>
    <w:rsid w:val="00394F9D"/>
    <w:rsid w:val="003A6A1C"/>
    <w:rsid w:val="003B2C5E"/>
    <w:rsid w:val="003B4BA2"/>
    <w:rsid w:val="003B531A"/>
    <w:rsid w:val="003B5FD4"/>
    <w:rsid w:val="003D669D"/>
    <w:rsid w:val="003E128E"/>
    <w:rsid w:val="003E47FB"/>
    <w:rsid w:val="003E5D0A"/>
    <w:rsid w:val="003E7BA1"/>
    <w:rsid w:val="003F16A2"/>
    <w:rsid w:val="003F4160"/>
    <w:rsid w:val="003F6C36"/>
    <w:rsid w:val="004007AA"/>
    <w:rsid w:val="00411079"/>
    <w:rsid w:val="0041439B"/>
    <w:rsid w:val="00417F46"/>
    <w:rsid w:val="00421067"/>
    <w:rsid w:val="00423243"/>
    <w:rsid w:val="0043166B"/>
    <w:rsid w:val="00431FAC"/>
    <w:rsid w:val="00435348"/>
    <w:rsid w:val="00436C9F"/>
    <w:rsid w:val="00441438"/>
    <w:rsid w:val="00445837"/>
    <w:rsid w:val="00445D87"/>
    <w:rsid w:val="00446CC6"/>
    <w:rsid w:val="00455B15"/>
    <w:rsid w:val="00473544"/>
    <w:rsid w:val="00486B40"/>
    <w:rsid w:val="00493C81"/>
    <w:rsid w:val="00495379"/>
    <w:rsid w:val="00496ED1"/>
    <w:rsid w:val="004A34FF"/>
    <w:rsid w:val="004A3ACB"/>
    <w:rsid w:val="004A6A1D"/>
    <w:rsid w:val="004B792B"/>
    <w:rsid w:val="004C07E4"/>
    <w:rsid w:val="004C2874"/>
    <w:rsid w:val="004C599D"/>
    <w:rsid w:val="004C7BCB"/>
    <w:rsid w:val="004D509D"/>
    <w:rsid w:val="004D72EE"/>
    <w:rsid w:val="004E54A1"/>
    <w:rsid w:val="004E684A"/>
    <w:rsid w:val="004F079F"/>
    <w:rsid w:val="004F18F9"/>
    <w:rsid w:val="004F4C0B"/>
    <w:rsid w:val="004F50CF"/>
    <w:rsid w:val="004F66C9"/>
    <w:rsid w:val="00502DB9"/>
    <w:rsid w:val="00505DE8"/>
    <w:rsid w:val="0050760B"/>
    <w:rsid w:val="00510178"/>
    <w:rsid w:val="00510526"/>
    <w:rsid w:val="005173BA"/>
    <w:rsid w:val="005253AF"/>
    <w:rsid w:val="005272A5"/>
    <w:rsid w:val="00543ABA"/>
    <w:rsid w:val="00547778"/>
    <w:rsid w:val="005578CE"/>
    <w:rsid w:val="005629CB"/>
    <w:rsid w:val="00562DCB"/>
    <w:rsid w:val="0056471C"/>
    <w:rsid w:val="005648A2"/>
    <w:rsid w:val="005648BC"/>
    <w:rsid w:val="00575ABA"/>
    <w:rsid w:val="00583C49"/>
    <w:rsid w:val="00583E36"/>
    <w:rsid w:val="00590CB6"/>
    <w:rsid w:val="0059682A"/>
    <w:rsid w:val="005A1E5A"/>
    <w:rsid w:val="005B5C6B"/>
    <w:rsid w:val="005B6998"/>
    <w:rsid w:val="005C1912"/>
    <w:rsid w:val="005C3006"/>
    <w:rsid w:val="005C58CF"/>
    <w:rsid w:val="005C7B05"/>
    <w:rsid w:val="005D2E0C"/>
    <w:rsid w:val="005D39D7"/>
    <w:rsid w:val="005D676B"/>
    <w:rsid w:val="005D6F21"/>
    <w:rsid w:val="005D7BD5"/>
    <w:rsid w:val="005D7D8B"/>
    <w:rsid w:val="005E077B"/>
    <w:rsid w:val="005E47E1"/>
    <w:rsid w:val="005E53E9"/>
    <w:rsid w:val="005E633C"/>
    <w:rsid w:val="005F083F"/>
    <w:rsid w:val="005F156D"/>
    <w:rsid w:val="005F1F21"/>
    <w:rsid w:val="005F2BC9"/>
    <w:rsid w:val="005F6B07"/>
    <w:rsid w:val="005F729B"/>
    <w:rsid w:val="00620232"/>
    <w:rsid w:val="00633B94"/>
    <w:rsid w:val="00636564"/>
    <w:rsid w:val="00636D58"/>
    <w:rsid w:val="00641E35"/>
    <w:rsid w:val="00645104"/>
    <w:rsid w:val="006573E6"/>
    <w:rsid w:val="00667659"/>
    <w:rsid w:val="00673CDA"/>
    <w:rsid w:val="00674F1B"/>
    <w:rsid w:val="00675629"/>
    <w:rsid w:val="00676262"/>
    <w:rsid w:val="0068190B"/>
    <w:rsid w:val="00684AB5"/>
    <w:rsid w:val="00685833"/>
    <w:rsid w:val="00691720"/>
    <w:rsid w:val="00692DB4"/>
    <w:rsid w:val="00695A80"/>
    <w:rsid w:val="006A002F"/>
    <w:rsid w:val="006A0DA7"/>
    <w:rsid w:val="006A1963"/>
    <w:rsid w:val="006A2996"/>
    <w:rsid w:val="006A50C3"/>
    <w:rsid w:val="006A71A0"/>
    <w:rsid w:val="006A783C"/>
    <w:rsid w:val="006B09D0"/>
    <w:rsid w:val="006B09EB"/>
    <w:rsid w:val="006C1A91"/>
    <w:rsid w:val="006D0A3E"/>
    <w:rsid w:val="006D42A3"/>
    <w:rsid w:val="006D686C"/>
    <w:rsid w:val="006E065A"/>
    <w:rsid w:val="006E1459"/>
    <w:rsid w:val="006E173C"/>
    <w:rsid w:val="006E3A6D"/>
    <w:rsid w:val="006E5EFD"/>
    <w:rsid w:val="006F140D"/>
    <w:rsid w:val="006F34A9"/>
    <w:rsid w:val="006F7522"/>
    <w:rsid w:val="006F790A"/>
    <w:rsid w:val="00700E2A"/>
    <w:rsid w:val="00701308"/>
    <w:rsid w:val="00710CEE"/>
    <w:rsid w:val="007115CD"/>
    <w:rsid w:val="00711BCD"/>
    <w:rsid w:val="0072065B"/>
    <w:rsid w:val="007262DD"/>
    <w:rsid w:val="00730DE2"/>
    <w:rsid w:val="007427EB"/>
    <w:rsid w:val="007602A8"/>
    <w:rsid w:val="007626A6"/>
    <w:rsid w:val="00765F20"/>
    <w:rsid w:val="00766805"/>
    <w:rsid w:val="00783C19"/>
    <w:rsid w:val="0078770E"/>
    <w:rsid w:val="007877A9"/>
    <w:rsid w:val="00792DD1"/>
    <w:rsid w:val="00795949"/>
    <w:rsid w:val="007A1474"/>
    <w:rsid w:val="007A25EA"/>
    <w:rsid w:val="007B2399"/>
    <w:rsid w:val="007B662F"/>
    <w:rsid w:val="007C4950"/>
    <w:rsid w:val="007E0B94"/>
    <w:rsid w:val="007E2F72"/>
    <w:rsid w:val="007E35EE"/>
    <w:rsid w:val="007E519B"/>
    <w:rsid w:val="007E6E33"/>
    <w:rsid w:val="007F1F65"/>
    <w:rsid w:val="007F2633"/>
    <w:rsid w:val="00803208"/>
    <w:rsid w:val="00803ED4"/>
    <w:rsid w:val="008111E2"/>
    <w:rsid w:val="0081586E"/>
    <w:rsid w:val="00825E48"/>
    <w:rsid w:val="00826E05"/>
    <w:rsid w:val="008349BE"/>
    <w:rsid w:val="008400AD"/>
    <w:rsid w:val="00840A90"/>
    <w:rsid w:val="0084245F"/>
    <w:rsid w:val="00846509"/>
    <w:rsid w:val="00852C76"/>
    <w:rsid w:val="00856A87"/>
    <w:rsid w:val="0086322A"/>
    <w:rsid w:val="008700EB"/>
    <w:rsid w:val="00870200"/>
    <w:rsid w:val="00883086"/>
    <w:rsid w:val="00890645"/>
    <w:rsid w:val="008973C3"/>
    <w:rsid w:val="008A6212"/>
    <w:rsid w:val="008D1D1D"/>
    <w:rsid w:val="008D258E"/>
    <w:rsid w:val="008E610F"/>
    <w:rsid w:val="008E6C42"/>
    <w:rsid w:val="008E7E52"/>
    <w:rsid w:val="008F00D0"/>
    <w:rsid w:val="008F0B55"/>
    <w:rsid w:val="008F53E7"/>
    <w:rsid w:val="008F63D5"/>
    <w:rsid w:val="00907393"/>
    <w:rsid w:val="009103BD"/>
    <w:rsid w:val="00912CCE"/>
    <w:rsid w:val="00916E91"/>
    <w:rsid w:val="00921FE4"/>
    <w:rsid w:val="009233B9"/>
    <w:rsid w:val="00931D26"/>
    <w:rsid w:val="009327B4"/>
    <w:rsid w:val="00934CFE"/>
    <w:rsid w:val="00935D6E"/>
    <w:rsid w:val="009367C0"/>
    <w:rsid w:val="009433A5"/>
    <w:rsid w:val="00946A3A"/>
    <w:rsid w:val="00951A31"/>
    <w:rsid w:val="00951BC2"/>
    <w:rsid w:val="00952046"/>
    <w:rsid w:val="009527D6"/>
    <w:rsid w:val="00953F04"/>
    <w:rsid w:val="00957CA4"/>
    <w:rsid w:val="00960116"/>
    <w:rsid w:val="00964300"/>
    <w:rsid w:val="009646D3"/>
    <w:rsid w:val="009721BF"/>
    <w:rsid w:val="00980459"/>
    <w:rsid w:val="00983480"/>
    <w:rsid w:val="00984C57"/>
    <w:rsid w:val="009868B1"/>
    <w:rsid w:val="009902EA"/>
    <w:rsid w:val="0099334F"/>
    <w:rsid w:val="00993645"/>
    <w:rsid w:val="0099435D"/>
    <w:rsid w:val="00996DDA"/>
    <w:rsid w:val="009A10E7"/>
    <w:rsid w:val="009A7C70"/>
    <w:rsid w:val="009B6CF9"/>
    <w:rsid w:val="009C523A"/>
    <w:rsid w:val="009C62FE"/>
    <w:rsid w:val="009D2C33"/>
    <w:rsid w:val="009D39B4"/>
    <w:rsid w:val="009D4F00"/>
    <w:rsid w:val="009E6B28"/>
    <w:rsid w:val="00A0298E"/>
    <w:rsid w:val="00A05A5D"/>
    <w:rsid w:val="00A078D8"/>
    <w:rsid w:val="00A12987"/>
    <w:rsid w:val="00A140F6"/>
    <w:rsid w:val="00A16326"/>
    <w:rsid w:val="00A25BD4"/>
    <w:rsid w:val="00A3478E"/>
    <w:rsid w:val="00A4446F"/>
    <w:rsid w:val="00A44A55"/>
    <w:rsid w:val="00A45CFE"/>
    <w:rsid w:val="00A51CC0"/>
    <w:rsid w:val="00A53588"/>
    <w:rsid w:val="00A56F3C"/>
    <w:rsid w:val="00A610A9"/>
    <w:rsid w:val="00A6486D"/>
    <w:rsid w:val="00A65F50"/>
    <w:rsid w:val="00A66F59"/>
    <w:rsid w:val="00A7668C"/>
    <w:rsid w:val="00A77271"/>
    <w:rsid w:val="00A85572"/>
    <w:rsid w:val="00A90912"/>
    <w:rsid w:val="00A91610"/>
    <w:rsid w:val="00AA0E79"/>
    <w:rsid w:val="00AA452B"/>
    <w:rsid w:val="00AB539C"/>
    <w:rsid w:val="00AB7AD8"/>
    <w:rsid w:val="00AC320D"/>
    <w:rsid w:val="00AC60AC"/>
    <w:rsid w:val="00AC6DF6"/>
    <w:rsid w:val="00AD533D"/>
    <w:rsid w:val="00AE0DA5"/>
    <w:rsid w:val="00AF17FD"/>
    <w:rsid w:val="00AF58C2"/>
    <w:rsid w:val="00AF5CDD"/>
    <w:rsid w:val="00B05C74"/>
    <w:rsid w:val="00B07FCA"/>
    <w:rsid w:val="00B11144"/>
    <w:rsid w:val="00B2571D"/>
    <w:rsid w:val="00B258C8"/>
    <w:rsid w:val="00B267B3"/>
    <w:rsid w:val="00B367B5"/>
    <w:rsid w:val="00B4159A"/>
    <w:rsid w:val="00B5782C"/>
    <w:rsid w:val="00B70384"/>
    <w:rsid w:val="00B71C35"/>
    <w:rsid w:val="00B76278"/>
    <w:rsid w:val="00B86EA2"/>
    <w:rsid w:val="00B9165E"/>
    <w:rsid w:val="00B92C2E"/>
    <w:rsid w:val="00BA0A6D"/>
    <w:rsid w:val="00BB3911"/>
    <w:rsid w:val="00BB506C"/>
    <w:rsid w:val="00BB7FE7"/>
    <w:rsid w:val="00BC2F38"/>
    <w:rsid w:val="00BC63CB"/>
    <w:rsid w:val="00BD457F"/>
    <w:rsid w:val="00BE0EA0"/>
    <w:rsid w:val="00BE15B1"/>
    <w:rsid w:val="00BE19F0"/>
    <w:rsid w:val="00BE1B3B"/>
    <w:rsid w:val="00BE3128"/>
    <w:rsid w:val="00BE32A7"/>
    <w:rsid w:val="00BE5B1F"/>
    <w:rsid w:val="00BF240E"/>
    <w:rsid w:val="00BF7ECB"/>
    <w:rsid w:val="00C117E7"/>
    <w:rsid w:val="00C123B0"/>
    <w:rsid w:val="00C13678"/>
    <w:rsid w:val="00C17C8D"/>
    <w:rsid w:val="00C20779"/>
    <w:rsid w:val="00C2141A"/>
    <w:rsid w:val="00C25314"/>
    <w:rsid w:val="00C34951"/>
    <w:rsid w:val="00C413A6"/>
    <w:rsid w:val="00C42243"/>
    <w:rsid w:val="00C523C7"/>
    <w:rsid w:val="00C56A53"/>
    <w:rsid w:val="00C63FC0"/>
    <w:rsid w:val="00C7264A"/>
    <w:rsid w:val="00C74D58"/>
    <w:rsid w:val="00C80789"/>
    <w:rsid w:val="00C9731A"/>
    <w:rsid w:val="00C978E1"/>
    <w:rsid w:val="00CA044D"/>
    <w:rsid w:val="00CA3284"/>
    <w:rsid w:val="00CA3693"/>
    <w:rsid w:val="00CA3FE4"/>
    <w:rsid w:val="00CB1C69"/>
    <w:rsid w:val="00CB4216"/>
    <w:rsid w:val="00CB6CC6"/>
    <w:rsid w:val="00CB7BF5"/>
    <w:rsid w:val="00CC338C"/>
    <w:rsid w:val="00CC417D"/>
    <w:rsid w:val="00CC7AC2"/>
    <w:rsid w:val="00CF019A"/>
    <w:rsid w:val="00CF6DEF"/>
    <w:rsid w:val="00D04603"/>
    <w:rsid w:val="00D07C8D"/>
    <w:rsid w:val="00D2083E"/>
    <w:rsid w:val="00D26796"/>
    <w:rsid w:val="00D26C34"/>
    <w:rsid w:val="00D32300"/>
    <w:rsid w:val="00D52F91"/>
    <w:rsid w:val="00D54F08"/>
    <w:rsid w:val="00D658FB"/>
    <w:rsid w:val="00D701CA"/>
    <w:rsid w:val="00D707A3"/>
    <w:rsid w:val="00D73F96"/>
    <w:rsid w:val="00D845D4"/>
    <w:rsid w:val="00D86D36"/>
    <w:rsid w:val="00D922E4"/>
    <w:rsid w:val="00D93B3D"/>
    <w:rsid w:val="00DA04D8"/>
    <w:rsid w:val="00DA6257"/>
    <w:rsid w:val="00DA7C3A"/>
    <w:rsid w:val="00DB008F"/>
    <w:rsid w:val="00DB2091"/>
    <w:rsid w:val="00DB2A58"/>
    <w:rsid w:val="00DB3B0E"/>
    <w:rsid w:val="00DB41D5"/>
    <w:rsid w:val="00DB5C1A"/>
    <w:rsid w:val="00DB7F38"/>
    <w:rsid w:val="00DC6E98"/>
    <w:rsid w:val="00DC7799"/>
    <w:rsid w:val="00DD5F46"/>
    <w:rsid w:val="00DD61F9"/>
    <w:rsid w:val="00DE02F1"/>
    <w:rsid w:val="00DE15CD"/>
    <w:rsid w:val="00DE1A34"/>
    <w:rsid w:val="00DE46EF"/>
    <w:rsid w:val="00DE7BE6"/>
    <w:rsid w:val="00DF5E02"/>
    <w:rsid w:val="00DF677F"/>
    <w:rsid w:val="00E01A5E"/>
    <w:rsid w:val="00E10CF5"/>
    <w:rsid w:val="00E10EFE"/>
    <w:rsid w:val="00E111A6"/>
    <w:rsid w:val="00E12982"/>
    <w:rsid w:val="00E14593"/>
    <w:rsid w:val="00E210DD"/>
    <w:rsid w:val="00E41E48"/>
    <w:rsid w:val="00E46233"/>
    <w:rsid w:val="00E5086C"/>
    <w:rsid w:val="00E63B71"/>
    <w:rsid w:val="00E6728C"/>
    <w:rsid w:val="00E73C6A"/>
    <w:rsid w:val="00E84009"/>
    <w:rsid w:val="00E87F58"/>
    <w:rsid w:val="00E91398"/>
    <w:rsid w:val="00E95819"/>
    <w:rsid w:val="00E962C8"/>
    <w:rsid w:val="00E9658A"/>
    <w:rsid w:val="00EA7DCB"/>
    <w:rsid w:val="00EB6A1F"/>
    <w:rsid w:val="00EC2051"/>
    <w:rsid w:val="00EC3816"/>
    <w:rsid w:val="00EC47B0"/>
    <w:rsid w:val="00EE0B54"/>
    <w:rsid w:val="00EE2E2F"/>
    <w:rsid w:val="00EF3E88"/>
    <w:rsid w:val="00EF6971"/>
    <w:rsid w:val="00F06EAA"/>
    <w:rsid w:val="00F10BBE"/>
    <w:rsid w:val="00F125E9"/>
    <w:rsid w:val="00F1295D"/>
    <w:rsid w:val="00F21A27"/>
    <w:rsid w:val="00F22091"/>
    <w:rsid w:val="00F32CD0"/>
    <w:rsid w:val="00F34BAD"/>
    <w:rsid w:val="00F36320"/>
    <w:rsid w:val="00F366A6"/>
    <w:rsid w:val="00F4391A"/>
    <w:rsid w:val="00F50890"/>
    <w:rsid w:val="00F601F8"/>
    <w:rsid w:val="00F63544"/>
    <w:rsid w:val="00F63A8F"/>
    <w:rsid w:val="00F63EA0"/>
    <w:rsid w:val="00F672B7"/>
    <w:rsid w:val="00F83093"/>
    <w:rsid w:val="00F83203"/>
    <w:rsid w:val="00F83DA0"/>
    <w:rsid w:val="00F842C7"/>
    <w:rsid w:val="00F8472C"/>
    <w:rsid w:val="00F912FA"/>
    <w:rsid w:val="00F92E22"/>
    <w:rsid w:val="00F96031"/>
    <w:rsid w:val="00F96E8F"/>
    <w:rsid w:val="00FA085E"/>
    <w:rsid w:val="00FA23EC"/>
    <w:rsid w:val="00FA26CC"/>
    <w:rsid w:val="00FB31E5"/>
    <w:rsid w:val="00FB5668"/>
    <w:rsid w:val="00FB6D52"/>
    <w:rsid w:val="00FC2CAE"/>
    <w:rsid w:val="00FC3AA9"/>
    <w:rsid w:val="00FC695B"/>
    <w:rsid w:val="00FD1041"/>
    <w:rsid w:val="00FD5D8F"/>
    <w:rsid w:val="00FD731F"/>
    <w:rsid w:val="00FE03B3"/>
    <w:rsid w:val="00FE547B"/>
    <w:rsid w:val="00FF47A3"/>
    <w:rsid w:val="00FF5AF0"/>
    <w:rsid w:val="01090188"/>
    <w:rsid w:val="0126390F"/>
    <w:rsid w:val="01BF05EB"/>
    <w:rsid w:val="020D3493"/>
    <w:rsid w:val="022F279A"/>
    <w:rsid w:val="0240642F"/>
    <w:rsid w:val="0246755A"/>
    <w:rsid w:val="02475BF6"/>
    <w:rsid w:val="026124C3"/>
    <w:rsid w:val="02D61D0C"/>
    <w:rsid w:val="03212DD9"/>
    <w:rsid w:val="032A43A6"/>
    <w:rsid w:val="033D3397"/>
    <w:rsid w:val="034D0EE3"/>
    <w:rsid w:val="03D17F83"/>
    <w:rsid w:val="03F348FC"/>
    <w:rsid w:val="042B0DB0"/>
    <w:rsid w:val="045527DA"/>
    <w:rsid w:val="04560FBD"/>
    <w:rsid w:val="04EC4753"/>
    <w:rsid w:val="053074B5"/>
    <w:rsid w:val="054144F3"/>
    <w:rsid w:val="054864B8"/>
    <w:rsid w:val="059211F2"/>
    <w:rsid w:val="05F4587C"/>
    <w:rsid w:val="062140EF"/>
    <w:rsid w:val="063428DC"/>
    <w:rsid w:val="06664898"/>
    <w:rsid w:val="069A7C37"/>
    <w:rsid w:val="06D525BB"/>
    <w:rsid w:val="06EB5796"/>
    <w:rsid w:val="06FE1015"/>
    <w:rsid w:val="07210726"/>
    <w:rsid w:val="07572947"/>
    <w:rsid w:val="07862D29"/>
    <w:rsid w:val="0850088B"/>
    <w:rsid w:val="08A13A34"/>
    <w:rsid w:val="08B12066"/>
    <w:rsid w:val="08D2336D"/>
    <w:rsid w:val="08DD6C1A"/>
    <w:rsid w:val="08E26A3C"/>
    <w:rsid w:val="09183DE0"/>
    <w:rsid w:val="09927EBE"/>
    <w:rsid w:val="0A1258D0"/>
    <w:rsid w:val="0A526165"/>
    <w:rsid w:val="0A930B24"/>
    <w:rsid w:val="0AB87005"/>
    <w:rsid w:val="0BCF4D3A"/>
    <w:rsid w:val="0BE66B6F"/>
    <w:rsid w:val="0C134BCE"/>
    <w:rsid w:val="0C922E30"/>
    <w:rsid w:val="0CE9152F"/>
    <w:rsid w:val="0D067CE1"/>
    <w:rsid w:val="0DBE12A1"/>
    <w:rsid w:val="0E1A4463"/>
    <w:rsid w:val="0E1E3699"/>
    <w:rsid w:val="0E2D1564"/>
    <w:rsid w:val="0EAE154E"/>
    <w:rsid w:val="0EC04B60"/>
    <w:rsid w:val="0EEA3594"/>
    <w:rsid w:val="0F0F167C"/>
    <w:rsid w:val="0F6323CA"/>
    <w:rsid w:val="0F8B2506"/>
    <w:rsid w:val="0FB93528"/>
    <w:rsid w:val="10A71A83"/>
    <w:rsid w:val="10B45AC7"/>
    <w:rsid w:val="1105688D"/>
    <w:rsid w:val="113179F8"/>
    <w:rsid w:val="11387958"/>
    <w:rsid w:val="11467A95"/>
    <w:rsid w:val="12A13CA9"/>
    <w:rsid w:val="12BD268F"/>
    <w:rsid w:val="12D10FAE"/>
    <w:rsid w:val="13047906"/>
    <w:rsid w:val="136A662B"/>
    <w:rsid w:val="13A20755"/>
    <w:rsid w:val="140C2170"/>
    <w:rsid w:val="14455333"/>
    <w:rsid w:val="146F0F0E"/>
    <w:rsid w:val="14C4583A"/>
    <w:rsid w:val="14CF639F"/>
    <w:rsid w:val="14FC78F2"/>
    <w:rsid w:val="150A062C"/>
    <w:rsid w:val="15685A60"/>
    <w:rsid w:val="156E5FA6"/>
    <w:rsid w:val="1596252E"/>
    <w:rsid w:val="15A60C51"/>
    <w:rsid w:val="15AE797C"/>
    <w:rsid w:val="15D3625E"/>
    <w:rsid w:val="16314496"/>
    <w:rsid w:val="16536A51"/>
    <w:rsid w:val="1655209F"/>
    <w:rsid w:val="16597938"/>
    <w:rsid w:val="166866D0"/>
    <w:rsid w:val="16CB1563"/>
    <w:rsid w:val="16CB40B8"/>
    <w:rsid w:val="17274183"/>
    <w:rsid w:val="17313419"/>
    <w:rsid w:val="17A11514"/>
    <w:rsid w:val="17D278CD"/>
    <w:rsid w:val="18670565"/>
    <w:rsid w:val="1896426B"/>
    <w:rsid w:val="190820BD"/>
    <w:rsid w:val="190B01A6"/>
    <w:rsid w:val="19701552"/>
    <w:rsid w:val="19F40F8B"/>
    <w:rsid w:val="1A6C3968"/>
    <w:rsid w:val="1A9140BC"/>
    <w:rsid w:val="1B1312B6"/>
    <w:rsid w:val="1B245FA9"/>
    <w:rsid w:val="1B54413B"/>
    <w:rsid w:val="1B89206F"/>
    <w:rsid w:val="1B925650"/>
    <w:rsid w:val="1BB157C7"/>
    <w:rsid w:val="1BB67DD7"/>
    <w:rsid w:val="1BE57620"/>
    <w:rsid w:val="1BED313B"/>
    <w:rsid w:val="1C610214"/>
    <w:rsid w:val="1CC932F4"/>
    <w:rsid w:val="1D856D22"/>
    <w:rsid w:val="1DB719C9"/>
    <w:rsid w:val="1E012536"/>
    <w:rsid w:val="1E1D14A5"/>
    <w:rsid w:val="1E557950"/>
    <w:rsid w:val="1E67213E"/>
    <w:rsid w:val="1E894334"/>
    <w:rsid w:val="1ED12B13"/>
    <w:rsid w:val="1EEE38B2"/>
    <w:rsid w:val="1F0E1DC2"/>
    <w:rsid w:val="1FCD1A2C"/>
    <w:rsid w:val="1FFE648A"/>
    <w:rsid w:val="201E3957"/>
    <w:rsid w:val="20314BAF"/>
    <w:rsid w:val="208308AE"/>
    <w:rsid w:val="216E0C27"/>
    <w:rsid w:val="21736A1C"/>
    <w:rsid w:val="21826443"/>
    <w:rsid w:val="21EC5EE4"/>
    <w:rsid w:val="22055B57"/>
    <w:rsid w:val="225F2771"/>
    <w:rsid w:val="22CA4B72"/>
    <w:rsid w:val="22E84C54"/>
    <w:rsid w:val="2316449E"/>
    <w:rsid w:val="231B5F2B"/>
    <w:rsid w:val="239E0DA7"/>
    <w:rsid w:val="23A07916"/>
    <w:rsid w:val="23AD5156"/>
    <w:rsid w:val="23E512AB"/>
    <w:rsid w:val="24303C58"/>
    <w:rsid w:val="249C696E"/>
    <w:rsid w:val="249D02E9"/>
    <w:rsid w:val="24A64DC4"/>
    <w:rsid w:val="24CE37EF"/>
    <w:rsid w:val="24EA02AB"/>
    <w:rsid w:val="24F27565"/>
    <w:rsid w:val="25047D0F"/>
    <w:rsid w:val="259C1B9A"/>
    <w:rsid w:val="25AC53DC"/>
    <w:rsid w:val="25CF12BB"/>
    <w:rsid w:val="25FC2044"/>
    <w:rsid w:val="260121A0"/>
    <w:rsid w:val="26190679"/>
    <w:rsid w:val="266D4CF0"/>
    <w:rsid w:val="27015D0E"/>
    <w:rsid w:val="270638C1"/>
    <w:rsid w:val="270A4981"/>
    <w:rsid w:val="2766447D"/>
    <w:rsid w:val="277B61C6"/>
    <w:rsid w:val="27B609F8"/>
    <w:rsid w:val="27CC048A"/>
    <w:rsid w:val="2806255E"/>
    <w:rsid w:val="285E21F0"/>
    <w:rsid w:val="28C63FD1"/>
    <w:rsid w:val="29912DA0"/>
    <w:rsid w:val="29B44BC2"/>
    <w:rsid w:val="29B475D0"/>
    <w:rsid w:val="29BF3AB4"/>
    <w:rsid w:val="2A1A232B"/>
    <w:rsid w:val="2A1C0305"/>
    <w:rsid w:val="2A472F6F"/>
    <w:rsid w:val="2A8B7E3A"/>
    <w:rsid w:val="2AAB4F7E"/>
    <w:rsid w:val="2BBE2F38"/>
    <w:rsid w:val="2C6941CB"/>
    <w:rsid w:val="2C6962EC"/>
    <w:rsid w:val="2C6F5973"/>
    <w:rsid w:val="2CB76BDB"/>
    <w:rsid w:val="2CE56E8B"/>
    <w:rsid w:val="2E1F2822"/>
    <w:rsid w:val="2EA40BD6"/>
    <w:rsid w:val="2ED26038"/>
    <w:rsid w:val="2ED4418A"/>
    <w:rsid w:val="2EE164A7"/>
    <w:rsid w:val="2F444C18"/>
    <w:rsid w:val="2F637B5D"/>
    <w:rsid w:val="2FCB7E61"/>
    <w:rsid w:val="2FD011B3"/>
    <w:rsid w:val="30F843B8"/>
    <w:rsid w:val="315F664E"/>
    <w:rsid w:val="31671A10"/>
    <w:rsid w:val="31A57A34"/>
    <w:rsid w:val="31AE0864"/>
    <w:rsid w:val="32BF68D3"/>
    <w:rsid w:val="332919E0"/>
    <w:rsid w:val="33717195"/>
    <w:rsid w:val="341B3CF9"/>
    <w:rsid w:val="34211293"/>
    <w:rsid w:val="34226FA1"/>
    <w:rsid w:val="34380CBB"/>
    <w:rsid w:val="343A21BD"/>
    <w:rsid w:val="34572B3B"/>
    <w:rsid w:val="346860FC"/>
    <w:rsid w:val="34AC101E"/>
    <w:rsid w:val="34E93328"/>
    <w:rsid w:val="34EE58B7"/>
    <w:rsid w:val="34F73B3F"/>
    <w:rsid w:val="3575420A"/>
    <w:rsid w:val="35935F28"/>
    <w:rsid w:val="35B47897"/>
    <w:rsid w:val="364E541C"/>
    <w:rsid w:val="36FC102E"/>
    <w:rsid w:val="37895702"/>
    <w:rsid w:val="37C3007D"/>
    <w:rsid w:val="37CA7950"/>
    <w:rsid w:val="37DE7786"/>
    <w:rsid w:val="3836641C"/>
    <w:rsid w:val="387D65FD"/>
    <w:rsid w:val="38AE218D"/>
    <w:rsid w:val="38B20D0E"/>
    <w:rsid w:val="38BF6852"/>
    <w:rsid w:val="39477622"/>
    <w:rsid w:val="39D3189B"/>
    <w:rsid w:val="39D65971"/>
    <w:rsid w:val="3A0603CF"/>
    <w:rsid w:val="3A4A4962"/>
    <w:rsid w:val="3A8532BF"/>
    <w:rsid w:val="3B783AC3"/>
    <w:rsid w:val="3B852EA8"/>
    <w:rsid w:val="3BF35DC5"/>
    <w:rsid w:val="3BFC6C75"/>
    <w:rsid w:val="3C816039"/>
    <w:rsid w:val="3CB9392B"/>
    <w:rsid w:val="3CBE037F"/>
    <w:rsid w:val="3CEB6555"/>
    <w:rsid w:val="3D6B51C4"/>
    <w:rsid w:val="3DF24001"/>
    <w:rsid w:val="3DFB500C"/>
    <w:rsid w:val="3DFF156B"/>
    <w:rsid w:val="3E557A55"/>
    <w:rsid w:val="3E587BDC"/>
    <w:rsid w:val="3EC148A2"/>
    <w:rsid w:val="3ED03AFE"/>
    <w:rsid w:val="3EE502A8"/>
    <w:rsid w:val="3EE631C0"/>
    <w:rsid w:val="3EFE4E1E"/>
    <w:rsid w:val="3F58191C"/>
    <w:rsid w:val="3F723C7D"/>
    <w:rsid w:val="3F9847CD"/>
    <w:rsid w:val="3FA0010D"/>
    <w:rsid w:val="3FA564CF"/>
    <w:rsid w:val="408F607A"/>
    <w:rsid w:val="409C3472"/>
    <w:rsid w:val="40EF0891"/>
    <w:rsid w:val="41692144"/>
    <w:rsid w:val="420901F4"/>
    <w:rsid w:val="42292CC8"/>
    <w:rsid w:val="426325AC"/>
    <w:rsid w:val="42634C9F"/>
    <w:rsid w:val="43597494"/>
    <w:rsid w:val="437C596A"/>
    <w:rsid w:val="439D3DFC"/>
    <w:rsid w:val="44943A34"/>
    <w:rsid w:val="44A668E5"/>
    <w:rsid w:val="44CC1663"/>
    <w:rsid w:val="44FD4773"/>
    <w:rsid w:val="45103B31"/>
    <w:rsid w:val="45106740"/>
    <w:rsid w:val="454A5A7E"/>
    <w:rsid w:val="4643314C"/>
    <w:rsid w:val="46560BDB"/>
    <w:rsid w:val="46891F2D"/>
    <w:rsid w:val="46BB333D"/>
    <w:rsid w:val="46E138EB"/>
    <w:rsid w:val="46F34946"/>
    <w:rsid w:val="46F41AC5"/>
    <w:rsid w:val="47294566"/>
    <w:rsid w:val="478C3FB4"/>
    <w:rsid w:val="47B15722"/>
    <w:rsid w:val="486D3519"/>
    <w:rsid w:val="488664AD"/>
    <w:rsid w:val="48AF1C27"/>
    <w:rsid w:val="492536F4"/>
    <w:rsid w:val="498B5016"/>
    <w:rsid w:val="4A097166"/>
    <w:rsid w:val="4A710DC1"/>
    <w:rsid w:val="4AAE5161"/>
    <w:rsid w:val="4ACE585E"/>
    <w:rsid w:val="4AD74691"/>
    <w:rsid w:val="4AE9678B"/>
    <w:rsid w:val="4B7B48D7"/>
    <w:rsid w:val="4BBD3E32"/>
    <w:rsid w:val="4BC13DA8"/>
    <w:rsid w:val="4C461EFE"/>
    <w:rsid w:val="4C886AAE"/>
    <w:rsid w:val="4CB33CE7"/>
    <w:rsid w:val="4CD019F8"/>
    <w:rsid w:val="4D537EEC"/>
    <w:rsid w:val="4D672A52"/>
    <w:rsid w:val="4D9E54C7"/>
    <w:rsid w:val="4DE819B8"/>
    <w:rsid w:val="4E3C4D8E"/>
    <w:rsid w:val="4E962863"/>
    <w:rsid w:val="4EA72BC7"/>
    <w:rsid w:val="4EE554BC"/>
    <w:rsid w:val="50652DF3"/>
    <w:rsid w:val="506D6B4D"/>
    <w:rsid w:val="50AF598B"/>
    <w:rsid w:val="5179656A"/>
    <w:rsid w:val="5192196F"/>
    <w:rsid w:val="520D07E8"/>
    <w:rsid w:val="52470403"/>
    <w:rsid w:val="527E3680"/>
    <w:rsid w:val="5322283B"/>
    <w:rsid w:val="5345275E"/>
    <w:rsid w:val="53A148D4"/>
    <w:rsid w:val="53DA35BA"/>
    <w:rsid w:val="53EF453B"/>
    <w:rsid w:val="54617590"/>
    <w:rsid w:val="54643E51"/>
    <w:rsid w:val="548339A4"/>
    <w:rsid w:val="54D373AC"/>
    <w:rsid w:val="54DF2FCC"/>
    <w:rsid w:val="54ED6FF7"/>
    <w:rsid w:val="550D71E2"/>
    <w:rsid w:val="551E05B1"/>
    <w:rsid w:val="55345346"/>
    <w:rsid w:val="55D62183"/>
    <w:rsid w:val="55F140E7"/>
    <w:rsid w:val="565C59BC"/>
    <w:rsid w:val="567D66B3"/>
    <w:rsid w:val="57AD3AAA"/>
    <w:rsid w:val="57F41083"/>
    <w:rsid w:val="57F94DF4"/>
    <w:rsid w:val="5825261C"/>
    <w:rsid w:val="58984905"/>
    <w:rsid w:val="58B07537"/>
    <w:rsid w:val="58B715FD"/>
    <w:rsid w:val="59091BFA"/>
    <w:rsid w:val="591148CD"/>
    <w:rsid w:val="59651D95"/>
    <w:rsid w:val="59C658C1"/>
    <w:rsid w:val="59DF307F"/>
    <w:rsid w:val="5A61633E"/>
    <w:rsid w:val="5A8D0787"/>
    <w:rsid w:val="5A984BAE"/>
    <w:rsid w:val="5AFC18E7"/>
    <w:rsid w:val="5B0A606E"/>
    <w:rsid w:val="5B3E01CF"/>
    <w:rsid w:val="5BBD2689"/>
    <w:rsid w:val="5BD44C4C"/>
    <w:rsid w:val="5C4931EF"/>
    <w:rsid w:val="5CCF59DC"/>
    <w:rsid w:val="5D0B7D34"/>
    <w:rsid w:val="5D122976"/>
    <w:rsid w:val="5D3B535A"/>
    <w:rsid w:val="5DF23751"/>
    <w:rsid w:val="5E7906AE"/>
    <w:rsid w:val="5EAA2E68"/>
    <w:rsid w:val="5EC45E61"/>
    <w:rsid w:val="5F0D1CB9"/>
    <w:rsid w:val="5F0D5E3E"/>
    <w:rsid w:val="5F2930FB"/>
    <w:rsid w:val="5F316EDB"/>
    <w:rsid w:val="5F7A4222"/>
    <w:rsid w:val="5F874FF4"/>
    <w:rsid w:val="5FEF45F4"/>
    <w:rsid w:val="5FF612D7"/>
    <w:rsid w:val="600C2DE8"/>
    <w:rsid w:val="60204323"/>
    <w:rsid w:val="6052476B"/>
    <w:rsid w:val="60535F70"/>
    <w:rsid w:val="607D4A02"/>
    <w:rsid w:val="61363D34"/>
    <w:rsid w:val="61A41788"/>
    <w:rsid w:val="61D168C0"/>
    <w:rsid w:val="61DF6D80"/>
    <w:rsid w:val="62511C23"/>
    <w:rsid w:val="627B5514"/>
    <w:rsid w:val="629E6A06"/>
    <w:rsid w:val="62EC66C9"/>
    <w:rsid w:val="635B12F6"/>
    <w:rsid w:val="63901A0D"/>
    <w:rsid w:val="64044179"/>
    <w:rsid w:val="642127F3"/>
    <w:rsid w:val="64CC3514"/>
    <w:rsid w:val="65B15F69"/>
    <w:rsid w:val="660C4859"/>
    <w:rsid w:val="66792086"/>
    <w:rsid w:val="668224C6"/>
    <w:rsid w:val="67385A3C"/>
    <w:rsid w:val="675A65EF"/>
    <w:rsid w:val="679B433E"/>
    <w:rsid w:val="681C78CA"/>
    <w:rsid w:val="683C1807"/>
    <w:rsid w:val="68832CA6"/>
    <w:rsid w:val="68C94CD7"/>
    <w:rsid w:val="68E92D3F"/>
    <w:rsid w:val="68FE2958"/>
    <w:rsid w:val="691E1990"/>
    <w:rsid w:val="69394735"/>
    <w:rsid w:val="69AC3512"/>
    <w:rsid w:val="6A107439"/>
    <w:rsid w:val="6A2D29A5"/>
    <w:rsid w:val="6A69362A"/>
    <w:rsid w:val="6A924C4C"/>
    <w:rsid w:val="6AC029BD"/>
    <w:rsid w:val="6AE82E15"/>
    <w:rsid w:val="6AF16F33"/>
    <w:rsid w:val="6B104143"/>
    <w:rsid w:val="6B3176AD"/>
    <w:rsid w:val="6B4B0C7C"/>
    <w:rsid w:val="6C272092"/>
    <w:rsid w:val="6C3C7E5E"/>
    <w:rsid w:val="6C6439A0"/>
    <w:rsid w:val="6C69188C"/>
    <w:rsid w:val="6CAC5CC8"/>
    <w:rsid w:val="6CCD54CE"/>
    <w:rsid w:val="6CD63C26"/>
    <w:rsid w:val="6CF66F5A"/>
    <w:rsid w:val="6D22431E"/>
    <w:rsid w:val="6DD775C2"/>
    <w:rsid w:val="6E146DCC"/>
    <w:rsid w:val="6E211FB3"/>
    <w:rsid w:val="6E747B05"/>
    <w:rsid w:val="6EB73CB7"/>
    <w:rsid w:val="6F2F0107"/>
    <w:rsid w:val="6F412535"/>
    <w:rsid w:val="6F430B65"/>
    <w:rsid w:val="6F62294C"/>
    <w:rsid w:val="6F9B5CEC"/>
    <w:rsid w:val="6FDB386D"/>
    <w:rsid w:val="702359F6"/>
    <w:rsid w:val="703D283B"/>
    <w:rsid w:val="70452FF8"/>
    <w:rsid w:val="70C80B8C"/>
    <w:rsid w:val="70C85717"/>
    <w:rsid w:val="70CE33B0"/>
    <w:rsid w:val="70F57817"/>
    <w:rsid w:val="71134472"/>
    <w:rsid w:val="716216F6"/>
    <w:rsid w:val="71A5490B"/>
    <w:rsid w:val="735C5088"/>
    <w:rsid w:val="73D0323B"/>
    <w:rsid w:val="749B2AF9"/>
    <w:rsid w:val="74CF4903"/>
    <w:rsid w:val="74D524F0"/>
    <w:rsid w:val="75084157"/>
    <w:rsid w:val="753E7C59"/>
    <w:rsid w:val="75503422"/>
    <w:rsid w:val="75C82D72"/>
    <w:rsid w:val="75D96408"/>
    <w:rsid w:val="764E037B"/>
    <w:rsid w:val="7698261F"/>
    <w:rsid w:val="76B57DBF"/>
    <w:rsid w:val="77117088"/>
    <w:rsid w:val="774E5BD8"/>
    <w:rsid w:val="775829B7"/>
    <w:rsid w:val="77734BD0"/>
    <w:rsid w:val="77B33C62"/>
    <w:rsid w:val="781F11A1"/>
    <w:rsid w:val="78D323C3"/>
    <w:rsid w:val="78D54095"/>
    <w:rsid w:val="79310A0E"/>
    <w:rsid w:val="79A12A68"/>
    <w:rsid w:val="79EA64C7"/>
    <w:rsid w:val="7A3256F9"/>
    <w:rsid w:val="7A3F205E"/>
    <w:rsid w:val="7A4B281B"/>
    <w:rsid w:val="7A545120"/>
    <w:rsid w:val="7AB20048"/>
    <w:rsid w:val="7AD6622D"/>
    <w:rsid w:val="7AE250A5"/>
    <w:rsid w:val="7AFC6960"/>
    <w:rsid w:val="7BCD2590"/>
    <w:rsid w:val="7BD94854"/>
    <w:rsid w:val="7C413335"/>
    <w:rsid w:val="7C84130F"/>
    <w:rsid w:val="7CEA105F"/>
    <w:rsid w:val="7D24777A"/>
    <w:rsid w:val="7D357EF6"/>
    <w:rsid w:val="7D3B2BF0"/>
    <w:rsid w:val="7D7E4262"/>
    <w:rsid w:val="7D8A7C70"/>
    <w:rsid w:val="7D8E5D5D"/>
    <w:rsid w:val="7DE75EC9"/>
    <w:rsid w:val="7E1536A4"/>
    <w:rsid w:val="7EB81375"/>
    <w:rsid w:val="7EF47F13"/>
    <w:rsid w:val="7F4A08A0"/>
    <w:rsid w:val="7F761695"/>
    <w:rsid w:val="7FAA0768"/>
    <w:rsid w:val="7FBF08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qFormat="1" w:uiPriority="99" w:semiHidden="0" w:name="index 1"/>
    <w:lsdException w:qFormat="1" w:uiPriority="99" w:semiHidden="0" w:name="index 2"/>
    <w:lsdException w:qFormat="1" w:uiPriority="99" w:semiHidden="0" w:name="index 3"/>
    <w:lsdException w:qFormat="1" w:uiPriority="99" w:semiHidden="0" w:name="index 4"/>
    <w:lsdException w:qFormat="1" w:uiPriority="99" w:semiHidden="0" w:name="index 5"/>
    <w:lsdException w:qFormat="1" w:uiPriority="99" w:semiHidden="0" w:name="index 6"/>
    <w:lsdException w:qFormat="1" w:uiPriority="99" w:semiHidden="0" w:name="index 7"/>
    <w:lsdException w:qFormat="1" w:uiPriority="99" w:semiHidden="0" w:name="index 8"/>
    <w:lsdException w:qFormat="1" w:uiPriority="99" w:semiHidden="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iPriority="99" w:semiHidden="0" w:name="Normal Indent"/>
    <w:lsdException w:qFormat="1" w:uiPriority="99" w:semiHidden="0" w:name="footnote text"/>
    <w:lsdException w:qFormat="1" w:uiPriority="99" w:semiHidden="0" w:name="annotation text"/>
    <w:lsdException w:qFormat="1" w:uiPriority="99" w:semiHidden="0" w:name="header"/>
    <w:lsdException w:qFormat="1" w:uiPriority="99" w:semiHidden="0" w:name="footer"/>
    <w:lsdException w:qFormat="1" w:uiPriority="99" w:semiHidden="0" w:name="index heading"/>
    <w:lsdException w:qFormat="1" w:uiPriority="35" w:semiHidden="0" w:name="caption"/>
    <w:lsdException w:qFormat="1" w:uiPriority="99" w:semiHidden="0" w:name="table of figures"/>
    <w:lsdException w:qFormat="1" w:uiPriority="99" w:semiHidden="0" w:name="envelope address"/>
    <w:lsdException w:qFormat="1" w:uiPriority="99" w:semiHidden="0"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qFormat="1" w:uiPriority="99" w:semiHidden="0" w:name="endnote text"/>
    <w:lsdException w:qFormat="1" w:uiPriority="99" w:semiHidden="0" w:name="table of authorities"/>
    <w:lsdException w:qFormat="1" w:uiPriority="99" w:semiHidden="0" w:name="macro"/>
    <w:lsdException w:qFormat="1" w:uiPriority="99" w:semiHidden="0" w:name="toa heading"/>
    <w:lsdException w:qFormat="1" w:uiPriority="99" w:semiHidden="0" w:name="List"/>
    <w:lsdException w:qFormat="1" w:uiPriority="99" w:semiHidden="0" w:name="List Bullet"/>
    <w:lsdException w:qFormat="1" w:uiPriority="99" w:semiHidden="0" w:name="List Number"/>
    <w:lsdException w:qFormat="1" w:uiPriority="99" w:semiHidden="0" w:name="List 2"/>
    <w:lsdException w:qFormat="1" w:uiPriority="99" w:semiHidden="0" w:name="List 3"/>
    <w:lsdException w:qFormat="1" w:uiPriority="99" w:semiHidden="0" w:name="List 4"/>
    <w:lsdException w:qFormat="1" w:uiPriority="99" w:semiHidden="0" w:name="List 5"/>
    <w:lsdException w:qFormat="1" w:uiPriority="99" w:semiHidden="0" w:name="List Bullet 2"/>
    <w:lsdException w:qFormat="1" w:uiPriority="99" w:semiHidden="0" w:name="List Bullet 3"/>
    <w:lsdException w:qFormat="1" w:uiPriority="99" w:semiHidden="0" w:name="List Bullet 4"/>
    <w:lsdException w:qFormat="1" w:uiPriority="99" w:semiHidden="0" w:name="List Bullet 5"/>
    <w:lsdException w:qFormat="1" w:uiPriority="99" w:semiHidden="0" w:name="List Number 2"/>
    <w:lsdException w:qFormat="1" w:uiPriority="99" w:semiHidden="0" w:name="List Number 3"/>
    <w:lsdException w:qFormat="1" w:uiPriority="99" w:semiHidden="0" w:name="List Number 4"/>
    <w:lsdException w:qFormat="1" w:uiPriority="99" w:semiHidden="0" w:name="List Number 5"/>
    <w:lsdException w:qFormat="1" w:unhideWhenUsed="0" w:uiPriority="10" w:semiHidden="0" w:name="Title"/>
    <w:lsdException w:qFormat="1" w:uiPriority="99" w:semiHidden="0" w:name="Closing"/>
    <w:lsdException w:qFormat="1" w:uiPriority="99" w:semiHidden="0" w:name="Signature"/>
    <w:lsdException w:qFormat="1" w:uiPriority="1" w:semiHidden="0" w:name="Default Paragraph Font"/>
    <w:lsdException w:qFormat="1" w:uiPriority="99" w:semiHidden="0" w:name="Body Text"/>
    <w:lsdException w:qFormat="1" w:uiPriority="99" w:semiHidden="0" w:name="Body Text Indent"/>
    <w:lsdException w:qFormat="1" w:uiPriority="99" w:semiHidden="0" w:name="List Continue"/>
    <w:lsdException w:qFormat="1" w:uiPriority="99" w:semiHidden="0" w:name="List Continue 2"/>
    <w:lsdException w:qFormat="1" w:uiPriority="99" w:semiHidden="0" w:name="List Continue 3"/>
    <w:lsdException w:qFormat="1" w:uiPriority="99" w:semiHidden="0" w:name="List Continue 4"/>
    <w:lsdException w:qFormat="1" w:uiPriority="99" w:semiHidden="0" w:name="List Continue 5"/>
    <w:lsdException w:qFormat="1" w:uiPriority="99" w:semiHidden="0" w:name="Message Header"/>
    <w:lsdException w:qFormat="1" w:unhideWhenUsed="0" w:uiPriority="11" w:semiHidden="0" w:name="Subtitle"/>
    <w:lsdException w:qFormat="1" w:uiPriority="99" w:semiHidden="0" w:name="Salutation"/>
    <w:lsdException w:qFormat="1" w:uiPriority="99" w:semiHidden="0" w:name="Date"/>
    <w:lsdException w:qFormat="1" w:uiPriority="99" w:semiHidden="0" w:name="Body Text First Indent"/>
    <w:lsdException w:qFormat="1" w:uiPriority="99" w:semiHidden="0" w:name="Body Text First Indent 2"/>
    <w:lsdException w:qFormat="1" w:uiPriority="99" w:semiHidden="0" w:name="Note Heading"/>
    <w:lsdException w:qFormat="1" w:uiPriority="99" w:semiHidden="0" w:name="Body Text 2"/>
    <w:lsdException w:qFormat="1" w:uiPriority="99" w:semiHidden="0" w:name="Body Text 3"/>
    <w:lsdException w:qFormat="1" w:uiPriority="99" w:semiHidden="0" w:name="Body Text Indent 2"/>
    <w:lsdException w:qFormat="1" w:uiPriority="99" w:semiHidden="0" w:name="Body Text Indent 3"/>
    <w:lsdException w:qFormat="1" w:uiPriority="99" w:semiHidden="0"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qFormat="1" w:uiPriority="99" w:semiHidden="0" w:name="E-mail Signature"/>
    <w:lsdException w:qFormat="1" w:uiPriority="99" w:semiHidden="0" w:name="Normal (Web)"/>
    <w:lsdException w:uiPriority="99" w:name="HTML Acronym"/>
    <w:lsdException w:qFormat="1" w:uiPriority="99" w:semiHidden="0"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1"/>
    <w:link w:val="102"/>
    <w:qFormat/>
    <w:uiPriority w:val="9"/>
    <w:pPr>
      <w:keepNext/>
      <w:keepLines/>
      <w:spacing w:before="340" w:after="330" w:line="578" w:lineRule="auto"/>
      <w:outlineLvl w:val="0"/>
    </w:pPr>
    <w:rPr>
      <w:b/>
      <w:bCs/>
      <w:kern w:val="44"/>
      <w:sz w:val="44"/>
      <w:szCs w:val="44"/>
    </w:rPr>
  </w:style>
  <w:style w:type="paragraph" w:styleId="5">
    <w:name w:val="heading 2"/>
    <w:basedOn w:val="1"/>
    <w:next w:val="1"/>
    <w:link w:val="10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6">
    <w:name w:val="heading 3"/>
    <w:basedOn w:val="1"/>
    <w:next w:val="1"/>
    <w:link w:val="108"/>
    <w:unhideWhenUsed/>
    <w:qFormat/>
    <w:uiPriority w:val="9"/>
    <w:pPr>
      <w:keepNext/>
      <w:keepLines/>
      <w:spacing w:before="260" w:after="260" w:line="416" w:lineRule="auto"/>
      <w:outlineLvl w:val="2"/>
    </w:pPr>
    <w:rPr>
      <w:b/>
      <w:bCs/>
      <w:sz w:val="32"/>
      <w:szCs w:val="32"/>
    </w:rPr>
  </w:style>
  <w:style w:type="paragraph" w:styleId="7">
    <w:name w:val="heading 4"/>
    <w:basedOn w:val="1"/>
    <w:next w:val="1"/>
    <w:link w:val="109"/>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8">
    <w:name w:val="heading 5"/>
    <w:basedOn w:val="1"/>
    <w:next w:val="1"/>
    <w:link w:val="110"/>
    <w:unhideWhenUsed/>
    <w:qFormat/>
    <w:uiPriority w:val="9"/>
    <w:pPr>
      <w:keepNext/>
      <w:keepLines/>
      <w:spacing w:before="280" w:after="290" w:line="376" w:lineRule="auto"/>
      <w:outlineLvl w:val="4"/>
    </w:pPr>
    <w:rPr>
      <w:b/>
      <w:bCs/>
      <w:sz w:val="28"/>
      <w:szCs w:val="28"/>
    </w:rPr>
  </w:style>
  <w:style w:type="paragraph" w:styleId="9">
    <w:name w:val="heading 6"/>
    <w:basedOn w:val="1"/>
    <w:next w:val="1"/>
    <w:link w:val="111"/>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10">
    <w:name w:val="heading 7"/>
    <w:basedOn w:val="1"/>
    <w:next w:val="1"/>
    <w:link w:val="112"/>
    <w:unhideWhenUsed/>
    <w:qFormat/>
    <w:uiPriority w:val="9"/>
    <w:pPr>
      <w:keepNext/>
      <w:keepLines/>
      <w:spacing w:before="240" w:after="64" w:line="320" w:lineRule="auto"/>
      <w:outlineLvl w:val="6"/>
    </w:pPr>
    <w:rPr>
      <w:b/>
      <w:bCs/>
      <w:sz w:val="24"/>
      <w:szCs w:val="24"/>
    </w:rPr>
  </w:style>
  <w:style w:type="paragraph" w:styleId="11">
    <w:name w:val="heading 8"/>
    <w:basedOn w:val="1"/>
    <w:next w:val="1"/>
    <w:link w:val="113"/>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paragraph" w:styleId="12">
    <w:name w:val="heading 9"/>
    <w:basedOn w:val="1"/>
    <w:next w:val="1"/>
    <w:link w:val="114"/>
    <w:unhideWhenUsed/>
    <w:qFormat/>
    <w:uiPriority w:val="9"/>
    <w:pPr>
      <w:keepNext/>
      <w:keepLines/>
      <w:spacing w:before="240" w:after="64" w:line="320" w:lineRule="auto"/>
      <w:outlineLvl w:val="8"/>
    </w:pPr>
    <w:rPr>
      <w:rFonts w:asciiTheme="majorHAnsi" w:hAnsiTheme="majorHAnsi" w:eastAsiaTheme="majorEastAsia" w:cstheme="majorBidi"/>
      <w:szCs w:val="21"/>
    </w:rPr>
  </w:style>
  <w:style w:type="character" w:default="1" w:styleId="90">
    <w:name w:val="Default Paragraph Font"/>
    <w:unhideWhenUsed/>
    <w:qFormat/>
    <w:uiPriority w:val="1"/>
  </w:style>
  <w:style w:type="table" w:default="1" w:styleId="88">
    <w:name w:val="Normal Table"/>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style>
  <w:style w:type="paragraph" w:styleId="3">
    <w:name w:val="macro"/>
    <w:link w:val="119"/>
    <w:unhideWhenUsed/>
    <w:qFormat/>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Courier New"/>
      <w:kern w:val="2"/>
      <w:sz w:val="24"/>
      <w:szCs w:val="24"/>
      <w:lang w:val="en-US" w:eastAsia="zh-CN" w:bidi="ar-SA"/>
    </w:rPr>
  </w:style>
  <w:style w:type="paragraph" w:styleId="13">
    <w:name w:val="List 3"/>
    <w:basedOn w:val="1"/>
    <w:unhideWhenUsed/>
    <w:qFormat/>
    <w:uiPriority w:val="99"/>
    <w:pPr>
      <w:ind w:left="100" w:leftChars="400" w:hanging="200" w:hangingChars="200"/>
      <w:contextualSpacing/>
    </w:pPr>
  </w:style>
  <w:style w:type="paragraph" w:styleId="14">
    <w:name w:val="toc 7"/>
    <w:basedOn w:val="1"/>
    <w:next w:val="1"/>
    <w:unhideWhenUsed/>
    <w:qFormat/>
    <w:uiPriority w:val="39"/>
    <w:pPr>
      <w:ind w:left="2520" w:leftChars="1200"/>
    </w:pPr>
  </w:style>
  <w:style w:type="paragraph" w:styleId="15">
    <w:name w:val="List Number 2"/>
    <w:basedOn w:val="1"/>
    <w:unhideWhenUsed/>
    <w:qFormat/>
    <w:uiPriority w:val="99"/>
    <w:pPr>
      <w:numPr>
        <w:ilvl w:val="0"/>
        <w:numId w:val="1"/>
      </w:numPr>
      <w:contextualSpacing/>
    </w:pPr>
  </w:style>
  <w:style w:type="paragraph" w:styleId="16">
    <w:name w:val="table of authorities"/>
    <w:basedOn w:val="1"/>
    <w:next w:val="1"/>
    <w:unhideWhenUsed/>
    <w:qFormat/>
    <w:uiPriority w:val="99"/>
    <w:pPr>
      <w:ind w:left="420" w:leftChars="200"/>
    </w:pPr>
  </w:style>
  <w:style w:type="paragraph" w:styleId="17">
    <w:name w:val="Note Heading"/>
    <w:basedOn w:val="1"/>
    <w:next w:val="1"/>
    <w:link w:val="142"/>
    <w:unhideWhenUsed/>
    <w:qFormat/>
    <w:uiPriority w:val="99"/>
    <w:pPr>
      <w:jc w:val="center"/>
    </w:pPr>
  </w:style>
  <w:style w:type="paragraph" w:styleId="18">
    <w:name w:val="List Bullet 4"/>
    <w:basedOn w:val="1"/>
    <w:unhideWhenUsed/>
    <w:qFormat/>
    <w:uiPriority w:val="99"/>
    <w:pPr>
      <w:numPr>
        <w:ilvl w:val="0"/>
        <w:numId w:val="2"/>
      </w:numPr>
      <w:contextualSpacing/>
    </w:pPr>
  </w:style>
  <w:style w:type="paragraph" w:styleId="19">
    <w:name w:val="index 8"/>
    <w:basedOn w:val="1"/>
    <w:next w:val="1"/>
    <w:unhideWhenUsed/>
    <w:qFormat/>
    <w:uiPriority w:val="99"/>
    <w:pPr>
      <w:ind w:left="1400" w:leftChars="1400"/>
    </w:pPr>
  </w:style>
  <w:style w:type="paragraph" w:styleId="20">
    <w:name w:val="E-mail Signature"/>
    <w:basedOn w:val="1"/>
    <w:link w:val="117"/>
    <w:unhideWhenUsed/>
    <w:qFormat/>
    <w:uiPriority w:val="99"/>
  </w:style>
  <w:style w:type="paragraph" w:styleId="21">
    <w:name w:val="List Number"/>
    <w:basedOn w:val="1"/>
    <w:unhideWhenUsed/>
    <w:qFormat/>
    <w:uiPriority w:val="99"/>
    <w:pPr>
      <w:numPr>
        <w:ilvl w:val="0"/>
        <w:numId w:val="3"/>
      </w:numPr>
      <w:contextualSpacing/>
    </w:pPr>
  </w:style>
  <w:style w:type="paragraph" w:styleId="22">
    <w:name w:val="caption"/>
    <w:basedOn w:val="1"/>
    <w:next w:val="1"/>
    <w:unhideWhenUsed/>
    <w:qFormat/>
    <w:uiPriority w:val="35"/>
    <w:rPr>
      <w:rFonts w:eastAsia="黑体" w:asciiTheme="majorHAnsi" w:hAnsiTheme="majorHAnsi" w:cstheme="majorBidi"/>
      <w:sz w:val="20"/>
      <w:szCs w:val="20"/>
    </w:rPr>
  </w:style>
  <w:style w:type="paragraph" w:styleId="23">
    <w:name w:val="index 5"/>
    <w:basedOn w:val="1"/>
    <w:next w:val="1"/>
    <w:unhideWhenUsed/>
    <w:qFormat/>
    <w:uiPriority w:val="99"/>
    <w:pPr>
      <w:ind w:left="800" w:leftChars="800"/>
    </w:pPr>
  </w:style>
  <w:style w:type="paragraph" w:styleId="24">
    <w:name w:val="List Bullet"/>
    <w:basedOn w:val="1"/>
    <w:unhideWhenUsed/>
    <w:qFormat/>
    <w:uiPriority w:val="99"/>
    <w:pPr>
      <w:numPr>
        <w:ilvl w:val="0"/>
        <w:numId w:val="4"/>
      </w:numPr>
      <w:contextualSpacing/>
    </w:pPr>
  </w:style>
  <w:style w:type="paragraph" w:styleId="25">
    <w:name w:val="envelope address"/>
    <w:basedOn w:val="1"/>
    <w:unhideWhenUsed/>
    <w:qFormat/>
    <w:uiPriority w:val="99"/>
    <w:pPr>
      <w:framePr w:w="7920" w:h="1980" w:hRule="exact" w:hSpace="180" w:wrap="around" w:vAnchor="margin" w:hAnchor="page" w:xAlign="center" w:yAlign="bottom"/>
      <w:snapToGrid w:val="0"/>
      <w:ind w:left="100" w:leftChars="1400"/>
    </w:pPr>
    <w:rPr>
      <w:rFonts w:asciiTheme="majorHAnsi" w:hAnsiTheme="majorHAnsi" w:eastAsiaTheme="majorEastAsia" w:cstheme="majorBidi"/>
      <w:sz w:val="24"/>
      <w:szCs w:val="24"/>
    </w:rPr>
  </w:style>
  <w:style w:type="paragraph" w:styleId="26">
    <w:name w:val="Document Map"/>
    <w:basedOn w:val="1"/>
    <w:link w:val="130"/>
    <w:unhideWhenUsed/>
    <w:qFormat/>
    <w:uiPriority w:val="99"/>
    <w:rPr>
      <w:rFonts w:ascii="宋体" w:eastAsia="宋体"/>
      <w:sz w:val="18"/>
      <w:szCs w:val="18"/>
    </w:rPr>
  </w:style>
  <w:style w:type="paragraph" w:styleId="27">
    <w:name w:val="toa heading"/>
    <w:basedOn w:val="1"/>
    <w:next w:val="1"/>
    <w:unhideWhenUsed/>
    <w:qFormat/>
    <w:uiPriority w:val="99"/>
    <w:pPr>
      <w:spacing w:before="120"/>
    </w:pPr>
    <w:rPr>
      <w:rFonts w:eastAsia="宋体" w:asciiTheme="majorHAnsi" w:hAnsiTheme="majorHAnsi" w:cstheme="majorBidi"/>
      <w:sz w:val="24"/>
      <w:szCs w:val="24"/>
    </w:rPr>
  </w:style>
  <w:style w:type="paragraph" w:styleId="28">
    <w:name w:val="annotation text"/>
    <w:basedOn w:val="1"/>
    <w:link w:val="125"/>
    <w:unhideWhenUsed/>
    <w:qFormat/>
    <w:uiPriority w:val="99"/>
    <w:pPr>
      <w:jc w:val="left"/>
    </w:pPr>
  </w:style>
  <w:style w:type="paragraph" w:styleId="29">
    <w:name w:val="index 6"/>
    <w:basedOn w:val="1"/>
    <w:next w:val="1"/>
    <w:unhideWhenUsed/>
    <w:qFormat/>
    <w:uiPriority w:val="99"/>
    <w:pPr>
      <w:ind w:left="1000" w:leftChars="1000"/>
    </w:pPr>
  </w:style>
  <w:style w:type="paragraph" w:styleId="30">
    <w:name w:val="Salutation"/>
    <w:basedOn w:val="1"/>
    <w:next w:val="1"/>
    <w:link w:val="115"/>
    <w:unhideWhenUsed/>
    <w:qFormat/>
    <w:uiPriority w:val="99"/>
  </w:style>
  <w:style w:type="paragraph" w:styleId="31">
    <w:name w:val="Body Text 3"/>
    <w:basedOn w:val="1"/>
    <w:link w:val="139"/>
    <w:unhideWhenUsed/>
    <w:qFormat/>
    <w:uiPriority w:val="99"/>
    <w:pPr>
      <w:spacing w:after="120"/>
    </w:pPr>
    <w:rPr>
      <w:sz w:val="16"/>
      <w:szCs w:val="16"/>
    </w:rPr>
  </w:style>
  <w:style w:type="paragraph" w:styleId="32">
    <w:name w:val="Closing"/>
    <w:basedOn w:val="1"/>
    <w:link w:val="121"/>
    <w:unhideWhenUsed/>
    <w:qFormat/>
    <w:uiPriority w:val="99"/>
    <w:pPr>
      <w:ind w:left="100" w:leftChars="2100"/>
    </w:pPr>
  </w:style>
  <w:style w:type="paragraph" w:styleId="33">
    <w:name w:val="List Bullet 3"/>
    <w:basedOn w:val="1"/>
    <w:unhideWhenUsed/>
    <w:qFormat/>
    <w:uiPriority w:val="99"/>
    <w:pPr>
      <w:numPr>
        <w:ilvl w:val="0"/>
        <w:numId w:val="5"/>
      </w:numPr>
      <w:contextualSpacing/>
    </w:pPr>
  </w:style>
  <w:style w:type="paragraph" w:styleId="34">
    <w:name w:val="Body Text"/>
    <w:basedOn w:val="1"/>
    <w:link w:val="135"/>
    <w:unhideWhenUsed/>
    <w:qFormat/>
    <w:uiPriority w:val="99"/>
    <w:pPr>
      <w:spacing w:after="120"/>
    </w:pPr>
  </w:style>
  <w:style w:type="paragraph" w:styleId="35">
    <w:name w:val="Body Text Indent"/>
    <w:basedOn w:val="1"/>
    <w:link w:val="99"/>
    <w:unhideWhenUsed/>
    <w:qFormat/>
    <w:uiPriority w:val="99"/>
    <w:pPr>
      <w:spacing w:after="120" w:line="360" w:lineRule="auto"/>
      <w:ind w:left="420" w:leftChars="200"/>
    </w:pPr>
    <w:rPr>
      <w:rFonts w:ascii="Times New Roman" w:hAnsi="Times New Roman" w:eastAsia="宋体" w:cs="Times New Roman"/>
      <w:sz w:val="24"/>
      <w:szCs w:val="24"/>
    </w:rPr>
  </w:style>
  <w:style w:type="paragraph" w:styleId="36">
    <w:name w:val="List Number 3"/>
    <w:basedOn w:val="1"/>
    <w:unhideWhenUsed/>
    <w:qFormat/>
    <w:uiPriority w:val="99"/>
    <w:pPr>
      <w:numPr>
        <w:ilvl w:val="0"/>
        <w:numId w:val="6"/>
      </w:numPr>
      <w:contextualSpacing/>
    </w:pPr>
  </w:style>
  <w:style w:type="paragraph" w:styleId="37">
    <w:name w:val="List 2"/>
    <w:basedOn w:val="1"/>
    <w:unhideWhenUsed/>
    <w:qFormat/>
    <w:uiPriority w:val="99"/>
    <w:pPr>
      <w:ind w:left="100" w:leftChars="200" w:hanging="200" w:hangingChars="200"/>
      <w:contextualSpacing/>
    </w:pPr>
  </w:style>
  <w:style w:type="paragraph" w:styleId="38">
    <w:name w:val="List Continue"/>
    <w:basedOn w:val="1"/>
    <w:unhideWhenUsed/>
    <w:qFormat/>
    <w:uiPriority w:val="99"/>
    <w:pPr>
      <w:spacing w:after="120"/>
      <w:ind w:left="420" w:leftChars="200"/>
      <w:contextualSpacing/>
    </w:pPr>
  </w:style>
  <w:style w:type="paragraph" w:styleId="39">
    <w:name w:val="Block Text"/>
    <w:basedOn w:val="1"/>
    <w:unhideWhenUsed/>
    <w:qFormat/>
    <w:uiPriority w:val="99"/>
    <w:pPr>
      <w:spacing w:after="120"/>
      <w:ind w:left="1440" w:leftChars="700" w:right="1440" w:rightChars="700"/>
    </w:pPr>
  </w:style>
  <w:style w:type="paragraph" w:styleId="40">
    <w:name w:val="List Bullet 2"/>
    <w:basedOn w:val="1"/>
    <w:unhideWhenUsed/>
    <w:qFormat/>
    <w:uiPriority w:val="99"/>
    <w:pPr>
      <w:numPr>
        <w:ilvl w:val="0"/>
        <w:numId w:val="7"/>
      </w:numPr>
      <w:contextualSpacing/>
    </w:pPr>
  </w:style>
  <w:style w:type="paragraph" w:styleId="41">
    <w:name w:val="HTML Address"/>
    <w:basedOn w:val="1"/>
    <w:link w:val="106"/>
    <w:unhideWhenUsed/>
    <w:qFormat/>
    <w:uiPriority w:val="99"/>
    <w:rPr>
      <w:i/>
      <w:iCs/>
    </w:rPr>
  </w:style>
  <w:style w:type="paragraph" w:styleId="42">
    <w:name w:val="index 4"/>
    <w:basedOn w:val="1"/>
    <w:next w:val="1"/>
    <w:unhideWhenUsed/>
    <w:qFormat/>
    <w:uiPriority w:val="99"/>
    <w:pPr>
      <w:ind w:left="600" w:leftChars="600"/>
    </w:pPr>
  </w:style>
  <w:style w:type="paragraph" w:styleId="43">
    <w:name w:val="toc 5"/>
    <w:basedOn w:val="1"/>
    <w:next w:val="1"/>
    <w:unhideWhenUsed/>
    <w:qFormat/>
    <w:uiPriority w:val="39"/>
    <w:pPr>
      <w:ind w:left="1680" w:leftChars="800"/>
    </w:pPr>
  </w:style>
  <w:style w:type="paragraph" w:styleId="44">
    <w:name w:val="toc 3"/>
    <w:basedOn w:val="1"/>
    <w:next w:val="1"/>
    <w:unhideWhenUsed/>
    <w:qFormat/>
    <w:uiPriority w:val="39"/>
    <w:pPr>
      <w:ind w:left="840" w:leftChars="400"/>
    </w:pPr>
  </w:style>
  <w:style w:type="paragraph" w:styleId="45">
    <w:name w:val="Plain Text"/>
    <w:basedOn w:val="1"/>
    <w:link w:val="116"/>
    <w:unhideWhenUsed/>
    <w:qFormat/>
    <w:uiPriority w:val="99"/>
    <w:rPr>
      <w:rFonts w:ascii="宋体" w:hAnsi="Courier New" w:eastAsia="宋体" w:cs="Courier New"/>
      <w:szCs w:val="21"/>
    </w:rPr>
  </w:style>
  <w:style w:type="paragraph" w:styleId="46">
    <w:name w:val="List Bullet 5"/>
    <w:basedOn w:val="1"/>
    <w:unhideWhenUsed/>
    <w:qFormat/>
    <w:uiPriority w:val="99"/>
    <w:pPr>
      <w:numPr>
        <w:ilvl w:val="0"/>
        <w:numId w:val="8"/>
      </w:numPr>
      <w:contextualSpacing/>
    </w:pPr>
  </w:style>
  <w:style w:type="paragraph" w:styleId="47">
    <w:name w:val="List Number 4"/>
    <w:basedOn w:val="1"/>
    <w:unhideWhenUsed/>
    <w:qFormat/>
    <w:uiPriority w:val="99"/>
    <w:pPr>
      <w:numPr>
        <w:ilvl w:val="0"/>
        <w:numId w:val="9"/>
      </w:numPr>
      <w:contextualSpacing/>
    </w:pPr>
  </w:style>
  <w:style w:type="paragraph" w:styleId="48">
    <w:name w:val="toc 8"/>
    <w:basedOn w:val="1"/>
    <w:next w:val="1"/>
    <w:unhideWhenUsed/>
    <w:qFormat/>
    <w:uiPriority w:val="39"/>
    <w:pPr>
      <w:ind w:left="2940" w:leftChars="1400"/>
    </w:pPr>
  </w:style>
  <w:style w:type="paragraph" w:styleId="49">
    <w:name w:val="index 3"/>
    <w:basedOn w:val="1"/>
    <w:next w:val="1"/>
    <w:unhideWhenUsed/>
    <w:qFormat/>
    <w:uiPriority w:val="99"/>
    <w:pPr>
      <w:ind w:left="400" w:leftChars="400"/>
    </w:pPr>
  </w:style>
  <w:style w:type="paragraph" w:styleId="50">
    <w:name w:val="Date"/>
    <w:basedOn w:val="1"/>
    <w:next w:val="1"/>
    <w:link w:val="100"/>
    <w:unhideWhenUsed/>
    <w:qFormat/>
    <w:uiPriority w:val="99"/>
    <w:pPr>
      <w:ind w:left="100" w:leftChars="2500"/>
    </w:pPr>
  </w:style>
  <w:style w:type="paragraph" w:styleId="51">
    <w:name w:val="Body Text Indent 2"/>
    <w:basedOn w:val="1"/>
    <w:link w:val="140"/>
    <w:unhideWhenUsed/>
    <w:qFormat/>
    <w:uiPriority w:val="99"/>
    <w:pPr>
      <w:spacing w:after="120" w:line="480" w:lineRule="auto"/>
      <w:ind w:left="420" w:leftChars="200"/>
    </w:pPr>
  </w:style>
  <w:style w:type="paragraph" w:styleId="52">
    <w:name w:val="endnote text"/>
    <w:basedOn w:val="1"/>
    <w:link w:val="129"/>
    <w:unhideWhenUsed/>
    <w:qFormat/>
    <w:uiPriority w:val="99"/>
    <w:pPr>
      <w:snapToGrid w:val="0"/>
      <w:jc w:val="left"/>
    </w:pPr>
  </w:style>
  <w:style w:type="paragraph" w:styleId="53">
    <w:name w:val="List Continue 5"/>
    <w:basedOn w:val="1"/>
    <w:unhideWhenUsed/>
    <w:qFormat/>
    <w:uiPriority w:val="99"/>
    <w:pPr>
      <w:spacing w:after="120"/>
      <w:ind w:left="2100" w:leftChars="1000"/>
      <w:contextualSpacing/>
    </w:pPr>
  </w:style>
  <w:style w:type="paragraph" w:styleId="54">
    <w:name w:val="Balloon Text"/>
    <w:basedOn w:val="1"/>
    <w:link w:val="105"/>
    <w:unhideWhenUsed/>
    <w:qFormat/>
    <w:uiPriority w:val="99"/>
    <w:rPr>
      <w:sz w:val="18"/>
      <w:szCs w:val="18"/>
    </w:rPr>
  </w:style>
  <w:style w:type="paragraph" w:styleId="55">
    <w:name w:val="footer"/>
    <w:basedOn w:val="1"/>
    <w:link w:val="95"/>
    <w:unhideWhenUsed/>
    <w:qFormat/>
    <w:uiPriority w:val="99"/>
    <w:pPr>
      <w:tabs>
        <w:tab w:val="center" w:pos="4153"/>
        <w:tab w:val="right" w:pos="8306"/>
      </w:tabs>
      <w:snapToGrid w:val="0"/>
      <w:jc w:val="left"/>
    </w:pPr>
    <w:rPr>
      <w:sz w:val="18"/>
      <w:szCs w:val="18"/>
    </w:rPr>
  </w:style>
  <w:style w:type="paragraph" w:styleId="56">
    <w:name w:val="envelope return"/>
    <w:basedOn w:val="1"/>
    <w:unhideWhenUsed/>
    <w:qFormat/>
    <w:uiPriority w:val="99"/>
    <w:pPr>
      <w:snapToGrid w:val="0"/>
    </w:pPr>
    <w:rPr>
      <w:rFonts w:asciiTheme="majorHAnsi" w:hAnsiTheme="majorHAnsi" w:eastAsiaTheme="majorEastAsia" w:cstheme="majorBidi"/>
    </w:rPr>
  </w:style>
  <w:style w:type="paragraph" w:styleId="57">
    <w:name w:val="header"/>
    <w:basedOn w:val="1"/>
    <w:link w:val="94"/>
    <w:unhideWhenUsed/>
    <w:qFormat/>
    <w:uiPriority w:val="99"/>
    <w:pPr>
      <w:pBdr>
        <w:bottom w:val="single" w:color="auto" w:sz="6" w:space="1"/>
      </w:pBdr>
      <w:tabs>
        <w:tab w:val="center" w:pos="4153"/>
        <w:tab w:val="right" w:pos="8306"/>
      </w:tabs>
      <w:snapToGrid w:val="0"/>
      <w:jc w:val="center"/>
    </w:pPr>
    <w:rPr>
      <w:sz w:val="18"/>
      <w:szCs w:val="18"/>
    </w:rPr>
  </w:style>
  <w:style w:type="paragraph" w:styleId="58">
    <w:name w:val="Signature"/>
    <w:basedOn w:val="1"/>
    <w:link w:val="127"/>
    <w:unhideWhenUsed/>
    <w:qFormat/>
    <w:uiPriority w:val="99"/>
    <w:pPr>
      <w:ind w:left="100" w:leftChars="2100"/>
    </w:pPr>
  </w:style>
  <w:style w:type="paragraph" w:styleId="59">
    <w:name w:val="toc 1"/>
    <w:basedOn w:val="1"/>
    <w:next w:val="1"/>
    <w:unhideWhenUsed/>
    <w:qFormat/>
    <w:uiPriority w:val="39"/>
  </w:style>
  <w:style w:type="paragraph" w:styleId="60">
    <w:name w:val="List Continue 4"/>
    <w:basedOn w:val="1"/>
    <w:unhideWhenUsed/>
    <w:qFormat/>
    <w:uiPriority w:val="99"/>
    <w:pPr>
      <w:spacing w:after="120"/>
      <w:ind w:left="1680" w:leftChars="800"/>
      <w:contextualSpacing/>
    </w:pPr>
  </w:style>
  <w:style w:type="paragraph" w:styleId="61">
    <w:name w:val="toc 4"/>
    <w:basedOn w:val="1"/>
    <w:next w:val="1"/>
    <w:unhideWhenUsed/>
    <w:qFormat/>
    <w:uiPriority w:val="39"/>
    <w:pPr>
      <w:ind w:left="1260" w:leftChars="600"/>
    </w:pPr>
  </w:style>
  <w:style w:type="paragraph" w:styleId="62">
    <w:name w:val="index heading"/>
    <w:basedOn w:val="1"/>
    <w:next w:val="63"/>
    <w:unhideWhenUsed/>
    <w:qFormat/>
    <w:uiPriority w:val="99"/>
    <w:rPr>
      <w:rFonts w:asciiTheme="majorHAnsi" w:hAnsiTheme="majorHAnsi" w:eastAsiaTheme="majorEastAsia" w:cstheme="majorBidi"/>
      <w:b/>
      <w:bCs/>
    </w:rPr>
  </w:style>
  <w:style w:type="paragraph" w:styleId="63">
    <w:name w:val="index 1"/>
    <w:basedOn w:val="1"/>
    <w:next w:val="1"/>
    <w:unhideWhenUsed/>
    <w:qFormat/>
    <w:uiPriority w:val="99"/>
  </w:style>
  <w:style w:type="paragraph" w:styleId="64">
    <w:name w:val="Subtitle"/>
    <w:basedOn w:val="1"/>
    <w:next w:val="1"/>
    <w:link w:val="118"/>
    <w:qFormat/>
    <w:uiPriority w:val="11"/>
    <w:pPr>
      <w:spacing w:before="240" w:after="60" w:line="312" w:lineRule="auto"/>
      <w:jc w:val="center"/>
      <w:outlineLvl w:val="1"/>
    </w:pPr>
    <w:rPr>
      <w:rFonts w:eastAsia="宋体" w:asciiTheme="majorHAnsi" w:hAnsiTheme="majorHAnsi" w:cstheme="majorBidi"/>
      <w:b/>
      <w:bCs/>
      <w:kern w:val="28"/>
      <w:sz w:val="32"/>
      <w:szCs w:val="32"/>
    </w:rPr>
  </w:style>
  <w:style w:type="paragraph" w:styleId="65">
    <w:name w:val="List Number 5"/>
    <w:basedOn w:val="1"/>
    <w:unhideWhenUsed/>
    <w:qFormat/>
    <w:uiPriority w:val="99"/>
    <w:pPr>
      <w:numPr>
        <w:ilvl w:val="0"/>
        <w:numId w:val="10"/>
      </w:numPr>
      <w:contextualSpacing/>
    </w:pPr>
  </w:style>
  <w:style w:type="paragraph" w:styleId="66">
    <w:name w:val="List"/>
    <w:basedOn w:val="1"/>
    <w:unhideWhenUsed/>
    <w:qFormat/>
    <w:uiPriority w:val="99"/>
    <w:pPr>
      <w:ind w:left="200" w:hanging="200" w:hangingChars="200"/>
      <w:contextualSpacing/>
    </w:pPr>
  </w:style>
  <w:style w:type="paragraph" w:styleId="67">
    <w:name w:val="footnote text"/>
    <w:basedOn w:val="1"/>
    <w:link w:val="120"/>
    <w:unhideWhenUsed/>
    <w:qFormat/>
    <w:uiPriority w:val="99"/>
    <w:pPr>
      <w:snapToGrid w:val="0"/>
      <w:jc w:val="left"/>
    </w:pPr>
    <w:rPr>
      <w:sz w:val="18"/>
      <w:szCs w:val="18"/>
    </w:rPr>
  </w:style>
  <w:style w:type="paragraph" w:styleId="68">
    <w:name w:val="toc 6"/>
    <w:basedOn w:val="1"/>
    <w:next w:val="1"/>
    <w:unhideWhenUsed/>
    <w:qFormat/>
    <w:uiPriority w:val="39"/>
    <w:pPr>
      <w:ind w:left="2100" w:leftChars="1000"/>
    </w:pPr>
  </w:style>
  <w:style w:type="paragraph" w:styleId="69">
    <w:name w:val="List 5"/>
    <w:basedOn w:val="1"/>
    <w:unhideWhenUsed/>
    <w:qFormat/>
    <w:uiPriority w:val="99"/>
    <w:pPr>
      <w:ind w:left="100" w:leftChars="800" w:hanging="200" w:hangingChars="200"/>
      <w:contextualSpacing/>
    </w:pPr>
  </w:style>
  <w:style w:type="paragraph" w:styleId="70">
    <w:name w:val="Body Text Indent 3"/>
    <w:basedOn w:val="1"/>
    <w:link w:val="141"/>
    <w:unhideWhenUsed/>
    <w:qFormat/>
    <w:uiPriority w:val="99"/>
    <w:pPr>
      <w:spacing w:after="120"/>
      <w:ind w:left="420" w:leftChars="200"/>
    </w:pPr>
    <w:rPr>
      <w:sz w:val="16"/>
      <w:szCs w:val="16"/>
    </w:rPr>
  </w:style>
  <w:style w:type="paragraph" w:styleId="71">
    <w:name w:val="index 7"/>
    <w:basedOn w:val="1"/>
    <w:next w:val="1"/>
    <w:unhideWhenUsed/>
    <w:qFormat/>
    <w:uiPriority w:val="99"/>
    <w:pPr>
      <w:ind w:left="1200" w:leftChars="1200"/>
    </w:pPr>
  </w:style>
  <w:style w:type="paragraph" w:styleId="72">
    <w:name w:val="index 9"/>
    <w:basedOn w:val="1"/>
    <w:next w:val="1"/>
    <w:unhideWhenUsed/>
    <w:qFormat/>
    <w:uiPriority w:val="99"/>
    <w:pPr>
      <w:ind w:left="1600" w:leftChars="1600"/>
    </w:pPr>
  </w:style>
  <w:style w:type="paragraph" w:styleId="73">
    <w:name w:val="table of figures"/>
    <w:basedOn w:val="1"/>
    <w:next w:val="1"/>
    <w:unhideWhenUsed/>
    <w:qFormat/>
    <w:uiPriority w:val="99"/>
    <w:pPr>
      <w:ind w:left="200" w:leftChars="200" w:hanging="200" w:hangingChars="200"/>
    </w:pPr>
  </w:style>
  <w:style w:type="paragraph" w:styleId="74">
    <w:name w:val="toc 2"/>
    <w:basedOn w:val="1"/>
    <w:next w:val="1"/>
    <w:unhideWhenUsed/>
    <w:qFormat/>
    <w:uiPriority w:val="39"/>
    <w:pPr>
      <w:ind w:left="420" w:leftChars="200"/>
    </w:pPr>
  </w:style>
  <w:style w:type="paragraph" w:styleId="75">
    <w:name w:val="toc 9"/>
    <w:basedOn w:val="1"/>
    <w:next w:val="1"/>
    <w:unhideWhenUsed/>
    <w:qFormat/>
    <w:uiPriority w:val="39"/>
    <w:pPr>
      <w:ind w:left="3360" w:leftChars="1600"/>
    </w:pPr>
  </w:style>
  <w:style w:type="paragraph" w:styleId="76">
    <w:name w:val="Body Text 2"/>
    <w:basedOn w:val="1"/>
    <w:link w:val="138"/>
    <w:unhideWhenUsed/>
    <w:qFormat/>
    <w:uiPriority w:val="99"/>
    <w:pPr>
      <w:spacing w:after="120" w:line="480" w:lineRule="auto"/>
    </w:pPr>
  </w:style>
  <w:style w:type="paragraph" w:styleId="77">
    <w:name w:val="List 4"/>
    <w:basedOn w:val="1"/>
    <w:unhideWhenUsed/>
    <w:qFormat/>
    <w:uiPriority w:val="99"/>
    <w:pPr>
      <w:ind w:left="100" w:leftChars="600" w:hanging="200" w:hangingChars="200"/>
      <w:contextualSpacing/>
    </w:pPr>
  </w:style>
  <w:style w:type="paragraph" w:styleId="78">
    <w:name w:val="List Continue 2"/>
    <w:basedOn w:val="1"/>
    <w:unhideWhenUsed/>
    <w:qFormat/>
    <w:uiPriority w:val="99"/>
    <w:pPr>
      <w:spacing w:after="120"/>
      <w:ind w:left="840" w:leftChars="400"/>
      <w:contextualSpacing/>
    </w:pPr>
  </w:style>
  <w:style w:type="paragraph" w:styleId="79">
    <w:name w:val="Message Header"/>
    <w:basedOn w:val="1"/>
    <w:link w:val="132"/>
    <w:unhideWhenUsed/>
    <w:qFormat/>
    <w:uiPriority w:val="99"/>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Theme="majorHAnsi" w:hAnsiTheme="majorHAnsi" w:eastAsiaTheme="majorEastAsia" w:cstheme="majorBidi"/>
      <w:sz w:val="24"/>
      <w:szCs w:val="24"/>
    </w:rPr>
  </w:style>
  <w:style w:type="paragraph" w:styleId="80">
    <w:name w:val="HTML Preformatted"/>
    <w:basedOn w:val="1"/>
    <w:link w:val="107"/>
    <w:unhideWhenUsed/>
    <w:qFormat/>
    <w:uiPriority w:val="99"/>
    <w:rPr>
      <w:rFonts w:ascii="Courier New" w:hAnsi="Courier New" w:cs="Courier New"/>
      <w:sz w:val="20"/>
      <w:szCs w:val="20"/>
    </w:rPr>
  </w:style>
  <w:style w:type="paragraph" w:styleId="81">
    <w:name w:val="Normal (Web)"/>
    <w:basedOn w:val="1"/>
    <w:unhideWhenUsed/>
    <w:qFormat/>
    <w:uiPriority w:val="99"/>
    <w:rPr>
      <w:rFonts w:ascii="Times New Roman" w:hAnsi="Times New Roman" w:cs="Times New Roman"/>
      <w:sz w:val="24"/>
      <w:szCs w:val="24"/>
    </w:rPr>
  </w:style>
  <w:style w:type="paragraph" w:styleId="82">
    <w:name w:val="List Continue 3"/>
    <w:basedOn w:val="1"/>
    <w:unhideWhenUsed/>
    <w:qFormat/>
    <w:uiPriority w:val="99"/>
    <w:pPr>
      <w:spacing w:after="120"/>
      <w:ind w:left="1260" w:leftChars="600"/>
      <w:contextualSpacing/>
    </w:pPr>
  </w:style>
  <w:style w:type="paragraph" w:styleId="83">
    <w:name w:val="index 2"/>
    <w:basedOn w:val="1"/>
    <w:next w:val="1"/>
    <w:unhideWhenUsed/>
    <w:qFormat/>
    <w:uiPriority w:val="99"/>
    <w:pPr>
      <w:ind w:left="200" w:leftChars="200"/>
    </w:pPr>
  </w:style>
  <w:style w:type="paragraph" w:styleId="84">
    <w:name w:val="Title"/>
    <w:basedOn w:val="1"/>
    <w:next w:val="1"/>
    <w:link w:val="101"/>
    <w:qFormat/>
    <w:uiPriority w:val="10"/>
    <w:pPr>
      <w:spacing w:before="240" w:after="60"/>
      <w:jc w:val="center"/>
      <w:outlineLvl w:val="0"/>
    </w:pPr>
    <w:rPr>
      <w:rFonts w:eastAsia="宋体" w:asciiTheme="majorHAnsi" w:hAnsiTheme="majorHAnsi" w:cstheme="majorBidi"/>
      <w:b/>
      <w:bCs/>
      <w:sz w:val="32"/>
      <w:szCs w:val="32"/>
    </w:rPr>
  </w:style>
  <w:style w:type="paragraph" w:styleId="85">
    <w:name w:val="annotation subject"/>
    <w:basedOn w:val="28"/>
    <w:next w:val="28"/>
    <w:link w:val="126"/>
    <w:unhideWhenUsed/>
    <w:qFormat/>
    <w:uiPriority w:val="99"/>
    <w:rPr>
      <w:b/>
      <w:bCs/>
    </w:rPr>
  </w:style>
  <w:style w:type="paragraph" w:styleId="86">
    <w:name w:val="Body Text First Indent"/>
    <w:basedOn w:val="34"/>
    <w:link w:val="136"/>
    <w:unhideWhenUsed/>
    <w:qFormat/>
    <w:uiPriority w:val="99"/>
    <w:pPr>
      <w:ind w:firstLine="420" w:firstLineChars="100"/>
    </w:pPr>
  </w:style>
  <w:style w:type="paragraph" w:styleId="87">
    <w:name w:val="Body Text First Indent 2"/>
    <w:basedOn w:val="35"/>
    <w:link w:val="137"/>
    <w:unhideWhenUsed/>
    <w:qFormat/>
    <w:uiPriority w:val="99"/>
    <w:pPr>
      <w:spacing w:line="240" w:lineRule="auto"/>
      <w:ind w:firstLine="420" w:firstLineChars="200"/>
    </w:pPr>
    <w:rPr>
      <w:rFonts w:asciiTheme="minorHAnsi" w:hAnsiTheme="minorHAnsi" w:eastAsiaTheme="minorEastAsia" w:cstheme="minorBidi"/>
      <w:sz w:val="21"/>
      <w:szCs w:val="22"/>
    </w:rPr>
  </w:style>
  <w:style w:type="table" w:styleId="89">
    <w:name w:val="Table Grid"/>
    <w:basedOn w:val="88"/>
    <w:qFormat/>
    <w:uiPriority w:val="0"/>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91">
    <w:name w:val="page number"/>
    <w:unhideWhenUsed/>
    <w:qFormat/>
    <w:uiPriority w:val="99"/>
    <w:rPr>
      <w:rFonts w:eastAsia="宋体" w:cs="Times New Roman"/>
      <w:szCs w:val="22"/>
      <w:lang w:eastAsia="zh-CN"/>
    </w:rPr>
  </w:style>
  <w:style w:type="character" w:styleId="92">
    <w:name w:val="Hyperlink"/>
    <w:basedOn w:val="90"/>
    <w:unhideWhenUsed/>
    <w:qFormat/>
    <w:uiPriority w:val="99"/>
    <w:rPr>
      <w:color w:val="0000FF" w:themeColor="hyperlink"/>
      <w:u w:val="single"/>
      <w14:textFill>
        <w14:solidFill>
          <w14:schemeClr w14:val="hlink"/>
        </w14:solidFill>
      </w14:textFill>
    </w:rPr>
  </w:style>
  <w:style w:type="character" w:styleId="93">
    <w:name w:val="annotation reference"/>
    <w:basedOn w:val="90"/>
    <w:unhideWhenUsed/>
    <w:qFormat/>
    <w:uiPriority w:val="99"/>
    <w:rPr>
      <w:sz w:val="21"/>
      <w:szCs w:val="21"/>
    </w:rPr>
  </w:style>
  <w:style w:type="character" w:customStyle="1" w:styleId="94">
    <w:name w:val="页眉 字符1"/>
    <w:basedOn w:val="90"/>
    <w:link w:val="57"/>
    <w:semiHidden/>
    <w:qFormat/>
    <w:uiPriority w:val="99"/>
    <w:rPr>
      <w:sz w:val="18"/>
      <w:szCs w:val="18"/>
    </w:rPr>
  </w:style>
  <w:style w:type="character" w:customStyle="1" w:styleId="95">
    <w:name w:val="页脚 字符1"/>
    <w:basedOn w:val="90"/>
    <w:link w:val="55"/>
    <w:semiHidden/>
    <w:qFormat/>
    <w:uiPriority w:val="99"/>
    <w:rPr>
      <w:sz w:val="18"/>
      <w:szCs w:val="18"/>
    </w:rPr>
  </w:style>
  <w:style w:type="character" w:customStyle="1" w:styleId="96">
    <w:name w:val="页脚 字符"/>
    <w:qFormat/>
    <w:uiPriority w:val="99"/>
    <w:rPr>
      <w:rFonts w:ascii="Times New Roman" w:hAnsi="Times New Roman" w:eastAsia="宋体" w:cs="Times New Roman"/>
      <w:sz w:val="18"/>
      <w:szCs w:val="18"/>
    </w:rPr>
  </w:style>
  <w:style w:type="character" w:customStyle="1" w:styleId="97">
    <w:name w:val="正文文本缩进 Char1"/>
    <w:qFormat/>
    <w:uiPriority w:val="99"/>
    <w:rPr>
      <w:rFonts w:ascii="Times New Roman" w:hAnsi="Times New Roman" w:eastAsia="宋体" w:cs="Times New Roman"/>
      <w:sz w:val="24"/>
      <w:szCs w:val="24"/>
    </w:rPr>
  </w:style>
  <w:style w:type="character" w:customStyle="1" w:styleId="98">
    <w:name w:val="页眉 字符"/>
    <w:qFormat/>
    <w:uiPriority w:val="99"/>
    <w:rPr>
      <w:rFonts w:ascii="Times New Roman" w:hAnsi="Times New Roman" w:eastAsia="宋体" w:cs="Times New Roman"/>
      <w:sz w:val="18"/>
      <w:szCs w:val="18"/>
    </w:rPr>
  </w:style>
  <w:style w:type="character" w:customStyle="1" w:styleId="99">
    <w:name w:val="正文文本缩进 字符"/>
    <w:basedOn w:val="90"/>
    <w:link w:val="35"/>
    <w:semiHidden/>
    <w:qFormat/>
    <w:uiPriority w:val="99"/>
  </w:style>
  <w:style w:type="character" w:customStyle="1" w:styleId="100">
    <w:name w:val="日期 字符"/>
    <w:basedOn w:val="90"/>
    <w:link w:val="50"/>
    <w:semiHidden/>
    <w:qFormat/>
    <w:uiPriority w:val="99"/>
  </w:style>
  <w:style w:type="character" w:customStyle="1" w:styleId="101">
    <w:name w:val="标题 字符"/>
    <w:basedOn w:val="90"/>
    <w:link w:val="84"/>
    <w:qFormat/>
    <w:uiPriority w:val="10"/>
    <w:rPr>
      <w:rFonts w:eastAsia="宋体" w:asciiTheme="majorHAnsi" w:hAnsiTheme="majorHAnsi" w:cstheme="majorBidi"/>
      <w:b/>
      <w:bCs/>
      <w:sz w:val="32"/>
      <w:szCs w:val="32"/>
    </w:rPr>
  </w:style>
  <w:style w:type="character" w:customStyle="1" w:styleId="102">
    <w:name w:val="标题 1 字符"/>
    <w:basedOn w:val="90"/>
    <w:link w:val="4"/>
    <w:qFormat/>
    <w:uiPriority w:val="9"/>
    <w:rPr>
      <w:b/>
      <w:bCs/>
      <w:kern w:val="44"/>
      <w:sz w:val="44"/>
      <w:szCs w:val="44"/>
    </w:rPr>
  </w:style>
  <w:style w:type="character" w:customStyle="1" w:styleId="103">
    <w:name w:val="标题 2 字符"/>
    <w:basedOn w:val="90"/>
    <w:link w:val="5"/>
    <w:qFormat/>
    <w:uiPriority w:val="9"/>
    <w:rPr>
      <w:rFonts w:asciiTheme="majorHAnsi" w:hAnsiTheme="majorHAnsi" w:eastAsiaTheme="majorEastAsia" w:cstheme="majorBidi"/>
      <w:b/>
      <w:bCs/>
      <w:sz w:val="32"/>
      <w:szCs w:val="32"/>
    </w:rPr>
  </w:style>
  <w:style w:type="paragraph" w:customStyle="1" w:styleId="104">
    <w:name w:val="TOC 标题1"/>
    <w:basedOn w:val="4"/>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105">
    <w:name w:val="批注框文本 字符"/>
    <w:basedOn w:val="90"/>
    <w:link w:val="54"/>
    <w:semiHidden/>
    <w:qFormat/>
    <w:uiPriority w:val="99"/>
    <w:rPr>
      <w:sz w:val="18"/>
      <w:szCs w:val="18"/>
    </w:rPr>
  </w:style>
  <w:style w:type="character" w:customStyle="1" w:styleId="106">
    <w:name w:val="HTML 地址 字符"/>
    <w:basedOn w:val="90"/>
    <w:link w:val="41"/>
    <w:semiHidden/>
    <w:qFormat/>
    <w:uiPriority w:val="99"/>
    <w:rPr>
      <w:i/>
      <w:iCs/>
    </w:rPr>
  </w:style>
  <w:style w:type="character" w:customStyle="1" w:styleId="107">
    <w:name w:val="HTML 预设格式 字符"/>
    <w:basedOn w:val="90"/>
    <w:link w:val="80"/>
    <w:semiHidden/>
    <w:qFormat/>
    <w:uiPriority w:val="99"/>
    <w:rPr>
      <w:rFonts w:ascii="Courier New" w:hAnsi="Courier New" w:cs="Courier New"/>
      <w:sz w:val="20"/>
      <w:szCs w:val="20"/>
    </w:rPr>
  </w:style>
  <w:style w:type="character" w:customStyle="1" w:styleId="108">
    <w:name w:val="标题 3 字符"/>
    <w:basedOn w:val="90"/>
    <w:link w:val="6"/>
    <w:semiHidden/>
    <w:qFormat/>
    <w:uiPriority w:val="9"/>
    <w:rPr>
      <w:b/>
      <w:bCs/>
      <w:sz w:val="32"/>
      <w:szCs w:val="32"/>
    </w:rPr>
  </w:style>
  <w:style w:type="character" w:customStyle="1" w:styleId="109">
    <w:name w:val="标题 4 字符"/>
    <w:basedOn w:val="90"/>
    <w:link w:val="7"/>
    <w:semiHidden/>
    <w:qFormat/>
    <w:uiPriority w:val="9"/>
    <w:rPr>
      <w:rFonts w:asciiTheme="majorHAnsi" w:hAnsiTheme="majorHAnsi" w:eastAsiaTheme="majorEastAsia" w:cstheme="majorBidi"/>
      <w:b/>
      <w:bCs/>
      <w:sz w:val="28"/>
      <w:szCs w:val="28"/>
    </w:rPr>
  </w:style>
  <w:style w:type="character" w:customStyle="1" w:styleId="110">
    <w:name w:val="标题 5 字符"/>
    <w:basedOn w:val="90"/>
    <w:link w:val="8"/>
    <w:semiHidden/>
    <w:qFormat/>
    <w:uiPriority w:val="9"/>
    <w:rPr>
      <w:b/>
      <w:bCs/>
      <w:sz w:val="28"/>
      <w:szCs w:val="28"/>
    </w:rPr>
  </w:style>
  <w:style w:type="character" w:customStyle="1" w:styleId="111">
    <w:name w:val="标题 6 字符"/>
    <w:basedOn w:val="90"/>
    <w:link w:val="9"/>
    <w:semiHidden/>
    <w:qFormat/>
    <w:uiPriority w:val="9"/>
    <w:rPr>
      <w:rFonts w:asciiTheme="majorHAnsi" w:hAnsiTheme="majorHAnsi" w:eastAsiaTheme="majorEastAsia" w:cstheme="majorBidi"/>
      <w:b/>
      <w:bCs/>
      <w:sz w:val="24"/>
      <w:szCs w:val="24"/>
    </w:rPr>
  </w:style>
  <w:style w:type="character" w:customStyle="1" w:styleId="112">
    <w:name w:val="标题 7 字符"/>
    <w:basedOn w:val="90"/>
    <w:link w:val="10"/>
    <w:semiHidden/>
    <w:qFormat/>
    <w:uiPriority w:val="9"/>
    <w:rPr>
      <w:b/>
      <w:bCs/>
      <w:sz w:val="24"/>
      <w:szCs w:val="24"/>
    </w:rPr>
  </w:style>
  <w:style w:type="character" w:customStyle="1" w:styleId="113">
    <w:name w:val="标题 8 字符"/>
    <w:basedOn w:val="90"/>
    <w:link w:val="11"/>
    <w:semiHidden/>
    <w:qFormat/>
    <w:uiPriority w:val="9"/>
    <w:rPr>
      <w:rFonts w:asciiTheme="majorHAnsi" w:hAnsiTheme="majorHAnsi" w:eastAsiaTheme="majorEastAsia" w:cstheme="majorBidi"/>
      <w:sz w:val="24"/>
      <w:szCs w:val="24"/>
    </w:rPr>
  </w:style>
  <w:style w:type="character" w:customStyle="1" w:styleId="114">
    <w:name w:val="标题 9 字符"/>
    <w:basedOn w:val="90"/>
    <w:link w:val="12"/>
    <w:semiHidden/>
    <w:qFormat/>
    <w:uiPriority w:val="9"/>
    <w:rPr>
      <w:rFonts w:asciiTheme="majorHAnsi" w:hAnsiTheme="majorHAnsi" w:eastAsiaTheme="majorEastAsia" w:cstheme="majorBidi"/>
      <w:szCs w:val="21"/>
    </w:rPr>
  </w:style>
  <w:style w:type="character" w:customStyle="1" w:styleId="115">
    <w:name w:val="称呼 字符"/>
    <w:basedOn w:val="90"/>
    <w:link w:val="30"/>
    <w:semiHidden/>
    <w:qFormat/>
    <w:uiPriority w:val="99"/>
  </w:style>
  <w:style w:type="character" w:customStyle="1" w:styleId="116">
    <w:name w:val="纯文本 字符"/>
    <w:basedOn w:val="90"/>
    <w:link w:val="45"/>
    <w:semiHidden/>
    <w:qFormat/>
    <w:uiPriority w:val="99"/>
    <w:rPr>
      <w:rFonts w:ascii="宋体" w:hAnsi="Courier New" w:eastAsia="宋体" w:cs="Courier New"/>
      <w:szCs w:val="21"/>
    </w:rPr>
  </w:style>
  <w:style w:type="character" w:customStyle="1" w:styleId="117">
    <w:name w:val="电子邮件签名 字符"/>
    <w:basedOn w:val="90"/>
    <w:link w:val="20"/>
    <w:semiHidden/>
    <w:qFormat/>
    <w:uiPriority w:val="99"/>
  </w:style>
  <w:style w:type="character" w:customStyle="1" w:styleId="118">
    <w:name w:val="副标题 字符"/>
    <w:basedOn w:val="90"/>
    <w:link w:val="64"/>
    <w:qFormat/>
    <w:uiPriority w:val="11"/>
    <w:rPr>
      <w:rFonts w:eastAsia="宋体" w:asciiTheme="majorHAnsi" w:hAnsiTheme="majorHAnsi" w:cstheme="majorBidi"/>
      <w:b/>
      <w:bCs/>
      <w:kern w:val="28"/>
      <w:sz w:val="32"/>
      <w:szCs w:val="32"/>
    </w:rPr>
  </w:style>
  <w:style w:type="character" w:customStyle="1" w:styleId="119">
    <w:name w:val="宏文本 字符"/>
    <w:basedOn w:val="90"/>
    <w:link w:val="3"/>
    <w:semiHidden/>
    <w:qFormat/>
    <w:uiPriority w:val="99"/>
    <w:rPr>
      <w:rFonts w:ascii="Courier New" w:hAnsi="Courier New" w:eastAsia="宋体" w:cs="Courier New"/>
      <w:sz w:val="24"/>
      <w:szCs w:val="24"/>
    </w:rPr>
  </w:style>
  <w:style w:type="character" w:customStyle="1" w:styleId="120">
    <w:name w:val="脚注文本 字符"/>
    <w:basedOn w:val="90"/>
    <w:link w:val="67"/>
    <w:semiHidden/>
    <w:qFormat/>
    <w:uiPriority w:val="99"/>
    <w:rPr>
      <w:sz w:val="18"/>
      <w:szCs w:val="18"/>
    </w:rPr>
  </w:style>
  <w:style w:type="character" w:customStyle="1" w:styleId="121">
    <w:name w:val="结束语 字符"/>
    <w:basedOn w:val="90"/>
    <w:link w:val="32"/>
    <w:semiHidden/>
    <w:qFormat/>
    <w:uiPriority w:val="99"/>
  </w:style>
  <w:style w:type="paragraph" w:customStyle="1" w:styleId="122">
    <w:name w:val="列出段落1"/>
    <w:basedOn w:val="1"/>
    <w:qFormat/>
    <w:uiPriority w:val="34"/>
    <w:pPr>
      <w:ind w:firstLine="420" w:firstLineChars="200"/>
    </w:pPr>
  </w:style>
  <w:style w:type="paragraph" w:customStyle="1" w:styleId="123">
    <w:name w:val="明显引用1"/>
    <w:basedOn w:val="1"/>
    <w:next w:val="1"/>
    <w:link w:val="124"/>
    <w:qFormat/>
    <w:uiPriority w:val="30"/>
    <w:pPr>
      <w:pBdr>
        <w:bottom w:val="single" w:color="4F81BD" w:themeColor="accent1" w:sz="4" w:space="4"/>
      </w:pBdr>
      <w:spacing w:before="200" w:after="280"/>
      <w:ind w:left="936" w:right="936"/>
    </w:pPr>
    <w:rPr>
      <w:b/>
      <w:bCs/>
      <w:i/>
      <w:iCs/>
      <w:color w:val="4F81BD" w:themeColor="accent1"/>
      <w14:textFill>
        <w14:solidFill>
          <w14:schemeClr w14:val="accent1"/>
        </w14:solidFill>
      </w14:textFill>
    </w:rPr>
  </w:style>
  <w:style w:type="character" w:customStyle="1" w:styleId="124">
    <w:name w:val="明显引用 Char"/>
    <w:basedOn w:val="90"/>
    <w:link w:val="123"/>
    <w:qFormat/>
    <w:uiPriority w:val="30"/>
    <w:rPr>
      <w:b/>
      <w:bCs/>
      <w:i/>
      <w:iCs/>
      <w:color w:val="4F81BD" w:themeColor="accent1"/>
      <w14:textFill>
        <w14:solidFill>
          <w14:schemeClr w14:val="accent1"/>
        </w14:solidFill>
      </w14:textFill>
    </w:rPr>
  </w:style>
  <w:style w:type="character" w:customStyle="1" w:styleId="125">
    <w:name w:val="批注文字 字符"/>
    <w:basedOn w:val="90"/>
    <w:link w:val="28"/>
    <w:semiHidden/>
    <w:qFormat/>
    <w:uiPriority w:val="99"/>
  </w:style>
  <w:style w:type="character" w:customStyle="1" w:styleId="126">
    <w:name w:val="批注主题 字符"/>
    <w:basedOn w:val="125"/>
    <w:link w:val="85"/>
    <w:semiHidden/>
    <w:qFormat/>
    <w:uiPriority w:val="99"/>
    <w:rPr>
      <w:b/>
      <w:bCs/>
    </w:rPr>
  </w:style>
  <w:style w:type="character" w:customStyle="1" w:styleId="127">
    <w:name w:val="签名 字符"/>
    <w:basedOn w:val="90"/>
    <w:link w:val="58"/>
    <w:semiHidden/>
    <w:qFormat/>
    <w:uiPriority w:val="99"/>
  </w:style>
  <w:style w:type="paragraph" w:customStyle="1" w:styleId="128">
    <w:name w:val="书目1"/>
    <w:basedOn w:val="1"/>
    <w:next w:val="1"/>
    <w:unhideWhenUsed/>
    <w:qFormat/>
    <w:uiPriority w:val="37"/>
  </w:style>
  <w:style w:type="character" w:customStyle="1" w:styleId="129">
    <w:name w:val="尾注文本 字符"/>
    <w:basedOn w:val="90"/>
    <w:link w:val="52"/>
    <w:semiHidden/>
    <w:qFormat/>
    <w:uiPriority w:val="99"/>
  </w:style>
  <w:style w:type="character" w:customStyle="1" w:styleId="130">
    <w:name w:val="文档结构图 字符"/>
    <w:basedOn w:val="90"/>
    <w:link w:val="26"/>
    <w:semiHidden/>
    <w:qFormat/>
    <w:uiPriority w:val="99"/>
    <w:rPr>
      <w:rFonts w:ascii="宋体" w:eastAsia="宋体"/>
      <w:sz w:val="18"/>
      <w:szCs w:val="18"/>
    </w:rPr>
  </w:style>
  <w:style w:type="paragraph" w:customStyle="1" w:styleId="131">
    <w:name w:val="无间隔1"/>
    <w:qFormat/>
    <w:uiPriority w:val="1"/>
    <w:pPr>
      <w:widowControl w:val="0"/>
      <w:jc w:val="both"/>
    </w:pPr>
    <w:rPr>
      <w:rFonts w:asciiTheme="minorHAnsi" w:hAnsiTheme="minorHAnsi" w:eastAsiaTheme="minorEastAsia" w:cstheme="minorBidi"/>
      <w:kern w:val="2"/>
      <w:sz w:val="21"/>
      <w:szCs w:val="22"/>
      <w:lang w:val="en-US" w:eastAsia="zh-CN" w:bidi="ar-SA"/>
    </w:rPr>
  </w:style>
  <w:style w:type="character" w:customStyle="1" w:styleId="132">
    <w:name w:val="信息标题 字符"/>
    <w:basedOn w:val="90"/>
    <w:link w:val="79"/>
    <w:semiHidden/>
    <w:qFormat/>
    <w:uiPriority w:val="99"/>
    <w:rPr>
      <w:rFonts w:asciiTheme="majorHAnsi" w:hAnsiTheme="majorHAnsi" w:eastAsiaTheme="majorEastAsia" w:cstheme="majorBidi"/>
      <w:sz w:val="24"/>
      <w:szCs w:val="24"/>
      <w:shd w:val="pct20" w:color="auto" w:fill="auto"/>
    </w:rPr>
  </w:style>
  <w:style w:type="paragraph" w:customStyle="1" w:styleId="133">
    <w:name w:val="引用1"/>
    <w:basedOn w:val="1"/>
    <w:next w:val="1"/>
    <w:link w:val="134"/>
    <w:qFormat/>
    <w:uiPriority w:val="29"/>
    <w:rPr>
      <w:i/>
      <w:iCs/>
      <w:color w:val="000000" w:themeColor="text1"/>
      <w14:textFill>
        <w14:solidFill>
          <w14:schemeClr w14:val="tx1"/>
        </w14:solidFill>
      </w14:textFill>
    </w:rPr>
  </w:style>
  <w:style w:type="character" w:customStyle="1" w:styleId="134">
    <w:name w:val="引用 Char"/>
    <w:basedOn w:val="90"/>
    <w:link w:val="133"/>
    <w:qFormat/>
    <w:uiPriority w:val="29"/>
    <w:rPr>
      <w:i/>
      <w:iCs/>
      <w:color w:val="000000" w:themeColor="text1"/>
      <w14:textFill>
        <w14:solidFill>
          <w14:schemeClr w14:val="tx1"/>
        </w14:solidFill>
      </w14:textFill>
    </w:rPr>
  </w:style>
  <w:style w:type="character" w:customStyle="1" w:styleId="135">
    <w:name w:val="正文文本 字符"/>
    <w:basedOn w:val="90"/>
    <w:link w:val="34"/>
    <w:semiHidden/>
    <w:qFormat/>
    <w:uiPriority w:val="99"/>
  </w:style>
  <w:style w:type="character" w:customStyle="1" w:styleId="136">
    <w:name w:val="正文文本首行缩进 字符"/>
    <w:basedOn w:val="135"/>
    <w:link w:val="86"/>
    <w:semiHidden/>
    <w:qFormat/>
    <w:uiPriority w:val="99"/>
  </w:style>
  <w:style w:type="character" w:customStyle="1" w:styleId="137">
    <w:name w:val="正文文本首行缩进 2 字符"/>
    <w:basedOn w:val="97"/>
    <w:link w:val="87"/>
    <w:semiHidden/>
    <w:qFormat/>
    <w:uiPriority w:val="99"/>
    <w:rPr>
      <w:rFonts w:ascii="Times New Roman" w:hAnsi="Times New Roman" w:eastAsia="宋体" w:cs="Times New Roman"/>
      <w:sz w:val="24"/>
      <w:szCs w:val="24"/>
    </w:rPr>
  </w:style>
  <w:style w:type="character" w:customStyle="1" w:styleId="138">
    <w:name w:val="正文文本 2 字符"/>
    <w:basedOn w:val="90"/>
    <w:link w:val="76"/>
    <w:semiHidden/>
    <w:qFormat/>
    <w:uiPriority w:val="99"/>
  </w:style>
  <w:style w:type="character" w:customStyle="1" w:styleId="139">
    <w:name w:val="正文文本 3 字符"/>
    <w:basedOn w:val="90"/>
    <w:link w:val="31"/>
    <w:semiHidden/>
    <w:qFormat/>
    <w:uiPriority w:val="99"/>
    <w:rPr>
      <w:sz w:val="16"/>
      <w:szCs w:val="16"/>
    </w:rPr>
  </w:style>
  <w:style w:type="character" w:customStyle="1" w:styleId="140">
    <w:name w:val="正文文本缩进 2 字符"/>
    <w:basedOn w:val="90"/>
    <w:link w:val="51"/>
    <w:semiHidden/>
    <w:qFormat/>
    <w:uiPriority w:val="99"/>
  </w:style>
  <w:style w:type="character" w:customStyle="1" w:styleId="141">
    <w:name w:val="正文文本缩进 3 字符"/>
    <w:basedOn w:val="90"/>
    <w:link w:val="70"/>
    <w:semiHidden/>
    <w:qFormat/>
    <w:uiPriority w:val="99"/>
    <w:rPr>
      <w:sz w:val="16"/>
      <w:szCs w:val="16"/>
    </w:rPr>
  </w:style>
  <w:style w:type="character" w:customStyle="1" w:styleId="142">
    <w:name w:val="注释标题 字符"/>
    <w:basedOn w:val="90"/>
    <w:link w:val="17"/>
    <w:semiHidden/>
    <w:qFormat/>
    <w:uiPriority w:val="99"/>
  </w:style>
  <w:style w:type="character" w:customStyle="1" w:styleId="143">
    <w:name w:val="fontstyle01"/>
    <w:basedOn w:val="90"/>
    <w:qFormat/>
    <w:uiPriority w:val="0"/>
    <w:rPr>
      <w:rFonts w:hint="default" w:ascii="TimesNewRomanPSMT" w:hAnsi="TimesNewRomanPSMT" w:eastAsia="TimesNewRomanPSMT" w:cs="TimesNewRomanPSMT"/>
      <w:color w:val="000000"/>
      <w:sz w:val="22"/>
      <w:szCs w:val="22"/>
    </w:rPr>
  </w:style>
  <w:style w:type="paragraph" w:customStyle="1" w:styleId="144">
    <w:name w:val="节"/>
    <w:basedOn w:val="1"/>
    <w:qFormat/>
    <w:uiPriority w:val="0"/>
    <w:pPr>
      <w:tabs>
        <w:tab w:val="left" w:pos="1620"/>
      </w:tabs>
      <w:adjustRightInd w:val="0"/>
      <w:snapToGrid w:val="0"/>
      <w:spacing w:beforeLines="100" w:afterLines="100" w:line="300" w:lineRule="auto"/>
      <w:jc w:val="center"/>
      <w:outlineLvl w:val="1"/>
    </w:pPr>
    <w:rPr>
      <w:rFonts w:ascii="Times New Roman" w:hAnsi="Times New Roman" w:eastAsia="宋体" w:cs="Times New Roman"/>
      <w:b/>
      <w:sz w:val="24"/>
      <w:szCs w:val="24"/>
    </w:rPr>
  </w:style>
  <w:style w:type="paragraph" w:customStyle="1" w:styleId="145">
    <w:name w:val="图表名"/>
    <w:basedOn w:val="1"/>
    <w:qFormat/>
    <w:uiPriority w:val="0"/>
    <w:pPr>
      <w:adjustRightInd w:val="0"/>
      <w:snapToGrid w:val="0"/>
      <w:spacing w:line="360" w:lineRule="auto"/>
      <w:jc w:val="center"/>
    </w:pPr>
    <w:rPr>
      <w:rFonts w:ascii="Times New Roman" w:hAnsi="Times New Roman" w:eastAsia="黑体" w:cs="Times New Roman"/>
      <w:szCs w:val="21"/>
    </w:rPr>
  </w:style>
  <w:style w:type="paragraph" w:customStyle="1" w:styleId="146">
    <w:name w:val="章"/>
    <w:basedOn w:val="1"/>
    <w:qFormat/>
    <w:uiPriority w:val="0"/>
    <w:pPr>
      <w:pageBreakBefore/>
      <w:adjustRightInd w:val="0"/>
      <w:snapToGrid w:val="0"/>
      <w:spacing w:beforeLines="100" w:afterLines="100" w:line="360" w:lineRule="auto"/>
      <w:jc w:val="center"/>
      <w:outlineLvl w:val="0"/>
    </w:pPr>
    <w:rPr>
      <w:rFonts w:ascii="Times New Roman" w:hAnsi="Times New Roman" w:eastAsia="宋体" w:cs="Times New Roman"/>
      <w:b/>
      <w:sz w:val="28"/>
      <w:szCs w:val="20"/>
    </w:rPr>
  </w:style>
  <w:style w:type="paragraph" w:customStyle="1" w:styleId="147">
    <w:name w:val="Table Paragraph"/>
    <w:basedOn w:val="1"/>
    <w:qFormat/>
    <w:uiPriority w:val="1"/>
    <w:pPr>
      <w:spacing w:before="79"/>
      <w:jc w:val="center"/>
    </w:pPr>
    <w:rPr>
      <w:rFonts w:ascii="宋体" w:hAnsi="宋体" w:eastAsia="宋体" w:cs="宋体"/>
      <w:lang w:val="zh-CN" w:bidi="zh-CN"/>
    </w:rPr>
  </w:style>
  <w:style w:type="paragraph" w:customStyle="1" w:styleId="148">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49">
    <w:name w:val="列表段落1"/>
    <w:basedOn w:val="1"/>
    <w:qFormat/>
    <w:uiPriority w:val="99"/>
    <w:pPr>
      <w:ind w:firstLine="420" w:firstLineChars="200"/>
    </w:pPr>
  </w:style>
  <w:style w:type="character" w:customStyle="1" w:styleId="150">
    <w:name w:val="font01"/>
    <w:basedOn w:val="90"/>
    <w:qFormat/>
    <w:uiPriority w:val="0"/>
    <w:rPr>
      <w:rFonts w:hint="eastAsia" w:ascii="宋体" w:hAnsi="宋体" w:eastAsia="宋体" w:cs="宋体"/>
      <w:color w:val="000000"/>
      <w:sz w:val="24"/>
      <w:szCs w:val="24"/>
      <w:u w:val="none"/>
    </w:rPr>
  </w:style>
  <w:style w:type="character" w:customStyle="1" w:styleId="151">
    <w:name w:val="font31"/>
    <w:basedOn w:val="90"/>
    <w:qFormat/>
    <w:uiPriority w:val="0"/>
    <w:rPr>
      <w:rFonts w:hint="eastAsia" w:ascii="宋体" w:hAnsi="宋体" w:eastAsia="宋体" w:cs="宋体"/>
      <w:i/>
      <w:iCs/>
      <w:color w:val="000000"/>
      <w:sz w:val="24"/>
      <w:szCs w:val="24"/>
      <w:u w:val="none"/>
    </w:rPr>
  </w:style>
  <w:style w:type="paragraph" w:customStyle="1" w:styleId="152">
    <w:name w:val="修订1"/>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153">
    <w:name w:val="标准标志"/>
    <w:next w:val="1"/>
    <w:qFormat/>
    <w:uiPriority w:val="0"/>
    <w:pPr>
      <w:shd w:val="solid" w:color="FFFFFF" w:fill="FFFFFF"/>
      <w:spacing w:line="240" w:lineRule="atLeast"/>
      <w:jc w:val="right"/>
    </w:pPr>
    <w:rPr>
      <w:rFonts w:ascii="Times New Roman" w:hAnsi="Times New Roman" w:eastAsia="宋体" w:cs="Times New Roman"/>
      <w:b/>
      <w:w w:val="170"/>
      <w:sz w:val="96"/>
      <w:szCs w:val="96"/>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4.wmf"/><Relationship Id="rId98" Type="http://schemas.openxmlformats.org/officeDocument/2006/relationships/oleObject" Target="embeddings/oleObject37.bin"/><Relationship Id="rId97" Type="http://schemas.openxmlformats.org/officeDocument/2006/relationships/image" Target="media/image53.wmf"/><Relationship Id="rId96" Type="http://schemas.openxmlformats.org/officeDocument/2006/relationships/oleObject" Target="embeddings/oleObject36.bin"/><Relationship Id="rId95" Type="http://schemas.openxmlformats.org/officeDocument/2006/relationships/image" Target="media/image52.wmf"/><Relationship Id="rId94" Type="http://schemas.openxmlformats.org/officeDocument/2006/relationships/oleObject" Target="embeddings/oleObject35.bin"/><Relationship Id="rId93" Type="http://schemas.openxmlformats.org/officeDocument/2006/relationships/image" Target="media/image51.wmf"/><Relationship Id="rId92" Type="http://schemas.openxmlformats.org/officeDocument/2006/relationships/oleObject" Target="embeddings/oleObject34.bin"/><Relationship Id="rId91" Type="http://schemas.openxmlformats.org/officeDocument/2006/relationships/image" Target="media/image50.wmf"/><Relationship Id="rId90" Type="http://schemas.openxmlformats.org/officeDocument/2006/relationships/oleObject" Target="embeddings/oleObject33.bin"/><Relationship Id="rId9" Type="http://schemas.openxmlformats.org/officeDocument/2006/relationships/image" Target="media/image2.jpeg"/><Relationship Id="rId89" Type="http://schemas.openxmlformats.org/officeDocument/2006/relationships/image" Target="media/image49.wmf"/><Relationship Id="rId88" Type="http://schemas.openxmlformats.org/officeDocument/2006/relationships/oleObject" Target="embeddings/oleObject32.bin"/><Relationship Id="rId87" Type="http://schemas.openxmlformats.org/officeDocument/2006/relationships/image" Target="media/image48.wmf"/><Relationship Id="rId86" Type="http://schemas.openxmlformats.org/officeDocument/2006/relationships/oleObject" Target="embeddings/oleObject31.bin"/><Relationship Id="rId85" Type="http://schemas.openxmlformats.org/officeDocument/2006/relationships/image" Target="media/image47.wmf"/><Relationship Id="rId84" Type="http://schemas.openxmlformats.org/officeDocument/2006/relationships/oleObject" Target="embeddings/oleObject30.bin"/><Relationship Id="rId83" Type="http://schemas.openxmlformats.org/officeDocument/2006/relationships/image" Target="media/image46.wmf"/><Relationship Id="rId82" Type="http://schemas.openxmlformats.org/officeDocument/2006/relationships/oleObject" Target="embeddings/oleObject29.bin"/><Relationship Id="rId81" Type="http://schemas.openxmlformats.org/officeDocument/2006/relationships/image" Target="media/image45.wmf"/><Relationship Id="rId80" Type="http://schemas.openxmlformats.org/officeDocument/2006/relationships/oleObject" Target="embeddings/oleObject28.bin"/><Relationship Id="rId8" Type="http://schemas.openxmlformats.org/officeDocument/2006/relationships/image" Target="media/image1.jpeg"/><Relationship Id="rId79" Type="http://schemas.openxmlformats.org/officeDocument/2006/relationships/image" Target="media/image44.wmf"/><Relationship Id="rId78" Type="http://schemas.openxmlformats.org/officeDocument/2006/relationships/oleObject" Target="embeddings/oleObject27.bin"/><Relationship Id="rId77" Type="http://schemas.openxmlformats.org/officeDocument/2006/relationships/image" Target="media/image43.wmf"/><Relationship Id="rId76" Type="http://schemas.openxmlformats.org/officeDocument/2006/relationships/oleObject" Target="embeddings/oleObject26.bin"/><Relationship Id="rId75" Type="http://schemas.openxmlformats.org/officeDocument/2006/relationships/image" Target="media/image42.wmf"/><Relationship Id="rId74" Type="http://schemas.openxmlformats.org/officeDocument/2006/relationships/oleObject" Target="embeddings/oleObject25.bin"/><Relationship Id="rId73" Type="http://schemas.openxmlformats.org/officeDocument/2006/relationships/image" Target="media/image41.wmf"/><Relationship Id="rId72" Type="http://schemas.openxmlformats.org/officeDocument/2006/relationships/oleObject" Target="embeddings/oleObject24.bin"/><Relationship Id="rId71" Type="http://schemas.openxmlformats.org/officeDocument/2006/relationships/image" Target="media/image40.wmf"/><Relationship Id="rId70" Type="http://schemas.openxmlformats.org/officeDocument/2006/relationships/oleObject" Target="embeddings/oleObject23.bin"/><Relationship Id="rId7" Type="http://schemas.openxmlformats.org/officeDocument/2006/relationships/theme" Target="theme/theme1.xml"/><Relationship Id="rId69" Type="http://schemas.openxmlformats.org/officeDocument/2006/relationships/image" Target="media/image39.wmf"/><Relationship Id="rId68" Type="http://schemas.openxmlformats.org/officeDocument/2006/relationships/oleObject" Target="embeddings/oleObject22.bin"/><Relationship Id="rId67" Type="http://schemas.openxmlformats.org/officeDocument/2006/relationships/image" Target="media/image38.wmf"/><Relationship Id="rId66" Type="http://schemas.openxmlformats.org/officeDocument/2006/relationships/oleObject" Target="embeddings/oleObject21.bin"/><Relationship Id="rId65" Type="http://schemas.openxmlformats.org/officeDocument/2006/relationships/image" Target="media/image37.wmf"/><Relationship Id="rId64" Type="http://schemas.openxmlformats.org/officeDocument/2006/relationships/oleObject" Target="embeddings/oleObject20.bin"/><Relationship Id="rId63" Type="http://schemas.openxmlformats.org/officeDocument/2006/relationships/image" Target="media/image36.wmf"/><Relationship Id="rId62" Type="http://schemas.openxmlformats.org/officeDocument/2006/relationships/oleObject" Target="embeddings/oleObject19.bin"/><Relationship Id="rId61" Type="http://schemas.openxmlformats.org/officeDocument/2006/relationships/image" Target="media/image35.wmf"/><Relationship Id="rId60" Type="http://schemas.openxmlformats.org/officeDocument/2006/relationships/oleObject" Target="embeddings/oleObject18.bin"/><Relationship Id="rId6" Type="http://schemas.openxmlformats.org/officeDocument/2006/relationships/footer" Target="footer4.xml"/><Relationship Id="rId59" Type="http://schemas.openxmlformats.org/officeDocument/2006/relationships/image" Target="media/image34.wmf"/><Relationship Id="rId58" Type="http://schemas.openxmlformats.org/officeDocument/2006/relationships/oleObject" Target="embeddings/oleObject17.bin"/><Relationship Id="rId57" Type="http://schemas.openxmlformats.org/officeDocument/2006/relationships/image" Target="media/image33.wmf"/><Relationship Id="rId56" Type="http://schemas.openxmlformats.org/officeDocument/2006/relationships/oleObject" Target="embeddings/oleObject16.bin"/><Relationship Id="rId55" Type="http://schemas.openxmlformats.org/officeDocument/2006/relationships/image" Target="media/image32.wmf"/><Relationship Id="rId54" Type="http://schemas.openxmlformats.org/officeDocument/2006/relationships/oleObject" Target="embeddings/oleObject15.bin"/><Relationship Id="rId53" Type="http://schemas.openxmlformats.org/officeDocument/2006/relationships/image" Target="media/image31.wmf"/><Relationship Id="rId52" Type="http://schemas.openxmlformats.org/officeDocument/2006/relationships/oleObject" Target="embeddings/oleObject14.bin"/><Relationship Id="rId51" Type="http://schemas.openxmlformats.org/officeDocument/2006/relationships/image" Target="media/image30.wmf"/><Relationship Id="rId50" Type="http://schemas.openxmlformats.org/officeDocument/2006/relationships/oleObject" Target="embeddings/oleObject13.bin"/><Relationship Id="rId5" Type="http://schemas.openxmlformats.org/officeDocument/2006/relationships/footer" Target="footer3.xml"/><Relationship Id="rId49" Type="http://schemas.openxmlformats.org/officeDocument/2006/relationships/image" Target="media/image29.png"/><Relationship Id="rId48" Type="http://schemas.openxmlformats.org/officeDocument/2006/relationships/image" Target="media/image28.wmf"/><Relationship Id="rId47" Type="http://schemas.openxmlformats.org/officeDocument/2006/relationships/oleObject" Target="embeddings/oleObject12.bin"/><Relationship Id="rId46" Type="http://schemas.openxmlformats.org/officeDocument/2006/relationships/image" Target="media/image27.wmf"/><Relationship Id="rId45" Type="http://schemas.openxmlformats.org/officeDocument/2006/relationships/oleObject" Target="embeddings/oleObject11.bin"/><Relationship Id="rId44" Type="http://schemas.openxmlformats.org/officeDocument/2006/relationships/image" Target="media/image26.wmf"/><Relationship Id="rId43" Type="http://schemas.openxmlformats.org/officeDocument/2006/relationships/oleObject" Target="embeddings/oleObject10.bin"/><Relationship Id="rId42" Type="http://schemas.openxmlformats.org/officeDocument/2006/relationships/image" Target="media/image25.wmf"/><Relationship Id="rId41" Type="http://schemas.openxmlformats.org/officeDocument/2006/relationships/oleObject" Target="embeddings/oleObject9.bin"/><Relationship Id="rId40" Type="http://schemas.openxmlformats.org/officeDocument/2006/relationships/image" Target="media/image24.wmf"/><Relationship Id="rId4" Type="http://schemas.openxmlformats.org/officeDocument/2006/relationships/footer" Target="footer2.xml"/><Relationship Id="rId39" Type="http://schemas.openxmlformats.org/officeDocument/2006/relationships/oleObject" Target="embeddings/oleObject8.bin"/><Relationship Id="rId38" Type="http://schemas.openxmlformats.org/officeDocument/2006/relationships/image" Target="media/image23.wmf"/><Relationship Id="rId37" Type="http://schemas.openxmlformats.org/officeDocument/2006/relationships/oleObject" Target="embeddings/oleObject7.bin"/><Relationship Id="rId36" Type="http://schemas.openxmlformats.org/officeDocument/2006/relationships/image" Target="media/image22.wmf"/><Relationship Id="rId35" Type="http://schemas.openxmlformats.org/officeDocument/2006/relationships/oleObject" Target="embeddings/oleObject6.bin"/><Relationship Id="rId34" Type="http://schemas.openxmlformats.org/officeDocument/2006/relationships/image" Target="media/image21.wmf"/><Relationship Id="rId33" Type="http://schemas.openxmlformats.org/officeDocument/2006/relationships/oleObject" Target="embeddings/oleObject5.bin"/><Relationship Id="rId32" Type="http://schemas.openxmlformats.org/officeDocument/2006/relationships/image" Target="media/image20.wmf"/><Relationship Id="rId31" Type="http://schemas.openxmlformats.org/officeDocument/2006/relationships/oleObject" Target="embeddings/oleObject4.bin"/><Relationship Id="rId30" Type="http://schemas.openxmlformats.org/officeDocument/2006/relationships/image" Target="media/image19.wmf"/><Relationship Id="rId3" Type="http://schemas.openxmlformats.org/officeDocument/2006/relationships/footer" Target="footer1.xml"/><Relationship Id="rId29" Type="http://schemas.openxmlformats.org/officeDocument/2006/relationships/oleObject" Target="embeddings/oleObject3.bin"/><Relationship Id="rId28" Type="http://schemas.openxmlformats.org/officeDocument/2006/relationships/image" Target="media/image18.wmf"/><Relationship Id="rId27" Type="http://schemas.openxmlformats.org/officeDocument/2006/relationships/oleObject" Target="embeddings/oleObject2.bin"/><Relationship Id="rId26" Type="http://schemas.openxmlformats.org/officeDocument/2006/relationships/image" Target="media/image17.jpeg"/><Relationship Id="rId259" Type="http://schemas.openxmlformats.org/officeDocument/2006/relationships/fontTable" Target="fontTable.xml"/><Relationship Id="rId258" Type="http://schemas.openxmlformats.org/officeDocument/2006/relationships/customXml" Target="../customXml/item2.xml"/><Relationship Id="rId257" Type="http://schemas.openxmlformats.org/officeDocument/2006/relationships/numbering" Target="numbering.xml"/><Relationship Id="rId256" Type="http://schemas.openxmlformats.org/officeDocument/2006/relationships/customXml" Target="../customXml/item1.xml"/><Relationship Id="rId255" Type="http://schemas.openxmlformats.org/officeDocument/2006/relationships/image" Target="media/image148.wmf"/><Relationship Id="rId254" Type="http://schemas.openxmlformats.org/officeDocument/2006/relationships/oleObject" Target="embeddings/oleObject99.bin"/><Relationship Id="rId253" Type="http://schemas.openxmlformats.org/officeDocument/2006/relationships/image" Target="media/image147.jpeg"/><Relationship Id="rId252" Type="http://schemas.openxmlformats.org/officeDocument/2006/relationships/image" Target="media/image146.jpeg"/><Relationship Id="rId251" Type="http://schemas.openxmlformats.org/officeDocument/2006/relationships/image" Target="media/image145.jpeg"/><Relationship Id="rId250" Type="http://schemas.openxmlformats.org/officeDocument/2006/relationships/image" Target="media/image144.jpeg"/><Relationship Id="rId25" Type="http://schemas.openxmlformats.org/officeDocument/2006/relationships/image" Target="media/image16.emf"/><Relationship Id="rId249" Type="http://schemas.openxmlformats.org/officeDocument/2006/relationships/image" Target="media/image143.jpeg"/><Relationship Id="rId248" Type="http://schemas.openxmlformats.org/officeDocument/2006/relationships/image" Target="media/image142.jpeg"/><Relationship Id="rId247" Type="http://schemas.openxmlformats.org/officeDocument/2006/relationships/image" Target="media/image141.jpeg"/><Relationship Id="rId246" Type="http://schemas.openxmlformats.org/officeDocument/2006/relationships/image" Target="media/image140.jpeg"/><Relationship Id="rId245" Type="http://schemas.openxmlformats.org/officeDocument/2006/relationships/image" Target="media/image139.jpeg"/><Relationship Id="rId244" Type="http://schemas.openxmlformats.org/officeDocument/2006/relationships/image" Target="media/image138.jpeg"/><Relationship Id="rId243" Type="http://schemas.openxmlformats.org/officeDocument/2006/relationships/image" Target="media/image137.jpeg"/><Relationship Id="rId242" Type="http://schemas.openxmlformats.org/officeDocument/2006/relationships/image" Target="media/image136.jpeg"/><Relationship Id="rId241" Type="http://schemas.openxmlformats.org/officeDocument/2006/relationships/image" Target="media/image135.jpeg"/><Relationship Id="rId240" Type="http://schemas.openxmlformats.org/officeDocument/2006/relationships/image" Target="media/image134.jpeg"/><Relationship Id="rId24" Type="http://schemas.openxmlformats.org/officeDocument/2006/relationships/oleObject" Target="embeddings/oleObject1.bin"/><Relationship Id="rId239" Type="http://schemas.openxmlformats.org/officeDocument/2006/relationships/image" Target="media/image133.jpeg"/><Relationship Id="rId238" Type="http://schemas.openxmlformats.org/officeDocument/2006/relationships/image" Target="media/image132.jpeg"/><Relationship Id="rId237" Type="http://schemas.openxmlformats.org/officeDocument/2006/relationships/image" Target="media/image131.jpeg"/><Relationship Id="rId236" Type="http://schemas.openxmlformats.org/officeDocument/2006/relationships/image" Target="media/image130.jpeg"/><Relationship Id="rId235" Type="http://schemas.openxmlformats.org/officeDocument/2006/relationships/image" Target="media/image129.jpeg"/><Relationship Id="rId234" Type="http://schemas.openxmlformats.org/officeDocument/2006/relationships/image" Target="media/image128.jpeg"/><Relationship Id="rId233" Type="http://schemas.openxmlformats.org/officeDocument/2006/relationships/image" Target="media/image127.jpeg"/><Relationship Id="rId232" Type="http://schemas.openxmlformats.org/officeDocument/2006/relationships/image" Target="media/image126.jpeg"/><Relationship Id="rId231" Type="http://schemas.openxmlformats.org/officeDocument/2006/relationships/image" Target="media/image125.jpeg"/><Relationship Id="rId230" Type="http://schemas.openxmlformats.org/officeDocument/2006/relationships/image" Target="media/image124.jpeg"/><Relationship Id="rId23" Type="http://schemas.openxmlformats.org/officeDocument/2006/relationships/image" Target="media/image15.png"/><Relationship Id="rId229" Type="http://schemas.openxmlformats.org/officeDocument/2006/relationships/image" Target="media/image123.jpeg"/><Relationship Id="rId228" Type="http://schemas.openxmlformats.org/officeDocument/2006/relationships/image" Target="media/image122.jpeg"/><Relationship Id="rId227" Type="http://schemas.openxmlformats.org/officeDocument/2006/relationships/image" Target="media/image121.emf"/><Relationship Id="rId226" Type="http://schemas.openxmlformats.org/officeDocument/2006/relationships/image" Target="media/image120.wmf"/><Relationship Id="rId225" Type="http://schemas.openxmlformats.org/officeDocument/2006/relationships/oleObject" Target="embeddings/oleObject98.bin"/><Relationship Id="rId224" Type="http://schemas.openxmlformats.org/officeDocument/2006/relationships/image" Target="media/image119.wmf"/><Relationship Id="rId223" Type="http://schemas.openxmlformats.org/officeDocument/2006/relationships/oleObject" Target="embeddings/oleObject97.bin"/><Relationship Id="rId222" Type="http://schemas.openxmlformats.org/officeDocument/2006/relationships/image" Target="media/image118.wmf"/><Relationship Id="rId221" Type="http://schemas.openxmlformats.org/officeDocument/2006/relationships/oleObject" Target="embeddings/oleObject96.bin"/><Relationship Id="rId220" Type="http://schemas.openxmlformats.org/officeDocument/2006/relationships/image" Target="media/image117.wmf"/><Relationship Id="rId22" Type="http://schemas.openxmlformats.org/officeDocument/2006/relationships/image" Target="media/image14.png"/><Relationship Id="rId219" Type="http://schemas.openxmlformats.org/officeDocument/2006/relationships/oleObject" Target="embeddings/oleObject95.bin"/><Relationship Id="rId218" Type="http://schemas.openxmlformats.org/officeDocument/2006/relationships/image" Target="media/image116.wmf"/><Relationship Id="rId217" Type="http://schemas.openxmlformats.org/officeDocument/2006/relationships/oleObject" Target="embeddings/oleObject94.bin"/><Relationship Id="rId216" Type="http://schemas.openxmlformats.org/officeDocument/2006/relationships/image" Target="media/image115.wmf"/><Relationship Id="rId215" Type="http://schemas.openxmlformats.org/officeDocument/2006/relationships/oleObject" Target="embeddings/oleObject93.bin"/><Relationship Id="rId214" Type="http://schemas.openxmlformats.org/officeDocument/2006/relationships/image" Target="media/image114.wmf"/><Relationship Id="rId213" Type="http://schemas.openxmlformats.org/officeDocument/2006/relationships/oleObject" Target="embeddings/oleObject92.bin"/><Relationship Id="rId212" Type="http://schemas.openxmlformats.org/officeDocument/2006/relationships/image" Target="media/image113.wmf"/><Relationship Id="rId211" Type="http://schemas.openxmlformats.org/officeDocument/2006/relationships/oleObject" Target="embeddings/oleObject91.bin"/><Relationship Id="rId210" Type="http://schemas.openxmlformats.org/officeDocument/2006/relationships/image" Target="media/image112.wmf"/><Relationship Id="rId21" Type="http://schemas.openxmlformats.org/officeDocument/2006/relationships/image" Target="media/image13.jpeg"/><Relationship Id="rId209" Type="http://schemas.openxmlformats.org/officeDocument/2006/relationships/oleObject" Target="embeddings/oleObject90.bin"/><Relationship Id="rId208" Type="http://schemas.openxmlformats.org/officeDocument/2006/relationships/image" Target="media/image111.wmf"/><Relationship Id="rId207" Type="http://schemas.openxmlformats.org/officeDocument/2006/relationships/oleObject" Target="embeddings/oleObject89.bin"/><Relationship Id="rId206" Type="http://schemas.openxmlformats.org/officeDocument/2006/relationships/image" Target="media/image110.wmf"/><Relationship Id="rId205" Type="http://schemas.openxmlformats.org/officeDocument/2006/relationships/oleObject" Target="embeddings/oleObject88.bin"/><Relationship Id="rId204" Type="http://schemas.openxmlformats.org/officeDocument/2006/relationships/image" Target="media/image109.wmf"/><Relationship Id="rId203" Type="http://schemas.openxmlformats.org/officeDocument/2006/relationships/oleObject" Target="embeddings/oleObject87.bin"/><Relationship Id="rId202" Type="http://schemas.openxmlformats.org/officeDocument/2006/relationships/image" Target="media/image108.wmf"/><Relationship Id="rId201" Type="http://schemas.openxmlformats.org/officeDocument/2006/relationships/oleObject" Target="embeddings/oleObject86.bin"/><Relationship Id="rId200" Type="http://schemas.openxmlformats.org/officeDocument/2006/relationships/image" Target="media/image107.wmf"/><Relationship Id="rId20" Type="http://schemas.openxmlformats.org/officeDocument/2006/relationships/image" Target="media/image12.jpeg"/><Relationship Id="rId2" Type="http://schemas.openxmlformats.org/officeDocument/2006/relationships/settings" Target="settings.xml"/><Relationship Id="rId199" Type="http://schemas.openxmlformats.org/officeDocument/2006/relationships/oleObject" Target="embeddings/oleObject85.bin"/><Relationship Id="rId198" Type="http://schemas.openxmlformats.org/officeDocument/2006/relationships/image" Target="media/image106.wmf"/><Relationship Id="rId197" Type="http://schemas.openxmlformats.org/officeDocument/2006/relationships/oleObject" Target="embeddings/oleObject84.bin"/><Relationship Id="rId196" Type="http://schemas.openxmlformats.org/officeDocument/2006/relationships/image" Target="media/image105.wmf"/><Relationship Id="rId195" Type="http://schemas.openxmlformats.org/officeDocument/2006/relationships/oleObject" Target="embeddings/oleObject83.bin"/><Relationship Id="rId194" Type="http://schemas.openxmlformats.org/officeDocument/2006/relationships/image" Target="media/image104.wmf"/><Relationship Id="rId193" Type="http://schemas.openxmlformats.org/officeDocument/2006/relationships/oleObject" Target="embeddings/oleObject82.bin"/><Relationship Id="rId192" Type="http://schemas.openxmlformats.org/officeDocument/2006/relationships/image" Target="media/image103.wmf"/><Relationship Id="rId191" Type="http://schemas.openxmlformats.org/officeDocument/2006/relationships/oleObject" Target="embeddings/oleObject81.bin"/><Relationship Id="rId190" Type="http://schemas.openxmlformats.org/officeDocument/2006/relationships/image" Target="media/image102.emf"/><Relationship Id="rId19" Type="http://schemas.openxmlformats.org/officeDocument/2006/relationships/image" Target="media/image11.jpeg"/><Relationship Id="rId189" Type="http://schemas.openxmlformats.org/officeDocument/2006/relationships/oleObject" Target="embeddings/oleObject80.bin"/><Relationship Id="rId188" Type="http://schemas.openxmlformats.org/officeDocument/2006/relationships/image" Target="media/image101.png"/><Relationship Id="rId187" Type="http://schemas.openxmlformats.org/officeDocument/2006/relationships/image" Target="media/image100.png"/><Relationship Id="rId186" Type="http://schemas.openxmlformats.org/officeDocument/2006/relationships/image" Target="media/image99.wmf"/><Relationship Id="rId185" Type="http://schemas.openxmlformats.org/officeDocument/2006/relationships/oleObject" Target="embeddings/oleObject79.bin"/><Relationship Id="rId184" Type="http://schemas.openxmlformats.org/officeDocument/2006/relationships/image" Target="media/image98.wmf"/><Relationship Id="rId183" Type="http://schemas.openxmlformats.org/officeDocument/2006/relationships/oleObject" Target="embeddings/oleObject78.bin"/><Relationship Id="rId182" Type="http://schemas.openxmlformats.org/officeDocument/2006/relationships/image" Target="media/image97.wmf"/><Relationship Id="rId181" Type="http://schemas.openxmlformats.org/officeDocument/2006/relationships/oleObject" Target="embeddings/oleObject77.bin"/><Relationship Id="rId180" Type="http://schemas.openxmlformats.org/officeDocument/2006/relationships/image" Target="media/image96.wmf"/><Relationship Id="rId18" Type="http://schemas.openxmlformats.org/officeDocument/2006/relationships/image" Target="media/image10.jpeg"/><Relationship Id="rId179" Type="http://schemas.openxmlformats.org/officeDocument/2006/relationships/oleObject" Target="embeddings/oleObject76.bin"/><Relationship Id="rId178" Type="http://schemas.openxmlformats.org/officeDocument/2006/relationships/image" Target="media/image95.wmf"/><Relationship Id="rId177" Type="http://schemas.openxmlformats.org/officeDocument/2006/relationships/oleObject" Target="embeddings/oleObject75.bin"/><Relationship Id="rId176" Type="http://schemas.openxmlformats.org/officeDocument/2006/relationships/image" Target="media/image94.wmf"/><Relationship Id="rId175" Type="http://schemas.openxmlformats.org/officeDocument/2006/relationships/oleObject" Target="embeddings/oleObject74.bin"/><Relationship Id="rId174" Type="http://schemas.openxmlformats.org/officeDocument/2006/relationships/image" Target="media/image93.wmf"/><Relationship Id="rId173" Type="http://schemas.openxmlformats.org/officeDocument/2006/relationships/oleObject" Target="embeddings/oleObject73.bin"/><Relationship Id="rId172" Type="http://schemas.openxmlformats.org/officeDocument/2006/relationships/image" Target="media/image92.wmf"/><Relationship Id="rId171" Type="http://schemas.openxmlformats.org/officeDocument/2006/relationships/oleObject" Target="embeddings/oleObject72.bin"/><Relationship Id="rId170" Type="http://schemas.openxmlformats.org/officeDocument/2006/relationships/image" Target="media/image91.wmf"/><Relationship Id="rId17" Type="http://schemas.openxmlformats.org/officeDocument/2006/relationships/image" Target="media/image9.jpeg"/><Relationship Id="rId169" Type="http://schemas.openxmlformats.org/officeDocument/2006/relationships/oleObject" Target="embeddings/oleObject71.bin"/><Relationship Id="rId168" Type="http://schemas.openxmlformats.org/officeDocument/2006/relationships/image" Target="media/image90.wmf"/><Relationship Id="rId167" Type="http://schemas.openxmlformats.org/officeDocument/2006/relationships/oleObject" Target="embeddings/oleObject70.bin"/><Relationship Id="rId166" Type="http://schemas.openxmlformats.org/officeDocument/2006/relationships/image" Target="media/image89.wmf"/><Relationship Id="rId165" Type="http://schemas.openxmlformats.org/officeDocument/2006/relationships/oleObject" Target="embeddings/oleObject69.bin"/><Relationship Id="rId164" Type="http://schemas.openxmlformats.org/officeDocument/2006/relationships/image" Target="media/image88.wmf"/><Relationship Id="rId163" Type="http://schemas.openxmlformats.org/officeDocument/2006/relationships/oleObject" Target="embeddings/oleObject68.bin"/><Relationship Id="rId162" Type="http://schemas.openxmlformats.org/officeDocument/2006/relationships/image" Target="media/image87.wmf"/><Relationship Id="rId161" Type="http://schemas.openxmlformats.org/officeDocument/2006/relationships/oleObject" Target="embeddings/oleObject67.bin"/><Relationship Id="rId160" Type="http://schemas.openxmlformats.org/officeDocument/2006/relationships/image" Target="media/image86.png"/><Relationship Id="rId16" Type="http://schemas.openxmlformats.org/officeDocument/2006/relationships/image" Target="media/image8.png"/><Relationship Id="rId159" Type="http://schemas.openxmlformats.org/officeDocument/2006/relationships/image" Target="media/image85.wmf"/><Relationship Id="rId158" Type="http://schemas.openxmlformats.org/officeDocument/2006/relationships/oleObject" Target="embeddings/oleObject66.bin"/><Relationship Id="rId157" Type="http://schemas.openxmlformats.org/officeDocument/2006/relationships/oleObject" Target="embeddings/oleObject65.bin"/><Relationship Id="rId156" Type="http://schemas.openxmlformats.org/officeDocument/2006/relationships/oleObject" Target="embeddings/oleObject64.bin"/><Relationship Id="rId155" Type="http://schemas.openxmlformats.org/officeDocument/2006/relationships/oleObject" Target="embeddings/oleObject63.bin"/><Relationship Id="rId154" Type="http://schemas.openxmlformats.org/officeDocument/2006/relationships/oleObject" Target="embeddings/oleObject62.bin"/><Relationship Id="rId153" Type="http://schemas.openxmlformats.org/officeDocument/2006/relationships/image" Target="media/image84.wmf"/><Relationship Id="rId152" Type="http://schemas.openxmlformats.org/officeDocument/2006/relationships/oleObject" Target="embeddings/oleObject61.bin"/><Relationship Id="rId151" Type="http://schemas.openxmlformats.org/officeDocument/2006/relationships/image" Target="media/image83.wmf"/><Relationship Id="rId150" Type="http://schemas.openxmlformats.org/officeDocument/2006/relationships/oleObject" Target="embeddings/oleObject60.bin"/><Relationship Id="rId15" Type="http://schemas.openxmlformats.org/officeDocument/2006/relationships/customXml" Target="ink/ink1.xml"/><Relationship Id="rId149" Type="http://schemas.openxmlformats.org/officeDocument/2006/relationships/image" Target="media/image82.wmf"/><Relationship Id="rId148" Type="http://schemas.openxmlformats.org/officeDocument/2006/relationships/oleObject" Target="embeddings/oleObject59.bin"/><Relationship Id="rId147" Type="http://schemas.openxmlformats.org/officeDocument/2006/relationships/image" Target="media/image81.wmf"/><Relationship Id="rId146" Type="http://schemas.openxmlformats.org/officeDocument/2006/relationships/oleObject" Target="embeddings/oleObject58.bin"/><Relationship Id="rId145" Type="http://schemas.openxmlformats.org/officeDocument/2006/relationships/image" Target="media/image80.wmf"/><Relationship Id="rId144" Type="http://schemas.openxmlformats.org/officeDocument/2006/relationships/oleObject" Target="embeddings/oleObject57.bin"/><Relationship Id="rId143" Type="http://schemas.openxmlformats.org/officeDocument/2006/relationships/image" Target="media/image79.wmf"/><Relationship Id="rId142" Type="http://schemas.openxmlformats.org/officeDocument/2006/relationships/oleObject" Target="embeddings/oleObject56.bin"/><Relationship Id="rId141" Type="http://schemas.openxmlformats.org/officeDocument/2006/relationships/image" Target="media/image78.wmf"/><Relationship Id="rId140" Type="http://schemas.openxmlformats.org/officeDocument/2006/relationships/oleObject" Target="embeddings/oleObject55.bin"/><Relationship Id="rId14" Type="http://schemas.openxmlformats.org/officeDocument/2006/relationships/image" Target="media/image7.jpeg"/><Relationship Id="rId139" Type="http://schemas.openxmlformats.org/officeDocument/2006/relationships/image" Target="media/image77.wmf"/><Relationship Id="rId138" Type="http://schemas.openxmlformats.org/officeDocument/2006/relationships/oleObject" Target="embeddings/oleObject54.bin"/><Relationship Id="rId137" Type="http://schemas.openxmlformats.org/officeDocument/2006/relationships/image" Target="media/image76.wmf"/><Relationship Id="rId136" Type="http://schemas.openxmlformats.org/officeDocument/2006/relationships/oleObject" Target="embeddings/oleObject53.bin"/><Relationship Id="rId135" Type="http://schemas.openxmlformats.org/officeDocument/2006/relationships/image" Target="media/image75.wmf"/><Relationship Id="rId134" Type="http://schemas.openxmlformats.org/officeDocument/2006/relationships/oleObject" Target="embeddings/oleObject52.bin"/><Relationship Id="rId133" Type="http://schemas.openxmlformats.org/officeDocument/2006/relationships/image" Target="media/image74.wmf"/><Relationship Id="rId132" Type="http://schemas.openxmlformats.org/officeDocument/2006/relationships/oleObject" Target="embeddings/oleObject51.bin"/><Relationship Id="rId131" Type="http://schemas.openxmlformats.org/officeDocument/2006/relationships/image" Target="media/image73.wmf"/><Relationship Id="rId130" Type="http://schemas.openxmlformats.org/officeDocument/2006/relationships/oleObject" Target="embeddings/oleObject50.bin"/><Relationship Id="rId13" Type="http://schemas.openxmlformats.org/officeDocument/2006/relationships/image" Target="media/image6.jpeg"/><Relationship Id="rId129" Type="http://schemas.openxmlformats.org/officeDocument/2006/relationships/image" Target="media/image72.wmf"/><Relationship Id="rId128" Type="http://schemas.openxmlformats.org/officeDocument/2006/relationships/oleObject" Target="embeddings/oleObject49.bin"/><Relationship Id="rId127" Type="http://schemas.openxmlformats.org/officeDocument/2006/relationships/image" Target="media/image71.png"/><Relationship Id="rId126" Type="http://schemas.openxmlformats.org/officeDocument/2006/relationships/image" Target="media/image70.png"/><Relationship Id="rId125" Type="http://schemas.openxmlformats.org/officeDocument/2006/relationships/image" Target="media/image69.png"/><Relationship Id="rId124" Type="http://schemas.openxmlformats.org/officeDocument/2006/relationships/image" Target="media/image68.png"/><Relationship Id="rId123" Type="http://schemas.openxmlformats.org/officeDocument/2006/relationships/image" Target="media/image67.png"/><Relationship Id="rId122" Type="http://schemas.openxmlformats.org/officeDocument/2006/relationships/image" Target="media/image66.png"/><Relationship Id="rId121" Type="http://schemas.openxmlformats.org/officeDocument/2006/relationships/image" Target="media/image65.png"/><Relationship Id="rId120" Type="http://schemas.openxmlformats.org/officeDocument/2006/relationships/image" Target="media/image64.wmf"/><Relationship Id="rId12" Type="http://schemas.openxmlformats.org/officeDocument/2006/relationships/image" Target="media/image5.jpeg"/><Relationship Id="rId119" Type="http://schemas.openxmlformats.org/officeDocument/2006/relationships/oleObject" Target="embeddings/oleObject48.bin"/><Relationship Id="rId118" Type="http://schemas.openxmlformats.org/officeDocument/2006/relationships/image" Target="media/image63.wmf"/><Relationship Id="rId117" Type="http://schemas.openxmlformats.org/officeDocument/2006/relationships/oleObject" Target="embeddings/oleObject47.bin"/><Relationship Id="rId116" Type="http://schemas.openxmlformats.org/officeDocument/2006/relationships/image" Target="media/image62.wmf"/><Relationship Id="rId115" Type="http://schemas.openxmlformats.org/officeDocument/2006/relationships/oleObject" Target="embeddings/oleObject46.bin"/><Relationship Id="rId114" Type="http://schemas.openxmlformats.org/officeDocument/2006/relationships/image" Target="media/image61.wmf"/><Relationship Id="rId113" Type="http://schemas.openxmlformats.org/officeDocument/2006/relationships/oleObject" Target="embeddings/oleObject45.bin"/><Relationship Id="rId112" Type="http://schemas.openxmlformats.org/officeDocument/2006/relationships/image" Target="media/image60.wmf"/><Relationship Id="rId111" Type="http://schemas.openxmlformats.org/officeDocument/2006/relationships/oleObject" Target="embeddings/oleObject44.bin"/><Relationship Id="rId110" Type="http://schemas.openxmlformats.org/officeDocument/2006/relationships/image" Target="media/image59.wmf"/><Relationship Id="rId11" Type="http://schemas.openxmlformats.org/officeDocument/2006/relationships/image" Target="media/image4.jpeg"/><Relationship Id="rId109" Type="http://schemas.openxmlformats.org/officeDocument/2006/relationships/oleObject" Target="embeddings/oleObject43.bin"/><Relationship Id="rId108" Type="http://schemas.openxmlformats.org/officeDocument/2006/relationships/image" Target="media/image58.wmf"/><Relationship Id="rId107" Type="http://schemas.openxmlformats.org/officeDocument/2006/relationships/oleObject" Target="embeddings/oleObject42.bin"/><Relationship Id="rId106" Type="http://schemas.openxmlformats.org/officeDocument/2006/relationships/image" Target="media/image57.wmf"/><Relationship Id="rId105" Type="http://schemas.openxmlformats.org/officeDocument/2006/relationships/oleObject" Target="embeddings/oleObject41.bin"/><Relationship Id="rId104" Type="http://schemas.openxmlformats.org/officeDocument/2006/relationships/oleObject" Target="embeddings/oleObject40.bin"/><Relationship Id="rId103" Type="http://schemas.openxmlformats.org/officeDocument/2006/relationships/image" Target="media/image56.wmf"/><Relationship Id="rId102" Type="http://schemas.openxmlformats.org/officeDocument/2006/relationships/oleObject" Target="embeddings/oleObject39.bin"/><Relationship Id="rId101" Type="http://schemas.openxmlformats.org/officeDocument/2006/relationships/image" Target="media/image55.wmf"/><Relationship Id="rId100" Type="http://schemas.openxmlformats.org/officeDocument/2006/relationships/oleObject" Target="embeddings/oleObject38.bin"/><Relationship Id="rId10" Type="http://schemas.openxmlformats.org/officeDocument/2006/relationships/image" Target="media/image3.jpeg"/><Relationship Id="rId1" Type="http://schemas.openxmlformats.org/officeDocument/2006/relationships/styles" Target="styles.xml"/></Relationships>
</file>

<file path=word/ink/ink1.xml><?xml version="1.0" encoding="utf-8"?>
<inkml:ink xmlns:inkml="http://www.w3.org/2003/InkML">
  <inkml:definitions>
    <inkml:context xml:id="ctx0">
      <inkml:inkSource xml:id="inkSrc0">
        <inkml:traceFormat>
          <inkml:channel name="X" type="integer" max="2" min="-2" units="cm"/>
          <inkml:channel name="Y" type="integer" max="2" min="-2" units="cm"/>
          <inkml:channel name="F" type="integer" max="1023" units="cm"/>
        </inkml:traceFormat>
        <inkml:channelProperties>
          <inkml:channelProperty channel="X" name="resolution" value="1000" units="1/cm"/>
          <inkml:channelProperty channel="Y" name="resolution" value="1000" units="1/cm"/>
          <inkml:channelProperty channel="F" name="resolution" value="2.84167" units="1/cm"/>
        </inkml:channelProperties>
      </inkml:inkSource>
      <inkml:timestamp xml:id="ts0" timeString="2024-09-03T03:45:37"/>
    </inkml:context>
    <inkml:brush xml:id="br0">
      <inkml:brushProperty name="width" value="0.05" units="cm"/>
      <inkml:brushProperty name="height" value="0.05" units="cm"/>
      <inkml:brushProperty name="color" value="#000000"/>
    </inkml:brush>
  </inkml:definitions>
  <inkml:trace contextRef="#ctx0" brushRef="#br0">-2.000 8.000 456,'0.000'-10.000'0,"0.000"10.000"0,0.000-1.000 0,0.000 0.000 0,0.000 1.000 0,0.000 0.000 0,0.000 0.000 0,0.000 1.000 0,1.000 0.000 0,0.000-1.000-216,0.000 1.000-1,0.000 0.000 194,-1.000-1.000 23,1.000 1.000 0,0.000 0.000 0,-1.000-1.000 0,1.000-4.000 0,0.000-1.000 0</inkml:trace>
</inkml:ink>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61CBF4B-F511-4C91-A3FF-CC6BDF661B41}">
  <ds:schemaRefs/>
</ds:datastoreItem>
</file>

<file path=docProps/app.xml><?xml version="1.0" encoding="utf-8"?>
<Properties xmlns="http://schemas.openxmlformats.org/officeDocument/2006/extended-properties" xmlns:vt="http://schemas.openxmlformats.org/officeDocument/2006/docPropsVTypes">
  <Template>Normal</Template>
  <Pages>82</Pages>
  <Words>3508</Words>
  <Characters>4155</Characters>
  <Lines>296</Lines>
  <Paragraphs>83</Paragraphs>
  <TotalTime>9</TotalTime>
  <ScaleCrop>false</ScaleCrop>
  <LinksUpToDate>false</LinksUpToDate>
  <CharactersWithSpaces>4446</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2025-02-25T06:40:00Z</dcterms:created>
  <dc:creator>王磊</dc:creator>
  <cp:lastModifiedBy>忐忑</cp:lastModifiedBy>
  <cp:lastPrinted>2024-09-30T07:31:00Z</cp:lastPrinted>
  <dcterms:modified xsi:type="dcterms:W3CDTF">2025-03-14T09:34:29Z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25EE2AC541764E44882E773B2C828AE7_13</vt:lpwstr>
  </property>
  <property fmtid="{D5CDD505-2E9C-101B-9397-08002B2CF9AE}" pid="4" name="KSOTemplateDocerSaveRecord">
    <vt:lpwstr>eyJoZGlkIjoiMjE1MGZmOTRhZjllMGExZDlkZTMzYmYzNTljMTkwODUiLCJ1c2VySWQiOiI0MzYwMTU0NjQifQ==</vt:lpwstr>
  </property>
</Properties>
</file>