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51E2DE">
      <w:pPr>
        <w:pStyle w:val="26"/>
        <w:framePr w:w="0" w:hRule="auto" w:wrap="auto" w:vAnchor="margin" w:hAnchor="text" w:xAlign="left" w:yAlign="inline"/>
        <w:tabs>
          <w:tab w:val="center" w:pos="4563"/>
          <w:tab w:val="right" w:pos="9127"/>
        </w:tabs>
        <w:jc w:val="left"/>
        <w:rPr>
          <w:rFonts w:ascii="黑体" w:hAnsi="黑体" w:eastAsia="黑体"/>
          <w:b w:val="0"/>
          <w:sz w:val="21"/>
          <w:szCs w:val="21"/>
        </w:rPr>
      </w:pPr>
      <w:bookmarkStart w:id="0" w:name="_Toc132373937"/>
      <w:bookmarkStart w:id="1" w:name="_Hlk142683239"/>
      <w:bookmarkStart w:id="2" w:name="_Toc98249751"/>
      <w:bookmarkStart w:id="3" w:name="_Toc139487913"/>
      <w:r>
        <w:rPr>
          <w:rFonts w:ascii="黑体" w:hAnsi="黑体" w:eastAsia="黑体"/>
          <w:b w:val="0"/>
          <w:sz w:val="21"/>
          <w:szCs w:val="21"/>
        </w:rPr>
        <w:t>ICS xxxxxxx</w:t>
      </w:r>
      <w:bookmarkEnd w:id="0"/>
    </w:p>
    <w:p w14:paraId="27BC6F15">
      <w:pPr>
        <w:pStyle w:val="26"/>
        <w:framePr w:w="0" w:hRule="auto" w:wrap="auto" w:vAnchor="margin" w:hAnchor="text" w:xAlign="left" w:yAlign="inline"/>
        <w:tabs>
          <w:tab w:val="center" w:pos="4563"/>
          <w:tab w:val="right" w:pos="9127"/>
        </w:tabs>
        <w:jc w:val="left"/>
        <w:rPr>
          <w:rFonts w:ascii="黑体" w:hAnsi="黑体" w:eastAsia="黑体"/>
          <w:b w:val="0"/>
          <w:sz w:val="21"/>
          <w:szCs w:val="21"/>
        </w:rPr>
      </w:pPr>
      <w:bookmarkStart w:id="4" w:name="_Toc132373938"/>
      <w:r>
        <w:rPr>
          <w:rFonts w:ascii="黑体" w:hAnsi="黑体" w:eastAsia="黑体"/>
          <w:b w:val="0"/>
          <w:sz w:val="21"/>
          <w:szCs w:val="21"/>
        </w:rPr>
        <w:t>CCS x xx</w:t>
      </w:r>
      <w:bookmarkEnd w:id="4"/>
    </w:p>
    <w:p w14:paraId="4F4061EB">
      <w:pPr>
        <w:ind w:firstLine="480"/>
      </w:pPr>
    </w:p>
    <w:p w14:paraId="10896475">
      <w:pPr>
        <w:ind w:firstLine="480"/>
      </w:pPr>
    </w:p>
    <w:p w14:paraId="2F1AF8FF">
      <w:pPr>
        <w:pStyle w:val="26"/>
        <w:framePr w:w="4988" w:h="1484" w:hRule="exact" w:wrap="around" w:vAnchor="page" w:hAnchor="page" w:x="5320" w:y="1075"/>
        <w:rPr>
          <w:rFonts w:ascii="Impact" w:hAnsi="Impact" w:eastAsia="华文中宋"/>
          <w:b w:val="0"/>
          <w:w w:val="120"/>
          <w:sz w:val="144"/>
          <w:szCs w:val="144"/>
        </w:rPr>
      </w:pPr>
      <w:bookmarkStart w:id="5" w:name="_Toc118474808"/>
      <w:bookmarkStart w:id="6" w:name="_Toc118971261"/>
      <w:r>
        <w:rPr>
          <w:rFonts w:ascii="Impact" w:hAnsi="Impact" w:eastAsia="华文中宋"/>
          <w:b w:val="0"/>
          <w:w w:val="120"/>
          <w:sz w:val="144"/>
          <w:szCs w:val="144"/>
        </w:rPr>
        <w:t>DB34</w:t>
      </w:r>
      <w:bookmarkEnd w:id="5"/>
      <w:bookmarkEnd w:id="6"/>
    </w:p>
    <w:p w14:paraId="2EDF68B0">
      <w:pPr>
        <w:jc w:val="distribute"/>
        <w:rPr>
          <w:rFonts w:ascii="方正小标宋简体" w:hAnsi="黑体" w:eastAsia="方正小标宋简体" w:cs="Times New Roman"/>
          <w:w w:val="150"/>
          <w:sz w:val="48"/>
          <w:szCs w:val="48"/>
        </w:rPr>
      </w:pPr>
    </w:p>
    <w:p w14:paraId="67D80D42">
      <w:pPr>
        <w:jc w:val="distribute"/>
        <w:rPr>
          <w:rFonts w:ascii="方正小标宋简体" w:hAnsi="黑体" w:eastAsia="方正小标宋简体" w:cs="Times New Roman"/>
          <w:w w:val="150"/>
          <w:sz w:val="48"/>
          <w:szCs w:val="48"/>
        </w:rPr>
      </w:pPr>
    </w:p>
    <w:p w14:paraId="39656A78">
      <w:pPr>
        <w:jc w:val="distribute"/>
        <w:rPr>
          <w:rFonts w:ascii="方正小标宋简体" w:hAnsi="黑体" w:eastAsia="方正小标宋简体" w:cs="Times New Roman"/>
          <w:w w:val="150"/>
          <w:sz w:val="48"/>
          <w:szCs w:val="48"/>
        </w:rPr>
      </w:pPr>
      <w:r>
        <w:rPr>
          <w:rFonts w:hint="eastAsia" w:ascii="方正小标宋简体" w:hAnsi="黑体" w:eastAsia="方正小标宋简体" w:cs="Times New Roman"/>
          <w:w w:val="150"/>
          <w:sz w:val="48"/>
          <w:szCs w:val="48"/>
        </w:rPr>
        <w:t>安徽省地方标准</w:t>
      </w:r>
    </w:p>
    <w:p w14:paraId="7FB0A0FB">
      <w:pPr>
        <w:jc w:val="right"/>
        <w:rPr>
          <w:rFonts w:ascii="黑体" w:hAnsi="黑体" w:eastAsia="黑体" w:cs="Times New Roman"/>
          <w:sz w:val="28"/>
          <w:szCs w:val="28"/>
        </w:rPr>
      </w:pPr>
      <w:bookmarkStart w:id="7" w:name="_Toc118474809"/>
      <w:bookmarkStart w:id="8" w:name="_Toc118971262"/>
      <w:bookmarkStart w:id="9" w:name="_Toc132373939"/>
      <w:r>
        <w:rPr>
          <w:rFonts w:ascii="黑体" w:hAnsi="黑体" w:eastAsia="黑体" w:cs="Times New Roman"/>
          <w:sz w:val="28"/>
          <w:szCs w:val="28"/>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393065</wp:posOffset>
                </wp:positionV>
                <wp:extent cx="5935980" cy="13335"/>
                <wp:effectExtent l="0" t="6350" r="7620" b="18415"/>
                <wp:wrapNone/>
                <wp:docPr id="1339801871" name="直接连接符 1"/>
                <wp:cNvGraphicFramePr/>
                <a:graphic xmlns:a="http://schemas.openxmlformats.org/drawingml/2006/main">
                  <a:graphicData uri="http://schemas.microsoft.com/office/word/2010/wordprocessingShape">
                    <wps:wsp>
                      <wps:cNvCnPr>
                        <a:cxnSpLocks noChangeShapeType="1"/>
                      </wps:cNvCnPr>
                      <wps:spPr bwMode="auto">
                        <a:xfrm flipV="1">
                          <a:off x="0" y="0"/>
                          <a:ext cx="5935980" cy="13335"/>
                        </a:xfrm>
                        <a:prstGeom prst="line">
                          <a:avLst/>
                        </a:prstGeom>
                        <a:noFill/>
                        <a:ln w="12700">
                          <a:solidFill>
                            <a:srgbClr val="000000">
                              <a:lumMod val="100000"/>
                              <a:lumOff val="0"/>
                            </a:srgbClr>
                          </a:solidFill>
                          <a:miter lim="800000"/>
                        </a:ln>
                        <a:effectLst/>
                      </wps:spPr>
                      <wps:bodyPr/>
                    </wps:wsp>
                  </a:graphicData>
                </a:graphic>
              </wp:anchor>
            </w:drawing>
          </mc:Choice>
          <mc:Fallback>
            <w:pict>
              <v:line id="直接连接符 1" o:spid="_x0000_s1026" o:spt="20" style="position:absolute;left:0pt;flip:y;margin-top:30.95pt;height:1.05pt;width:467.4pt;mso-position-horizontal:left;mso-position-horizontal-relative:margin;z-index:251659264;mso-width-relative:page;mso-height-relative:page;" filled="f" stroked="t" coordsize="21600,21600" o:gfxdata="UEsDBAoAAAAAAIdO4kAAAAAAAAAAAAAAAAAEAAAAZHJzL1BLAwQUAAAACACHTuJA9x+c8NQAAAAG&#10;AQAADwAAAGRycy9kb3ducmV2LnhtbE2PwU7DMBBE70j8g7VI3KgdUlVtiNNDJG5I0II4O/E2CcTr&#10;yHba9O9ZTnCcndXMm3K/uFGcMcTBk4ZspUAgtd4O1Gn4eH9+2IKIyZA1oyfUcMUI++r2pjSF9Rc6&#10;4PmYOsEhFAujoU9pKqSMbY/OxJWfkNg7+eBMYhk6aYO5cLgb5aNSG+nMQNzQmwnrHtvv4+w0DLLO&#10;ms9Qn96uuM1T/nr4epkXre/vMvUEIuGS/p7hF5/RoWKmxs9koxg18JCkYZPtQLC7y9c8pOHDWoGs&#10;Svkfv/oBUEsDBBQAAAAIAIdO4kCrOGdUFQIAABMEAAAOAAAAZHJzL2Uyb0RvYy54bWytU7Fu2zAQ&#10;3Qv0HwjutSQbbhzBcgYb6ZK2BpJmpynKIkryCJK27J/oDxTo1k4du/dvmn5Gj5TiNOmSoRoI8Xj3&#10;7r3H4/zioBXZC+clmIoWo5wSYTjU0mwr+uHm8tWMEh+YqZkCIyp6FJ5eLF6+mHe2FGNoQdXCEQQx&#10;vuxsRdsQbJllnrdCMz8CKwweNuA0C7h126x2rEN0rbJxnr/OOnC1dcCF9xhd9Yd0QHTPAYSmkVys&#10;gO+0MKFHdUKxgJJ8K62ni8S2aQQP75vGi0BURVFpSCs2wf9NXLPFnJVbx2wr+UCBPYfCE02aSYNN&#10;T1ArFhjZOfkPlJbcgYcmjDjorBeSHEEVRf7Em+uWWZG0oNXenkz3/w+Wv9uvHZE1TsJkcj7Li9lZ&#10;QYlhGm/+7vOPX5++/v75Bde7799IEd3qrC+xaGnWLurlB3Ntr4B/9MTAsmVmKxLrm6NFhFSRPSqJ&#10;G2+x56Z7CzXmsF2AZN2hcZo0StrbWBjB0R5ySHd1PN2VOATCMTg9n0yRLyUcz5D7ZBrZZayMMLHY&#10;Oh/eCNAk/lRUSROtZCXbX/nQp96nxLCBS6lUGgdlSIeY47M8TxUelKzjaczzbrtZKkf2LE5U+lKS&#10;2mnU04eLPtyD7TRO4JA+UBwwEt1H4FoGfFtK6orOThioSZnYWqR5Htjf+9jfyAbq49pFVTGOs5Kw&#10;h7mOw/j3PmU9vOXFH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PcfnPDUAAAABgEAAA8AAAAAAAAA&#10;AQAgAAAAIgAAAGRycy9kb3ducmV2LnhtbFBLAQIUABQAAAAIAIdO4kCrOGdUFQIAABMEAAAOAAAA&#10;AAAAAAEAIAAAACMBAABkcnMvZTJvRG9jLnhtbFBLBQYAAAAABgAGAFkBAACqBQAAAAA=&#10;">
                <v:fill on="f" focussize="0,0"/>
                <v:stroke weight="1pt" color="#000000" miterlimit="8" joinstyle="miter"/>
                <v:imagedata o:title=""/>
                <o:lock v:ext="edit" aspectratio="f"/>
              </v:line>
            </w:pict>
          </mc:Fallback>
        </mc:AlternateContent>
      </w:r>
      <w:r>
        <w:rPr>
          <w:rFonts w:ascii="黑体" w:hAnsi="黑体" w:eastAsia="黑体" w:cs="Times New Roman"/>
          <w:sz w:val="28"/>
          <w:szCs w:val="28"/>
        </w:rPr>
        <w:t xml:space="preserve">DB34/T </w:t>
      </w:r>
      <w:r>
        <w:rPr>
          <w:rFonts w:hint="eastAsia" w:ascii="黑体" w:hAnsi="黑体" w:eastAsia="黑体" w:cs="Times New Roman"/>
          <w:sz w:val="28"/>
          <w:szCs w:val="28"/>
        </w:rPr>
        <w:t>XXXXX</w:t>
      </w:r>
      <w:r>
        <w:rPr>
          <w:rFonts w:ascii="黑体" w:hAnsi="黑体" w:eastAsia="黑体" w:cs="Times New Roman"/>
          <w:sz w:val="28"/>
          <w:szCs w:val="28"/>
        </w:rPr>
        <w:t>－</w:t>
      </w:r>
      <w:bookmarkEnd w:id="7"/>
      <w:bookmarkEnd w:id="8"/>
      <w:r>
        <w:rPr>
          <w:rFonts w:hint="eastAsia" w:ascii="黑体" w:hAnsi="黑体" w:eastAsia="黑体" w:cs="Times New Roman"/>
          <w:sz w:val="28"/>
          <w:szCs w:val="28"/>
        </w:rPr>
        <w:t>XXXX</w:t>
      </w:r>
      <w:bookmarkEnd w:id="9"/>
    </w:p>
    <w:p w14:paraId="18350F94">
      <w:pPr>
        <w:rPr>
          <w:rFonts w:cs="Times New Roman"/>
          <w:u w:val="single"/>
        </w:rPr>
      </w:pPr>
    </w:p>
    <w:p w14:paraId="77762F73">
      <w:pPr>
        <w:rPr>
          <w:rFonts w:eastAsia="黑体" w:cs="Times New Roman"/>
          <w:sz w:val="52"/>
          <w:szCs w:val="52"/>
        </w:rPr>
      </w:pPr>
    </w:p>
    <w:p w14:paraId="598C4A46">
      <w:pPr>
        <w:pStyle w:val="27"/>
        <w:spacing w:line="276" w:lineRule="auto"/>
        <w:rPr>
          <w:rFonts w:hAnsi="Times New Roman"/>
          <w:sz w:val="52"/>
          <w:szCs w:val="52"/>
        </w:rPr>
      </w:pPr>
      <w:r>
        <w:rPr>
          <w:rFonts w:hint="eastAsia" w:hAnsi="Times New Roman"/>
          <w:sz w:val="52"/>
          <w:szCs w:val="52"/>
        </w:rPr>
        <w:t>人民防空工程安全使用标准</w:t>
      </w:r>
    </w:p>
    <w:p w14:paraId="7ED057C5">
      <w:pPr>
        <w:pStyle w:val="27"/>
        <w:spacing w:line="360" w:lineRule="exact"/>
        <w:rPr>
          <w:rFonts w:ascii="黑体" w:hAnsi="黑体"/>
        </w:rPr>
      </w:pPr>
      <w:r>
        <w:rPr>
          <w:rFonts w:hint="eastAsia" w:ascii="黑体" w:hAnsi="黑体"/>
        </w:rPr>
        <w:t>S</w:t>
      </w:r>
      <w:r>
        <w:rPr>
          <w:rFonts w:ascii="黑体" w:hAnsi="黑体"/>
        </w:rPr>
        <w:t xml:space="preserve">tandard for </w:t>
      </w:r>
      <w:bookmarkStart w:id="10" w:name="_Hlk118104177"/>
      <w:r>
        <w:rPr>
          <w:rFonts w:ascii="黑体" w:hAnsi="黑体"/>
        </w:rPr>
        <w:t xml:space="preserve">safety use of civil air defence works  </w:t>
      </w:r>
      <w:bookmarkEnd w:id="10"/>
    </w:p>
    <w:p w14:paraId="5F1BE437">
      <w:pPr>
        <w:jc w:val="center"/>
        <w:rPr>
          <w:rFonts w:ascii="黑体" w:hAnsi="黑体" w:eastAsia="黑体" w:cs="Times New Roman"/>
          <w:sz w:val="28"/>
          <w:szCs w:val="28"/>
        </w:rPr>
      </w:pPr>
    </w:p>
    <w:p w14:paraId="28BD9495">
      <w:pPr>
        <w:jc w:val="center"/>
        <w:rPr>
          <w:rFonts w:ascii="黑体" w:hAnsi="黑体" w:eastAsia="黑体" w:cs="Times New Roman"/>
          <w:sz w:val="28"/>
          <w:szCs w:val="28"/>
        </w:rPr>
      </w:pPr>
      <w:r>
        <w:rPr>
          <w:rFonts w:ascii="黑体" w:hAnsi="黑体" w:eastAsia="黑体" w:cs="Times New Roman"/>
          <w:sz w:val="28"/>
          <w:szCs w:val="28"/>
        </w:rPr>
        <w:t>（</w:t>
      </w:r>
      <w:r>
        <w:rPr>
          <w:rFonts w:hint="eastAsia" w:ascii="黑体" w:hAnsi="黑体" w:eastAsia="黑体" w:cs="Times New Roman"/>
          <w:sz w:val="28"/>
          <w:szCs w:val="28"/>
          <w:lang w:eastAsia="zh-CN"/>
        </w:rPr>
        <w:t>征求意见稿</w:t>
      </w:r>
      <w:bookmarkStart w:id="44" w:name="_GoBack"/>
      <w:bookmarkEnd w:id="44"/>
      <w:r>
        <w:rPr>
          <w:rFonts w:ascii="黑体" w:hAnsi="黑体" w:eastAsia="黑体" w:cs="Times New Roman"/>
          <w:sz w:val="28"/>
          <w:szCs w:val="28"/>
        </w:rPr>
        <w:t>）</w:t>
      </w:r>
    </w:p>
    <w:p w14:paraId="3665855A">
      <w:pPr>
        <w:ind w:firstLine="482"/>
        <w:rPr>
          <w:rFonts w:cs="Times New Roman"/>
        </w:rPr>
      </w:pPr>
    </w:p>
    <w:p w14:paraId="56BE4551">
      <w:pPr>
        <w:ind w:firstLine="672"/>
        <w:rPr>
          <w:rFonts w:eastAsia="黑体" w:cs="Times New Roman"/>
          <w:w w:val="120"/>
          <w:sz w:val="28"/>
          <w:szCs w:val="28"/>
        </w:rPr>
      </w:pPr>
    </w:p>
    <w:p w14:paraId="6B40EAB0">
      <w:pPr>
        <w:ind w:firstLine="672"/>
        <w:rPr>
          <w:rFonts w:eastAsia="黑体" w:cs="Times New Roman"/>
          <w:w w:val="120"/>
          <w:sz w:val="28"/>
          <w:szCs w:val="28"/>
        </w:rPr>
      </w:pPr>
    </w:p>
    <w:p w14:paraId="0EFA7EA6">
      <w:pPr>
        <w:ind w:firstLine="672"/>
        <w:rPr>
          <w:rFonts w:eastAsia="黑体" w:cs="Times New Roman"/>
          <w:w w:val="120"/>
          <w:sz w:val="28"/>
          <w:szCs w:val="28"/>
        </w:rPr>
      </w:pPr>
    </w:p>
    <w:p w14:paraId="380DD0F2">
      <w:pPr>
        <w:ind w:firstLine="672"/>
        <w:rPr>
          <w:rFonts w:eastAsia="黑体" w:cs="Times New Roman"/>
          <w:w w:val="120"/>
          <w:sz w:val="28"/>
          <w:szCs w:val="28"/>
        </w:rPr>
      </w:pPr>
    </w:p>
    <w:p w14:paraId="50560535">
      <w:pPr>
        <w:rPr>
          <w:rFonts w:ascii="黑体" w:hAnsi="黑体" w:eastAsia="黑体" w:cs="Times New Roman"/>
          <w:sz w:val="28"/>
          <w:szCs w:val="28"/>
        </w:rPr>
      </w:pPr>
      <w:r>
        <w:rPr>
          <w:rFonts w:hint="eastAsia" w:ascii="黑体" w:hAnsi="黑体" w:eastAsia="黑体" w:cs="Times New Roman"/>
          <w:sz w:val="28"/>
          <w:szCs w:val="28"/>
        </w:rPr>
        <w:t>XXXX</w:t>
      </w:r>
      <w:r>
        <w:rPr>
          <w:rFonts w:ascii="黑体" w:hAnsi="黑体" w:eastAsia="黑体" w:cs="Times New Roman"/>
          <w:sz w:val="28"/>
          <w:szCs w:val="28"/>
        </w:rPr>
        <w:t>-</w:t>
      </w:r>
      <w:r>
        <w:rPr>
          <w:rFonts w:hint="eastAsia" w:ascii="黑体" w:hAnsi="黑体" w:eastAsia="黑体" w:cs="Times New Roman"/>
          <w:sz w:val="28"/>
          <w:szCs w:val="28"/>
        </w:rPr>
        <w:t>XX</w:t>
      </w:r>
      <w:r>
        <w:rPr>
          <w:rFonts w:ascii="黑体" w:hAnsi="黑体" w:eastAsia="黑体" w:cs="Times New Roman"/>
          <w:sz w:val="28"/>
          <w:szCs w:val="28"/>
        </w:rPr>
        <w:t>-</w:t>
      </w:r>
      <w:r>
        <w:rPr>
          <w:rFonts w:hint="eastAsia" w:ascii="黑体" w:hAnsi="黑体" w:eastAsia="黑体" w:cs="Times New Roman"/>
          <w:sz w:val="28"/>
          <w:szCs w:val="28"/>
        </w:rPr>
        <w:t>XX</w:t>
      </w:r>
      <w:r>
        <w:rPr>
          <w:rFonts w:ascii="黑体" w:hAnsi="黑体" w:eastAsia="黑体" w:cs="Times New Roman"/>
          <w:sz w:val="28"/>
          <w:szCs w:val="28"/>
        </w:rPr>
        <w:t xml:space="preserve">发布                                   </w:t>
      </w:r>
      <w:r>
        <w:rPr>
          <w:rFonts w:hint="eastAsia" w:ascii="黑体" w:hAnsi="黑体" w:eastAsia="黑体" w:cs="Times New Roman"/>
          <w:sz w:val="28"/>
          <w:szCs w:val="28"/>
        </w:rPr>
        <w:t>XXXX</w:t>
      </w:r>
      <w:r>
        <w:rPr>
          <w:rFonts w:ascii="黑体" w:hAnsi="黑体" w:eastAsia="黑体" w:cs="Times New Roman"/>
          <w:sz w:val="28"/>
          <w:szCs w:val="28"/>
        </w:rPr>
        <w:t>-</w:t>
      </w:r>
      <w:r>
        <w:rPr>
          <w:rFonts w:hint="eastAsia" w:ascii="黑体" w:hAnsi="黑体" w:eastAsia="黑体" w:cs="Times New Roman"/>
          <w:sz w:val="28"/>
          <w:szCs w:val="28"/>
        </w:rPr>
        <w:t>XX</w:t>
      </w:r>
      <w:r>
        <w:rPr>
          <w:rFonts w:ascii="黑体" w:hAnsi="黑体" w:eastAsia="黑体" w:cs="Times New Roman"/>
          <w:sz w:val="28"/>
          <w:szCs w:val="28"/>
        </w:rPr>
        <w:t>-</w:t>
      </w:r>
      <w:r>
        <w:rPr>
          <w:rFonts w:hint="eastAsia" w:ascii="黑体" w:hAnsi="黑体" w:eastAsia="黑体" w:cs="Times New Roman"/>
          <w:sz w:val="28"/>
          <w:szCs w:val="28"/>
        </w:rPr>
        <w:t>XX</w:t>
      </w:r>
      <w:r>
        <w:rPr>
          <w:rFonts w:ascii="黑体" w:hAnsi="黑体" w:eastAsia="黑体" w:cs="Times New Roman"/>
          <w:sz w:val="28"/>
          <w:szCs w:val="28"/>
        </w:rPr>
        <w:t>实施</w:t>
      </w:r>
    </w:p>
    <w:p w14:paraId="5A2EFA18">
      <w:pPr>
        <w:rPr>
          <w:rFonts w:cs="Times New Roman"/>
          <w:u w:val="single"/>
        </w:rPr>
      </w:pPr>
      <w:r>
        <w:rPr>
          <w:rFonts w:ascii="黑体" w:hAnsi="黑体" w:eastAsia="黑体" w:cs="Times New Roman"/>
          <w:sz w:val="28"/>
          <w:szCs w:val="28"/>
        </w:rPr>
        <mc:AlternateContent>
          <mc:Choice Requires="wps">
            <w:drawing>
              <wp:anchor distT="0" distB="0" distL="114300" distR="114300" simplePos="0" relativeHeight="251660288" behindDoc="0" locked="0" layoutInCell="1" allowOverlap="1">
                <wp:simplePos x="0" y="0"/>
                <wp:positionH relativeFrom="margin">
                  <wp:posOffset>0</wp:posOffset>
                </wp:positionH>
                <wp:positionV relativeFrom="paragraph">
                  <wp:posOffset>12700</wp:posOffset>
                </wp:positionV>
                <wp:extent cx="5731510" cy="0"/>
                <wp:effectExtent l="0" t="6350" r="8890" b="6350"/>
                <wp:wrapNone/>
                <wp:docPr id="1013212713" name="Line 3"/>
                <wp:cNvGraphicFramePr/>
                <a:graphic xmlns:a="http://schemas.openxmlformats.org/drawingml/2006/main">
                  <a:graphicData uri="http://schemas.microsoft.com/office/word/2010/wordprocessingShape">
                    <wps:wsp>
                      <wps:cNvCnPr>
                        <a:cxnSpLocks noChangeShapeType="1"/>
                      </wps:cNvCnPr>
                      <wps:spPr bwMode="auto">
                        <a:xfrm flipV="1">
                          <a:off x="0" y="0"/>
                          <a:ext cx="5731510" cy="0"/>
                        </a:xfrm>
                        <a:prstGeom prst="line">
                          <a:avLst/>
                        </a:prstGeom>
                        <a:noFill/>
                        <a:ln w="12700">
                          <a:solidFill>
                            <a:srgbClr val="000000">
                              <a:lumMod val="100000"/>
                              <a:lumOff val="0"/>
                            </a:srgbClr>
                          </a:solidFill>
                          <a:miter lim="800000"/>
                        </a:ln>
                        <a:effectLst/>
                      </wps:spPr>
                      <wps:bodyPr/>
                    </wps:wsp>
                  </a:graphicData>
                </a:graphic>
              </wp:anchor>
            </w:drawing>
          </mc:Choice>
          <mc:Fallback>
            <w:pict>
              <v:line id="Line 3" o:spid="_x0000_s1026" o:spt="20" style="position:absolute;left:0pt;flip:y;margin-left:0pt;margin-top:1pt;height:0pt;width:451.3pt;mso-position-horizontal-relative:margin;z-index:251660288;mso-width-relative:page;mso-height-relative:page;" filled="f" stroked="t" coordsize="21600,21600" o:gfxdata="UEsDBAoAAAAAAIdO4kAAAAAAAAAAAAAAAAAEAAAAZHJzL1BLAwQUAAAACACHTuJAxMnMUdIAAAAE&#10;AQAADwAAAGRycy9kb3ducmV2LnhtbE2PwU7DMBBE70j8g7VI3KidVKpKiNNDJG5I0IJ6duJtEojX&#10;ke206d+zcIHTaDSrmbflbnGjOGOIgycN2UqBQGq9HajT8PH+/LAFEZMha0ZPqOGKEXbV7U1pCusv&#10;tMfzIXWCSygWRkOf0lRIGdsenYkrPyFxdvLBmcQ2dNIGc+FyN8pcqY10ZiBe6M2EdY/t12F2GgZZ&#10;Z80x1Ke3K27Xaf26/3yZF63v7zL1BCLhkv6O4Qef0aFipsbPZKMYNfAjSUPOwuGjyjcgml8vq1L+&#10;h6++AVBLAwQUAAAACACHTuJAbVMIsPUBAAAEBAAADgAAAGRycy9lMm9Eb2MueG1srVNNj9owEL1X&#10;6n+wfC9JQFtWEWEPoO2Ftki77d04DrFqeyyPIfDvO3aA/ehlD80hsufjzZs348XDyRp2VAE1uIZX&#10;k5Iz5SS02u0b/uv58cs9ZxiFa4UBpxp+Vsgflp8/LQZfqyn0YFoVGIE4rAff8D5GXxcFyl5ZgRPw&#10;ypGzg2BFpGvYF20QA6FbU0zL8msxQGh9AKkQyboenfyCGD4CCF2npVqDPFjl4ogalBGRWsJee+TL&#10;zLbrlIw/uw5VZKbh1GnMfypC5136F8uFqPdB+F7LCwXxEQrverJCOyp6g1qLKNgh6H+grJYBELo4&#10;kWCLsZGsCHVRle+0eeqFV7kXkhr9TXT8f7Dyx3EbmG5pE8pqNq2m82rGmROWJr/RTrFZkmjwWFPk&#10;ym1DalKe3JPfgPyDzMGqF26vMtXns6e0KmUUb1LSBT0V2g3foaUYcYiQ9Tp1wbLOaP87JSZw0oSd&#10;8oDOtwGpU2SSjHfzWXVX0ezk1VeIOkGkRB8wflNgWTo03BD7DCiOG4yJ0ktICnfwqI3J8zeODVR+&#10;Oi/LnIFgdJu8KQ7DfrcygR1FWqH85SBzsNTLaK5G8wh2sLRyl/AsxQ0jc3gDbnWkx2S0bfj9DYOI&#10;GpdKq7zAF/ZXDcdp7KA9b8NVaFqOjH1Z5LR9r+90fv14l3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xMnMUdIAAAAEAQAADwAAAAAAAAABACAAAAAiAAAAZHJzL2Rvd25yZXYueG1sUEsBAhQAFAAA&#10;AAgAh07iQG1TCLD1AQAABAQAAA4AAAAAAAAAAQAgAAAAIQEAAGRycy9lMm9Eb2MueG1sUEsFBgAA&#10;AAAGAAYAWQEAAIgFAAAAAA==&#10;">
                <v:fill on="f" focussize="0,0"/>
                <v:stroke weight="1pt" color="#000000" miterlimit="8" joinstyle="miter"/>
                <v:imagedata o:title=""/>
                <o:lock v:ext="edit" aspectratio="f"/>
              </v:line>
            </w:pict>
          </mc:Fallback>
        </mc:AlternateContent>
      </w:r>
    </w:p>
    <w:p w14:paraId="0FC6B23C">
      <w:pPr>
        <w:pStyle w:val="27"/>
        <w:spacing w:line="276" w:lineRule="auto"/>
        <w:rPr>
          <w:rFonts w:hAnsi="Times New Roman"/>
        </w:rPr>
        <w:sectPr>
          <w:headerReference r:id="rId5" w:type="first"/>
          <w:footerReference r:id="rId8" w:type="first"/>
          <w:headerReference r:id="rId3" w:type="default"/>
          <w:footerReference r:id="rId6" w:type="default"/>
          <w:headerReference r:id="rId4" w:type="even"/>
          <w:footerReference r:id="rId7" w:type="even"/>
          <w:pgSz w:w="11906" w:h="16838"/>
          <w:pgMar w:top="567" w:right="1134" w:bottom="1134" w:left="1418" w:header="851" w:footer="992" w:gutter="0"/>
          <w:cols w:space="720" w:num="1"/>
          <w:titlePg/>
          <w:docGrid w:type="linesAndChars" w:linePitch="312" w:charSpace="0"/>
        </w:sectPr>
      </w:pPr>
      <w:r>
        <w:rPr>
          <w:rFonts w:hAnsi="Times New Roman"/>
        </w:rPr>
        <w:t>安徽省市场监督管理局   发布</w:t>
      </w:r>
    </w:p>
    <w:bookmarkEnd w:id="1"/>
    <w:bookmarkEnd w:id="2"/>
    <w:p w14:paraId="2DC338FA">
      <w:pPr>
        <w:spacing w:line="400" w:lineRule="exact"/>
        <w:jc w:val="center"/>
        <w:rPr>
          <w:rFonts w:ascii="黑体" w:hAnsi="黑体" w:eastAsia="黑体" w:cs="黑体"/>
          <w:sz w:val="32"/>
          <w:szCs w:val="32"/>
        </w:rPr>
      </w:pPr>
    </w:p>
    <w:p w14:paraId="6449C779">
      <w:pPr>
        <w:spacing w:line="400" w:lineRule="exact"/>
        <w:jc w:val="center"/>
        <w:rPr>
          <w:rFonts w:ascii="黑体" w:hAnsi="黑体" w:eastAsia="黑体" w:cs="黑体"/>
          <w:sz w:val="32"/>
          <w:szCs w:val="32"/>
        </w:rPr>
      </w:pPr>
      <w:r>
        <w:rPr>
          <w:rFonts w:hint="eastAsia" w:ascii="黑体" w:hAnsi="黑体" w:eastAsia="黑体" w:cs="黑体"/>
          <w:sz w:val="32"/>
          <w:szCs w:val="32"/>
        </w:rPr>
        <w:t>目  次</w:t>
      </w:r>
    </w:p>
    <w:p w14:paraId="4F1041B1">
      <w:pPr>
        <w:pStyle w:val="11"/>
        <w:tabs>
          <w:tab w:val="right" w:leader="dot" w:pos="9354"/>
        </w:tabs>
        <w:adjustRightInd w:val="0"/>
        <w:snapToGrid w:val="0"/>
        <w:spacing w:line="320" w:lineRule="exact"/>
        <w:rPr>
          <w:rFonts w:hAnsi="宋体" w:cs="宋体"/>
          <w:sz w:val="21"/>
          <w:szCs w:val="21"/>
        </w:rPr>
      </w:pPr>
      <w:r>
        <w:rPr>
          <w:rFonts w:hint="eastAsia" w:hAnsi="宋体" w:cs="宋体"/>
          <w:sz w:val="21"/>
          <w:szCs w:val="21"/>
        </w:rPr>
        <w:fldChar w:fldCharType="begin"/>
      </w:r>
      <w:r>
        <w:rPr>
          <w:rFonts w:hint="eastAsia" w:hAnsi="宋体" w:cs="宋体"/>
          <w:sz w:val="21"/>
          <w:szCs w:val="21"/>
        </w:rPr>
        <w:instrText xml:space="preserve">TOC \o "1-2" \h \u </w:instrText>
      </w:r>
      <w:r>
        <w:rPr>
          <w:rFonts w:hint="eastAsia" w:hAnsi="宋体" w:cs="宋体"/>
          <w:sz w:val="21"/>
          <w:szCs w:val="21"/>
        </w:rPr>
        <w:fldChar w:fldCharType="separate"/>
      </w:r>
      <w:r>
        <w:fldChar w:fldCharType="begin"/>
      </w:r>
      <w:r>
        <w:instrText xml:space="preserve"> HYPERLINK \l "_Toc13827" </w:instrText>
      </w:r>
      <w:r>
        <w:fldChar w:fldCharType="separate"/>
      </w:r>
      <w:r>
        <w:rPr>
          <w:rFonts w:hint="eastAsia" w:hAnsi="宋体" w:cs="宋体"/>
          <w:sz w:val="21"/>
          <w:szCs w:val="21"/>
        </w:rPr>
        <w:t>前    言</w:t>
      </w:r>
      <w:r>
        <w:rPr>
          <w:rFonts w:hint="eastAsia" w:hAnsi="宋体" w:cs="宋体"/>
          <w:sz w:val="21"/>
          <w:szCs w:val="21"/>
        </w:rPr>
        <w:tab/>
      </w:r>
      <w:r>
        <w:rPr>
          <w:rFonts w:hint="eastAsia" w:hAnsi="宋体" w:cs="宋体"/>
          <w:sz w:val="21"/>
          <w:szCs w:val="21"/>
        </w:rPr>
        <w:fldChar w:fldCharType="begin"/>
      </w:r>
      <w:r>
        <w:rPr>
          <w:rFonts w:hint="eastAsia" w:hAnsi="宋体" w:cs="宋体"/>
          <w:sz w:val="21"/>
          <w:szCs w:val="21"/>
        </w:rPr>
        <w:instrText xml:space="preserve"> PAGEREF _Toc13827 \h </w:instrText>
      </w:r>
      <w:r>
        <w:rPr>
          <w:rFonts w:hint="eastAsia" w:hAnsi="宋体" w:cs="宋体"/>
          <w:sz w:val="21"/>
          <w:szCs w:val="21"/>
        </w:rPr>
        <w:fldChar w:fldCharType="separate"/>
      </w:r>
      <w:r>
        <w:rPr>
          <w:rFonts w:hAnsi="宋体" w:cs="宋体"/>
          <w:sz w:val="21"/>
          <w:szCs w:val="21"/>
        </w:rPr>
        <w:t>2</w:t>
      </w:r>
      <w:r>
        <w:rPr>
          <w:rFonts w:hint="eastAsia" w:hAnsi="宋体" w:cs="宋体"/>
          <w:sz w:val="21"/>
          <w:szCs w:val="21"/>
        </w:rPr>
        <w:fldChar w:fldCharType="end"/>
      </w:r>
      <w:r>
        <w:rPr>
          <w:rFonts w:hint="eastAsia" w:hAnsi="宋体" w:cs="宋体"/>
          <w:sz w:val="21"/>
          <w:szCs w:val="21"/>
        </w:rPr>
        <w:fldChar w:fldCharType="end"/>
      </w:r>
    </w:p>
    <w:p w14:paraId="76EAA8BE">
      <w:pPr>
        <w:pStyle w:val="11"/>
        <w:tabs>
          <w:tab w:val="right" w:leader="dot" w:pos="9354"/>
        </w:tabs>
        <w:adjustRightInd w:val="0"/>
        <w:snapToGrid w:val="0"/>
        <w:spacing w:line="320" w:lineRule="exact"/>
        <w:rPr>
          <w:rFonts w:hAnsi="宋体" w:cs="宋体"/>
          <w:sz w:val="21"/>
          <w:szCs w:val="21"/>
        </w:rPr>
      </w:pPr>
      <w:r>
        <w:fldChar w:fldCharType="begin"/>
      </w:r>
      <w:r>
        <w:instrText xml:space="preserve"> HYPERLINK \l "_Toc29325" </w:instrText>
      </w:r>
      <w:r>
        <w:fldChar w:fldCharType="separate"/>
      </w:r>
      <w:r>
        <w:rPr>
          <w:rFonts w:hint="eastAsia" w:hAnsi="宋体" w:cs="宋体"/>
          <w:sz w:val="21"/>
          <w:szCs w:val="21"/>
        </w:rPr>
        <w:t>1　范围</w:t>
      </w:r>
      <w:r>
        <w:rPr>
          <w:rFonts w:hint="eastAsia" w:hAnsi="宋体" w:cs="宋体"/>
          <w:sz w:val="21"/>
          <w:szCs w:val="21"/>
        </w:rPr>
        <w:tab/>
      </w:r>
      <w:r>
        <w:rPr>
          <w:rFonts w:hint="eastAsia" w:hAnsi="宋体" w:cs="宋体"/>
          <w:sz w:val="21"/>
          <w:szCs w:val="21"/>
        </w:rPr>
        <w:fldChar w:fldCharType="begin"/>
      </w:r>
      <w:r>
        <w:rPr>
          <w:rFonts w:hint="eastAsia" w:hAnsi="宋体" w:cs="宋体"/>
          <w:sz w:val="21"/>
          <w:szCs w:val="21"/>
        </w:rPr>
        <w:instrText xml:space="preserve"> PAGEREF _Toc29325 \h </w:instrText>
      </w:r>
      <w:r>
        <w:rPr>
          <w:rFonts w:hint="eastAsia" w:hAnsi="宋体" w:cs="宋体"/>
          <w:sz w:val="21"/>
          <w:szCs w:val="21"/>
        </w:rPr>
        <w:fldChar w:fldCharType="separate"/>
      </w:r>
      <w:r>
        <w:rPr>
          <w:rFonts w:hAnsi="宋体" w:cs="宋体"/>
          <w:sz w:val="21"/>
          <w:szCs w:val="21"/>
        </w:rPr>
        <w:t>1</w:t>
      </w:r>
      <w:r>
        <w:rPr>
          <w:rFonts w:hint="eastAsia" w:hAnsi="宋体" w:cs="宋体"/>
          <w:sz w:val="21"/>
          <w:szCs w:val="21"/>
        </w:rPr>
        <w:fldChar w:fldCharType="end"/>
      </w:r>
      <w:r>
        <w:rPr>
          <w:rFonts w:hint="eastAsia" w:hAnsi="宋体" w:cs="宋体"/>
          <w:sz w:val="21"/>
          <w:szCs w:val="21"/>
        </w:rPr>
        <w:fldChar w:fldCharType="end"/>
      </w:r>
    </w:p>
    <w:p w14:paraId="74E29469">
      <w:pPr>
        <w:pStyle w:val="11"/>
        <w:tabs>
          <w:tab w:val="right" w:leader="dot" w:pos="9354"/>
        </w:tabs>
        <w:adjustRightInd w:val="0"/>
        <w:snapToGrid w:val="0"/>
        <w:spacing w:line="320" w:lineRule="exact"/>
        <w:rPr>
          <w:rFonts w:hAnsi="宋体" w:cs="宋体"/>
          <w:sz w:val="21"/>
          <w:szCs w:val="21"/>
        </w:rPr>
      </w:pPr>
      <w:r>
        <w:fldChar w:fldCharType="begin"/>
      </w:r>
      <w:r>
        <w:instrText xml:space="preserve"> HYPERLINK \l "_Toc18864" </w:instrText>
      </w:r>
      <w:r>
        <w:fldChar w:fldCharType="separate"/>
      </w:r>
      <w:r>
        <w:rPr>
          <w:rFonts w:hint="eastAsia" w:hAnsi="宋体" w:cs="宋体"/>
          <w:sz w:val="21"/>
          <w:szCs w:val="21"/>
        </w:rPr>
        <w:t>2　规范性引用文件</w:t>
      </w:r>
      <w:r>
        <w:rPr>
          <w:rFonts w:hint="eastAsia" w:hAnsi="宋体" w:cs="宋体"/>
          <w:sz w:val="21"/>
          <w:szCs w:val="21"/>
        </w:rPr>
        <w:tab/>
      </w:r>
      <w:r>
        <w:rPr>
          <w:rFonts w:hint="eastAsia" w:hAnsi="宋体" w:cs="宋体"/>
          <w:sz w:val="21"/>
          <w:szCs w:val="21"/>
        </w:rPr>
        <w:fldChar w:fldCharType="begin"/>
      </w:r>
      <w:r>
        <w:rPr>
          <w:rFonts w:hint="eastAsia" w:hAnsi="宋体" w:cs="宋体"/>
          <w:sz w:val="21"/>
          <w:szCs w:val="21"/>
        </w:rPr>
        <w:instrText xml:space="preserve"> PAGEREF _Toc18864 \h </w:instrText>
      </w:r>
      <w:r>
        <w:rPr>
          <w:rFonts w:hint="eastAsia" w:hAnsi="宋体" w:cs="宋体"/>
          <w:sz w:val="21"/>
          <w:szCs w:val="21"/>
        </w:rPr>
        <w:fldChar w:fldCharType="separate"/>
      </w:r>
      <w:r>
        <w:rPr>
          <w:rFonts w:hAnsi="宋体" w:cs="宋体"/>
          <w:sz w:val="21"/>
          <w:szCs w:val="21"/>
        </w:rPr>
        <w:t>1</w:t>
      </w:r>
      <w:r>
        <w:rPr>
          <w:rFonts w:hint="eastAsia" w:hAnsi="宋体" w:cs="宋体"/>
          <w:sz w:val="21"/>
          <w:szCs w:val="21"/>
        </w:rPr>
        <w:fldChar w:fldCharType="end"/>
      </w:r>
      <w:r>
        <w:rPr>
          <w:rFonts w:hint="eastAsia" w:hAnsi="宋体" w:cs="宋体"/>
          <w:sz w:val="21"/>
          <w:szCs w:val="21"/>
        </w:rPr>
        <w:fldChar w:fldCharType="end"/>
      </w:r>
    </w:p>
    <w:p w14:paraId="580494A9">
      <w:pPr>
        <w:pStyle w:val="11"/>
        <w:tabs>
          <w:tab w:val="right" w:leader="dot" w:pos="9354"/>
        </w:tabs>
        <w:adjustRightInd w:val="0"/>
        <w:snapToGrid w:val="0"/>
        <w:spacing w:line="320" w:lineRule="exact"/>
        <w:rPr>
          <w:rFonts w:hAnsi="宋体" w:cs="宋体"/>
          <w:sz w:val="21"/>
          <w:szCs w:val="21"/>
        </w:rPr>
      </w:pPr>
      <w:r>
        <w:fldChar w:fldCharType="begin"/>
      </w:r>
      <w:r>
        <w:instrText xml:space="preserve"> HYPERLINK \l "_Toc18419" </w:instrText>
      </w:r>
      <w:r>
        <w:fldChar w:fldCharType="separate"/>
      </w:r>
      <w:r>
        <w:rPr>
          <w:rFonts w:hint="eastAsia" w:hAnsi="宋体" w:cs="宋体"/>
          <w:sz w:val="21"/>
          <w:szCs w:val="21"/>
        </w:rPr>
        <w:t>3　术语和定义</w:t>
      </w:r>
      <w:r>
        <w:rPr>
          <w:rFonts w:hint="eastAsia" w:hAnsi="宋体" w:cs="宋体"/>
          <w:sz w:val="21"/>
          <w:szCs w:val="21"/>
        </w:rPr>
        <w:tab/>
      </w:r>
      <w:r>
        <w:rPr>
          <w:rFonts w:hint="eastAsia" w:hAnsi="宋体" w:cs="宋体"/>
          <w:sz w:val="21"/>
          <w:szCs w:val="21"/>
        </w:rPr>
        <w:fldChar w:fldCharType="begin"/>
      </w:r>
      <w:r>
        <w:rPr>
          <w:rFonts w:hint="eastAsia" w:hAnsi="宋体" w:cs="宋体"/>
          <w:sz w:val="21"/>
          <w:szCs w:val="21"/>
        </w:rPr>
        <w:instrText xml:space="preserve"> PAGEREF _Toc18419 \h </w:instrText>
      </w:r>
      <w:r>
        <w:rPr>
          <w:rFonts w:hint="eastAsia" w:hAnsi="宋体" w:cs="宋体"/>
          <w:sz w:val="21"/>
          <w:szCs w:val="21"/>
        </w:rPr>
        <w:fldChar w:fldCharType="separate"/>
      </w:r>
      <w:r>
        <w:rPr>
          <w:rFonts w:hAnsi="宋体" w:cs="宋体"/>
          <w:sz w:val="21"/>
          <w:szCs w:val="21"/>
        </w:rPr>
        <w:t>1</w:t>
      </w:r>
      <w:r>
        <w:rPr>
          <w:rFonts w:hint="eastAsia" w:hAnsi="宋体" w:cs="宋体"/>
          <w:sz w:val="21"/>
          <w:szCs w:val="21"/>
        </w:rPr>
        <w:fldChar w:fldCharType="end"/>
      </w:r>
      <w:r>
        <w:rPr>
          <w:rFonts w:hint="eastAsia" w:hAnsi="宋体" w:cs="宋体"/>
          <w:sz w:val="21"/>
          <w:szCs w:val="21"/>
        </w:rPr>
        <w:fldChar w:fldCharType="end"/>
      </w:r>
    </w:p>
    <w:p w14:paraId="671CE4AD">
      <w:pPr>
        <w:pStyle w:val="11"/>
        <w:tabs>
          <w:tab w:val="right" w:leader="dot" w:pos="9354"/>
        </w:tabs>
        <w:adjustRightInd w:val="0"/>
        <w:snapToGrid w:val="0"/>
        <w:spacing w:line="320" w:lineRule="exact"/>
        <w:rPr>
          <w:rFonts w:hAnsi="宋体" w:cs="宋体"/>
          <w:sz w:val="21"/>
          <w:szCs w:val="21"/>
        </w:rPr>
      </w:pPr>
      <w:r>
        <w:fldChar w:fldCharType="begin"/>
      </w:r>
      <w:r>
        <w:instrText xml:space="preserve"> HYPERLINK \l "_Toc1112" </w:instrText>
      </w:r>
      <w:r>
        <w:fldChar w:fldCharType="separate"/>
      </w:r>
      <w:r>
        <w:rPr>
          <w:rFonts w:hint="eastAsia" w:hAnsi="宋体" w:cs="宋体"/>
          <w:sz w:val="21"/>
          <w:szCs w:val="21"/>
        </w:rPr>
        <w:t>4  基本要求</w:t>
      </w:r>
      <w:r>
        <w:rPr>
          <w:rFonts w:hint="eastAsia" w:hAnsi="宋体" w:cs="宋体"/>
          <w:sz w:val="21"/>
          <w:szCs w:val="21"/>
        </w:rPr>
        <w:tab/>
      </w:r>
      <w:r>
        <w:rPr>
          <w:rFonts w:hint="eastAsia" w:hAnsi="宋体" w:cs="宋体"/>
          <w:sz w:val="21"/>
          <w:szCs w:val="21"/>
        </w:rPr>
        <w:fldChar w:fldCharType="begin"/>
      </w:r>
      <w:r>
        <w:rPr>
          <w:rFonts w:hint="eastAsia" w:hAnsi="宋体" w:cs="宋体"/>
          <w:sz w:val="21"/>
          <w:szCs w:val="21"/>
        </w:rPr>
        <w:instrText xml:space="preserve"> PAGEREF _Toc1112 \h </w:instrText>
      </w:r>
      <w:r>
        <w:rPr>
          <w:rFonts w:hint="eastAsia" w:hAnsi="宋体" w:cs="宋体"/>
          <w:sz w:val="21"/>
          <w:szCs w:val="21"/>
        </w:rPr>
        <w:fldChar w:fldCharType="separate"/>
      </w:r>
      <w:r>
        <w:rPr>
          <w:rFonts w:hAnsi="宋体" w:cs="宋体"/>
          <w:sz w:val="21"/>
          <w:szCs w:val="21"/>
        </w:rPr>
        <w:t>3</w:t>
      </w:r>
      <w:r>
        <w:rPr>
          <w:rFonts w:hint="eastAsia" w:hAnsi="宋体" w:cs="宋体"/>
          <w:sz w:val="21"/>
          <w:szCs w:val="21"/>
        </w:rPr>
        <w:fldChar w:fldCharType="end"/>
      </w:r>
      <w:r>
        <w:rPr>
          <w:rFonts w:hint="eastAsia" w:hAnsi="宋体" w:cs="宋体"/>
          <w:sz w:val="21"/>
          <w:szCs w:val="21"/>
        </w:rPr>
        <w:fldChar w:fldCharType="end"/>
      </w:r>
    </w:p>
    <w:p w14:paraId="74784770">
      <w:pPr>
        <w:pStyle w:val="11"/>
        <w:tabs>
          <w:tab w:val="right" w:leader="dot" w:pos="9354"/>
        </w:tabs>
        <w:adjustRightInd w:val="0"/>
        <w:snapToGrid w:val="0"/>
        <w:spacing w:line="320" w:lineRule="exact"/>
        <w:rPr>
          <w:rFonts w:hAnsi="宋体" w:cs="宋体"/>
          <w:sz w:val="21"/>
          <w:szCs w:val="21"/>
        </w:rPr>
      </w:pPr>
      <w:r>
        <w:fldChar w:fldCharType="begin"/>
      </w:r>
      <w:r>
        <w:instrText xml:space="preserve"> HYPERLINK \l "_Toc8970" </w:instrText>
      </w:r>
      <w:r>
        <w:fldChar w:fldCharType="separate"/>
      </w:r>
      <w:r>
        <w:rPr>
          <w:rFonts w:hint="eastAsia" w:hAnsi="宋体" w:cs="宋体"/>
          <w:sz w:val="21"/>
          <w:szCs w:val="21"/>
        </w:rPr>
        <w:t>5  安全使用</w:t>
      </w:r>
      <w:r>
        <w:rPr>
          <w:rFonts w:hint="eastAsia" w:hAnsi="宋体" w:cs="宋体"/>
          <w:sz w:val="21"/>
          <w:szCs w:val="21"/>
        </w:rPr>
        <w:tab/>
      </w:r>
      <w:r>
        <w:rPr>
          <w:rFonts w:hint="eastAsia" w:hAnsi="宋体" w:cs="宋体"/>
          <w:sz w:val="21"/>
          <w:szCs w:val="21"/>
        </w:rPr>
        <w:fldChar w:fldCharType="begin"/>
      </w:r>
      <w:r>
        <w:rPr>
          <w:rFonts w:hint="eastAsia" w:hAnsi="宋体" w:cs="宋体"/>
          <w:sz w:val="21"/>
          <w:szCs w:val="21"/>
        </w:rPr>
        <w:instrText xml:space="preserve"> PAGEREF _Toc8970 \h </w:instrText>
      </w:r>
      <w:r>
        <w:rPr>
          <w:rFonts w:hint="eastAsia" w:hAnsi="宋体" w:cs="宋体"/>
          <w:sz w:val="21"/>
          <w:szCs w:val="21"/>
        </w:rPr>
        <w:fldChar w:fldCharType="separate"/>
      </w:r>
      <w:r>
        <w:rPr>
          <w:rFonts w:hAnsi="宋体" w:cs="宋体"/>
          <w:sz w:val="21"/>
          <w:szCs w:val="21"/>
        </w:rPr>
        <w:t>4</w:t>
      </w:r>
      <w:r>
        <w:rPr>
          <w:rFonts w:hint="eastAsia" w:hAnsi="宋体" w:cs="宋体"/>
          <w:sz w:val="21"/>
          <w:szCs w:val="21"/>
        </w:rPr>
        <w:fldChar w:fldCharType="end"/>
      </w:r>
      <w:r>
        <w:rPr>
          <w:rFonts w:hint="eastAsia" w:hAnsi="宋体" w:cs="宋体"/>
          <w:sz w:val="21"/>
          <w:szCs w:val="21"/>
        </w:rPr>
        <w:fldChar w:fldCharType="end"/>
      </w:r>
    </w:p>
    <w:p w14:paraId="1C096A76">
      <w:pPr>
        <w:pStyle w:val="12"/>
        <w:tabs>
          <w:tab w:val="right" w:leader="dot" w:pos="9354"/>
        </w:tabs>
        <w:adjustRightInd w:val="0"/>
        <w:snapToGrid w:val="0"/>
        <w:spacing w:line="320" w:lineRule="exact"/>
        <w:ind w:left="480"/>
        <w:rPr>
          <w:rFonts w:hAnsi="宋体" w:cs="宋体"/>
          <w:sz w:val="21"/>
          <w:szCs w:val="21"/>
        </w:rPr>
      </w:pPr>
      <w:r>
        <w:fldChar w:fldCharType="begin"/>
      </w:r>
      <w:r>
        <w:instrText xml:space="preserve"> HYPERLINK \l "_Toc7938" </w:instrText>
      </w:r>
      <w:r>
        <w:fldChar w:fldCharType="separate"/>
      </w:r>
      <w:r>
        <w:rPr>
          <w:rFonts w:hint="eastAsia" w:hAnsi="宋体" w:cs="宋体"/>
          <w:sz w:val="21"/>
          <w:szCs w:val="21"/>
        </w:rPr>
        <w:t>5.1  土建工程</w:t>
      </w:r>
      <w:r>
        <w:rPr>
          <w:rFonts w:hint="eastAsia" w:hAnsi="宋体" w:cs="宋体"/>
          <w:sz w:val="21"/>
          <w:szCs w:val="21"/>
        </w:rPr>
        <w:tab/>
      </w:r>
      <w:r>
        <w:rPr>
          <w:rFonts w:hint="eastAsia" w:hAnsi="宋体" w:cs="宋体"/>
          <w:sz w:val="21"/>
          <w:szCs w:val="21"/>
        </w:rPr>
        <w:fldChar w:fldCharType="begin"/>
      </w:r>
      <w:r>
        <w:rPr>
          <w:rFonts w:hint="eastAsia" w:hAnsi="宋体" w:cs="宋体"/>
          <w:sz w:val="21"/>
          <w:szCs w:val="21"/>
        </w:rPr>
        <w:instrText xml:space="preserve"> PAGEREF _Toc7938 \h </w:instrText>
      </w:r>
      <w:r>
        <w:rPr>
          <w:rFonts w:hint="eastAsia" w:hAnsi="宋体" w:cs="宋体"/>
          <w:sz w:val="21"/>
          <w:szCs w:val="21"/>
        </w:rPr>
        <w:fldChar w:fldCharType="separate"/>
      </w:r>
      <w:r>
        <w:rPr>
          <w:rFonts w:hAnsi="宋体" w:cs="宋体"/>
          <w:sz w:val="21"/>
          <w:szCs w:val="21"/>
        </w:rPr>
        <w:t>4</w:t>
      </w:r>
      <w:r>
        <w:rPr>
          <w:rFonts w:hint="eastAsia" w:hAnsi="宋体" w:cs="宋体"/>
          <w:sz w:val="21"/>
          <w:szCs w:val="21"/>
        </w:rPr>
        <w:fldChar w:fldCharType="end"/>
      </w:r>
      <w:r>
        <w:rPr>
          <w:rFonts w:hint="eastAsia" w:hAnsi="宋体" w:cs="宋体"/>
          <w:sz w:val="21"/>
          <w:szCs w:val="21"/>
        </w:rPr>
        <w:fldChar w:fldCharType="end"/>
      </w:r>
    </w:p>
    <w:p w14:paraId="6CE77725">
      <w:pPr>
        <w:pStyle w:val="12"/>
        <w:tabs>
          <w:tab w:val="right" w:leader="dot" w:pos="9354"/>
        </w:tabs>
        <w:adjustRightInd w:val="0"/>
        <w:snapToGrid w:val="0"/>
        <w:spacing w:line="320" w:lineRule="exact"/>
        <w:ind w:left="480"/>
        <w:rPr>
          <w:rFonts w:hAnsi="宋体" w:cs="宋体"/>
          <w:sz w:val="21"/>
          <w:szCs w:val="21"/>
        </w:rPr>
      </w:pPr>
      <w:r>
        <w:fldChar w:fldCharType="begin"/>
      </w:r>
      <w:r>
        <w:instrText xml:space="preserve"> HYPERLINK \l "_Toc26595" </w:instrText>
      </w:r>
      <w:r>
        <w:fldChar w:fldCharType="separate"/>
      </w:r>
      <w:r>
        <w:rPr>
          <w:rFonts w:hint="eastAsia" w:hAnsi="宋体" w:cs="宋体"/>
          <w:sz w:val="21"/>
          <w:szCs w:val="21"/>
        </w:rPr>
        <w:t>5.2  通风与空气调节设备设施及系统</w:t>
      </w:r>
      <w:r>
        <w:rPr>
          <w:rFonts w:hint="eastAsia" w:hAnsi="宋体" w:cs="宋体"/>
          <w:sz w:val="21"/>
          <w:szCs w:val="21"/>
        </w:rPr>
        <w:tab/>
      </w:r>
      <w:r>
        <w:rPr>
          <w:rFonts w:hint="eastAsia" w:hAnsi="宋体" w:cs="宋体"/>
          <w:sz w:val="21"/>
          <w:szCs w:val="21"/>
        </w:rPr>
        <w:fldChar w:fldCharType="begin"/>
      </w:r>
      <w:r>
        <w:rPr>
          <w:rFonts w:hint="eastAsia" w:hAnsi="宋体" w:cs="宋体"/>
          <w:sz w:val="21"/>
          <w:szCs w:val="21"/>
        </w:rPr>
        <w:instrText xml:space="preserve"> PAGEREF _Toc26595 \h </w:instrText>
      </w:r>
      <w:r>
        <w:rPr>
          <w:rFonts w:hint="eastAsia" w:hAnsi="宋体" w:cs="宋体"/>
          <w:sz w:val="21"/>
          <w:szCs w:val="21"/>
        </w:rPr>
        <w:fldChar w:fldCharType="separate"/>
      </w:r>
      <w:r>
        <w:rPr>
          <w:rFonts w:hAnsi="宋体" w:cs="宋体"/>
          <w:sz w:val="21"/>
          <w:szCs w:val="21"/>
        </w:rPr>
        <w:t>5</w:t>
      </w:r>
      <w:r>
        <w:rPr>
          <w:rFonts w:hint="eastAsia" w:hAnsi="宋体" w:cs="宋体"/>
          <w:sz w:val="21"/>
          <w:szCs w:val="21"/>
        </w:rPr>
        <w:fldChar w:fldCharType="end"/>
      </w:r>
      <w:r>
        <w:rPr>
          <w:rFonts w:hint="eastAsia" w:hAnsi="宋体" w:cs="宋体"/>
          <w:sz w:val="21"/>
          <w:szCs w:val="21"/>
        </w:rPr>
        <w:fldChar w:fldCharType="end"/>
      </w:r>
    </w:p>
    <w:p w14:paraId="303FC18C">
      <w:pPr>
        <w:pStyle w:val="12"/>
        <w:tabs>
          <w:tab w:val="right" w:leader="dot" w:pos="9354"/>
        </w:tabs>
        <w:adjustRightInd w:val="0"/>
        <w:snapToGrid w:val="0"/>
        <w:spacing w:line="320" w:lineRule="exact"/>
        <w:ind w:left="480"/>
        <w:rPr>
          <w:rFonts w:hAnsi="宋体" w:cs="宋体"/>
          <w:sz w:val="21"/>
          <w:szCs w:val="21"/>
        </w:rPr>
      </w:pPr>
      <w:r>
        <w:fldChar w:fldCharType="begin"/>
      </w:r>
      <w:r>
        <w:instrText xml:space="preserve"> HYPERLINK \l "_Toc18450" </w:instrText>
      </w:r>
      <w:r>
        <w:fldChar w:fldCharType="separate"/>
      </w:r>
      <w:r>
        <w:rPr>
          <w:rFonts w:hint="eastAsia" w:hAnsi="宋体" w:cs="宋体"/>
          <w:sz w:val="21"/>
          <w:szCs w:val="21"/>
        </w:rPr>
        <w:t>5.3  给水、排水及供油设备设施及系统</w:t>
      </w:r>
      <w:r>
        <w:rPr>
          <w:rFonts w:hint="eastAsia" w:hAnsi="宋体" w:cs="宋体"/>
          <w:sz w:val="21"/>
          <w:szCs w:val="21"/>
        </w:rPr>
        <w:tab/>
      </w:r>
      <w:r>
        <w:rPr>
          <w:rFonts w:hint="eastAsia" w:hAnsi="宋体" w:cs="宋体"/>
          <w:sz w:val="21"/>
          <w:szCs w:val="21"/>
        </w:rPr>
        <w:fldChar w:fldCharType="begin"/>
      </w:r>
      <w:r>
        <w:rPr>
          <w:rFonts w:hint="eastAsia" w:hAnsi="宋体" w:cs="宋体"/>
          <w:sz w:val="21"/>
          <w:szCs w:val="21"/>
        </w:rPr>
        <w:instrText xml:space="preserve"> PAGEREF _Toc18450 \h </w:instrText>
      </w:r>
      <w:r>
        <w:rPr>
          <w:rFonts w:hint="eastAsia" w:hAnsi="宋体" w:cs="宋体"/>
          <w:sz w:val="21"/>
          <w:szCs w:val="21"/>
        </w:rPr>
        <w:fldChar w:fldCharType="separate"/>
      </w:r>
      <w:r>
        <w:rPr>
          <w:rFonts w:hAnsi="宋体" w:cs="宋体"/>
          <w:sz w:val="21"/>
          <w:szCs w:val="21"/>
        </w:rPr>
        <w:t>6</w:t>
      </w:r>
      <w:r>
        <w:rPr>
          <w:rFonts w:hint="eastAsia" w:hAnsi="宋体" w:cs="宋体"/>
          <w:sz w:val="21"/>
          <w:szCs w:val="21"/>
        </w:rPr>
        <w:fldChar w:fldCharType="end"/>
      </w:r>
      <w:r>
        <w:rPr>
          <w:rFonts w:hint="eastAsia" w:hAnsi="宋体" w:cs="宋体"/>
          <w:sz w:val="21"/>
          <w:szCs w:val="21"/>
        </w:rPr>
        <w:fldChar w:fldCharType="end"/>
      </w:r>
    </w:p>
    <w:p w14:paraId="7D3EA0FC">
      <w:pPr>
        <w:pStyle w:val="12"/>
        <w:tabs>
          <w:tab w:val="right" w:leader="dot" w:pos="9354"/>
        </w:tabs>
        <w:adjustRightInd w:val="0"/>
        <w:snapToGrid w:val="0"/>
        <w:spacing w:line="320" w:lineRule="exact"/>
        <w:ind w:left="480"/>
        <w:rPr>
          <w:rFonts w:hAnsi="宋体" w:cs="宋体"/>
          <w:sz w:val="21"/>
          <w:szCs w:val="21"/>
        </w:rPr>
      </w:pPr>
      <w:r>
        <w:fldChar w:fldCharType="begin"/>
      </w:r>
      <w:r>
        <w:instrText xml:space="preserve"> HYPERLINK \l "_Toc25475" </w:instrText>
      </w:r>
      <w:r>
        <w:fldChar w:fldCharType="separate"/>
      </w:r>
      <w:r>
        <w:rPr>
          <w:rFonts w:hint="eastAsia" w:hAnsi="宋体" w:cs="宋体"/>
          <w:sz w:val="21"/>
          <w:szCs w:val="21"/>
        </w:rPr>
        <w:t>5.4  电气设备设施及系统</w:t>
      </w:r>
      <w:r>
        <w:rPr>
          <w:rFonts w:hint="eastAsia" w:hAnsi="宋体" w:cs="宋体"/>
          <w:sz w:val="21"/>
          <w:szCs w:val="21"/>
        </w:rPr>
        <w:tab/>
      </w:r>
      <w:r>
        <w:rPr>
          <w:rFonts w:hint="eastAsia" w:hAnsi="宋体" w:cs="宋体"/>
          <w:sz w:val="21"/>
          <w:szCs w:val="21"/>
        </w:rPr>
        <w:fldChar w:fldCharType="begin"/>
      </w:r>
      <w:r>
        <w:rPr>
          <w:rFonts w:hint="eastAsia" w:hAnsi="宋体" w:cs="宋体"/>
          <w:sz w:val="21"/>
          <w:szCs w:val="21"/>
        </w:rPr>
        <w:instrText xml:space="preserve"> PAGEREF _Toc25475 \h </w:instrText>
      </w:r>
      <w:r>
        <w:rPr>
          <w:rFonts w:hint="eastAsia" w:hAnsi="宋体" w:cs="宋体"/>
          <w:sz w:val="21"/>
          <w:szCs w:val="21"/>
        </w:rPr>
        <w:fldChar w:fldCharType="separate"/>
      </w:r>
      <w:r>
        <w:rPr>
          <w:rFonts w:hAnsi="宋体" w:cs="宋体"/>
          <w:sz w:val="21"/>
          <w:szCs w:val="21"/>
        </w:rPr>
        <w:t>8</w:t>
      </w:r>
      <w:r>
        <w:rPr>
          <w:rFonts w:hint="eastAsia" w:hAnsi="宋体" w:cs="宋体"/>
          <w:sz w:val="21"/>
          <w:szCs w:val="21"/>
        </w:rPr>
        <w:fldChar w:fldCharType="end"/>
      </w:r>
      <w:r>
        <w:rPr>
          <w:rFonts w:hint="eastAsia" w:hAnsi="宋体" w:cs="宋体"/>
          <w:sz w:val="21"/>
          <w:szCs w:val="21"/>
        </w:rPr>
        <w:fldChar w:fldCharType="end"/>
      </w:r>
    </w:p>
    <w:p w14:paraId="4C97767F">
      <w:pPr>
        <w:pStyle w:val="12"/>
        <w:tabs>
          <w:tab w:val="right" w:leader="dot" w:pos="9354"/>
        </w:tabs>
        <w:adjustRightInd w:val="0"/>
        <w:snapToGrid w:val="0"/>
        <w:spacing w:line="320" w:lineRule="exact"/>
        <w:ind w:left="480"/>
        <w:rPr>
          <w:rFonts w:hAnsi="宋体" w:cs="宋体"/>
          <w:sz w:val="21"/>
          <w:szCs w:val="21"/>
        </w:rPr>
      </w:pPr>
      <w:r>
        <w:fldChar w:fldCharType="begin"/>
      </w:r>
      <w:r>
        <w:instrText xml:space="preserve"> HYPERLINK \l "_Toc22499" </w:instrText>
      </w:r>
      <w:r>
        <w:fldChar w:fldCharType="separate"/>
      </w:r>
      <w:r>
        <w:rPr>
          <w:rFonts w:hint="eastAsia" w:hAnsi="宋体" w:cs="宋体"/>
          <w:sz w:val="21"/>
          <w:szCs w:val="21"/>
        </w:rPr>
        <w:t>5.5  信息与智能化</w:t>
      </w:r>
      <w:r>
        <w:rPr>
          <w:rFonts w:hint="eastAsia" w:hAnsi="宋体" w:cs="宋体"/>
          <w:sz w:val="21"/>
          <w:szCs w:val="21"/>
        </w:rPr>
        <w:tab/>
      </w:r>
      <w:r>
        <w:rPr>
          <w:rFonts w:hint="eastAsia" w:hAnsi="宋体" w:cs="宋体"/>
          <w:sz w:val="21"/>
          <w:szCs w:val="21"/>
        </w:rPr>
        <w:fldChar w:fldCharType="begin"/>
      </w:r>
      <w:r>
        <w:rPr>
          <w:rFonts w:hint="eastAsia" w:hAnsi="宋体" w:cs="宋体"/>
          <w:sz w:val="21"/>
          <w:szCs w:val="21"/>
        </w:rPr>
        <w:instrText xml:space="preserve"> PAGEREF _Toc22499 \h </w:instrText>
      </w:r>
      <w:r>
        <w:rPr>
          <w:rFonts w:hint="eastAsia" w:hAnsi="宋体" w:cs="宋体"/>
          <w:sz w:val="21"/>
          <w:szCs w:val="21"/>
        </w:rPr>
        <w:fldChar w:fldCharType="separate"/>
      </w:r>
      <w:r>
        <w:rPr>
          <w:rFonts w:hAnsi="宋体" w:cs="宋体"/>
          <w:sz w:val="21"/>
          <w:szCs w:val="21"/>
        </w:rPr>
        <w:t>9</w:t>
      </w:r>
      <w:r>
        <w:rPr>
          <w:rFonts w:hint="eastAsia" w:hAnsi="宋体" w:cs="宋体"/>
          <w:sz w:val="21"/>
          <w:szCs w:val="21"/>
        </w:rPr>
        <w:fldChar w:fldCharType="end"/>
      </w:r>
      <w:r>
        <w:rPr>
          <w:rFonts w:hint="eastAsia" w:hAnsi="宋体" w:cs="宋体"/>
          <w:sz w:val="21"/>
          <w:szCs w:val="21"/>
        </w:rPr>
        <w:fldChar w:fldCharType="end"/>
      </w:r>
    </w:p>
    <w:p w14:paraId="585FA675">
      <w:pPr>
        <w:pStyle w:val="11"/>
        <w:tabs>
          <w:tab w:val="right" w:leader="dot" w:pos="9354"/>
        </w:tabs>
        <w:adjustRightInd w:val="0"/>
        <w:snapToGrid w:val="0"/>
        <w:spacing w:line="320" w:lineRule="exact"/>
        <w:rPr>
          <w:rFonts w:hAnsi="宋体" w:cs="宋体"/>
          <w:sz w:val="21"/>
          <w:szCs w:val="21"/>
        </w:rPr>
      </w:pPr>
      <w:r>
        <w:fldChar w:fldCharType="begin"/>
      </w:r>
      <w:r>
        <w:instrText xml:space="preserve"> HYPERLINK \l "_Toc30362" </w:instrText>
      </w:r>
      <w:r>
        <w:fldChar w:fldCharType="separate"/>
      </w:r>
      <w:r>
        <w:rPr>
          <w:rFonts w:hint="eastAsia" w:hAnsi="宋体" w:cs="宋体"/>
          <w:sz w:val="21"/>
          <w:szCs w:val="21"/>
        </w:rPr>
        <w:t>6　应急状态</w:t>
      </w:r>
      <w:r>
        <w:rPr>
          <w:rFonts w:hint="eastAsia" w:hAnsi="宋体" w:cs="宋体"/>
          <w:sz w:val="21"/>
          <w:szCs w:val="21"/>
        </w:rPr>
        <w:tab/>
      </w:r>
      <w:r>
        <w:rPr>
          <w:rFonts w:hint="eastAsia" w:hAnsi="宋体" w:cs="宋体"/>
          <w:sz w:val="21"/>
          <w:szCs w:val="21"/>
        </w:rPr>
        <w:fldChar w:fldCharType="begin"/>
      </w:r>
      <w:r>
        <w:rPr>
          <w:rFonts w:hint="eastAsia" w:hAnsi="宋体" w:cs="宋体"/>
          <w:sz w:val="21"/>
          <w:szCs w:val="21"/>
        </w:rPr>
        <w:instrText xml:space="preserve"> PAGEREF _Toc30362 \h </w:instrText>
      </w:r>
      <w:r>
        <w:rPr>
          <w:rFonts w:hint="eastAsia" w:hAnsi="宋体" w:cs="宋体"/>
          <w:sz w:val="21"/>
          <w:szCs w:val="21"/>
        </w:rPr>
        <w:fldChar w:fldCharType="separate"/>
      </w:r>
      <w:r>
        <w:rPr>
          <w:rFonts w:hAnsi="宋体" w:cs="宋体"/>
          <w:sz w:val="21"/>
          <w:szCs w:val="21"/>
        </w:rPr>
        <w:t>11</w:t>
      </w:r>
      <w:r>
        <w:rPr>
          <w:rFonts w:hint="eastAsia" w:hAnsi="宋体" w:cs="宋体"/>
          <w:sz w:val="21"/>
          <w:szCs w:val="21"/>
        </w:rPr>
        <w:fldChar w:fldCharType="end"/>
      </w:r>
      <w:r>
        <w:rPr>
          <w:rFonts w:hint="eastAsia" w:hAnsi="宋体" w:cs="宋体"/>
          <w:sz w:val="21"/>
          <w:szCs w:val="21"/>
        </w:rPr>
        <w:fldChar w:fldCharType="end"/>
      </w:r>
    </w:p>
    <w:p w14:paraId="5DB3F1E3">
      <w:pPr>
        <w:pStyle w:val="12"/>
        <w:tabs>
          <w:tab w:val="right" w:leader="dot" w:pos="9354"/>
        </w:tabs>
        <w:adjustRightInd w:val="0"/>
        <w:snapToGrid w:val="0"/>
        <w:spacing w:line="320" w:lineRule="exact"/>
        <w:ind w:left="480"/>
        <w:rPr>
          <w:rFonts w:hAnsi="宋体" w:cs="宋体"/>
          <w:sz w:val="21"/>
          <w:szCs w:val="21"/>
        </w:rPr>
      </w:pPr>
      <w:r>
        <w:fldChar w:fldCharType="begin"/>
      </w:r>
      <w:r>
        <w:instrText xml:space="preserve"> HYPERLINK \l "_Toc30496" </w:instrText>
      </w:r>
      <w:r>
        <w:fldChar w:fldCharType="separate"/>
      </w:r>
      <w:r>
        <w:rPr>
          <w:rFonts w:hint="eastAsia" w:hAnsi="宋体" w:cs="宋体"/>
          <w:sz w:val="21"/>
          <w:szCs w:val="21"/>
        </w:rPr>
        <w:t>6.1  一般规定</w:t>
      </w:r>
      <w:r>
        <w:rPr>
          <w:rFonts w:hint="eastAsia" w:hAnsi="宋体" w:cs="宋体"/>
          <w:sz w:val="21"/>
          <w:szCs w:val="21"/>
        </w:rPr>
        <w:tab/>
      </w:r>
      <w:r>
        <w:rPr>
          <w:rFonts w:hint="eastAsia" w:hAnsi="宋体" w:cs="宋体"/>
          <w:sz w:val="21"/>
          <w:szCs w:val="21"/>
        </w:rPr>
        <w:fldChar w:fldCharType="begin"/>
      </w:r>
      <w:r>
        <w:rPr>
          <w:rFonts w:hint="eastAsia" w:hAnsi="宋体" w:cs="宋体"/>
          <w:sz w:val="21"/>
          <w:szCs w:val="21"/>
        </w:rPr>
        <w:instrText xml:space="preserve"> PAGEREF _Toc30496 \h </w:instrText>
      </w:r>
      <w:r>
        <w:rPr>
          <w:rFonts w:hint="eastAsia" w:hAnsi="宋体" w:cs="宋体"/>
          <w:sz w:val="21"/>
          <w:szCs w:val="21"/>
        </w:rPr>
        <w:fldChar w:fldCharType="separate"/>
      </w:r>
      <w:r>
        <w:rPr>
          <w:rFonts w:hAnsi="宋体" w:cs="宋体"/>
          <w:sz w:val="21"/>
          <w:szCs w:val="21"/>
        </w:rPr>
        <w:t>11</w:t>
      </w:r>
      <w:r>
        <w:rPr>
          <w:rFonts w:hint="eastAsia" w:hAnsi="宋体" w:cs="宋体"/>
          <w:sz w:val="21"/>
          <w:szCs w:val="21"/>
        </w:rPr>
        <w:fldChar w:fldCharType="end"/>
      </w:r>
      <w:r>
        <w:rPr>
          <w:rFonts w:hint="eastAsia" w:hAnsi="宋体" w:cs="宋体"/>
          <w:sz w:val="21"/>
          <w:szCs w:val="21"/>
        </w:rPr>
        <w:fldChar w:fldCharType="end"/>
      </w:r>
    </w:p>
    <w:p w14:paraId="1ED956FB">
      <w:pPr>
        <w:pStyle w:val="12"/>
        <w:tabs>
          <w:tab w:val="right" w:leader="dot" w:pos="9354"/>
        </w:tabs>
        <w:adjustRightInd w:val="0"/>
        <w:snapToGrid w:val="0"/>
        <w:spacing w:line="320" w:lineRule="exact"/>
        <w:ind w:left="480"/>
        <w:rPr>
          <w:rFonts w:hAnsi="宋体" w:cs="宋体"/>
          <w:sz w:val="21"/>
          <w:szCs w:val="21"/>
        </w:rPr>
      </w:pPr>
      <w:r>
        <w:fldChar w:fldCharType="begin"/>
      </w:r>
      <w:r>
        <w:instrText xml:space="preserve"> HYPERLINK \l "_Toc12023" </w:instrText>
      </w:r>
      <w:r>
        <w:fldChar w:fldCharType="separate"/>
      </w:r>
      <w:r>
        <w:rPr>
          <w:rFonts w:hint="eastAsia" w:hAnsi="宋体" w:cs="宋体"/>
          <w:sz w:val="21"/>
          <w:szCs w:val="21"/>
        </w:rPr>
        <w:t>6.2  火灾</w:t>
      </w:r>
      <w:r>
        <w:rPr>
          <w:rFonts w:hint="eastAsia" w:hAnsi="宋体" w:cs="宋体"/>
          <w:sz w:val="21"/>
          <w:szCs w:val="21"/>
        </w:rPr>
        <w:tab/>
      </w:r>
      <w:r>
        <w:rPr>
          <w:rFonts w:hint="eastAsia" w:hAnsi="宋体" w:cs="宋体"/>
          <w:sz w:val="21"/>
          <w:szCs w:val="21"/>
        </w:rPr>
        <w:fldChar w:fldCharType="begin"/>
      </w:r>
      <w:r>
        <w:rPr>
          <w:rFonts w:hint="eastAsia" w:hAnsi="宋体" w:cs="宋体"/>
          <w:sz w:val="21"/>
          <w:szCs w:val="21"/>
        </w:rPr>
        <w:instrText xml:space="preserve"> PAGEREF _Toc12023 \h </w:instrText>
      </w:r>
      <w:r>
        <w:rPr>
          <w:rFonts w:hint="eastAsia" w:hAnsi="宋体" w:cs="宋体"/>
          <w:sz w:val="21"/>
          <w:szCs w:val="21"/>
        </w:rPr>
        <w:fldChar w:fldCharType="separate"/>
      </w:r>
      <w:r>
        <w:rPr>
          <w:rFonts w:hAnsi="宋体" w:cs="宋体"/>
          <w:sz w:val="21"/>
          <w:szCs w:val="21"/>
        </w:rPr>
        <w:t>11</w:t>
      </w:r>
      <w:r>
        <w:rPr>
          <w:rFonts w:hint="eastAsia" w:hAnsi="宋体" w:cs="宋体"/>
          <w:sz w:val="21"/>
          <w:szCs w:val="21"/>
        </w:rPr>
        <w:fldChar w:fldCharType="end"/>
      </w:r>
      <w:r>
        <w:rPr>
          <w:rFonts w:hint="eastAsia" w:hAnsi="宋体" w:cs="宋体"/>
          <w:sz w:val="21"/>
          <w:szCs w:val="21"/>
        </w:rPr>
        <w:fldChar w:fldCharType="end"/>
      </w:r>
    </w:p>
    <w:p w14:paraId="3FC12ABA">
      <w:pPr>
        <w:pStyle w:val="12"/>
        <w:tabs>
          <w:tab w:val="right" w:leader="dot" w:pos="9354"/>
        </w:tabs>
        <w:adjustRightInd w:val="0"/>
        <w:snapToGrid w:val="0"/>
        <w:spacing w:line="320" w:lineRule="exact"/>
        <w:ind w:left="480"/>
        <w:rPr>
          <w:rFonts w:hAnsi="宋体" w:cs="宋体"/>
          <w:sz w:val="21"/>
          <w:szCs w:val="21"/>
        </w:rPr>
      </w:pPr>
      <w:r>
        <w:fldChar w:fldCharType="begin"/>
      </w:r>
      <w:r>
        <w:instrText xml:space="preserve"> HYPERLINK \l "_Toc11497" </w:instrText>
      </w:r>
      <w:r>
        <w:fldChar w:fldCharType="separate"/>
      </w:r>
      <w:r>
        <w:rPr>
          <w:rFonts w:hint="eastAsia" w:hAnsi="宋体" w:cs="宋体"/>
          <w:sz w:val="21"/>
          <w:szCs w:val="21"/>
        </w:rPr>
        <w:t>6.3  防汛</w:t>
      </w:r>
      <w:r>
        <w:rPr>
          <w:rFonts w:hint="eastAsia" w:hAnsi="宋体" w:cs="宋体"/>
          <w:sz w:val="21"/>
          <w:szCs w:val="21"/>
        </w:rPr>
        <w:tab/>
      </w:r>
      <w:r>
        <w:rPr>
          <w:rFonts w:hint="eastAsia" w:hAnsi="宋体" w:cs="宋体"/>
          <w:sz w:val="21"/>
          <w:szCs w:val="21"/>
        </w:rPr>
        <w:fldChar w:fldCharType="begin"/>
      </w:r>
      <w:r>
        <w:rPr>
          <w:rFonts w:hint="eastAsia" w:hAnsi="宋体" w:cs="宋体"/>
          <w:sz w:val="21"/>
          <w:szCs w:val="21"/>
        </w:rPr>
        <w:instrText xml:space="preserve"> PAGEREF _Toc11497 \h </w:instrText>
      </w:r>
      <w:r>
        <w:rPr>
          <w:rFonts w:hint="eastAsia" w:hAnsi="宋体" w:cs="宋体"/>
          <w:sz w:val="21"/>
          <w:szCs w:val="21"/>
        </w:rPr>
        <w:fldChar w:fldCharType="separate"/>
      </w:r>
      <w:r>
        <w:rPr>
          <w:rFonts w:hAnsi="宋体" w:cs="宋体"/>
          <w:sz w:val="21"/>
          <w:szCs w:val="21"/>
        </w:rPr>
        <w:t>11</w:t>
      </w:r>
      <w:r>
        <w:rPr>
          <w:rFonts w:hint="eastAsia" w:hAnsi="宋体" w:cs="宋体"/>
          <w:sz w:val="21"/>
          <w:szCs w:val="21"/>
        </w:rPr>
        <w:fldChar w:fldCharType="end"/>
      </w:r>
      <w:r>
        <w:rPr>
          <w:rFonts w:hint="eastAsia" w:hAnsi="宋体" w:cs="宋体"/>
          <w:sz w:val="21"/>
          <w:szCs w:val="21"/>
        </w:rPr>
        <w:fldChar w:fldCharType="end"/>
      </w:r>
    </w:p>
    <w:p w14:paraId="292CDC57">
      <w:pPr>
        <w:pStyle w:val="12"/>
        <w:tabs>
          <w:tab w:val="right" w:leader="dot" w:pos="9354"/>
        </w:tabs>
        <w:adjustRightInd w:val="0"/>
        <w:snapToGrid w:val="0"/>
        <w:spacing w:line="320" w:lineRule="exact"/>
        <w:ind w:left="480"/>
        <w:rPr>
          <w:rFonts w:hAnsi="宋体" w:cs="宋体"/>
          <w:sz w:val="21"/>
          <w:szCs w:val="21"/>
        </w:rPr>
      </w:pPr>
      <w:r>
        <w:fldChar w:fldCharType="begin"/>
      </w:r>
      <w:r>
        <w:instrText xml:space="preserve"> HYPERLINK \l "_Toc3488" </w:instrText>
      </w:r>
      <w:r>
        <w:fldChar w:fldCharType="separate"/>
      </w:r>
      <w:r>
        <w:rPr>
          <w:rFonts w:hint="eastAsia" w:hAnsi="宋体" w:cs="宋体"/>
          <w:sz w:val="21"/>
          <w:szCs w:val="21"/>
        </w:rPr>
        <w:t>6.4  防踩踏</w:t>
      </w:r>
      <w:r>
        <w:rPr>
          <w:rFonts w:hint="eastAsia" w:hAnsi="宋体" w:cs="宋体"/>
          <w:sz w:val="21"/>
          <w:szCs w:val="21"/>
        </w:rPr>
        <w:tab/>
      </w:r>
      <w:r>
        <w:rPr>
          <w:rFonts w:hint="eastAsia" w:hAnsi="宋体" w:cs="宋体"/>
          <w:sz w:val="21"/>
          <w:szCs w:val="21"/>
        </w:rPr>
        <w:fldChar w:fldCharType="begin"/>
      </w:r>
      <w:r>
        <w:rPr>
          <w:rFonts w:hint="eastAsia" w:hAnsi="宋体" w:cs="宋体"/>
          <w:sz w:val="21"/>
          <w:szCs w:val="21"/>
        </w:rPr>
        <w:instrText xml:space="preserve"> PAGEREF _Toc3488 \h </w:instrText>
      </w:r>
      <w:r>
        <w:rPr>
          <w:rFonts w:hint="eastAsia" w:hAnsi="宋体" w:cs="宋体"/>
          <w:sz w:val="21"/>
          <w:szCs w:val="21"/>
        </w:rPr>
        <w:fldChar w:fldCharType="separate"/>
      </w:r>
      <w:r>
        <w:rPr>
          <w:rFonts w:hAnsi="宋体" w:cs="宋体"/>
          <w:sz w:val="21"/>
          <w:szCs w:val="21"/>
        </w:rPr>
        <w:t>11</w:t>
      </w:r>
      <w:r>
        <w:rPr>
          <w:rFonts w:hint="eastAsia" w:hAnsi="宋体" w:cs="宋体"/>
          <w:sz w:val="21"/>
          <w:szCs w:val="21"/>
        </w:rPr>
        <w:fldChar w:fldCharType="end"/>
      </w:r>
      <w:r>
        <w:rPr>
          <w:rFonts w:hint="eastAsia" w:hAnsi="宋体" w:cs="宋体"/>
          <w:sz w:val="21"/>
          <w:szCs w:val="21"/>
        </w:rPr>
        <w:fldChar w:fldCharType="end"/>
      </w:r>
    </w:p>
    <w:p w14:paraId="7303375E">
      <w:pPr>
        <w:pStyle w:val="11"/>
        <w:tabs>
          <w:tab w:val="right" w:leader="dot" w:pos="9354"/>
        </w:tabs>
        <w:adjustRightInd w:val="0"/>
        <w:snapToGrid w:val="0"/>
        <w:spacing w:line="320" w:lineRule="exact"/>
        <w:rPr>
          <w:rFonts w:hAnsi="宋体" w:cs="宋体"/>
          <w:sz w:val="21"/>
          <w:szCs w:val="21"/>
        </w:rPr>
      </w:pPr>
      <w:r>
        <w:fldChar w:fldCharType="begin"/>
      </w:r>
      <w:r>
        <w:instrText xml:space="preserve"> HYPERLINK \l "_Toc15105" </w:instrText>
      </w:r>
      <w:r>
        <w:fldChar w:fldCharType="separate"/>
      </w:r>
      <w:r>
        <w:rPr>
          <w:rFonts w:hint="eastAsia" w:hAnsi="宋体" w:cs="宋体"/>
          <w:sz w:val="21"/>
          <w:szCs w:val="21"/>
        </w:rPr>
        <w:t>7  安全管理</w:t>
      </w:r>
      <w:r>
        <w:rPr>
          <w:rFonts w:hint="eastAsia" w:hAnsi="宋体" w:cs="宋体"/>
          <w:sz w:val="21"/>
          <w:szCs w:val="21"/>
        </w:rPr>
        <w:tab/>
      </w:r>
      <w:r>
        <w:rPr>
          <w:rFonts w:hint="eastAsia" w:hAnsi="宋体" w:cs="宋体"/>
          <w:sz w:val="21"/>
          <w:szCs w:val="21"/>
        </w:rPr>
        <w:fldChar w:fldCharType="begin"/>
      </w:r>
      <w:r>
        <w:rPr>
          <w:rFonts w:hint="eastAsia" w:hAnsi="宋体" w:cs="宋体"/>
          <w:sz w:val="21"/>
          <w:szCs w:val="21"/>
        </w:rPr>
        <w:instrText xml:space="preserve"> PAGEREF _Toc15105 \h </w:instrText>
      </w:r>
      <w:r>
        <w:rPr>
          <w:rFonts w:hint="eastAsia" w:hAnsi="宋体" w:cs="宋体"/>
          <w:sz w:val="21"/>
          <w:szCs w:val="21"/>
        </w:rPr>
        <w:fldChar w:fldCharType="separate"/>
      </w:r>
      <w:r>
        <w:rPr>
          <w:rFonts w:hAnsi="宋体" w:cs="宋体"/>
          <w:sz w:val="21"/>
          <w:szCs w:val="21"/>
        </w:rPr>
        <w:t>12</w:t>
      </w:r>
      <w:r>
        <w:rPr>
          <w:rFonts w:hint="eastAsia" w:hAnsi="宋体" w:cs="宋体"/>
          <w:sz w:val="21"/>
          <w:szCs w:val="21"/>
        </w:rPr>
        <w:fldChar w:fldCharType="end"/>
      </w:r>
      <w:r>
        <w:rPr>
          <w:rFonts w:hint="eastAsia" w:hAnsi="宋体" w:cs="宋体"/>
          <w:sz w:val="21"/>
          <w:szCs w:val="21"/>
        </w:rPr>
        <w:fldChar w:fldCharType="end"/>
      </w:r>
    </w:p>
    <w:p w14:paraId="5CE01CCD">
      <w:pPr>
        <w:pStyle w:val="12"/>
        <w:tabs>
          <w:tab w:val="right" w:leader="dot" w:pos="9354"/>
        </w:tabs>
        <w:adjustRightInd w:val="0"/>
        <w:snapToGrid w:val="0"/>
        <w:spacing w:line="320" w:lineRule="exact"/>
        <w:ind w:left="480"/>
        <w:rPr>
          <w:rFonts w:hAnsi="宋体" w:cs="宋体"/>
          <w:sz w:val="21"/>
          <w:szCs w:val="21"/>
        </w:rPr>
      </w:pPr>
      <w:r>
        <w:fldChar w:fldCharType="begin"/>
      </w:r>
      <w:r>
        <w:instrText xml:space="preserve"> HYPERLINK \l "_Toc26301" </w:instrText>
      </w:r>
      <w:r>
        <w:fldChar w:fldCharType="separate"/>
      </w:r>
      <w:r>
        <w:rPr>
          <w:rFonts w:hint="eastAsia" w:hAnsi="宋体" w:cs="宋体"/>
          <w:sz w:val="21"/>
          <w:szCs w:val="21"/>
        </w:rPr>
        <w:t>7.1  一般规定</w:t>
      </w:r>
      <w:r>
        <w:rPr>
          <w:rFonts w:hint="eastAsia" w:hAnsi="宋体" w:cs="宋体"/>
          <w:sz w:val="21"/>
          <w:szCs w:val="21"/>
        </w:rPr>
        <w:tab/>
      </w:r>
      <w:r>
        <w:rPr>
          <w:rFonts w:hint="eastAsia" w:hAnsi="宋体" w:cs="宋体"/>
          <w:sz w:val="21"/>
          <w:szCs w:val="21"/>
        </w:rPr>
        <w:fldChar w:fldCharType="begin"/>
      </w:r>
      <w:r>
        <w:rPr>
          <w:rFonts w:hint="eastAsia" w:hAnsi="宋体" w:cs="宋体"/>
          <w:sz w:val="21"/>
          <w:szCs w:val="21"/>
        </w:rPr>
        <w:instrText xml:space="preserve"> PAGEREF _Toc26301 \h </w:instrText>
      </w:r>
      <w:r>
        <w:rPr>
          <w:rFonts w:hint="eastAsia" w:hAnsi="宋体" w:cs="宋体"/>
          <w:sz w:val="21"/>
          <w:szCs w:val="21"/>
        </w:rPr>
        <w:fldChar w:fldCharType="separate"/>
      </w:r>
      <w:r>
        <w:rPr>
          <w:rFonts w:hAnsi="宋体" w:cs="宋体"/>
          <w:sz w:val="21"/>
          <w:szCs w:val="21"/>
        </w:rPr>
        <w:t>12</w:t>
      </w:r>
      <w:r>
        <w:rPr>
          <w:rFonts w:hint="eastAsia" w:hAnsi="宋体" w:cs="宋体"/>
          <w:sz w:val="21"/>
          <w:szCs w:val="21"/>
        </w:rPr>
        <w:fldChar w:fldCharType="end"/>
      </w:r>
      <w:r>
        <w:rPr>
          <w:rFonts w:hint="eastAsia" w:hAnsi="宋体" w:cs="宋体"/>
          <w:sz w:val="21"/>
          <w:szCs w:val="21"/>
        </w:rPr>
        <w:fldChar w:fldCharType="end"/>
      </w:r>
    </w:p>
    <w:p w14:paraId="62AFB24F">
      <w:pPr>
        <w:pStyle w:val="12"/>
        <w:tabs>
          <w:tab w:val="right" w:leader="dot" w:pos="9354"/>
        </w:tabs>
        <w:adjustRightInd w:val="0"/>
        <w:snapToGrid w:val="0"/>
        <w:spacing w:line="320" w:lineRule="exact"/>
        <w:ind w:left="480"/>
        <w:rPr>
          <w:rFonts w:hAnsi="宋体" w:cs="宋体"/>
          <w:sz w:val="21"/>
          <w:szCs w:val="21"/>
        </w:rPr>
      </w:pPr>
      <w:r>
        <w:fldChar w:fldCharType="begin"/>
      </w:r>
      <w:r>
        <w:instrText xml:space="preserve"> HYPERLINK \l "_Toc8349" </w:instrText>
      </w:r>
      <w:r>
        <w:fldChar w:fldCharType="separate"/>
      </w:r>
      <w:r>
        <w:rPr>
          <w:rFonts w:hint="eastAsia" w:hAnsi="宋体" w:cs="宋体"/>
          <w:sz w:val="21"/>
          <w:szCs w:val="21"/>
        </w:rPr>
        <w:t>7.2  安全管理组织</w:t>
      </w:r>
      <w:r>
        <w:rPr>
          <w:rFonts w:hint="eastAsia" w:hAnsi="宋体" w:cs="宋体"/>
          <w:sz w:val="21"/>
          <w:szCs w:val="21"/>
        </w:rPr>
        <w:tab/>
      </w:r>
      <w:r>
        <w:rPr>
          <w:rFonts w:hint="eastAsia" w:hAnsi="宋体" w:cs="宋体"/>
          <w:sz w:val="21"/>
          <w:szCs w:val="21"/>
        </w:rPr>
        <w:fldChar w:fldCharType="begin"/>
      </w:r>
      <w:r>
        <w:rPr>
          <w:rFonts w:hint="eastAsia" w:hAnsi="宋体" w:cs="宋体"/>
          <w:sz w:val="21"/>
          <w:szCs w:val="21"/>
        </w:rPr>
        <w:instrText xml:space="preserve"> PAGEREF _Toc8349 \h </w:instrText>
      </w:r>
      <w:r>
        <w:rPr>
          <w:rFonts w:hint="eastAsia" w:hAnsi="宋体" w:cs="宋体"/>
          <w:sz w:val="21"/>
          <w:szCs w:val="21"/>
        </w:rPr>
        <w:fldChar w:fldCharType="separate"/>
      </w:r>
      <w:r>
        <w:rPr>
          <w:rFonts w:hAnsi="宋体" w:cs="宋体"/>
          <w:sz w:val="21"/>
          <w:szCs w:val="21"/>
        </w:rPr>
        <w:t>12</w:t>
      </w:r>
      <w:r>
        <w:rPr>
          <w:rFonts w:hint="eastAsia" w:hAnsi="宋体" w:cs="宋体"/>
          <w:sz w:val="21"/>
          <w:szCs w:val="21"/>
        </w:rPr>
        <w:fldChar w:fldCharType="end"/>
      </w:r>
      <w:r>
        <w:rPr>
          <w:rFonts w:hint="eastAsia" w:hAnsi="宋体" w:cs="宋体"/>
          <w:sz w:val="21"/>
          <w:szCs w:val="21"/>
        </w:rPr>
        <w:fldChar w:fldCharType="end"/>
      </w:r>
    </w:p>
    <w:p w14:paraId="3E37A53B">
      <w:pPr>
        <w:pStyle w:val="12"/>
        <w:tabs>
          <w:tab w:val="right" w:leader="dot" w:pos="9354"/>
        </w:tabs>
        <w:adjustRightInd w:val="0"/>
        <w:snapToGrid w:val="0"/>
        <w:spacing w:line="320" w:lineRule="exact"/>
        <w:ind w:left="480"/>
        <w:rPr>
          <w:rFonts w:hAnsi="宋体" w:cs="宋体"/>
          <w:sz w:val="21"/>
          <w:szCs w:val="21"/>
        </w:rPr>
      </w:pPr>
      <w:r>
        <w:fldChar w:fldCharType="begin"/>
      </w:r>
      <w:r>
        <w:instrText xml:space="preserve"> HYPERLINK \l "_Toc29104" </w:instrText>
      </w:r>
      <w:r>
        <w:fldChar w:fldCharType="separate"/>
      </w:r>
      <w:r>
        <w:rPr>
          <w:rFonts w:hint="eastAsia" w:hAnsi="宋体" w:cs="宋体"/>
          <w:sz w:val="21"/>
          <w:szCs w:val="21"/>
        </w:rPr>
        <w:t>7.3  安全管理制度</w:t>
      </w:r>
      <w:r>
        <w:rPr>
          <w:rFonts w:hint="eastAsia" w:hAnsi="宋体" w:cs="宋体"/>
          <w:sz w:val="21"/>
          <w:szCs w:val="21"/>
        </w:rPr>
        <w:tab/>
      </w:r>
      <w:r>
        <w:rPr>
          <w:rFonts w:hint="eastAsia" w:hAnsi="宋体" w:cs="宋体"/>
          <w:sz w:val="21"/>
          <w:szCs w:val="21"/>
        </w:rPr>
        <w:fldChar w:fldCharType="begin"/>
      </w:r>
      <w:r>
        <w:rPr>
          <w:rFonts w:hint="eastAsia" w:hAnsi="宋体" w:cs="宋体"/>
          <w:sz w:val="21"/>
          <w:szCs w:val="21"/>
        </w:rPr>
        <w:instrText xml:space="preserve"> PAGEREF _Toc29104 \h </w:instrText>
      </w:r>
      <w:r>
        <w:rPr>
          <w:rFonts w:hint="eastAsia" w:hAnsi="宋体" w:cs="宋体"/>
          <w:sz w:val="21"/>
          <w:szCs w:val="21"/>
        </w:rPr>
        <w:fldChar w:fldCharType="separate"/>
      </w:r>
      <w:r>
        <w:rPr>
          <w:rFonts w:hAnsi="宋体" w:cs="宋体"/>
          <w:sz w:val="21"/>
          <w:szCs w:val="21"/>
        </w:rPr>
        <w:t>12</w:t>
      </w:r>
      <w:r>
        <w:rPr>
          <w:rFonts w:hint="eastAsia" w:hAnsi="宋体" w:cs="宋体"/>
          <w:sz w:val="21"/>
          <w:szCs w:val="21"/>
        </w:rPr>
        <w:fldChar w:fldCharType="end"/>
      </w:r>
      <w:r>
        <w:rPr>
          <w:rFonts w:hint="eastAsia" w:hAnsi="宋体" w:cs="宋体"/>
          <w:sz w:val="21"/>
          <w:szCs w:val="21"/>
        </w:rPr>
        <w:fldChar w:fldCharType="end"/>
      </w:r>
    </w:p>
    <w:p w14:paraId="11AF8BE9">
      <w:pPr>
        <w:pStyle w:val="12"/>
        <w:tabs>
          <w:tab w:val="right" w:leader="dot" w:pos="9354"/>
        </w:tabs>
        <w:adjustRightInd w:val="0"/>
        <w:snapToGrid w:val="0"/>
        <w:spacing w:line="320" w:lineRule="exact"/>
        <w:ind w:left="480"/>
        <w:rPr>
          <w:rFonts w:hAnsi="宋体" w:cs="宋体"/>
          <w:sz w:val="21"/>
          <w:szCs w:val="21"/>
        </w:rPr>
      </w:pPr>
      <w:r>
        <w:fldChar w:fldCharType="begin"/>
      </w:r>
      <w:r>
        <w:instrText xml:space="preserve"> HYPERLINK \l "_Toc8337" </w:instrText>
      </w:r>
      <w:r>
        <w:fldChar w:fldCharType="separate"/>
      </w:r>
      <w:r>
        <w:rPr>
          <w:rFonts w:hint="eastAsia" w:hAnsi="宋体" w:cs="宋体"/>
          <w:sz w:val="21"/>
          <w:szCs w:val="21"/>
        </w:rPr>
        <w:t>7.4  安全宣传教育</w:t>
      </w:r>
      <w:r>
        <w:rPr>
          <w:rFonts w:hint="eastAsia" w:hAnsi="宋体" w:cs="宋体"/>
          <w:sz w:val="21"/>
          <w:szCs w:val="21"/>
        </w:rPr>
        <w:tab/>
      </w:r>
      <w:r>
        <w:rPr>
          <w:rFonts w:hint="eastAsia" w:hAnsi="宋体" w:cs="宋体"/>
          <w:sz w:val="21"/>
          <w:szCs w:val="21"/>
        </w:rPr>
        <w:fldChar w:fldCharType="begin"/>
      </w:r>
      <w:r>
        <w:rPr>
          <w:rFonts w:hint="eastAsia" w:hAnsi="宋体" w:cs="宋体"/>
          <w:sz w:val="21"/>
          <w:szCs w:val="21"/>
        </w:rPr>
        <w:instrText xml:space="preserve"> PAGEREF _Toc8337 \h </w:instrText>
      </w:r>
      <w:r>
        <w:rPr>
          <w:rFonts w:hint="eastAsia" w:hAnsi="宋体" w:cs="宋体"/>
          <w:sz w:val="21"/>
          <w:szCs w:val="21"/>
        </w:rPr>
        <w:fldChar w:fldCharType="separate"/>
      </w:r>
      <w:r>
        <w:rPr>
          <w:rFonts w:hAnsi="宋体" w:cs="宋体"/>
          <w:sz w:val="21"/>
          <w:szCs w:val="21"/>
        </w:rPr>
        <w:t>12</w:t>
      </w:r>
      <w:r>
        <w:rPr>
          <w:rFonts w:hint="eastAsia" w:hAnsi="宋体" w:cs="宋体"/>
          <w:sz w:val="21"/>
          <w:szCs w:val="21"/>
        </w:rPr>
        <w:fldChar w:fldCharType="end"/>
      </w:r>
      <w:r>
        <w:rPr>
          <w:rFonts w:hint="eastAsia" w:hAnsi="宋体" w:cs="宋体"/>
          <w:sz w:val="21"/>
          <w:szCs w:val="21"/>
        </w:rPr>
        <w:fldChar w:fldCharType="end"/>
      </w:r>
    </w:p>
    <w:p w14:paraId="36790714">
      <w:pPr>
        <w:pStyle w:val="12"/>
        <w:tabs>
          <w:tab w:val="right" w:leader="dot" w:pos="9354"/>
        </w:tabs>
        <w:adjustRightInd w:val="0"/>
        <w:snapToGrid w:val="0"/>
        <w:spacing w:line="320" w:lineRule="exact"/>
        <w:ind w:left="480"/>
      </w:pPr>
      <w:r>
        <w:fldChar w:fldCharType="begin"/>
      </w:r>
      <w:r>
        <w:instrText xml:space="preserve"> HYPERLINK \l "_Toc4878" </w:instrText>
      </w:r>
      <w:r>
        <w:fldChar w:fldCharType="separate"/>
      </w:r>
      <w:r>
        <w:rPr>
          <w:rFonts w:hint="eastAsia" w:hAnsi="宋体" w:cs="宋体"/>
          <w:kern w:val="2"/>
          <w:sz w:val="21"/>
          <w:szCs w:val="21"/>
        </w:rPr>
        <w:t>7.5  应急预案和演练</w:t>
      </w:r>
      <w:r>
        <w:rPr>
          <w:rFonts w:hint="eastAsia" w:hAnsi="宋体" w:cs="宋体"/>
          <w:sz w:val="21"/>
          <w:szCs w:val="21"/>
        </w:rPr>
        <w:tab/>
      </w:r>
      <w:r>
        <w:rPr>
          <w:rFonts w:hint="eastAsia" w:hAnsi="宋体" w:cs="宋体"/>
          <w:sz w:val="21"/>
          <w:szCs w:val="21"/>
        </w:rPr>
        <w:fldChar w:fldCharType="begin"/>
      </w:r>
      <w:r>
        <w:rPr>
          <w:rFonts w:hint="eastAsia" w:hAnsi="宋体" w:cs="宋体"/>
          <w:sz w:val="21"/>
          <w:szCs w:val="21"/>
        </w:rPr>
        <w:instrText xml:space="preserve"> PAGEREF _Toc4878 \h </w:instrText>
      </w:r>
      <w:r>
        <w:rPr>
          <w:rFonts w:hint="eastAsia" w:hAnsi="宋体" w:cs="宋体"/>
          <w:sz w:val="21"/>
          <w:szCs w:val="21"/>
        </w:rPr>
        <w:fldChar w:fldCharType="separate"/>
      </w:r>
      <w:r>
        <w:rPr>
          <w:rFonts w:hAnsi="宋体" w:cs="宋体"/>
          <w:sz w:val="21"/>
          <w:szCs w:val="21"/>
        </w:rPr>
        <w:t>13</w:t>
      </w:r>
      <w:r>
        <w:rPr>
          <w:rFonts w:hint="eastAsia" w:hAnsi="宋体" w:cs="宋体"/>
          <w:sz w:val="21"/>
          <w:szCs w:val="21"/>
        </w:rPr>
        <w:fldChar w:fldCharType="end"/>
      </w:r>
      <w:r>
        <w:rPr>
          <w:rFonts w:hint="eastAsia" w:hAnsi="宋体" w:cs="宋体"/>
          <w:sz w:val="21"/>
          <w:szCs w:val="21"/>
        </w:rPr>
        <w:fldChar w:fldCharType="end"/>
      </w:r>
    </w:p>
    <w:p w14:paraId="11DA6527">
      <w:pPr>
        <w:pStyle w:val="22"/>
        <w:spacing w:beforeLines="150" w:afterLines="120"/>
        <w:rPr>
          <w:rFonts w:ascii="Times New Roman"/>
        </w:rPr>
      </w:pPr>
      <w:r>
        <w:rPr>
          <w:rFonts w:hint="eastAsia" w:ascii="宋体" w:hAnsi="宋体" w:eastAsia="宋体" w:cs="宋体"/>
          <w:szCs w:val="21"/>
        </w:rPr>
        <w:fldChar w:fldCharType="end"/>
      </w:r>
      <w:bookmarkStart w:id="11" w:name="_Toc13827"/>
      <w:r>
        <w:rPr>
          <w:rFonts w:ascii="Times New Roman"/>
        </w:rPr>
        <w:t>前</w:t>
      </w:r>
      <w:bookmarkStart w:id="12" w:name="BKQY"/>
      <w:r>
        <w:rPr>
          <w:rFonts w:ascii="Times New Roman"/>
        </w:rPr>
        <w:t xml:space="preserve">    言</w:t>
      </w:r>
      <w:bookmarkEnd w:id="3"/>
      <w:bookmarkEnd w:id="11"/>
      <w:bookmarkEnd w:id="12"/>
    </w:p>
    <w:p w14:paraId="1FA1D871">
      <w:pPr>
        <w:pStyle w:val="23"/>
        <w:spacing w:line="320" w:lineRule="exact"/>
        <w:rPr>
          <w:rFonts w:hAnsi="宋体"/>
          <w:kern w:val="2"/>
          <w:szCs w:val="21"/>
        </w:rPr>
      </w:pPr>
      <w:r>
        <w:rPr>
          <w:rFonts w:hAnsi="宋体"/>
          <w:kern w:val="2"/>
          <w:szCs w:val="21"/>
        </w:rPr>
        <w:t>本文件按照GB/T 1.1-2020《标准化工作导则  第1部分：标准化文件的结构和起草规则》的规定起草。</w:t>
      </w:r>
    </w:p>
    <w:p w14:paraId="720BC796">
      <w:pPr>
        <w:pStyle w:val="23"/>
        <w:spacing w:line="320" w:lineRule="exact"/>
        <w:rPr>
          <w:rFonts w:hAnsi="宋体"/>
          <w:kern w:val="2"/>
          <w:szCs w:val="21"/>
        </w:rPr>
      </w:pPr>
      <w:r>
        <w:rPr>
          <w:rFonts w:hAnsi="宋体"/>
          <w:kern w:val="2"/>
          <w:szCs w:val="21"/>
        </w:rPr>
        <w:t>为加强人民防空工程（以下简称</w:t>
      </w:r>
      <w:r>
        <w:rPr>
          <w:rFonts w:hint="eastAsia" w:hAnsi="宋体"/>
          <w:kern w:val="2"/>
          <w:szCs w:val="21"/>
        </w:rPr>
        <w:t>“</w:t>
      </w:r>
      <w:r>
        <w:rPr>
          <w:rFonts w:hAnsi="宋体"/>
          <w:kern w:val="2"/>
          <w:szCs w:val="21"/>
        </w:rPr>
        <w:t>人防工程</w:t>
      </w:r>
      <w:r>
        <w:rPr>
          <w:rFonts w:hint="eastAsia" w:hAnsi="宋体"/>
          <w:kern w:val="2"/>
          <w:szCs w:val="21"/>
        </w:rPr>
        <w:t>”</w:t>
      </w:r>
      <w:r>
        <w:rPr>
          <w:rFonts w:hAnsi="宋体"/>
          <w:kern w:val="2"/>
          <w:szCs w:val="21"/>
        </w:rPr>
        <w:t>）</w:t>
      </w:r>
      <w:r>
        <w:rPr>
          <w:rFonts w:hint="eastAsia" w:hAnsi="宋体"/>
          <w:kern w:val="2"/>
          <w:szCs w:val="21"/>
        </w:rPr>
        <w:t>平时安全使用管理，规范人防工程平时安全使用操作，强化人防工程平时维管工作及责任落实</w:t>
      </w:r>
      <w:r>
        <w:rPr>
          <w:rFonts w:hAnsi="宋体"/>
          <w:kern w:val="2"/>
          <w:szCs w:val="21"/>
        </w:rPr>
        <w:t>，</w:t>
      </w:r>
      <w:r>
        <w:rPr>
          <w:rFonts w:hint="eastAsia" w:hAnsi="宋体"/>
          <w:kern w:val="2"/>
          <w:szCs w:val="21"/>
        </w:rPr>
        <w:t>保障战时人防工程防护功能有效发挥，</w:t>
      </w:r>
      <w:r>
        <w:rPr>
          <w:rFonts w:hAnsi="宋体"/>
          <w:kern w:val="2"/>
          <w:szCs w:val="21"/>
        </w:rPr>
        <w:t>根据国家和行业主管部门有关法律、法规和规章，并结合安徽省实际，制定本</w:t>
      </w:r>
      <w:r>
        <w:rPr>
          <w:rFonts w:hint="eastAsia" w:hAnsi="宋体"/>
          <w:kern w:val="2"/>
          <w:szCs w:val="21"/>
        </w:rPr>
        <w:t>标准</w:t>
      </w:r>
      <w:r>
        <w:rPr>
          <w:rFonts w:hAnsi="宋体"/>
          <w:kern w:val="2"/>
          <w:szCs w:val="21"/>
        </w:rPr>
        <w:t>。</w:t>
      </w:r>
    </w:p>
    <w:p w14:paraId="2325B951">
      <w:pPr>
        <w:pStyle w:val="23"/>
        <w:spacing w:line="320" w:lineRule="exact"/>
        <w:rPr>
          <w:rFonts w:hAnsi="宋体"/>
          <w:kern w:val="2"/>
          <w:szCs w:val="21"/>
        </w:rPr>
      </w:pPr>
      <w:r>
        <w:rPr>
          <w:rFonts w:hAnsi="宋体"/>
          <w:kern w:val="2"/>
          <w:szCs w:val="21"/>
        </w:rPr>
        <w:t>人防工程</w:t>
      </w:r>
      <w:r>
        <w:rPr>
          <w:rFonts w:hint="eastAsia" w:hAnsi="宋体"/>
          <w:kern w:val="2"/>
          <w:szCs w:val="21"/>
        </w:rPr>
        <w:t>平时安全使用</w:t>
      </w:r>
      <w:r>
        <w:rPr>
          <w:rFonts w:hAnsi="宋体"/>
          <w:kern w:val="2"/>
          <w:szCs w:val="21"/>
        </w:rPr>
        <w:t>应</w:t>
      </w:r>
      <w:r>
        <w:rPr>
          <w:rFonts w:hint="eastAsia" w:hAnsi="宋体"/>
          <w:kern w:val="2"/>
          <w:szCs w:val="21"/>
        </w:rPr>
        <w:t>以“安全第一</w:t>
      </w:r>
      <w:r>
        <w:rPr>
          <w:rFonts w:hAnsi="宋体"/>
          <w:kern w:val="2"/>
          <w:szCs w:val="21"/>
        </w:rPr>
        <w:t>、</w:t>
      </w:r>
      <w:r>
        <w:rPr>
          <w:rFonts w:hint="eastAsia" w:hAnsi="宋体"/>
          <w:kern w:val="2"/>
          <w:szCs w:val="21"/>
        </w:rPr>
        <w:t>预防为主</w:t>
      </w:r>
      <w:r>
        <w:rPr>
          <w:rFonts w:hAnsi="宋体"/>
          <w:kern w:val="2"/>
          <w:szCs w:val="21"/>
        </w:rPr>
        <w:t>、</w:t>
      </w:r>
      <w:r>
        <w:rPr>
          <w:rFonts w:hint="eastAsia" w:hAnsi="宋体"/>
          <w:kern w:val="2"/>
          <w:szCs w:val="21"/>
        </w:rPr>
        <w:t>综合治理”为原则</w:t>
      </w:r>
      <w:r>
        <w:rPr>
          <w:rFonts w:hAnsi="宋体"/>
          <w:kern w:val="2"/>
          <w:szCs w:val="21"/>
        </w:rPr>
        <w:t>，</w:t>
      </w:r>
      <w:r>
        <w:rPr>
          <w:rFonts w:hint="eastAsia" w:hAnsi="宋体"/>
          <w:kern w:val="2"/>
          <w:szCs w:val="21"/>
        </w:rPr>
        <w:t>以隐患排查为基础，减少事故发生，保障人防工程安全运营</w:t>
      </w:r>
      <w:r>
        <w:rPr>
          <w:rFonts w:hAnsi="宋体"/>
          <w:kern w:val="2"/>
          <w:szCs w:val="21"/>
        </w:rPr>
        <w:t>。</w:t>
      </w:r>
    </w:p>
    <w:p w14:paraId="7825983A">
      <w:pPr>
        <w:pStyle w:val="23"/>
        <w:spacing w:line="320" w:lineRule="exact"/>
        <w:rPr>
          <w:rFonts w:hAnsi="宋体"/>
          <w:kern w:val="2"/>
          <w:szCs w:val="21"/>
        </w:rPr>
      </w:pPr>
      <w:r>
        <w:rPr>
          <w:rFonts w:hAnsi="宋体"/>
          <w:kern w:val="2"/>
          <w:szCs w:val="21"/>
        </w:rPr>
        <w:t>人防工程</w:t>
      </w:r>
      <w:r>
        <w:rPr>
          <w:rFonts w:hint="eastAsia" w:hAnsi="宋体"/>
          <w:kern w:val="2"/>
          <w:szCs w:val="21"/>
        </w:rPr>
        <w:t>平时安全使用</w:t>
      </w:r>
      <w:r>
        <w:rPr>
          <w:rFonts w:hAnsi="宋体"/>
          <w:kern w:val="2"/>
          <w:szCs w:val="21"/>
        </w:rPr>
        <w:t>除应符合本</w:t>
      </w:r>
      <w:r>
        <w:rPr>
          <w:rFonts w:hint="eastAsia" w:hAnsi="宋体"/>
          <w:kern w:val="2"/>
          <w:szCs w:val="21"/>
        </w:rPr>
        <w:t>标准</w:t>
      </w:r>
      <w:r>
        <w:rPr>
          <w:rFonts w:hAnsi="宋体"/>
          <w:kern w:val="2"/>
          <w:szCs w:val="21"/>
        </w:rPr>
        <w:t>外，尚应符合国家现行有关标准、规范的规定。</w:t>
      </w:r>
    </w:p>
    <w:p w14:paraId="5E3A145F">
      <w:pPr>
        <w:pStyle w:val="23"/>
        <w:spacing w:line="320" w:lineRule="exact"/>
        <w:rPr>
          <w:rFonts w:hAnsi="宋体"/>
          <w:kern w:val="2"/>
          <w:szCs w:val="21"/>
        </w:rPr>
      </w:pPr>
      <w:r>
        <w:rPr>
          <w:rFonts w:hint="eastAsia" w:hAnsi="宋体"/>
          <w:kern w:val="2"/>
          <w:szCs w:val="21"/>
        </w:rPr>
        <w:t>请注意本文件的某些内容可能涉及专利。本文件的发布机构不承担识别专利的责任。</w:t>
      </w:r>
    </w:p>
    <w:p w14:paraId="65810BCD">
      <w:pPr>
        <w:pStyle w:val="23"/>
        <w:spacing w:line="320" w:lineRule="exact"/>
        <w:rPr>
          <w:rFonts w:hAnsi="宋体"/>
          <w:kern w:val="2"/>
          <w:szCs w:val="21"/>
        </w:rPr>
      </w:pPr>
      <w:r>
        <w:rPr>
          <w:rFonts w:hAnsi="宋体"/>
          <w:kern w:val="2"/>
          <w:szCs w:val="21"/>
        </w:rPr>
        <w:t>本文件由安徽省</w:t>
      </w:r>
      <w:r>
        <w:rPr>
          <w:rFonts w:hint="eastAsia" w:hAnsi="宋体"/>
          <w:kern w:val="2"/>
          <w:szCs w:val="21"/>
        </w:rPr>
        <w:t>国防动员</w:t>
      </w:r>
      <w:r>
        <w:rPr>
          <w:rFonts w:hAnsi="宋体"/>
          <w:kern w:val="2"/>
          <w:szCs w:val="21"/>
        </w:rPr>
        <w:t>办公室提出并归口。</w:t>
      </w:r>
    </w:p>
    <w:p w14:paraId="4A19FC5D">
      <w:pPr>
        <w:pStyle w:val="23"/>
        <w:spacing w:line="320" w:lineRule="exact"/>
        <w:rPr>
          <w:rFonts w:hAnsi="宋体"/>
          <w:kern w:val="2"/>
          <w:szCs w:val="21"/>
        </w:rPr>
      </w:pPr>
      <w:r>
        <w:rPr>
          <w:rFonts w:hAnsi="宋体"/>
          <w:kern w:val="2"/>
          <w:szCs w:val="21"/>
        </w:rPr>
        <w:t>本文件起草单位：</w:t>
      </w:r>
      <w:r>
        <w:rPr>
          <w:rFonts w:hint="eastAsia" w:hAnsi="宋体"/>
          <w:kern w:val="2"/>
          <w:szCs w:val="21"/>
        </w:rPr>
        <w:t>、、、、、、、、、、、、、、、、、、、、、、、、</w:t>
      </w:r>
      <w:r>
        <w:rPr>
          <w:rFonts w:hAnsi="宋体"/>
          <w:kern w:val="2"/>
          <w:szCs w:val="21"/>
        </w:rPr>
        <w:t>。</w:t>
      </w:r>
    </w:p>
    <w:p w14:paraId="340B069C">
      <w:pPr>
        <w:pStyle w:val="23"/>
        <w:spacing w:line="320" w:lineRule="exact"/>
        <w:rPr>
          <w:rFonts w:hAnsi="宋体"/>
          <w:kern w:val="2"/>
          <w:szCs w:val="21"/>
        </w:rPr>
      </w:pPr>
      <w:r>
        <w:rPr>
          <w:rFonts w:hAnsi="宋体"/>
          <w:kern w:val="2"/>
          <w:szCs w:val="21"/>
        </w:rPr>
        <w:t>本文件主要起草人：</w:t>
      </w:r>
      <w:r>
        <w:rPr>
          <w:rFonts w:hint="eastAsia" w:hAnsi="宋体"/>
          <w:kern w:val="2"/>
          <w:szCs w:val="21"/>
        </w:rPr>
        <w:t>、、、、、、、、、、、、、、、、、、、、、、、、。</w:t>
      </w:r>
    </w:p>
    <w:p w14:paraId="56304DD0">
      <w:pPr>
        <w:pStyle w:val="23"/>
        <w:spacing w:line="320" w:lineRule="exact"/>
        <w:rPr>
          <w:rFonts w:hAnsi="宋体"/>
          <w:kern w:val="2"/>
          <w:szCs w:val="21"/>
        </w:rPr>
        <w:sectPr>
          <w:headerReference r:id="rId9" w:type="default"/>
          <w:footerReference r:id="rId11" w:type="default"/>
          <w:headerReference r:id="rId10" w:type="even"/>
          <w:footerReference r:id="rId12" w:type="even"/>
          <w:pgSz w:w="11906" w:h="16838"/>
          <w:pgMar w:top="1418" w:right="1134" w:bottom="1134" w:left="1418" w:header="1417" w:footer="992" w:gutter="0"/>
          <w:pgNumType w:start="1"/>
          <w:cols w:space="425" w:num="1"/>
          <w:docGrid w:type="linesAndChars" w:linePitch="326" w:charSpace="0"/>
        </w:sectPr>
      </w:pPr>
      <w:r>
        <w:rPr>
          <w:rFonts w:hint="eastAsia" w:hAnsi="宋体"/>
          <w:kern w:val="2"/>
          <w:szCs w:val="21"/>
        </w:rPr>
        <w:t>本文件主要审查人：、、、、、、、、、、、、、、、、、、、、、、、、、。</w:t>
      </w:r>
    </w:p>
    <w:p w14:paraId="7711DC94">
      <w:pPr>
        <w:spacing w:beforeLines="50" w:afterLines="50" w:line="320" w:lineRule="exact"/>
        <w:outlineLvl w:val="0"/>
        <w:rPr>
          <w:rFonts w:ascii="仿宋" w:hAnsi="仿宋" w:eastAsia="仿宋" w:cs="仿宋"/>
          <w:sz w:val="21"/>
          <w:szCs w:val="21"/>
        </w:rPr>
      </w:pPr>
      <w:bookmarkStart w:id="13" w:name="_Toc29325"/>
      <w:r>
        <w:rPr>
          <w:rFonts w:hint="eastAsia" w:ascii="黑体" w:hAnsi="黑体" w:eastAsia="黑体" w:cs="黑体"/>
          <w:sz w:val="21"/>
          <w:szCs w:val="21"/>
        </w:rPr>
        <w:t>1　范围</w:t>
      </w:r>
      <w:bookmarkEnd w:id="13"/>
    </w:p>
    <w:p w14:paraId="768E61A8">
      <w:pPr>
        <w:autoSpaceDE w:val="0"/>
        <w:autoSpaceDN w:val="0"/>
        <w:adjustRightInd w:val="0"/>
        <w:spacing w:line="320" w:lineRule="exact"/>
        <w:ind w:firstLine="420" w:firstLineChars="200"/>
        <w:jc w:val="left"/>
        <w:rPr>
          <w:rFonts w:hAnsi="宋体" w:cs="宋体"/>
          <w:sz w:val="21"/>
          <w:szCs w:val="21"/>
        </w:rPr>
      </w:pPr>
      <w:r>
        <w:rPr>
          <w:rFonts w:hint="eastAsia" w:cs="Times New Roman"/>
          <w:sz w:val="21"/>
          <w:szCs w:val="21"/>
        </w:rPr>
        <w:t>本文件适用于安徽省行政区域内除指挥工程以外的各类</w:t>
      </w:r>
      <w:r>
        <w:rPr>
          <w:rFonts w:hint="eastAsia" w:cs="Times New Roman"/>
          <w:color w:val="auto"/>
          <w:sz w:val="21"/>
          <w:szCs w:val="21"/>
        </w:rPr>
        <w:t>已建</w:t>
      </w:r>
      <w:r>
        <w:rPr>
          <w:rFonts w:hint="eastAsia" w:cs="Times New Roman"/>
          <w:sz w:val="21"/>
          <w:szCs w:val="21"/>
        </w:rPr>
        <w:t>、新建和改（扩）建人防工程</w:t>
      </w:r>
      <w:r>
        <w:rPr>
          <w:rFonts w:cs="Times New Roman"/>
          <w:sz w:val="21"/>
          <w:szCs w:val="21"/>
        </w:rPr>
        <w:t>，不含早期人防工程</w:t>
      </w:r>
      <w:r>
        <w:rPr>
          <w:rFonts w:hint="eastAsia" w:cs="Times New Roman"/>
          <w:sz w:val="21"/>
          <w:szCs w:val="21"/>
        </w:rPr>
        <w:t>。轨道交通等其他地下空间兼顾人民防空需要的工程参照执行。</w:t>
      </w:r>
    </w:p>
    <w:p w14:paraId="54FA3FBA">
      <w:pPr>
        <w:spacing w:beforeLines="50" w:afterLines="50" w:line="320" w:lineRule="exact"/>
        <w:outlineLvl w:val="0"/>
        <w:rPr>
          <w:rFonts w:ascii="黑体" w:hAnsi="黑体" w:eastAsia="黑体" w:cs="黑体"/>
          <w:sz w:val="21"/>
          <w:szCs w:val="21"/>
        </w:rPr>
      </w:pPr>
      <w:bookmarkStart w:id="14" w:name="_Toc18864"/>
      <w:r>
        <w:rPr>
          <w:rFonts w:hint="eastAsia" w:ascii="黑体" w:hAnsi="黑体" w:eastAsia="黑体" w:cs="黑体"/>
          <w:sz w:val="21"/>
          <w:szCs w:val="21"/>
        </w:rPr>
        <w:t>2　规范性引用文件</w:t>
      </w:r>
      <w:bookmarkEnd w:id="14"/>
    </w:p>
    <w:p w14:paraId="78621FEB">
      <w:pPr>
        <w:spacing w:line="320" w:lineRule="exact"/>
        <w:ind w:firstLine="420" w:firstLineChars="200"/>
        <w:rPr>
          <w:rFonts w:ascii="黑体" w:hAnsi="黑体" w:eastAsia="黑体" w:cs="黑体"/>
          <w:sz w:val="21"/>
          <w:szCs w:val="21"/>
        </w:rPr>
      </w:pPr>
      <w:r>
        <w:rPr>
          <w:rFonts w:hAnsi="宋体" w:cs="Times New Roman"/>
          <w:sz w:val="21"/>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5975C16A">
      <w:pPr>
        <w:spacing w:line="320" w:lineRule="exact"/>
        <w:ind w:firstLine="420"/>
        <w:rPr>
          <w:rFonts w:hAnsi="宋体" w:cs="Times New Roman"/>
          <w:sz w:val="21"/>
          <w:szCs w:val="21"/>
        </w:rPr>
      </w:pPr>
      <w:r>
        <w:rPr>
          <w:rFonts w:hint="eastAsia" w:hAnsi="宋体" w:cs="Times New Roman"/>
          <w:sz w:val="21"/>
          <w:szCs w:val="21"/>
        </w:rPr>
        <w:t>GB 50016  建筑设计防火规范</w:t>
      </w:r>
    </w:p>
    <w:p w14:paraId="59CAB1E5">
      <w:pPr>
        <w:spacing w:line="320" w:lineRule="exact"/>
        <w:ind w:firstLine="420"/>
        <w:rPr>
          <w:rFonts w:hAnsi="宋体" w:cs="Times New Roman"/>
          <w:sz w:val="21"/>
          <w:szCs w:val="21"/>
        </w:rPr>
      </w:pPr>
      <w:r>
        <w:rPr>
          <w:rFonts w:hAnsi="宋体" w:cs="Times New Roman"/>
          <w:sz w:val="21"/>
          <w:szCs w:val="21"/>
        </w:rPr>
        <w:t>GB 50034  建筑照明设计标准</w:t>
      </w:r>
    </w:p>
    <w:p w14:paraId="482585D3">
      <w:pPr>
        <w:spacing w:line="320" w:lineRule="exact"/>
        <w:ind w:firstLine="420"/>
        <w:rPr>
          <w:rFonts w:hAnsi="宋体" w:cs="Times New Roman"/>
          <w:sz w:val="21"/>
          <w:szCs w:val="21"/>
        </w:rPr>
      </w:pPr>
      <w:r>
        <w:rPr>
          <w:rFonts w:hAnsi="宋体" w:cs="Times New Roman"/>
          <w:sz w:val="21"/>
          <w:szCs w:val="21"/>
        </w:rPr>
        <w:t>GB 50038  人民防空地下室设计规范</w:t>
      </w:r>
    </w:p>
    <w:p w14:paraId="35CE37E9">
      <w:pPr>
        <w:spacing w:line="320" w:lineRule="exact"/>
        <w:ind w:firstLine="420"/>
        <w:rPr>
          <w:rFonts w:hAnsi="宋体" w:cs="Times New Roman"/>
          <w:sz w:val="21"/>
          <w:szCs w:val="21"/>
        </w:rPr>
      </w:pPr>
      <w:r>
        <w:rPr>
          <w:rFonts w:hint="eastAsia" w:hAnsi="宋体" w:cs="Times New Roman"/>
          <w:sz w:val="21"/>
          <w:szCs w:val="21"/>
        </w:rPr>
        <w:t>GB 50067  汽车库、修车库、停车场设计防火规范</w:t>
      </w:r>
    </w:p>
    <w:p w14:paraId="5BE836B6">
      <w:pPr>
        <w:spacing w:line="320" w:lineRule="exact"/>
        <w:ind w:firstLine="420"/>
        <w:rPr>
          <w:rFonts w:hAnsi="宋体" w:cs="Times New Roman"/>
          <w:sz w:val="21"/>
          <w:szCs w:val="21"/>
        </w:rPr>
      </w:pPr>
      <w:r>
        <w:rPr>
          <w:rFonts w:hint="eastAsia" w:hAnsi="宋体" w:cs="Times New Roman"/>
          <w:sz w:val="21"/>
          <w:szCs w:val="21"/>
        </w:rPr>
        <w:t>GB 50098  人民防空工程设计防火规范</w:t>
      </w:r>
    </w:p>
    <w:p w14:paraId="786D19A1">
      <w:pPr>
        <w:spacing w:line="320" w:lineRule="exact"/>
        <w:ind w:firstLine="420"/>
        <w:rPr>
          <w:rFonts w:hAnsi="宋体" w:cs="Times New Roman"/>
          <w:sz w:val="21"/>
          <w:szCs w:val="21"/>
        </w:rPr>
      </w:pPr>
      <w:r>
        <w:rPr>
          <w:rFonts w:hAnsi="宋体" w:cs="Times New Roman"/>
          <w:sz w:val="21"/>
          <w:szCs w:val="21"/>
        </w:rPr>
        <w:t>GB 50116  火灾自动报警系统设计规范</w:t>
      </w:r>
    </w:p>
    <w:p w14:paraId="0A5CF68A">
      <w:pPr>
        <w:spacing w:line="320" w:lineRule="exact"/>
        <w:ind w:firstLine="420"/>
        <w:rPr>
          <w:rFonts w:hAnsi="宋体" w:cs="Times New Roman"/>
          <w:sz w:val="21"/>
          <w:szCs w:val="21"/>
        </w:rPr>
      </w:pPr>
      <w:r>
        <w:rPr>
          <w:rFonts w:hAnsi="宋体" w:cs="Times New Roman"/>
          <w:sz w:val="21"/>
          <w:szCs w:val="21"/>
        </w:rPr>
        <w:t>GB 50118  民用建筑隔声设计规范</w:t>
      </w:r>
    </w:p>
    <w:p w14:paraId="40BF319E">
      <w:pPr>
        <w:spacing w:line="320" w:lineRule="exact"/>
        <w:ind w:firstLine="420"/>
        <w:rPr>
          <w:rFonts w:hAnsi="宋体" w:cs="Times New Roman"/>
          <w:sz w:val="21"/>
          <w:szCs w:val="21"/>
        </w:rPr>
      </w:pPr>
      <w:r>
        <w:rPr>
          <w:rFonts w:hint="eastAsia" w:hAnsi="宋体" w:cs="Times New Roman"/>
          <w:sz w:val="21"/>
          <w:szCs w:val="21"/>
        </w:rPr>
        <w:t>GB 50222  建筑内部装修设计防火规范</w:t>
      </w:r>
    </w:p>
    <w:p w14:paraId="793A69F3">
      <w:pPr>
        <w:spacing w:line="320" w:lineRule="exact"/>
        <w:ind w:firstLine="420"/>
        <w:rPr>
          <w:rFonts w:hAnsi="宋体" w:cs="Times New Roman"/>
          <w:sz w:val="21"/>
          <w:szCs w:val="21"/>
        </w:rPr>
      </w:pPr>
      <w:r>
        <w:rPr>
          <w:rFonts w:hint="eastAsia" w:hAnsi="宋体" w:cs="Times New Roman"/>
          <w:sz w:val="21"/>
          <w:szCs w:val="21"/>
        </w:rPr>
        <w:t>GB 50325</w:t>
      </w:r>
      <w:r>
        <w:rPr>
          <w:rFonts w:hAnsi="宋体" w:cs="Times New Roman"/>
          <w:sz w:val="21"/>
          <w:szCs w:val="21"/>
        </w:rPr>
        <w:t xml:space="preserve">  民用建筑工程室内环境污染控制标准</w:t>
      </w:r>
    </w:p>
    <w:p w14:paraId="25862F88">
      <w:pPr>
        <w:spacing w:line="320" w:lineRule="exact"/>
        <w:ind w:firstLine="420"/>
        <w:rPr>
          <w:rFonts w:hAnsi="宋体" w:cs="Times New Roman"/>
          <w:sz w:val="21"/>
          <w:szCs w:val="21"/>
        </w:rPr>
      </w:pPr>
      <w:r>
        <w:rPr>
          <w:rFonts w:hint="eastAsia" w:hAnsi="宋体" w:cs="Times New Roman"/>
          <w:sz w:val="21"/>
          <w:szCs w:val="21"/>
        </w:rPr>
        <w:t>GB 50736  民用建筑供暖通风与空气调节设计规范</w:t>
      </w:r>
    </w:p>
    <w:p w14:paraId="033B6D9C">
      <w:pPr>
        <w:spacing w:line="320" w:lineRule="exact"/>
        <w:ind w:firstLine="420"/>
        <w:rPr>
          <w:rFonts w:hAnsi="宋体" w:cs="Times New Roman"/>
          <w:sz w:val="21"/>
          <w:szCs w:val="21"/>
        </w:rPr>
      </w:pPr>
      <w:r>
        <w:rPr>
          <w:rFonts w:hAnsi="宋体" w:cs="Times New Roman"/>
          <w:sz w:val="21"/>
          <w:szCs w:val="21"/>
        </w:rPr>
        <w:t>GB 50974  消防给水及消火栓系统技术规范</w:t>
      </w:r>
    </w:p>
    <w:p w14:paraId="2D5BCB95">
      <w:pPr>
        <w:spacing w:line="320" w:lineRule="exact"/>
        <w:ind w:firstLine="420"/>
        <w:rPr>
          <w:rFonts w:hAnsi="宋体" w:cs="Times New Roman"/>
          <w:sz w:val="21"/>
          <w:szCs w:val="21"/>
        </w:rPr>
      </w:pPr>
      <w:r>
        <w:rPr>
          <w:rFonts w:hint="eastAsia" w:hAnsi="宋体" w:cs="Times New Roman"/>
          <w:sz w:val="21"/>
          <w:szCs w:val="21"/>
        </w:rPr>
        <w:t xml:space="preserve">GB 51251  </w:t>
      </w:r>
      <w:r>
        <w:fldChar w:fldCharType="begin"/>
      </w:r>
      <w:r>
        <w:instrText xml:space="preserve"> HYPERLINK "http://www.baidu.com/link?url=YXYb26RxPtep_LkBcaUmYNNPt4lhqfYLGUzPqNvYpmM7wrEoU2OV8aJZ9GPOP0UG0ichHiJ0OLtTz4-NP_4Xaa" \t "https://www.baidu.com/_blank" </w:instrText>
      </w:r>
      <w:r>
        <w:fldChar w:fldCharType="separate"/>
      </w:r>
      <w:r>
        <w:rPr>
          <w:rFonts w:hAnsi="宋体" w:cs="Times New Roman"/>
          <w:sz w:val="21"/>
          <w:szCs w:val="21"/>
        </w:rPr>
        <w:t>建筑防排烟系统技术标准</w:t>
      </w:r>
      <w:r>
        <w:rPr>
          <w:rFonts w:hAnsi="宋体" w:cs="Times New Roman"/>
          <w:sz w:val="21"/>
          <w:szCs w:val="21"/>
        </w:rPr>
        <w:fldChar w:fldCharType="end"/>
      </w:r>
    </w:p>
    <w:p w14:paraId="27180E54">
      <w:pPr>
        <w:spacing w:line="320" w:lineRule="exact"/>
        <w:ind w:firstLine="420"/>
        <w:rPr>
          <w:rFonts w:hAnsi="宋体" w:cs="Times New Roman"/>
          <w:sz w:val="21"/>
          <w:szCs w:val="21"/>
        </w:rPr>
      </w:pPr>
      <w:r>
        <w:rPr>
          <w:rFonts w:hAnsi="宋体" w:cs="Times New Roman"/>
          <w:sz w:val="21"/>
          <w:szCs w:val="21"/>
        </w:rPr>
        <w:t xml:space="preserve">GB 51309  消防应急照明和疏散指示系统技术标准 </w:t>
      </w:r>
    </w:p>
    <w:p w14:paraId="08A2DEAF">
      <w:pPr>
        <w:spacing w:line="320" w:lineRule="exact"/>
        <w:ind w:firstLine="420"/>
        <w:rPr>
          <w:rFonts w:hAnsi="宋体" w:cs="Times New Roman"/>
          <w:sz w:val="21"/>
          <w:szCs w:val="21"/>
        </w:rPr>
      </w:pPr>
      <w:r>
        <w:rPr>
          <w:rFonts w:hAnsi="宋体" w:cs="Times New Roman"/>
          <w:sz w:val="21"/>
          <w:szCs w:val="21"/>
        </w:rPr>
        <w:t xml:space="preserve">GB 51348  民用建筑电气设计标准 </w:t>
      </w:r>
    </w:p>
    <w:p w14:paraId="42F68EE0">
      <w:pPr>
        <w:spacing w:line="320" w:lineRule="exact"/>
        <w:ind w:firstLine="420"/>
        <w:rPr>
          <w:rFonts w:hAnsi="宋体" w:cs="Times New Roman"/>
          <w:sz w:val="21"/>
          <w:szCs w:val="21"/>
        </w:rPr>
      </w:pPr>
      <w:r>
        <w:rPr>
          <w:rFonts w:hAnsi="宋体" w:cs="Times New Roman"/>
          <w:sz w:val="21"/>
          <w:szCs w:val="21"/>
        </w:rPr>
        <w:t>GB 55016  建筑环境通用规范</w:t>
      </w:r>
    </w:p>
    <w:p w14:paraId="55C3C10A">
      <w:pPr>
        <w:spacing w:line="320" w:lineRule="exact"/>
        <w:ind w:firstLine="420"/>
        <w:rPr>
          <w:rFonts w:hAnsi="宋体" w:cs="Times New Roman"/>
          <w:sz w:val="21"/>
          <w:szCs w:val="21"/>
        </w:rPr>
      </w:pPr>
      <w:r>
        <w:rPr>
          <w:rFonts w:hint="eastAsia" w:hAnsi="宋体" w:cs="Times New Roman"/>
          <w:sz w:val="21"/>
          <w:szCs w:val="21"/>
        </w:rPr>
        <w:t xml:space="preserve">GB 55037  建筑防火通用规范 </w:t>
      </w:r>
    </w:p>
    <w:p w14:paraId="0C32D5FC">
      <w:pPr>
        <w:spacing w:line="320" w:lineRule="exact"/>
        <w:ind w:firstLine="420"/>
        <w:rPr>
          <w:rFonts w:hAnsi="宋体" w:cs="Times New Roman"/>
          <w:sz w:val="21"/>
          <w:szCs w:val="21"/>
        </w:rPr>
      </w:pPr>
      <w:r>
        <w:rPr>
          <w:rFonts w:hint="eastAsia" w:hAnsi="宋体" w:cs="Times New Roman"/>
          <w:sz w:val="21"/>
          <w:szCs w:val="21"/>
        </w:rPr>
        <w:t>GB/T 17216  人防工程平时使用环境卫生标准</w:t>
      </w:r>
    </w:p>
    <w:p w14:paraId="1D42623B">
      <w:pPr>
        <w:spacing w:line="320" w:lineRule="exact"/>
        <w:ind w:firstLine="420"/>
        <w:rPr>
          <w:rFonts w:hAnsi="宋体" w:cs="Times New Roman"/>
          <w:sz w:val="21"/>
          <w:szCs w:val="21"/>
        </w:rPr>
      </w:pPr>
      <w:r>
        <w:rPr>
          <w:rFonts w:hint="eastAsia" w:hAnsi="宋体" w:cs="Times New Roman"/>
          <w:sz w:val="21"/>
          <w:szCs w:val="21"/>
        </w:rPr>
        <w:t>RFJ 05  人民防空工程维护管理技术规程</w:t>
      </w:r>
    </w:p>
    <w:p w14:paraId="034C1714">
      <w:pPr>
        <w:spacing w:beforeLines="50" w:afterLines="50" w:line="320" w:lineRule="exact"/>
        <w:outlineLvl w:val="0"/>
        <w:rPr>
          <w:rFonts w:ascii="黑体" w:hAnsi="黑体" w:eastAsia="黑体" w:cs="黑体"/>
          <w:sz w:val="21"/>
          <w:szCs w:val="21"/>
        </w:rPr>
      </w:pPr>
      <w:bookmarkStart w:id="15" w:name="_Toc18419"/>
      <w:r>
        <w:rPr>
          <w:rFonts w:hint="eastAsia" w:ascii="黑体" w:hAnsi="黑体" w:eastAsia="黑体" w:cs="黑体"/>
          <w:sz w:val="21"/>
          <w:szCs w:val="21"/>
        </w:rPr>
        <w:t>3　术语和定义</w:t>
      </w:r>
      <w:bookmarkEnd w:id="15"/>
      <w:r>
        <w:rPr>
          <w:rFonts w:hint="eastAsia" w:ascii="黑体" w:hAnsi="黑体" w:eastAsia="黑体" w:cs="黑体"/>
          <w:sz w:val="21"/>
          <w:szCs w:val="21"/>
        </w:rPr>
        <w:tab/>
      </w:r>
    </w:p>
    <w:p w14:paraId="192C2B9B">
      <w:pPr>
        <w:spacing w:line="320" w:lineRule="exact"/>
        <w:ind w:firstLine="420"/>
        <w:rPr>
          <w:rFonts w:hAnsi="宋体" w:cs="Times New Roman"/>
          <w:color w:val="auto"/>
          <w:sz w:val="21"/>
          <w:szCs w:val="21"/>
        </w:rPr>
      </w:pPr>
      <w:r>
        <w:rPr>
          <w:rFonts w:hAnsi="宋体" w:cs="Times New Roman"/>
          <w:color w:val="auto"/>
          <w:sz w:val="21"/>
          <w:szCs w:val="21"/>
        </w:rPr>
        <w:t>GB 50038界定的以及下列术语和定义适用于本文件。</w:t>
      </w:r>
    </w:p>
    <w:p w14:paraId="6572E54C">
      <w:pPr>
        <w:spacing w:beforeLines="50" w:line="320" w:lineRule="exact"/>
        <w:rPr>
          <w:rFonts w:ascii="黑体" w:hAnsi="黑体" w:eastAsia="黑体" w:cs="Times New Roman"/>
          <w:color w:val="auto"/>
          <w:sz w:val="21"/>
          <w:szCs w:val="21"/>
        </w:rPr>
      </w:pPr>
      <w:r>
        <w:rPr>
          <w:rFonts w:ascii="黑体" w:hAnsi="黑体" w:eastAsia="黑体" w:cs="Times New Roman"/>
          <w:color w:val="auto"/>
          <w:sz w:val="21"/>
          <w:szCs w:val="21"/>
        </w:rPr>
        <w:t xml:space="preserve">3.1  </w:t>
      </w:r>
    </w:p>
    <w:p w14:paraId="09FAF041">
      <w:pPr>
        <w:spacing w:line="320" w:lineRule="exact"/>
        <w:ind w:firstLine="420"/>
        <w:rPr>
          <w:rFonts w:cs="Times New Roman"/>
          <w:color w:val="auto"/>
          <w:sz w:val="21"/>
          <w:szCs w:val="21"/>
        </w:rPr>
      </w:pPr>
      <w:r>
        <w:rPr>
          <w:rFonts w:ascii="黑体" w:hAnsi="黑体" w:eastAsia="黑体" w:cs="Times New Roman"/>
          <w:color w:val="auto"/>
          <w:sz w:val="21"/>
          <w:szCs w:val="21"/>
        </w:rPr>
        <w:t xml:space="preserve">平时  </w:t>
      </w:r>
      <w:r>
        <w:rPr>
          <w:rFonts w:hint="eastAsia" w:ascii="黑体" w:hAnsi="黑体" w:eastAsia="黑体" w:cs="黑体"/>
          <w:color w:val="auto"/>
          <w:sz w:val="21"/>
          <w:szCs w:val="21"/>
        </w:rPr>
        <w:t>peacetime</w:t>
      </w:r>
    </w:p>
    <w:p w14:paraId="5C82F9D8">
      <w:pPr>
        <w:spacing w:line="320" w:lineRule="exact"/>
        <w:ind w:firstLine="420"/>
        <w:rPr>
          <w:rFonts w:cs="Times New Roman"/>
          <w:color w:val="auto"/>
          <w:sz w:val="21"/>
          <w:szCs w:val="21"/>
        </w:rPr>
      </w:pPr>
      <w:r>
        <w:rPr>
          <w:rFonts w:hint="eastAsia" w:cs="Times New Roman"/>
          <w:color w:val="auto"/>
          <w:sz w:val="21"/>
          <w:szCs w:val="21"/>
        </w:rPr>
        <w:t>和平时期的简称。国家或地区既无战争，又无明显战争威胁的时期。</w:t>
      </w:r>
    </w:p>
    <w:p w14:paraId="74948B0D">
      <w:pPr>
        <w:spacing w:line="320" w:lineRule="exact"/>
        <w:ind w:firstLine="420"/>
        <w:rPr>
          <w:rFonts w:hAnsi="宋体" w:cs="Times New Roman"/>
          <w:color w:val="auto"/>
          <w:sz w:val="21"/>
          <w:szCs w:val="21"/>
        </w:rPr>
      </w:pPr>
      <w:r>
        <w:rPr>
          <w:rFonts w:hAnsi="宋体" w:cs="Times New Roman"/>
          <w:color w:val="auto"/>
          <w:sz w:val="21"/>
          <w:szCs w:val="21"/>
        </w:rPr>
        <w:t>[来源：GB 50038-2005，2.1.1]</w:t>
      </w:r>
    </w:p>
    <w:p w14:paraId="0D6007CD">
      <w:pPr>
        <w:spacing w:line="320" w:lineRule="exact"/>
        <w:rPr>
          <w:rFonts w:ascii="黑体" w:hAnsi="黑体" w:eastAsia="黑体" w:cs="Times New Roman"/>
          <w:color w:val="auto"/>
          <w:sz w:val="21"/>
          <w:szCs w:val="21"/>
        </w:rPr>
      </w:pPr>
      <w:r>
        <w:rPr>
          <w:rFonts w:ascii="黑体" w:hAnsi="黑体" w:eastAsia="黑体" w:cs="Times New Roman"/>
          <w:color w:val="auto"/>
          <w:sz w:val="21"/>
          <w:szCs w:val="21"/>
        </w:rPr>
        <w:t xml:space="preserve">3.2  </w:t>
      </w:r>
    </w:p>
    <w:p w14:paraId="7652B4DA">
      <w:pPr>
        <w:spacing w:line="320" w:lineRule="exact"/>
        <w:ind w:firstLine="420"/>
        <w:rPr>
          <w:rFonts w:cs="Times New Roman"/>
          <w:color w:val="auto"/>
          <w:sz w:val="21"/>
          <w:szCs w:val="21"/>
        </w:rPr>
      </w:pPr>
      <w:r>
        <w:rPr>
          <w:rFonts w:ascii="黑体" w:hAnsi="黑体" w:eastAsia="黑体" w:cs="Times New Roman"/>
          <w:color w:val="auto"/>
          <w:sz w:val="21"/>
          <w:szCs w:val="21"/>
        </w:rPr>
        <w:t xml:space="preserve">战时  </w:t>
      </w:r>
      <w:r>
        <w:rPr>
          <w:rFonts w:hint="eastAsia" w:ascii="黑体" w:hAnsi="黑体" w:eastAsia="黑体" w:cs="黑体"/>
          <w:color w:val="auto"/>
          <w:sz w:val="21"/>
          <w:szCs w:val="21"/>
        </w:rPr>
        <w:t>wartime</w:t>
      </w:r>
    </w:p>
    <w:p w14:paraId="00C08BB0">
      <w:pPr>
        <w:spacing w:line="320" w:lineRule="exact"/>
        <w:ind w:firstLine="420"/>
        <w:rPr>
          <w:rFonts w:cs="Times New Roman"/>
          <w:color w:val="auto"/>
          <w:sz w:val="21"/>
          <w:szCs w:val="21"/>
        </w:rPr>
      </w:pPr>
      <w:r>
        <w:rPr>
          <w:rFonts w:hint="eastAsia" w:cs="Times New Roman"/>
          <w:color w:val="auto"/>
          <w:sz w:val="21"/>
          <w:szCs w:val="21"/>
        </w:rPr>
        <w:t>战争时期的简称。国家或地区自开始转入战争状态直至战争结束的时期。</w:t>
      </w:r>
    </w:p>
    <w:p w14:paraId="01AD3AB7">
      <w:pPr>
        <w:spacing w:line="320" w:lineRule="exact"/>
        <w:ind w:firstLine="420"/>
        <w:rPr>
          <w:rFonts w:hAnsi="宋体" w:cs="Times New Roman"/>
          <w:color w:val="auto"/>
          <w:sz w:val="21"/>
          <w:szCs w:val="21"/>
        </w:rPr>
      </w:pPr>
      <w:r>
        <w:rPr>
          <w:rFonts w:hAnsi="宋体" w:cs="Times New Roman"/>
          <w:color w:val="auto"/>
          <w:sz w:val="21"/>
          <w:szCs w:val="21"/>
        </w:rPr>
        <w:t>[来源：GB 50038-2005，2.1.2]</w:t>
      </w:r>
    </w:p>
    <w:p w14:paraId="28762882">
      <w:pPr>
        <w:spacing w:line="320" w:lineRule="exact"/>
        <w:rPr>
          <w:rFonts w:ascii="黑体" w:hAnsi="黑体" w:eastAsia="黑体" w:cs="Times New Roman"/>
          <w:color w:val="auto"/>
          <w:sz w:val="21"/>
          <w:szCs w:val="21"/>
        </w:rPr>
      </w:pPr>
      <w:r>
        <w:rPr>
          <w:rFonts w:ascii="黑体" w:hAnsi="黑体" w:eastAsia="黑体" w:cs="Times New Roman"/>
          <w:color w:val="auto"/>
          <w:sz w:val="21"/>
          <w:szCs w:val="21"/>
        </w:rPr>
        <w:t>3.</w:t>
      </w:r>
      <w:r>
        <w:rPr>
          <w:rFonts w:hint="eastAsia" w:ascii="黑体" w:hAnsi="黑体" w:eastAsia="黑体" w:cs="Times New Roman"/>
          <w:color w:val="auto"/>
          <w:sz w:val="21"/>
          <w:szCs w:val="21"/>
        </w:rPr>
        <w:t>3</w:t>
      </w:r>
    </w:p>
    <w:p w14:paraId="694F57EA">
      <w:pPr>
        <w:spacing w:line="320" w:lineRule="exact"/>
        <w:ind w:firstLine="420"/>
        <w:rPr>
          <w:rFonts w:cs="Times New Roman"/>
          <w:color w:val="auto"/>
          <w:sz w:val="21"/>
          <w:szCs w:val="21"/>
        </w:rPr>
      </w:pPr>
      <w:r>
        <w:rPr>
          <w:rFonts w:ascii="黑体" w:hAnsi="黑体" w:eastAsia="黑体" w:cs="Times New Roman"/>
          <w:color w:val="auto"/>
          <w:sz w:val="21"/>
          <w:szCs w:val="21"/>
        </w:rPr>
        <w:t xml:space="preserve">人民防空工程  </w:t>
      </w:r>
      <w:r>
        <w:rPr>
          <w:rFonts w:hint="eastAsia" w:ascii="黑体" w:hAnsi="黑体" w:eastAsia="黑体" w:cs="黑体"/>
          <w:color w:val="auto"/>
          <w:sz w:val="21"/>
          <w:szCs w:val="21"/>
        </w:rPr>
        <w:t>civil air defence works</w:t>
      </w:r>
    </w:p>
    <w:p w14:paraId="15B459ED">
      <w:pPr>
        <w:spacing w:line="320" w:lineRule="exact"/>
        <w:ind w:firstLine="420"/>
        <w:rPr>
          <w:rFonts w:cs="Times New Roman"/>
          <w:color w:val="auto"/>
          <w:sz w:val="21"/>
          <w:szCs w:val="21"/>
        </w:rPr>
      </w:pPr>
      <w:r>
        <w:rPr>
          <w:rFonts w:hint="eastAsia" w:cs="Times New Roman"/>
          <w:color w:val="auto"/>
          <w:sz w:val="21"/>
          <w:szCs w:val="21"/>
        </w:rPr>
        <w:t>人民防空工程属国防设施，包括为保障战时人员与物资掩蔽、人民防空指挥、医疗救护等单独修建的地下防护建筑，结合地面建筑修建的战时可用于防空的地下室，以及与其配套的出入通道、口部伪装房等附属设施。</w:t>
      </w:r>
    </w:p>
    <w:p w14:paraId="047E00B9">
      <w:pPr>
        <w:spacing w:line="320" w:lineRule="exact"/>
        <w:ind w:firstLine="420"/>
        <w:rPr>
          <w:rFonts w:hAnsi="宋体" w:cs="Times New Roman"/>
          <w:color w:val="auto"/>
          <w:sz w:val="21"/>
          <w:szCs w:val="21"/>
        </w:rPr>
      </w:pPr>
      <w:r>
        <w:rPr>
          <w:rFonts w:hAnsi="宋体" w:cs="Times New Roman"/>
          <w:color w:val="auto"/>
          <w:sz w:val="21"/>
          <w:szCs w:val="21"/>
        </w:rPr>
        <w:t>[来源：《安徽省实施&lt;人民防空法&gt;办法》释义]</w:t>
      </w:r>
    </w:p>
    <w:p w14:paraId="4FA6F5F7">
      <w:pPr>
        <w:spacing w:line="320" w:lineRule="exact"/>
        <w:rPr>
          <w:rFonts w:ascii="黑体" w:hAnsi="黑体" w:eastAsia="黑体" w:cs="Times New Roman"/>
          <w:color w:val="auto"/>
          <w:sz w:val="21"/>
          <w:szCs w:val="21"/>
        </w:rPr>
      </w:pPr>
      <w:r>
        <w:rPr>
          <w:rFonts w:ascii="黑体" w:hAnsi="黑体" w:eastAsia="黑体" w:cs="Times New Roman"/>
          <w:color w:val="auto"/>
          <w:sz w:val="21"/>
          <w:szCs w:val="21"/>
        </w:rPr>
        <w:t>3.</w:t>
      </w:r>
      <w:r>
        <w:rPr>
          <w:rFonts w:hint="eastAsia" w:ascii="黑体" w:hAnsi="黑体" w:eastAsia="黑体" w:cs="Times New Roman"/>
          <w:color w:val="auto"/>
          <w:sz w:val="21"/>
          <w:szCs w:val="21"/>
        </w:rPr>
        <w:t>4</w:t>
      </w:r>
    </w:p>
    <w:p w14:paraId="154F8D8C">
      <w:pPr>
        <w:spacing w:line="320" w:lineRule="exact"/>
        <w:ind w:firstLine="420"/>
        <w:rPr>
          <w:rFonts w:ascii="黑体" w:hAnsi="黑体" w:eastAsia="黑体" w:cs="黑体"/>
          <w:sz w:val="21"/>
          <w:szCs w:val="21"/>
        </w:rPr>
      </w:pPr>
      <w:r>
        <w:rPr>
          <w:rFonts w:ascii="黑体" w:hAnsi="黑体" w:eastAsia="黑体" w:cs="Times New Roman"/>
          <w:sz w:val="21"/>
          <w:szCs w:val="21"/>
        </w:rPr>
        <w:t xml:space="preserve">早期人防工程  </w:t>
      </w:r>
      <w:r>
        <w:rPr>
          <w:rFonts w:hint="eastAsia" w:ascii="黑体" w:hAnsi="黑体" w:eastAsia="黑体" w:cs="黑体"/>
          <w:sz w:val="21"/>
          <w:szCs w:val="21"/>
        </w:rPr>
        <w:t>existing early civil air defense works</w:t>
      </w:r>
    </w:p>
    <w:p w14:paraId="712E01D4">
      <w:pPr>
        <w:spacing w:line="320" w:lineRule="exact"/>
        <w:ind w:firstLine="420"/>
        <w:rPr>
          <w:rFonts w:cs="Times New Roman"/>
          <w:sz w:val="21"/>
          <w:szCs w:val="21"/>
        </w:rPr>
      </w:pPr>
      <w:r>
        <w:rPr>
          <w:rFonts w:cs="Times New Roman"/>
          <w:sz w:val="21"/>
          <w:szCs w:val="21"/>
        </w:rPr>
        <w:t>建于八十年代及以前的人防工程</w:t>
      </w:r>
      <w:r>
        <w:rPr>
          <w:rFonts w:hint="eastAsia" w:cs="Times New Roman"/>
          <w:sz w:val="21"/>
          <w:szCs w:val="21"/>
        </w:rPr>
        <w:t>。</w:t>
      </w:r>
    </w:p>
    <w:p w14:paraId="7BEA6009">
      <w:pPr>
        <w:spacing w:line="320" w:lineRule="exact"/>
        <w:ind w:firstLine="420"/>
        <w:rPr>
          <w:rFonts w:hAnsi="宋体" w:cs="Times New Roman"/>
          <w:color w:val="auto"/>
          <w:sz w:val="21"/>
          <w:szCs w:val="21"/>
        </w:rPr>
      </w:pPr>
      <w:r>
        <w:rPr>
          <w:rFonts w:hAnsi="宋体" w:cs="Times New Roman"/>
          <w:sz w:val="21"/>
          <w:szCs w:val="21"/>
        </w:rPr>
        <w:t>[来源：</w:t>
      </w:r>
      <w:r>
        <w:rPr>
          <w:rFonts w:hint="eastAsia" w:hAnsi="宋体" w:cs="Times New Roman"/>
          <w:kern w:val="2"/>
          <w:sz w:val="21"/>
          <w:szCs w:val="21"/>
        </w:rPr>
        <w:t>《</w:t>
      </w:r>
      <w:r>
        <w:rPr>
          <w:rFonts w:hAnsi="宋体" w:cs="Times New Roman"/>
          <w:sz w:val="21"/>
          <w:szCs w:val="21"/>
        </w:rPr>
        <w:t>安徽省早期人民防空工程分类处置技术导则</w:t>
      </w:r>
      <w:r>
        <w:rPr>
          <w:rFonts w:hint="eastAsia" w:hAnsi="宋体" w:cs="Times New Roman"/>
          <w:kern w:val="2"/>
          <w:sz w:val="21"/>
          <w:szCs w:val="21"/>
        </w:rPr>
        <w:t>》</w:t>
      </w:r>
      <w:r>
        <w:rPr>
          <w:rFonts w:hAnsi="宋体" w:cs="Times New Roman"/>
          <w:sz w:val="21"/>
          <w:szCs w:val="21"/>
        </w:rPr>
        <w:t xml:space="preserve">] </w:t>
      </w:r>
    </w:p>
    <w:p w14:paraId="4925DC86">
      <w:pPr>
        <w:spacing w:line="320" w:lineRule="exact"/>
        <w:rPr>
          <w:rFonts w:ascii="黑体" w:hAnsi="黑体" w:eastAsia="黑体" w:cs="Times New Roman"/>
          <w:color w:val="auto"/>
          <w:sz w:val="21"/>
          <w:szCs w:val="21"/>
        </w:rPr>
      </w:pPr>
      <w:r>
        <w:rPr>
          <w:rFonts w:ascii="黑体" w:hAnsi="黑体" w:eastAsia="黑体" w:cs="Times New Roman"/>
          <w:color w:val="auto"/>
          <w:sz w:val="21"/>
          <w:szCs w:val="21"/>
        </w:rPr>
        <w:t>3.5</w:t>
      </w:r>
    </w:p>
    <w:p w14:paraId="4EFC1AA9">
      <w:pPr>
        <w:spacing w:line="320" w:lineRule="exact"/>
        <w:ind w:firstLine="420"/>
        <w:rPr>
          <w:rFonts w:cs="Times New Roman"/>
          <w:color w:val="auto"/>
          <w:sz w:val="21"/>
          <w:szCs w:val="21"/>
        </w:rPr>
      </w:pPr>
      <w:r>
        <w:rPr>
          <w:rFonts w:ascii="黑体" w:hAnsi="黑体" w:eastAsia="黑体" w:cs="Times New Roman"/>
          <w:color w:val="auto"/>
          <w:sz w:val="21"/>
          <w:szCs w:val="21"/>
        </w:rPr>
        <w:t xml:space="preserve">区域电站  </w:t>
      </w:r>
      <w:r>
        <w:rPr>
          <w:rFonts w:hint="eastAsia" w:ascii="黑体" w:hAnsi="黑体" w:eastAsia="黑体" w:cs="黑体"/>
          <w:color w:val="auto"/>
          <w:sz w:val="21"/>
          <w:szCs w:val="21"/>
        </w:rPr>
        <w:t>regional power station</w:t>
      </w:r>
    </w:p>
    <w:p w14:paraId="7854B9B4">
      <w:pPr>
        <w:spacing w:line="320" w:lineRule="exact"/>
        <w:ind w:firstLine="420"/>
        <w:rPr>
          <w:rFonts w:cs="Times New Roman"/>
          <w:color w:val="auto"/>
          <w:sz w:val="21"/>
          <w:szCs w:val="21"/>
        </w:rPr>
      </w:pPr>
      <w:r>
        <w:rPr>
          <w:rFonts w:hint="eastAsia" w:cs="Times New Roman"/>
          <w:color w:val="auto"/>
          <w:sz w:val="21"/>
          <w:szCs w:val="21"/>
        </w:rPr>
        <w:t>独立设置或设置在某个人防工程内，能供给多个人防工程电源而设置的柴油电站，并具有与所供人防工程抗力一致的防护功能。</w:t>
      </w:r>
    </w:p>
    <w:p w14:paraId="7CB4F789">
      <w:pPr>
        <w:spacing w:line="320" w:lineRule="exact"/>
        <w:ind w:firstLine="420"/>
        <w:rPr>
          <w:rFonts w:hAnsi="宋体" w:cs="Times New Roman"/>
          <w:color w:val="auto"/>
          <w:sz w:val="21"/>
          <w:szCs w:val="21"/>
        </w:rPr>
      </w:pPr>
      <w:r>
        <w:rPr>
          <w:rFonts w:hAnsi="宋体" w:cs="Times New Roman"/>
          <w:color w:val="auto"/>
          <w:sz w:val="21"/>
          <w:szCs w:val="21"/>
        </w:rPr>
        <w:t>[来源：GB 50038-2005，2.1.64]</w:t>
      </w:r>
    </w:p>
    <w:p w14:paraId="646B6DFC">
      <w:pPr>
        <w:spacing w:line="320" w:lineRule="exact"/>
        <w:rPr>
          <w:rFonts w:ascii="黑体" w:hAnsi="黑体" w:eastAsia="黑体" w:cs="Times New Roman"/>
          <w:color w:val="auto"/>
          <w:sz w:val="21"/>
          <w:szCs w:val="21"/>
        </w:rPr>
      </w:pPr>
      <w:r>
        <w:rPr>
          <w:rFonts w:ascii="黑体" w:hAnsi="黑体" w:eastAsia="黑体" w:cs="Times New Roman"/>
          <w:color w:val="auto"/>
          <w:sz w:val="21"/>
          <w:szCs w:val="21"/>
        </w:rPr>
        <w:t>3.6</w:t>
      </w:r>
    </w:p>
    <w:p w14:paraId="6B003BFE">
      <w:pPr>
        <w:spacing w:line="320" w:lineRule="exact"/>
        <w:ind w:firstLine="420"/>
        <w:rPr>
          <w:rFonts w:cs="Times New Roman"/>
          <w:color w:val="auto"/>
          <w:sz w:val="21"/>
          <w:szCs w:val="21"/>
        </w:rPr>
      </w:pPr>
      <w:r>
        <w:rPr>
          <w:rFonts w:hint="eastAsia" w:ascii="黑体" w:hAnsi="黑体" w:eastAsia="黑体" w:cs="Times New Roman"/>
          <w:color w:val="auto"/>
          <w:sz w:val="21"/>
          <w:szCs w:val="21"/>
        </w:rPr>
        <w:t>兼顾人防工程</w:t>
      </w:r>
      <w:r>
        <w:rPr>
          <w:rFonts w:hint="eastAsia" w:ascii="黑体" w:hAnsi="黑体" w:eastAsia="黑体" w:cs="黑体"/>
          <w:color w:val="auto"/>
          <w:sz w:val="21"/>
          <w:szCs w:val="21"/>
        </w:rPr>
        <w:t>considering civil air defense works</w:t>
      </w:r>
    </w:p>
    <w:p w14:paraId="09DCD7FD">
      <w:pPr>
        <w:spacing w:line="320" w:lineRule="exact"/>
        <w:ind w:firstLine="420"/>
        <w:rPr>
          <w:rFonts w:cs="Times New Roman"/>
          <w:color w:val="auto"/>
          <w:sz w:val="21"/>
          <w:szCs w:val="21"/>
        </w:rPr>
      </w:pPr>
      <w:r>
        <w:rPr>
          <w:rFonts w:hint="eastAsia" w:cs="Times New Roman"/>
          <w:color w:val="auto"/>
          <w:sz w:val="21"/>
          <w:szCs w:val="21"/>
        </w:rPr>
        <w:t>地下空间兼顾人民防空要求工程的简称。兼顾人防工程指为预防城市空袭造成的灾害，按照相关规范标准增设相关防御措施的地下建筑。兼顾人防工程包括轨道交通、地下综合管廊及其他地下工程兼顾人民防空要求的工程。</w:t>
      </w:r>
    </w:p>
    <w:p w14:paraId="3B5E2FA8">
      <w:pPr>
        <w:spacing w:line="320" w:lineRule="exact"/>
        <w:rPr>
          <w:rFonts w:ascii="黑体" w:hAnsi="黑体" w:eastAsia="黑体" w:cs="Times New Roman"/>
          <w:color w:val="auto"/>
          <w:sz w:val="21"/>
          <w:szCs w:val="21"/>
        </w:rPr>
      </w:pPr>
      <w:r>
        <w:rPr>
          <w:rFonts w:ascii="黑体" w:hAnsi="黑体" w:eastAsia="黑体" w:cs="Times New Roman"/>
          <w:color w:val="auto"/>
          <w:sz w:val="21"/>
          <w:szCs w:val="21"/>
        </w:rPr>
        <w:t>3.7</w:t>
      </w:r>
    </w:p>
    <w:p w14:paraId="0A615B97">
      <w:pPr>
        <w:spacing w:line="320" w:lineRule="exact"/>
        <w:ind w:firstLine="420"/>
        <w:rPr>
          <w:rFonts w:cs="Times New Roman"/>
          <w:color w:val="auto"/>
          <w:sz w:val="21"/>
          <w:szCs w:val="21"/>
        </w:rPr>
      </w:pPr>
      <w:r>
        <w:rPr>
          <w:rFonts w:ascii="黑体" w:hAnsi="黑体" w:eastAsia="黑体" w:cs="Times New Roman"/>
          <w:color w:val="auto"/>
          <w:sz w:val="21"/>
          <w:szCs w:val="21"/>
        </w:rPr>
        <w:t xml:space="preserve">口部  </w:t>
      </w:r>
      <w:r>
        <w:rPr>
          <w:rFonts w:hint="eastAsia" w:ascii="黑体" w:hAnsi="黑体" w:eastAsia="黑体" w:cs="黑体"/>
          <w:color w:val="auto"/>
          <w:sz w:val="21"/>
          <w:szCs w:val="21"/>
        </w:rPr>
        <w:t>gateway</w:t>
      </w:r>
    </w:p>
    <w:p w14:paraId="5B80B589">
      <w:pPr>
        <w:spacing w:line="320" w:lineRule="exact"/>
        <w:ind w:firstLine="420"/>
        <w:rPr>
          <w:rFonts w:hAnsi="宋体" w:cs="Times New Roman"/>
          <w:color w:val="auto"/>
          <w:sz w:val="21"/>
          <w:szCs w:val="21"/>
        </w:rPr>
      </w:pPr>
      <w:r>
        <w:rPr>
          <w:rFonts w:hint="eastAsia" w:cs="Times New Roman"/>
          <w:color w:val="auto"/>
          <w:sz w:val="21"/>
          <w:szCs w:val="21"/>
        </w:rPr>
        <w:t>人防工程主体与地表面，或与其它地下建筑的连接部分。</w:t>
      </w:r>
    </w:p>
    <w:p w14:paraId="3C180B8B">
      <w:pPr>
        <w:spacing w:line="320" w:lineRule="exact"/>
        <w:ind w:firstLine="420"/>
        <w:rPr>
          <w:rFonts w:hAnsi="宋体" w:cs="Times New Roman"/>
          <w:color w:val="auto"/>
          <w:sz w:val="21"/>
          <w:szCs w:val="21"/>
        </w:rPr>
      </w:pPr>
      <w:r>
        <w:rPr>
          <w:rFonts w:hAnsi="宋体" w:cs="Times New Roman"/>
          <w:color w:val="auto"/>
          <w:sz w:val="21"/>
          <w:szCs w:val="21"/>
        </w:rPr>
        <w:t>[来源：GB 50038-2005，2.1.23]</w:t>
      </w:r>
    </w:p>
    <w:p w14:paraId="1EF0912F">
      <w:pPr>
        <w:spacing w:line="320" w:lineRule="exact"/>
        <w:rPr>
          <w:rFonts w:ascii="黑体" w:hAnsi="黑体" w:eastAsia="黑体" w:cs="Times New Roman"/>
          <w:color w:val="auto"/>
          <w:sz w:val="21"/>
          <w:szCs w:val="21"/>
        </w:rPr>
      </w:pPr>
      <w:r>
        <w:rPr>
          <w:rFonts w:ascii="黑体" w:hAnsi="黑体" w:eastAsia="黑体" w:cs="Times New Roman"/>
          <w:color w:val="auto"/>
          <w:sz w:val="21"/>
          <w:szCs w:val="21"/>
        </w:rPr>
        <w:t>3.8</w:t>
      </w:r>
    </w:p>
    <w:p w14:paraId="4594421A">
      <w:pPr>
        <w:spacing w:line="320" w:lineRule="exact"/>
        <w:ind w:firstLine="420"/>
        <w:rPr>
          <w:rFonts w:cs="Times New Roman"/>
          <w:color w:val="auto"/>
          <w:sz w:val="21"/>
          <w:szCs w:val="21"/>
        </w:rPr>
      </w:pPr>
      <w:r>
        <w:rPr>
          <w:rFonts w:ascii="黑体" w:hAnsi="黑体" w:eastAsia="黑体" w:cs="Times New Roman"/>
          <w:color w:val="auto"/>
          <w:sz w:val="21"/>
          <w:szCs w:val="21"/>
        </w:rPr>
        <w:t xml:space="preserve">孔口  </w:t>
      </w:r>
      <w:r>
        <w:rPr>
          <w:rFonts w:hint="eastAsia" w:ascii="黑体" w:hAnsi="黑体" w:eastAsia="黑体" w:cs="黑体"/>
          <w:color w:val="auto"/>
          <w:sz w:val="21"/>
          <w:szCs w:val="21"/>
        </w:rPr>
        <w:t>opening</w:t>
      </w:r>
    </w:p>
    <w:p w14:paraId="049352F4">
      <w:pPr>
        <w:spacing w:line="320" w:lineRule="exact"/>
        <w:ind w:firstLine="420"/>
        <w:rPr>
          <w:rFonts w:cs="Times New Roman"/>
          <w:color w:val="auto"/>
          <w:sz w:val="21"/>
          <w:szCs w:val="21"/>
        </w:rPr>
      </w:pPr>
      <w:r>
        <w:rPr>
          <w:rFonts w:hint="eastAsia" w:cs="Times New Roman"/>
          <w:color w:val="auto"/>
          <w:sz w:val="21"/>
          <w:szCs w:val="21"/>
        </w:rPr>
        <w:t>人防工程主体与外部空间相通的孔洞。包括出入口、通风口、排烟口等。</w:t>
      </w:r>
    </w:p>
    <w:p w14:paraId="1D8251EC">
      <w:pPr>
        <w:spacing w:line="320" w:lineRule="exact"/>
        <w:rPr>
          <w:rFonts w:ascii="黑体" w:hAnsi="黑体" w:eastAsia="黑体" w:cs="Times New Roman"/>
          <w:color w:val="auto"/>
          <w:sz w:val="21"/>
          <w:szCs w:val="21"/>
        </w:rPr>
      </w:pPr>
      <w:r>
        <w:rPr>
          <w:rFonts w:ascii="黑体" w:hAnsi="黑体" w:eastAsia="黑体" w:cs="Times New Roman"/>
          <w:color w:val="auto"/>
          <w:sz w:val="21"/>
          <w:szCs w:val="21"/>
        </w:rPr>
        <w:t>3.9</w:t>
      </w:r>
    </w:p>
    <w:p w14:paraId="66A11971">
      <w:pPr>
        <w:spacing w:line="320" w:lineRule="exact"/>
        <w:ind w:firstLine="420"/>
        <w:rPr>
          <w:rFonts w:cs="Times New Roman"/>
          <w:color w:val="auto"/>
          <w:sz w:val="21"/>
          <w:szCs w:val="21"/>
        </w:rPr>
      </w:pPr>
      <w:r>
        <w:rPr>
          <w:rFonts w:ascii="黑体" w:hAnsi="黑体" w:eastAsia="黑体" w:cs="Times New Roman"/>
          <w:color w:val="auto"/>
          <w:sz w:val="21"/>
          <w:szCs w:val="21"/>
        </w:rPr>
        <w:t xml:space="preserve">防倒塌棚架  </w:t>
      </w:r>
      <w:r>
        <w:rPr>
          <w:rFonts w:hint="eastAsia" w:ascii="黑体" w:hAnsi="黑体" w:eastAsia="黑体" w:cs="黑体"/>
          <w:color w:val="auto"/>
          <w:sz w:val="21"/>
          <w:szCs w:val="21"/>
        </w:rPr>
        <w:t>collapse-proof shed</w:t>
      </w:r>
    </w:p>
    <w:p w14:paraId="64E1A83A">
      <w:pPr>
        <w:spacing w:line="320" w:lineRule="exact"/>
        <w:ind w:firstLine="420"/>
        <w:rPr>
          <w:rFonts w:cs="Times New Roman"/>
          <w:color w:val="auto"/>
          <w:sz w:val="21"/>
          <w:szCs w:val="21"/>
        </w:rPr>
      </w:pPr>
      <w:r>
        <w:rPr>
          <w:rFonts w:hint="eastAsia" w:cs="Times New Roman"/>
          <w:color w:val="auto"/>
          <w:sz w:val="21"/>
          <w:szCs w:val="21"/>
        </w:rPr>
        <w:t>设置在出入口通道出地面段上方，用于防止口部堵塞的棚架。棚架能在预定的冲击波和地面建筑物倒塌荷载作用下不致坍塌。</w:t>
      </w:r>
    </w:p>
    <w:p w14:paraId="71A5F945">
      <w:pPr>
        <w:spacing w:line="320" w:lineRule="exact"/>
        <w:ind w:firstLine="420"/>
        <w:rPr>
          <w:rFonts w:hAnsi="宋体" w:cs="Times New Roman"/>
          <w:color w:val="auto"/>
          <w:sz w:val="21"/>
          <w:szCs w:val="21"/>
        </w:rPr>
      </w:pPr>
      <w:r>
        <w:rPr>
          <w:rFonts w:hAnsi="宋体" w:cs="Times New Roman"/>
          <w:color w:val="auto"/>
          <w:sz w:val="21"/>
          <w:szCs w:val="21"/>
        </w:rPr>
        <w:t>[来源：GB 50038-2005，2.1.44]</w:t>
      </w:r>
    </w:p>
    <w:p w14:paraId="19E2D6CE">
      <w:pPr>
        <w:spacing w:line="320" w:lineRule="exact"/>
        <w:rPr>
          <w:rFonts w:ascii="黑体" w:hAnsi="黑体" w:eastAsia="黑体" w:cs="Times New Roman"/>
          <w:color w:val="auto"/>
          <w:sz w:val="21"/>
          <w:szCs w:val="21"/>
        </w:rPr>
      </w:pPr>
      <w:r>
        <w:rPr>
          <w:rFonts w:ascii="黑体" w:hAnsi="黑体" w:eastAsia="黑体" w:cs="Times New Roman"/>
          <w:color w:val="auto"/>
          <w:sz w:val="21"/>
          <w:szCs w:val="21"/>
        </w:rPr>
        <w:t>3.10</w:t>
      </w:r>
    </w:p>
    <w:p w14:paraId="472FA2CA">
      <w:pPr>
        <w:spacing w:line="320" w:lineRule="exact"/>
        <w:ind w:firstLine="420"/>
        <w:rPr>
          <w:rFonts w:ascii="黑体" w:hAnsi="黑体" w:eastAsia="黑体" w:cs="黑体"/>
          <w:color w:val="auto"/>
          <w:sz w:val="21"/>
          <w:szCs w:val="21"/>
        </w:rPr>
      </w:pPr>
      <w:r>
        <w:rPr>
          <w:rFonts w:ascii="黑体" w:hAnsi="黑体" w:eastAsia="黑体" w:cs="Times New Roman"/>
          <w:color w:val="auto"/>
          <w:sz w:val="21"/>
          <w:szCs w:val="21"/>
        </w:rPr>
        <w:t xml:space="preserve">人防围护结构  </w:t>
      </w:r>
      <w:r>
        <w:rPr>
          <w:rFonts w:hint="eastAsia" w:ascii="黑体" w:hAnsi="黑体" w:eastAsia="黑体" w:cs="黑体"/>
          <w:color w:val="auto"/>
          <w:sz w:val="21"/>
          <w:szCs w:val="21"/>
        </w:rPr>
        <w:t>surrounding structure for civil air defence</w:t>
      </w:r>
    </w:p>
    <w:p w14:paraId="6C4138A6">
      <w:pPr>
        <w:spacing w:line="320" w:lineRule="exact"/>
        <w:ind w:firstLine="420"/>
        <w:rPr>
          <w:rFonts w:cs="Times New Roman"/>
          <w:color w:val="auto"/>
          <w:sz w:val="21"/>
          <w:szCs w:val="21"/>
        </w:rPr>
      </w:pPr>
      <w:r>
        <w:rPr>
          <w:rFonts w:hint="eastAsia" w:cs="Times New Roman"/>
          <w:color w:val="auto"/>
          <w:sz w:val="21"/>
          <w:szCs w:val="21"/>
        </w:rPr>
        <w:t>人防工程中承受空气冲击波或土中压缩波直接作用的顶板、墙体和底板的总称。</w:t>
      </w:r>
    </w:p>
    <w:p w14:paraId="34994120">
      <w:pPr>
        <w:spacing w:line="320" w:lineRule="exact"/>
        <w:ind w:firstLine="420"/>
        <w:rPr>
          <w:rFonts w:hAnsi="宋体" w:cs="Times New Roman"/>
          <w:color w:val="auto"/>
          <w:sz w:val="21"/>
          <w:szCs w:val="21"/>
        </w:rPr>
      </w:pPr>
      <w:r>
        <w:rPr>
          <w:rFonts w:hAnsi="宋体" w:cs="Times New Roman"/>
          <w:color w:val="auto"/>
          <w:sz w:val="21"/>
          <w:szCs w:val="21"/>
        </w:rPr>
        <w:t>[来源：GB 50038-2005，2.1.20]</w:t>
      </w:r>
    </w:p>
    <w:p w14:paraId="33004FF3">
      <w:pPr>
        <w:spacing w:line="320" w:lineRule="exact"/>
        <w:rPr>
          <w:rFonts w:ascii="黑体" w:hAnsi="黑体" w:eastAsia="黑体" w:cs="Times New Roman"/>
          <w:color w:val="auto"/>
          <w:sz w:val="21"/>
          <w:szCs w:val="21"/>
        </w:rPr>
      </w:pPr>
      <w:r>
        <w:rPr>
          <w:rFonts w:ascii="黑体" w:hAnsi="黑体" w:eastAsia="黑体" w:cs="Times New Roman"/>
          <w:color w:val="auto"/>
          <w:sz w:val="21"/>
          <w:szCs w:val="21"/>
        </w:rPr>
        <w:t>3.</w:t>
      </w:r>
      <w:r>
        <w:rPr>
          <w:rFonts w:hint="eastAsia" w:ascii="黑体" w:hAnsi="黑体" w:eastAsia="黑体" w:cs="Times New Roman"/>
          <w:color w:val="auto"/>
          <w:sz w:val="21"/>
          <w:szCs w:val="21"/>
        </w:rPr>
        <w:t>1</w:t>
      </w:r>
      <w:r>
        <w:rPr>
          <w:rFonts w:ascii="黑体" w:hAnsi="黑体" w:eastAsia="黑体" w:cs="Times New Roman"/>
          <w:color w:val="auto"/>
          <w:sz w:val="21"/>
          <w:szCs w:val="21"/>
        </w:rPr>
        <w:t>1</w:t>
      </w:r>
    </w:p>
    <w:p w14:paraId="7362C758">
      <w:pPr>
        <w:spacing w:line="320" w:lineRule="exact"/>
        <w:ind w:firstLine="420"/>
        <w:rPr>
          <w:rFonts w:ascii="黑体" w:hAnsi="黑体" w:eastAsia="黑体" w:cs="黑体"/>
          <w:color w:val="auto"/>
          <w:sz w:val="21"/>
          <w:szCs w:val="21"/>
        </w:rPr>
      </w:pPr>
      <w:r>
        <w:rPr>
          <w:rFonts w:ascii="黑体" w:hAnsi="黑体" w:eastAsia="黑体" w:cs="Times New Roman"/>
          <w:color w:val="auto"/>
          <w:sz w:val="21"/>
          <w:szCs w:val="21"/>
        </w:rPr>
        <w:t xml:space="preserve">平战功能转换器材储藏室  </w:t>
      </w:r>
      <w:r>
        <w:rPr>
          <w:rFonts w:hint="eastAsia" w:ascii="黑体" w:hAnsi="黑体" w:eastAsia="黑体" w:cs="黑体"/>
          <w:color w:val="auto"/>
          <w:sz w:val="21"/>
          <w:szCs w:val="21"/>
        </w:rPr>
        <w:t>storage room for equipment of function exchange between peacetime and wartime</w:t>
      </w:r>
    </w:p>
    <w:p w14:paraId="2FD12835">
      <w:pPr>
        <w:spacing w:line="320" w:lineRule="exact"/>
        <w:ind w:firstLine="420"/>
        <w:rPr>
          <w:rFonts w:cs="Times New Roman"/>
          <w:color w:val="auto"/>
          <w:sz w:val="21"/>
          <w:szCs w:val="21"/>
        </w:rPr>
      </w:pPr>
      <w:r>
        <w:rPr>
          <w:rFonts w:hint="eastAsia" w:cs="Times New Roman"/>
          <w:color w:val="auto"/>
          <w:sz w:val="21"/>
          <w:szCs w:val="21"/>
        </w:rPr>
        <w:t>存放平时预留而平战转换时需用的设备材料及转换施工工具的储藏室。</w:t>
      </w:r>
    </w:p>
    <w:p w14:paraId="7B40A8C6">
      <w:pPr>
        <w:spacing w:line="320" w:lineRule="exact"/>
        <w:rPr>
          <w:rFonts w:ascii="黑体" w:hAnsi="黑体" w:eastAsia="黑体" w:cs="Times New Roman"/>
          <w:color w:val="auto"/>
          <w:sz w:val="21"/>
          <w:szCs w:val="21"/>
        </w:rPr>
      </w:pPr>
      <w:r>
        <w:rPr>
          <w:rFonts w:ascii="黑体" w:hAnsi="黑体" w:eastAsia="黑体" w:cs="Times New Roman"/>
          <w:color w:val="auto"/>
          <w:sz w:val="21"/>
          <w:szCs w:val="21"/>
        </w:rPr>
        <w:t>3.</w:t>
      </w:r>
      <w:r>
        <w:rPr>
          <w:rFonts w:hint="eastAsia" w:ascii="黑体" w:hAnsi="黑体" w:eastAsia="黑体" w:cs="Times New Roman"/>
          <w:color w:val="auto"/>
          <w:sz w:val="21"/>
          <w:szCs w:val="21"/>
        </w:rPr>
        <w:t>1</w:t>
      </w:r>
      <w:bookmarkStart w:id="16" w:name="_Hlk119053709"/>
      <w:r>
        <w:rPr>
          <w:rFonts w:ascii="黑体" w:hAnsi="黑体" w:eastAsia="黑体" w:cs="Times New Roman"/>
          <w:color w:val="auto"/>
          <w:sz w:val="21"/>
          <w:szCs w:val="21"/>
        </w:rPr>
        <w:t>2</w:t>
      </w:r>
    </w:p>
    <w:p w14:paraId="7FD74980">
      <w:pPr>
        <w:spacing w:line="320" w:lineRule="exact"/>
        <w:ind w:firstLine="420"/>
        <w:rPr>
          <w:rFonts w:eastAsia="黑体" w:cs="Times New Roman"/>
          <w:color w:val="auto"/>
          <w:sz w:val="21"/>
          <w:szCs w:val="21"/>
        </w:rPr>
      </w:pPr>
      <w:r>
        <w:rPr>
          <w:rFonts w:ascii="黑体" w:hAnsi="黑体" w:eastAsia="黑体" w:cs="Times New Roman"/>
          <w:color w:val="auto"/>
          <w:sz w:val="21"/>
          <w:szCs w:val="21"/>
        </w:rPr>
        <w:t>指挥</w:t>
      </w:r>
      <w:bookmarkStart w:id="17" w:name="_Hlk118115727"/>
      <w:r>
        <w:rPr>
          <w:rFonts w:ascii="黑体" w:hAnsi="黑体" w:eastAsia="黑体" w:cs="Times New Roman"/>
          <w:color w:val="auto"/>
          <w:sz w:val="21"/>
          <w:szCs w:val="21"/>
        </w:rPr>
        <w:t>调度</w:t>
      </w:r>
      <w:bookmarkEnd w:id="17"/>
      <w:r>
        <w:rPr>
          <w:rFonts w:ascii="黑体" w:hAnsi="黑体" w:eastAsia="黑体" w:cs="Times New Roman"/>
          <w:color w:val="auto"/>
          <w:sz w:val="21"/>
          <w:szCs w:val="21"/>
        </w:rPr>
        <w:t>值班室</w:t>
      </w:r>
      <w:bookmarkEnd w:id="16"/>
      <w:r>
        <w:rPr>
          <w:rFonts w:hint="eastAsia" w:ascii="黑体" w:hAnsi="黑体" w:eastAsia="黑体" w:cs="黑体"/>
          <w:color w:val="auto"/>
          <w:sz w:val="21"/>
          <w:szCs w:val="21"/>
        </w:rPr>
        <w:t>command dispatching duty room</w:t>
      </w:r>
    </w:p>
    <w:p w14:paraId="1D45201E">
      <w:pPr>
        <w:spacing w:line="320" w:lineRule="exact"/>
        <w:ind w:firstLine="420"/>
        <w:rPr>
          <w:rFonts w:cs="Times New Roman"/>
          <w:color w:val="auto"/>
          <w:sz w:val="21"/>
          <w:szCs w:val="21"/>
        </w:rPr>
      </w:pPr>
      <w:r>
        <w:rPr>
          <w:rFonts w:hint="eastAsia" w:cs="Times New Roman"/>
          <w:color w:val="auto"/>
          <w:sz w:val="21"/>
          <w:szCs w:val="21"/>
        </w:rPr>
        <w:t>供在一个防护单元内进行工程转换、场所管理、后勤保障以及安全保卫等工作的领导小组和实施小组使用的办公场所，用于召开会议、部署工作和与指挥调度总值班室、上级机关联络通信的工作房间。</w:t>
      </w:r>
    </w:p>
    <w:p w14:paraId="04B3BCC8">
      <w:pPr>
        <w:spacing w:line="360" w:lineRule="exact"/>
        <w:rPr>
          <w:rFonts w:ascii="黑体" w:hAnsi="黑体" w:eastAsia="黑体" w:cs="黑体"/>
          <w:sz w:val="21"/>
          <w:szCs w:val="21"/>
        </w:rPr>
      </w:pPr>
    </w:p>
    <w:p w14:paraId="29FA2C66">
      <w:pPr>
        <w:spacing w:line="360" w:lineRule="exact"/>
        <w:rPr>
          <w:rFonts w:ascii="黑体" w:hAnsi="黑体" w:eastAsia="黑体" w:cs="黑体"/>
          <w:sz w:val="21"/>
          <w:szCs w:val="21"/>
        </w:rPr>
      </w:pPr>
    </w:p>
    <w:p w14:paraId="68A5A73D">
      <w:pPr>
        <w:spacing w:line="360" w:lineRule="exact"/>
        <w:rPr>
          <w:rFonts w:ascii="黑体" w:hAnsi="黑体" w:eastAsia="黑体" w:cs="黑体"/>
          <w:sz w:val="21"/>
          <w:szCs w:val="21"/>
        </w:rPr>
      </w:pPr>
    </w:p>
    <w:p w14:paraId="679CE53A">
      <w:pPr>
        <w:spacing w:line="360" w:lineRule="exact"/>
        <w:rPr>
          <w:rFonts w:ascii="黑体" w:hAnsi="黑体" w:eastAsia="黑体" w:cs="黑体"/>
          <w:sz w:val="21"/>
          <w:szCs w:val="21"/>
        </w:rPr>
      </w:pPr>
    </w:p>
    <w:p w14:paraId="0BD03A7E">
      <w:pPr>
        <w:spacing w:beforeLines="50" w:afterLines="50" w:line="320" w:lineRule="exact"/>
        <w:outlineLvl w:val="0"/>
        <w:rPr>
          <w:rFonts w:ascii="黑体" w:hAnsi="黑体" w:eastAsia="黑体" w:cs="黑体"/>
          <w:sz w:val="21"/>
          <w:szCs w:val="21"/>
        </w:rPr>
      </w:pPr>
      <w:bookmarkStart w:id="18" w:name="_Toc1112"/>
      <w:r>
        <w:rPr>
          <w:rFonts w:hint="eastAsia" w:ascii="黑体" w:hAnsi="黑体" w:eastAsia="黑体" w:cs="黑体"/>
          <w:sz w:val="21"/>
          <w:szCs w:val="21"/>
        </w:rPr>
        <w:t>4  基本要求</w:t>
      </w:r>
      <w:bookmarkEnd w:id="18"/>
    </w:p>
    <w:p w14:paraId="24C0A785">
      <w:pPr>
        <w:pStyle w:val="6"/>
        <w:spacing w:line="320" w:lineRule="exact"/>
        <w:rPr>
          <w:rFonts w:ascii="宋体" w:hAnsi="宋体" w:eastAsia="宋体" w:cs="宋体"/>
          <w:snapToGrid/>
          <w:color w:val="auto"/>
          <w:kern w:val="2"/>
          <w:sz w:val="21"/>
          <w:szCs w:val="21"/>
          <w:lang w:eastAsia="zh-CN"/>
        </w:rPr>
      </w:pPr>
      <w:r>
        <w:rPr>
          <w:rFonts w:hint="eastAsia" w:ascii="黑体" w:hAnsi="黑体" w:eastAsia="黑体" w:cs="黑体"/>
          <w:sz w:val="21"/>
          <w:szCs w:val="21"/>
          <w:lang w:eastAsia="zh-CN"/>
        </w:rPr>
        <w:t xml:space="preserve">4.1 </w:t>
      </w:r>
      <w:r>
        <w:rPr>
          <w:rFonts w:hint="eastAsia" w:ascii="黑体" w:hAnsi="黑体" w:eastAsia="黑体" w:cs="黑体"/>
          <w:color w:val="auto"/>
          <w:sz w:val="21"/>
          <w:szCs w:val="21"/>
          <w:lang w:eastAsia="zh-CN"/>
        </w:rPr>
        <w:t xml:space="preserve"> </w:t>
      </w:r>
      <w:r>
        <w:rPr>
          <w:rFonts w:hint="eastAsia" w:ascii="宋体" w:hAnsi="宋体" w:eastAsia="宋体" w:cs="宋体"/>
          <w:snapToGrid/>
          <w:color w:val="auto"/>
          <w:kern w:val="2"/>
          <w:sz w:val="21"/>
          <w:szCs w:val="21"/>
          <w:lang w:eastAsia="zh-CN"/>
        </w:rPr>
        <w:t>人防工程平时使用的商业、餐饮、娱乐场所、车库及仓储等常见业态，除满足本标准规定的安全使用要求外，尚应符合国家和本省现行有关标准、规范的规定。</w:t>
      </w:r>
    </w:p>
    <w:p w14:paraId="2032B556">
      <w:pPr>
        <w:pStyle w:val="6"/>
        <w:spacing w:line="320" w:lineRule="exact"/>
        <w:rPr>
          <w:rFonts w:ascii="宋体" w:hAnsi="宋体" w:eastAsia="宋体" w:cs="宋体"/>
          <w:snapToGrid/>
          <w:color w:val="auto"/>
          <w:kern w:val="2"/>
          <w:sz w:val="21"/>
          <w:szCs w:val="21"/>
          <w:lang w:eastAsia="zh-CN"/>
        </w:rPr>
      </w:pPr>
      <w:r>
        <w:rPr>
          <w:rFonts w:hint="eastAsia" w:ascii="黑体" w:hAnsi="黑体" w:eastAsia="黑体" w:cs="黑体"/>
          <w:sz w:val="21"/>
          <w:szCs w:val="21"/>
          <w:lang w:eastAsia="zh-CN"/>
        </w:rPr>
        <w:t xml:space="preserve">4.2  </w:t>
      </w:r>
      <w:r>
        <w:rPr>
          <w:rFonts w:hint="eastAsia" w:ascii="宋体" w:hAnsi="宋体" w:eastAsia="宋体" w:cs="宋体"/>
          <w:snapToGrid/>
          <w:color w:val="auto"/>
          <w:kern w:val="2"/>
          <w:sz w:val="21"/>
          <w:szCs w:val="21"/>
          <w:lang w:eastAsia="zh-CN"/>
        </w:rPr>
        <w:t>任何单位和个人不得擅自变更人防工程的使用功能,不得破坏人防工程的防护结构,不得损坏人防工程的设备与设施</w:t>
      </w:r>
      <w:r>
        <w:rPr>
          <w:rFonts w:ascii="宋体" w:hAnsi="宋体" w:eastAsia="宋体" w:cs="宋体"/>
          <w:snapToGrid/>
          <w:color w:val="auto"/>
          <w:kern w:val="2"/>
          <w:sz w:val="21"/>
          <w:szCs w:val="21"/>
          <w:lang w:eastAsia="zh-CN"/>
        </w:rPr>
        <w:t>。</w:t>
      </w:r>
    </w:p>
    <w:p w14:paraId="1A9AA09D">
      <w:pPr>
        <w:pStyle w:val="6"/>
        <w:spacing w:line="320" w:lineRule="exact"/>
        <w:rPr>
          <w:rFonts w:ascii="宋体" w:hAnsi="宋体" w:eastAsia="宋体" w:cs="宋体"/>
          <w:snapToGrid/>
          <w:kern w:val="2"/>
          <w:sz w:val="21"/>
          <w:szCs w:val="21"/>
          <w:lang w:eastAsia="zh-CN"/>
        </w:rPr>
      </w:pPr>
      <w:r>
        <w:rPr>
          <w:rFonts w:hint="eastAsia" w:ascii="黑体" w:hAnsi="黑体" w:eastAsia="黑体" w:cs="黑体"/>
          <w:sz w:val="21"/>
          <w:szCs w:val="21"/>
          <w:lang w:eastAsia="zh-CN"/>
        </w:rPr>
        <w:t xml:space="preserve">4.3  </w:t>
      </w:r>
      <w:r>
        <w:rPr>
          <w:rFonts w:hint="eastAsia" w:ascii="宋体" w:hAnsi="宋体" w:eastAsia="宋体" w:cs="宋体"/>
          <w:color w:val="auto"/>
          <w:kern w:val="2"/>
          <w:sz w:val="21"/>
          <w:szCs w:val="21"/>
          <w:lang w:eastAsia="zh-CN"/>
        </w:rPr>
        <w:t>人防工程改造（含内装修）项目应向人防主管部门申请，同意后由具备</w:t>
      </w:r>
      <w:r>
        <w:rPr>
          <w:rFonts w:ascii="宋体" w:hAnsi="宋体" w:eastAsia="宋体" w:cs="宋体"/>
          <w:color w:val="auto"/>
          <w:kern w:val="2"/>
          <w:sz w:val="21"/>
          <w:szCs w:val="21"/>
          <w:lang w:eastAsia="zh-CN"/>
        </w:rPr>
        <w:t>相应</w:t>
      </w:r>
      <w:r>
        <w:rPr>
          <w:rFonts w:hint="eastAsia" w:ascii="宋体" w:hAnsi="宋体" w:eastAsia="宋体" w:cs="宋体"/>
          <w:color w:val="auto"/>
          <w:kern w:val="2"/>
          <w:sz w:val="21"/>
          <w:szCs w:val="21"/>
          <w:lang w:eastAsia="zh-CN"/>
        </w:rPr>
        <w:t>资质的设计单位进行设计,提交相关主管部门审核后实施，验收合格及备案后方可投入使用。</w:t>
      </w:r>
    </w:p>
    <w:p w14:paraId="3BE97853">
      <w:pPr>
        <w:pStyle w:val="6"/>
        <w:spacing w:line="320" w:lineRule="exact"/>
        <w:rPr>
          <w:rFonts w:ascii="宋体" w:hAnsi="宋体" w:eastAsia="宋体" w:cs="宋体"/>
          <w:snapToGrid/>
          <w:kern w:val="2"/>
          <w:sz w:val="21"/>
          <w:szCs w:val="21"/>
          <w:lang w:eastAsia="zh-CN"/>
        </w:rPr>
      </w:pPr>
      <w:r>
        <w:rPr>
          <w:rFonts w:hint="eastAsia" w:ascii="黑体" w:hAnsi="黑体" w:eastAsia="黑体" w:cs="黑体"/>
          <w:sz w:val="21"/>
          <w:szCs w:val="21"/>
          <w:lang w:eastAsia="zh-CN"/>
        </w:rPr>
        <w:t xml:space="preserve">4.4  </w:t>
      </w:r>
      <w:r>
        <w:rPr>
          <w:rFonts w:hint="eastAsia" w:ascii="宋体" w:hAnsi="宋体" w:eastAsia="宋体" w:cs="宋体"/>
          <w:snapToGrid/>
          <w:kern w:val="2"/>
          <w:sz w:val="21"/>
          <w:szCs w:val="21"/>
          <w:lang w:eastAsia="zh-CN"/>
        </w:rPr>
        <w:t>人防工程的平时安全使用应执行本</w:t>
      </w:r>
      <w:r>
        <w:rPr>
          <w:rFonts w:ascii="宋体" w:hAnsi="宋体" w:eastAsia="宋体" w:cs="宋体"/>
          <w:snapToGrid/>
          <w:kern w:val="2"/>
          <w:sz w:val="21"/>
          <w:szCs w:val="21"/>
          <w:lang w:eastAsia="zh-CN"/>
        </w:rPr>
        <w:t>标准</w:t>
      </w:r>
      <w:r>
        <w:rPr>
          <w:rFonts w:hint="eastAsia" w:ascii="宋体" w:hAnsi="宋体" w:eastAsia="宋体" w:cs="宋体"/>
          <w:snapToGrid/>
          <w:kern w:val="2"/>
          <w:sz w:val="21"/>
          <w:szCs w:val="21"/>
          <w:lang w:eastAsia="zh-CN"/>
        </w:rPr>
        <w:t>的各项规定，</w:t>
      </w:r>
      <w:r>
        <w:rPr>
          <w:rFonts w:ascii="宋体" w:hAnsi="宋体" w:eastAsia="宋体" w:cs="宋体"/>
          <w:snapToGrid/>
          <w:kern w:val="2"/>
          <w:sz w:val="21"/>
          <w:szCs w:val="21"/>
          <w:lang w:eastAsia="zh-CN"/>
        </w:rPr>
        <w:t>符合下列要求</w:t>
      </w:r>
      <w:r>
        <w:rPr>
          <w:rFonts w:hint="eastAsia" w:ascii="宋体" w:hAnsi="宋体" w:eastAsia="宋体" w:cs="宋体"/>
          <w:snapToGrid/>
          <w:kern w:val="2"/>
          <w:sz w:val="21"/>
          <w:szCs w:val="21"/>
          <w:lang w:eastAsia="zh-CN"/>
        </w:rPr>
        <w:t>：</w:t>
      </w:r>
    </w:p>
    <w:p w14:paraId="16022596">
      <w:pPr>
        <w:pStyle w:val="6"/>
        <w:spacing w:line="320" w:lineRule="exact"/>
        <w:ind w:firstLine="420" w:firstLineChars="200"/>
        <w:rPr>
          <w:rFonts w:ascii="宋体" w:hAnsi="宋体" w:eastAsia="宋体" w:cs="宋体"/>
          <w:snapToGrid/>
          <w:kern w:val="2"/>
          <w:sz w:val="21"/>
          <w:szCs w:val="21"/>
          <w:lang w:eastAsia="zh-CN"/>
        </w:rPr>
      </w:pPr>
      <w:r>
        <w:rPr>
          <w:rFonts w:hint="eastAsia" w:ascii="宋体" w:hAnsi="宋体" w:eastAsia="宋体" w:cs="宋体"/>
          <w:sz w:val="21"/>
          <w:szCs w:val="21"/>
          <w:lang w:eastAsia="zh-CN"/>
        </w:rPr>
        <w:t xml:space="preserve">a） </w:t>
      </w:r>
      <w:r>
        <w:rPr>
          <w:rFonts w:hint="eastAsia" w:ascii="宋体" w:hAnsi="宋体" w:eastAsia="宋体" w:cs="宋体"/>
          <w:snapToGrid/>
          <w:kern w:val="2"/>
          <w:sz w:val="21"/>
          <w:szCs w:val="21"/>
          <w:lang w:eastAsia="zh-CN"/>
        </w:rPr>
        <w:t>工程结构完好；</w:t>
      </w:r>
    </w:p>
    <w:p w14:paraId="426E5383">
      <w:pPr>
        <w:pStyle w:val="6"/>
        <w:spacing w:line="320" w:lineRule="exact"/>
        <w:ind w:firstLine="420" w:firstLineChars="200"/>
        <w:rPr>
          <w:rFonts w:ascii="宋体" w:hAnsi="宋体" w:eastAsia="宋体" w:cs="宋体"/>
          <w:snapToGrid/>
          <w:kern w:val="2"/>
          <w:sz w:val="21"/>
          <w:szCs w:val="21"/>
          <w:lang w:eastAsia="zh-CN"/>
        </w:rPr>
      </w:pPr>
      <w:r>
        <w:rPr>
          <w:rFonts w:hint="eastAsia" w:ascii="宋体" w:hAnsi="宋体" w:eastAsia="宋体" w:cs="宋体"/>
          <w:sz w:val="21"/>
          <w:szCs w:val="21"/>
          <w:lang w:eastAsia="zh-CN"/>
        </w:rPr>
        <w:t xml:space="preserve">b） </w:t>
      </w:r>
      <w:r>
        <w:rPr>
          <w:rFonts w:hint="eastAsia" w:ascii="宋体" w:hAnsi="宋体" w:eastAsia="宋体" w:cs="宋体"/>
          <w:snapToGrid/>
          <w:kern w:val="2"/>
          <w:sz w:val="21"/>
          <w:szCs w:val="21"/>
          <w:lang w:eastAsia="zh-CN"/>
        </w:rPr>
        <w:t>工程内部整洁，无渗漏水，空气和饮用水符合国家有关卫生标准；</w:t>
      </w:r>
    </w:p>
    <w:p w14:paraId="2B172A2D">
      <w:pPr>
        <w:pStyle w:val="6"/>
        <w:spacing w:line="320" w:lineRule="exact"/>
        <w:ind w:firstLine="420" w:firstLineChars="200"/>
        <w:rPr>
          <w:rFonts w:ascii="宋体" w:hAnsi="宋体" w:eastAsia="宋体" w:cs="宋体"/>
          <w:snapToGrid/>
          <w:kern w:val="2"/>
          <w:sz w:val="21"/>
          <w:szCs w:val="21"/>
          <w:lang w:eastAsia="zh-CN"/>
        </w:rPr>
      </w:pPr>
      <w:r>
        <w:rPr>
          <w:rFonts w:hint="eastAsia" w:ascii="宋体" w:hAnsi="宋体" w:eastAsia="宋体" w:cs="宋体"/>
          <w:sz w:val="21"/>
          <w:szCs w:val="21"/>
          <w:lang w:eastAsia="zh-CN"/>
        </w:rPr>
        <w:t xml:space="preserve">c） </w:t>
      </w:r>
      <w:r>
        <w:rPr>
          <w:rFonts w:hint="eastAsia" w:ascii="宋体" w:hAnsi="宋体" w:eastAsia="宋体" w:cs="宋体"/>
          <w:snapToGrid/>
          <w:kern w:val="2"/>
          <w:sz w:val="21"/>
          <w:szCs w:val="21"/>
          <w:lang w:eastAsia="zh-CN"/>
        </w:rPr>
        <w:t>防护密闭设备、设施性能良好；</w:t>
      </w:r>
    </w:p>
    <w:p w14:paraId="4F29684C">
      <w:pPr>
        <w:pStyle w:val="6"/>
        <w:spacing w:line="320" w:lineRule="exact"/>
        <w:ind w:firstLine="420" w:firstLineChars="200"/>
        <w:rPr>
          <w:rFonts w:ascii="宋体" w:hAnsi="宋体" w:eastAsia="宋体" w:cs="宋体"/>
          <w:snapToGrid/>
          <w:kern w:val="2"/>
          <w:sz w:val="21"/>
          <w:szCs w:val="21"/>
          <w:lang w:eastAsia="zh-CN"/>
        </w:rPr>
      </w:pPr>
      <w:r>
        <w:rPr>
          <w:rFonts w:hint="eastAsia" w:ascii="宋体" w:hAnsi="宋体" w:eastAsia="宋体" w:cs="宋体"/>
          <w:sz w:val="21"/>
          <w:szCs w:val="21"/>
          <w:lang w:eastAsia="zh-CN"/>
        </w:rPr>
        <w:t xml:space="preserve">d） </w:t>
      </w:r>
      <w:r>
        <w:rPr>
          <w:rFonts w:hint="eastAsia" w:ascii="宋体" w:hAnsi="宋体" w:eastAsia="宋体" w:cs="宋体"/>
          <w:snapToGrid/>
          <w:kern w:val="2"/>
          <w:sz w:val="21"/>
          <w:szCs w:val="21"/>
          <w:lang w:eastAsia="zh-CN"/>
        </w:rPr>
        <w:t>风、水、电、暖、信息、消防等系统工作正常；</w:t>
      </w:r>
    </w:p>
    <w:p w14:paraId="24C15799">
      <w:pPr>
        <w:pStyle w:val="6"/>
        <w:spacing w:line="320" w:lineRule="exact"/>
        <w:ind w:firstLine="420" w:firstLineChars="200"/>
        <w:rPr>
          <w:rFonts w:ascii="宋体" w:hAnsi="宋体" w:eastAsia="宋体" w:cs="宋体"/>
          <w:snapToGrid/>
          <w:kern w:val="2"/>
          <w:sz w:val="21"/>
          <w:szCs w:val="21"/>
          <w:lang w:eastAsia="zh-CN"/>
        </w:rPr>
      </w:pPr>
      <w:r>
        <w:rPr>
          <w:rFonts w:hint="eastAsia" w:ascii="宋体" w:hAnsi="宋体" w:eastAsia="宋体" w:cs="宋体"/>
          <w:sz w:val="21"/>
          <w:szCs w:val="21"/>
          <w:lang w:eastAsia="zh-CN"/>
        </w:rPr>
        <w:t xml:space="preserve">e） </w:t>
      </w:r>
      <w:r>
        <w:rPr>
          <w:rFonts w:hint="eastAsia" w:ascii="宋体" w:hAnsi="宋体" w:eastAsia="宋体" w:cs="宋体"/>
          <w:snapToGrid/>
          <w:kern w:val="2"/>
          <w:sz w:val="21"/>
          <w:szCs w:val="21"/>
          <w:lang w:eastAsia="zh-CN"/>
        </w:rPr>
        <w:t>金属、木质部件无锈蚀损坏；</w:t>
      </w:r>
    </w:p>
    <w:p w14:paraId="040B5AF3">
      <w:pPr>
        <w:pStyle w:val="6"/>
        <w:spacing w:line="320" w:lineRule="exact"/>
        <w:ind w:firstLine="420" w:firstLineChars="200"/>
        <w:rPr>
          <w:rFonts w:ascii="宋体" w:hAnsi="宋体" w:eastAsia="宋体" w:cs="宋体"/>
          <w:snapToGrid/>
          <w:kern w:val="2"/>
          <w:sz w:val="21"/>
          <w:szCs w:val="21"/>
          <w:lang w:eastAsia="zh-CN"/>
        </w:rPr>
      </w:pPr>
      <w:r>
        <w:rPr>
          <w:rFonts w:hint="eastAsia" w:ascii="宋体" w:hAnsi="宋体" w:eastAsia="宋体" w:cs="宋体"/>
          <w:sz w:val="21"/>
          <w:szCs w:val="21"/>
          <w:lang w:eastAsia="zh-CN"/>
        </w:rPr>
        <w:t xml:space="preserve">f） </w:t>
      </w:r>
      <w:r>
        <w:rPr>
          <w:rFonts w:hint="eastAsia" w:ascii="宋体" w:hAnsi="宋体" w:eastAsia="宋体" w:cs="宋体"/>
          <w:snapToGrid/>
          <w:kern w:val="2"/>
          <w:sz w:val="21"/>
          <w:szCs w:val="21"/>
          <w:lang w:eastAsia="zh-CN"/>
        </w:rPr>
        <w:t xml:space="preserve">进出口道路畅通，孔口伪装及地面附属设施完好； </w:t>
      </w:r>
    </w:p>
    <w:p w14:paraId="694D6E11">
      <w:pPr>
        <w:pStyle w:val="6"/>
        <w:spacing w:line="320" w:lineRule="exact"/>
        <w:ind w:firstLine="420" w:firstLineChars="200"/>
        <w:rPr>
          <w:rFonts w:ascii="宋体" w:hAnsi="宋体" w:eastAsia="宋体" w:cs="宋体"/>
          <w:snapToGrid/>
          <w:kern w:val="2"/>
          <w:sz w:val="21"/>
          <w:szCs w:val="21"/>
          <w:lang w:eastAsia="zh-CN"/>
        </w:rPr>
      </w:pPr>
      <w:r>
        <w:rPr>
          <w:rFonts w:hint="eastAsia" w:ascii="宋体" w:hAnsi="宋体" w:eastAsia="宋体" w:cs="宋体"/>
          <w:sz w:val="21"/>
          <w:szCs w:val="21"/>
          <w:lang w:eastAsia="zh-CN"/>
        </w:rPr>
        <w:t xml:space="preserve">g） </w:t>
      </w:r>
      <w:r>
        <w:rPr>
          <w:rFonts w:hint="eastAsia" w:ascii="宋体" w:hAnsi="宋体" w:eastAsia="宋体" w:cs="宋体"/>
          <w:snapToGrid/>
          <w:kern w:val="2"/>
          <w:sz w:val="21"/>
          <w:szCs w:val="21"/>
          <w:lang w:eastAsia="zh-CN"/>
        </w:rPr>
        <w:t>防汛设施安全可靠。</w:t>
      </w:r>
    </w:p>
    <w:p w14:paraId="6C1D893C">
      <w:pPr>
        <w:pStyle w:val="6"/>
        <w:spacing w:line="320" w:lineRule="exact"/>
        <w:rPr>
          <w:rFonts w:ascii="宋体" w:hAnsi="宋体" w:eastAsia="宋体" w:cs="宋体"/>
          <w:sz w:val="24"/>
          <w:szCs w:val="24"/>
          <w:lang w:eastAsia="zh-CN"/>
        </w:rPr>
      </w:pPr>
      <w:r>
        <w:rPr>
          <w:rFonts w:hint="eastAsia" w:ascii="黑体" w:hAnsi="黑体" w:eastAsia="黑体" w:cs="黑体"/>
          <w:sz w:val="21"/>
          <w:szCs w:val="21"/>
          <w:lang w:eastAsia="zh-CN"/>
        </w:rPr>
        <w:t xml:space="preserve">4.5  </w:t>
      </w:r>
      <w:r>
        <w:rPr>
          <w:rFonts w:hint="eastAsia" w:ascii="宋体" w:hAnsi="宋体" w:eastAsia="宋体" w:cs="宋体"/>
          <w:kern w:val="2"/>
          <w:sz w:val="21"/>
          <w:szCs w:val="21"/>
          <w:lang w:eastAsia="zh-CN"/>
        </w:rPr>
        <w:t>工程平战功能转换所需设备设施及构配件应存放在平战功能转换器材储藏室，平时不使用的机电设备和滤毒设备，应定期检查和保养，确保使用性能正常。</w:t>
      </w:r>
    </w:p>
    <w:p w14:paraId="3875D1AD">
      <w:pPr>
        <w:pStyle w:val="6"/>
        <w:spacing w:line="320" w:lineRule="exact"/>
        <w:rPr>
          <w:rFonts w:ascii="宋体" w:hAnsi="宋体" w:eastAsia="宋体" w:cs="宋体"/>
          <w:snapToGrid/>
          <w:kern w:val="2"/>
          <w:sz w:val="21"/>
          <w:szCs w:val="21"/>
          <w:lang w:eastAsia="zh-CN"/>
        </w:rPr>
      </w:pPr>
      <w:r>
        <w:rPr>
          <w:rFonts w:hint="eastAsia" w:ascii="黑体" w:hAnsi="黑体" w:eastAsia="黑体" w:cs="黑体"/>
          <w:sz w:val="21"/>
          <w:szCs w:val="21"/>
          <w:lang w:eastAsia="zh-CN"/>
        </w:rPr>
        <w:t>4.6</w:t>
      </w:r>
      <w:r>
        <w:rPr>
          <w:rFonts w:hint="eastAsia" w:ascii="宋体" w:hAnsi="宋体" w:eastAsia="宋体" w:cs="宋体"/>
          <w:snapToGrid/>
          <w:color w:val="FF0000"/>
          <w:kern w:val="2"/>
          <w:sz w:val="21"/>
          <w:szCs w:val="21"/>
          <w:lang w:eastAsia="zh-CN"/>
        </w:rPr>
        <w:t xml:space="preserve">  </w:t>
      </w:r>
      <w:r>
        <w:rPr>
          <w:rFonts w:hint="eastAsia" w:ascii="宋体" w:hAnsi="宋体" w:eastAsia="宋体" w:cs="宋体"/>
          <w:snapToGrid/>
          <w:kern w:val="2"/>
          <w:sz w:val="21"/>
          <w:szCs w:val="21"/>
          <w:lang w:eastAsia="zh-CN"/>
        </w:rPr>
        <w:t>人防工程周边50米范围内不应建设生产和储存易燃易爆物品厂房、库房，100米范围内不得设置存储有害液体、重毒气体贮罐。</w:t>
      </w:r>
    </w:p>
    <w:p w14:paraId="26EBE28D">
      <w:pPr>
        <w:autoSpaceDE w:val="0"/>
        <w:autoSpaceDN w:val="0"/>
        <w:spacing w:line="320" w:lineRule="exact"/>
        <w:rPr>
          <w:rFonts w:hAnsi="宋体" w:cs="宋体"/>
          <w:kern w:val="2"/>
          <w:sz w:val="21"/>
          <w:szCs w:val="21"/>
        </w:rPr>
      </w:pPr>
      <w:r>
        <w:rPr>
          <w:rFonts w:hint="eastAsia" w:ascii="黑体" w:hAnsi="黑体" w:eastAsia="黑体" w:cs="黑体"/>
          <w:snapToGrid w:val="0"/>
          <w:sz w:val="21"/>
          <w:szCs w:val="21"/>
        </w:rPr>
        <w:t xml:space="preserve">4.7  </w:t>
      </w:r>
      <w:r>
        <w:rPr>
          <w:rFonts w:hint="eastAsia" w:hAnsi="宋体" w:cs="宋体"/>
          <w:sz w:val="21"/>
          <w:szCs w:val="21"/>
        </w:rPr>
        <w:t>人防工程内设备设施的支、吊架及连接件须牢固可靠，有松动或严重锈蚀的应及时</w:t>
      </w:r>
      <w:r>
        <w:rPr>
          <w:rFonts w:hAnsi="宋体" w:cs="宋体"/>
          <w:sz w:val="21"/>
          <w:szCs w:val="21"/>
        </w:rPr>
        <w:t>进行</w:t>
      </w:r>
      <w:r>
        <w:rPr>
          <w:rFonts w:hint="eastAsia" w:hAnsi="宋体" w:cs="宋体"/>
          <w:sz w:val="21"/>
          <w:szCs w:val="21"/>
        </w:rPr>
        <w:t>加固</w:t>
      </w:r>
      <w:r>
        <w:rPr>
          <w:rFonts w:hAnsi="宋体" w:cs="宋体"/>
          <w:sz w:val="21"/>
          <w:szCs w:val="21"/>
        </w:rPr>
        <w:t>处理</w:t>
      </w:r>
      <w:r>
        <w:rPr>
          <w:rFonts w:hint="eastAsia" w:hAnsi="宋体" w:cs="宋体"/>
          <w:sz w:val="21"/>
          <w:szCs w:val="21"/>
        </w:rPr>
        <w:t>或更换。</w:t>
      </w:r>
    </w:p>
    <w:p w14:paraId="64419131">
      <w:pPr>
        <w:spacing w:line="320" w:lineRule="exact"/>
        <w:rPr>
          <w:rFonts w:hAnsi="宋体" w:cs="宋体"/>
          <w:color w:val="FF0000"/>
          <w:sz w:val="21"/>
          <w:szCs w:val="21"/>
        </w:rPr>
      </w:pPr>
    </w:p>
    <w:p w14:paraId="54C7988F">
      <w:pPr>
        <w:spacing w:line="320" w:lineRule="exact"/>
        <w:rPr>
          <w:rFonts w:hAnsi="宋体" w:cs="宋体"/>
          <w:sz w:val="21"/>
          <w:szCs w:val="21"/>
        </w:rPr>
      </w:pPr>
    </w:p>
    <w:p w14:paraId="227DE789">
      <w:pPr>
        <w:spacing w:line="320" w:lineRule="exact"/>
        <w:rPr>
          <w:rFonts w:hAnsi="宋体" w:cs="宋体"/>
          <w:sz w:val="21"/>
          <w:szCs w:val="21"/>
        </w:rPr>
      </w:pPr>
    </w:p>
    <w:p w14:paraId="202241FC">
      <w:pPr>
        <w:spacing w:line="320" w:lineRule="exact"/>
        <w:rPr>
          <w:rFonts w:hAnsi="宋体" w:cs="宋体"/>
          <w:sz w:val="21"/>
          <w:szCs w:val="21"/>
        </w:rPr>
      </w:pPr>
    </w:p>
    <w:p w14:paraId="29A14258">
      <w:pPr>
        <w:spacing w:line="320" w:lineRule="exact"/>
        <w:rPr>
          <w:rFonts w:hAnsi="宋体" w:cs="宋体"/>
          <w:sz w:val="21"/>
          <w:szCs w:val="21"/>
        </w:rPr>
      </w:pPr>
    </w:p>
    <w:p w14:paraId="32187611">
      <w:pPr>
        <w:spacing w:line="320" w:lineRule="exact"/>
        <w:rPr>
          <w:rFonts w:hAnsi="宋体" w:cs="宋体"/>
          <w:sz w:val="21"/>
          <w:szCs w:val="21"/>
        </w:rPr>
      </w:pPr>
    </w:p>
    <w:p w14:paraId="3AE9A4E8">
      <w:pPr>
        <w:spacing w:line="320" w:lineRule="exact"/>
        <w:rPr>
          <w:rFonts w:hAnsi="宋体" w:cs="宋体"/>
          <w:sz w:val="21"/>
          <w:szCs w:val="21"/>
        </w:rPr>
      </w:pPr>
    </w:p>
    <w:p w14:paraId="28246C08">
      <w:pPr>
        <w:spacing w:line="320" w:lineRule="exact"/>
        <w:rPr>
          <w:rFonts w:hAnsi="宋体" w:cs="宋体"/>
          <w:sz w:val="21"/>
          <w:szCs w:val="21"/>
        </w:rPr>
      </w:pPr>
    </w:p>
    <w:p w14:paraId="30422220">
      <w:pPr>
        <w:spacing w:line="320" w:lineRule="exact"/>
        <w:rPr>
          <w:rFonts w:hAnsi="宋体" w:cs="宋体"/>
          <w:sz w:val="21"/>
          <w:szCs w:val="21"/>
        </w:rPr>
      </w:pPr>
    </w:p>
    <w:p w14:paraId="58C16826">
      <w:pPr>
        <w:spacing w:line="320" w:lineRule="exact"/>
        <w:rPr>
          <w:rFonts w:hAnsi="宋体" w:cs="宋体"/>
          <w:sz w:val="21"/>
          <w:szCs w:val="21"/>
        </w:rPr>
      </w:pPr>
    </w:p>
    <w:p w14:paraId="7B8F3C2E">
      <w:pPr>
        <w:spacing w:line="320" w:lineRule="exact"/>
        <w:rPr>
          <w:rFonts w:hAnsi="宋体" w:cs="宋体"/>
          <w:sz w:val="21"/>
          <w:szCs w:val="21"/>
        </w:rPr>
      </w:pPr>
    </w:p>
    <w:p w14:paraId="010AE449">
      <w:pPr>
        <w:spacing w:line="320" w:lineRule="exact"/>
        <w:rPr>
          <w:rFonts w:hAnsi="宋体" w:cs="宋体"/>
          <w:sz w:val="21"/>
          <w:szCs w:val="21"/>
        </w:rPr>
      </w:pPr>
    </w:p>
    <w:p w14:paraId="30A7FC23">
      <w:pPr>
        <w:spacing w:line="320" w:lineRule="exact"/>
        <w:rPr>
          <w:rFonts w:hAnsi="宋体" w:cs="宋体"/>
          <w:sz w:val="21"/>
          <w:szCs w:val="21"/>
        </w:rPr>
      </w:pPr>
    </w:p>
    <w:p w14:paraId="19E82375">
      <w:pPr>
        <w:spacing w:line="320" w:lineRule="exact"/>
        <w:rPr>
          <w:rFonts w:hAnsi="宋体" w:cs="宋体"/>
          <w:sz w:val="21"/>
          <w:szCs w:val="21"/>
        </w:rPr>
      </w:pPr>
    </w:p>
    <w:p w14:paraId="35A2AB6D">
      <w:pPr>
        <w:spacing w:line="320" w:lineRule="exact"/>
        <w:rPr>
          <w:rFonts w:hAnsi="宋体" w:cs="宋体"/>
          <w:sz w:val="21"/>
          <w:szCs w:val="21"/>
        </w:rPr>
      </w:pPr>
    </w:p>
    <w:p w14:paraId="4A0B3CB8">
      <w:pPr>
        <w:spacing w:line="320" w:lineRule="exact"/>
        <w:rPr>
          <w:rFonts w:hAnsi="宋体" w:cs="宋体"/>
          <w:sz w:val="21"/>
          <w:szCs w:val="21"/>
        </w:rPr>
      </w:pPr>
    </w:p>
    <w:p w14:paraId="240BFBB5">
      <w:pPr>
        <w:spacing w:line="320" w:lineRule="exact"/>
        <w:rPr>
          <w:rFonts w:hAnsi="宋体" w:cs="宋体"/>
          <w:sz w:val="21"/>
          <w:szCs w:val="21"/>
        </w:rPr>
      </w:pPr>
    </w:p>
    <w:p w14:paraId="6C2891D7">
      <w:pPr>
        <w:spacing w:line="320" w:lineRule="exact"/>
        <w:rPr>
          <w:rFonts w:hAnsi="宋体" w:cs="宋体"/>
          <w:sz w:val="21"/>
          <w:szCs w:val="21"/>
        </w:rPr>
      </w:pPr>
    </w:p>
    <w:p w14:paraId="5D757646">
      <w:pPr>
        <w:spacing w:line="320" w:lineRule="exact"/>
        <w:rPr>
          <w:rFonts w:hAnsi="宋体" w:cs="宋体"/>
          <w:sz w:val="21"/>
          <w:szCs w:val="21"/>
        </w:rPr>
      </w:pPr>
    </w:p>
    <w:p w14:paraId="1563FC0C">
      <w:pPr>
        <w:spacing w:line="320" w:lineRule="exact"/>
        <w:rPr>
          <w:rFonts w:hAnsi="宋体" w:cs="宋体"/>
          <w:sz w:val="21"/>
          <w:szCs w:val="21"/>
        </w:rPr>
      </w:pPr>
    </w:p>
    <w:p w14:paraId="3A8BA3E7">
      <w:pPr>
        <w:spacing w:line="320" w:lineRule="exact"/>
        <w:rPr>
          <w:rFonts w:hAnsi="宋体" w:cs="宋体"/>
          <w:sz w:val="21"/>
          <w:szCs w:val="21"/>
        </w:rPr>
      </w:pPr>
    </w:p>
    <w:p w14:paraId="401BFFAE">
      <w:pPr>
        <w:spacing w:line="320" w:lineRule="exact"/>
        <w:rPr>
          <w:rFonts w:hAnsi="宋体" w:cs="宋体"/>
          <w:sz w:val="21"/>
          <w:szCs w:val="21"/>
        </w:rPr>
      </w:pPr>
    </w:p>
    <w:p w14:paraId="2DE4CDF7">
      <w:pPr>
        <w:spacing w:beforeLines="50" w:afterLines="50" w:line="320" w:lineRule="exact"/>
        <w:outlineLvl w:val="0"/>
        <w:rPr>
          <w:rFonts w:ascii="仿宋" w:hAnsi="仿宋" w:eastAsia="仿宋" w:cs="仿宋"/>
          <w:sz w:val="21"/>
          <w:szCs w:val="21"/>
        </w:rPr>
      </w:pPr>
      <w:bookmarkStart w:id="19" w:name="_Toc8970"/>
      <w:r>
        <w:rPr>
          <w:rFonts w:hint="eastAsia" w:ascii="黑体" w:hAnsi="黑体" w:eastAsia="黑体" w:cs="黑体"/>
          <w:sz w:val="21"/>
          <w:szCs w:val="21"/>
        </w:rPr>
        <w:t>5  安全使用</w:t>
      </w:r>
      <w:bookmarkEnd w:id="19"/>
    </w:p>
    <w:p w14:paraId="55C5008D">
      <w:pPr>
        <w:spacing w:beforeLines="50" w:afterLines="50" w:line="320" w:lineRule="exact"/>
        <w:outlineLvl w:val="1"/>
        <w:rPr>
          <w:rFonts w:ascii="黑体" w:hAnsi="黑体" w:eastAsia="黑体" w:cs="黑体"/>
          <w:sz w:val="21"/>
          <w:szCs w:val="21"/>
        </w:rPr>
      </w:pPr>
      <w:bookmarkStart w:id="20" w:name="_Toc7938"/>
      <w:r>
        <w:rPr>
          <w:rFonts w:hint="eastAsia" w:ascii="黑体" w:hAnsi="黑体" w:eastAsia="黑体" w:cs="黑体"/>
          <w:sz w:val="21"/>
          <w:szCs w:val="21"/>
        </w:rPr>
        <w:t>5.1  土建工程</w:t>
      </w:r>
      <w:bookmarkEnd w:id="20"/>
    </w:p>
    <w:p w14:paraId="4D0A890E">
      <w:pPr>
        <w:spacing w:beforeLines="50" w:afterLines="50" w:line="320" w:lineRule="exact"/>
        <w:outlineLvl w:val="2"/>
        <w:rPr>
          <w:rFonts w:ascii="黑体" w:hAnsi="黑体" w:eastAsia="黑体" w:cs="黑体"/>
          <w:sz w:val="21"/>
          <w:szCs w:val="21"/>
        </w:rPr>
      </w:pPr>
      <w:r>
        <w:rPr>
          <w:rFonts w:hint="eastAsia" w:ascii="黑体" w:hAnsi="黑体" w:eastAsia="黑体" w:cs="黑体"/>
          <w:sz w:val="21"/>
          <w:szCs w:val="21"/>
        </w:rPr>
        <w:t>5.1.1  一般规定</w:t>
      </w:r>
    </w:p>
    <w:p w14:paraId="4F1F9422">
      <w:pPr>
        <w:autoSpaceDE w:val="0"/>
        <w:autoSpaceDN w:val="0"/>
        <w:adjustRightInd w:val="0"/>
        <w:spacing w:line="320" w:lineRule="exact"/>
        <w:jc w:val="left"/>
        <w:rPr>
          <w:rFonts w:hAnsi="宋体" w:cs="宋体"/>
          <w:sz w:val="21"/>
          <w:szCs w:val="21"/>
        </w:rPr>
      </w:pPr>
      <w:r>
        <w:rPr>
          <w:rFonts w:hint="eastAsia" w:ascii="黑体" w:hAnsi="黑体" w:eastAsia="黑体" w:cs="黑体"/>
          <w:sz w:val="21"/>
          <w:szCs w:val="21"/>
        </w:rPr>
        <w:t xml:space="preserve">5.1.1.1  </w:t>
      </w:r>
      <w:r>
        <w:rPr>
          <w:rFonts w:hint="eastAsia" w:hAnsi="宋体" w:cs="宋体"/>
          <w:sz w:val="21"/>
          <w:szCs w:val="21"/>
        </w:rPr>
        <w:t>人防工程应保持建筑功能完善、结构构件完好，通道通畅，设备设施状态良好。</w:t>
      </w:r>
    </w:p>
    <w:p w14:paraId="5606080F">
      <w:pPr>
        <w:autoSpaceDE w:val="0"/>
        <w:autoSpaceDN w:val="0"/>
        <w:adjustRightInd w:val="0"/>
        <w:spacing w:line="320" w:lineRule="exact"/>
        <w:jc w:val="left"/>
        <w:rPr>
          <w:rFonts w:hAnsi="宋体" w:cs="宋体"/>
          <w:color w:val="auto"/>
          <w:sz w:val="21"/>
          <w:szCs w:val="21"/>
        </w:rPr>
      </w:pPr>
      <w:r>
        <w:rPr>
          <w:rFonts w:hint="eastAsia" w:ascii="黑体" w:hAnsi="黑体" w:eastAsia="黑体" w:cs="黑体"/>
          <w:sz w:val="21"/>
          <w:szCs w:val="21"/>
        </w:rPr>
        <w:t xml:space="preserve">5.1.1.2  </w:t>
      </w:r>
      <w:r>
        <w:rPr>
          <w:rFonts w:hint="eastAsia" w:hAnsi="宋体" w:cs="宋体"/>
          <w:sz w:val="21"/>
          <w:szCs w:val="21"/>
        </w:rPr>
        <w:t>人防工程结构应按设计用途使用,并应定期检查结构状况﹐严禁下列影响结构使用安全的行为:</w:t>
      </w:r>
    </w:p>
    <w:p w14:paraId="1EF52201">
      <w:pPr>
        <w:pStyle w:val="13"/>
        <w:widowControl/>
        <w:spacing w:before="0" w:beforeAutospacing="0" w:after="0" w:afterAutospacing="0" w:line="320" w:lineRule="exact"/>
        <w:ind w:firstLine="420" w:firstLineChars="200"/>
        <w:rPr>
          <w:rFonts w:hAnsi="宋体" w:cs="宋体"/>
          <w:color w:val="auto"/>
          <w:kern w:val="2"/>
          <w:sz w:val="21"/>
          <w:szCs w:val="21"/>
        </w:rPr>
      </w:pPr>
      <w:r>
        <w:rPr>
          <w:rFonts w:hint="eastAsia" w:hAnsi="宋体" w:cs="宋体"/>
          <w:color w:val="auto"/>
          <w:kern w:val="2"/>
          <w:sz w:val="21"/>
          <w:szCs w:val="21"/>
        </w:rPr>
        <w:t>a） 未经技术鉴定或设计许可，改变结构的用途和使用环境；</w:t>
      </w:r>
    </w:p>
    <w:p w14:paraId="4A350277">
      <w:pPr>
        <w:pStyle w:val="13"/>
        <w:widowControl/>
        <w:spacing w:before="0" w:beforeAutospacing="0" w:after="0" w:afterAutospacing="0" w:line="320" w:lineRule="exact"/>
        <w:ind w:firstLine="420" w:firstLineChars="200"/>
        <w:rPr>
          <w:rFonts w:hAnsi="宋体" w:cs="宋体"/>
          <w:color w:val="auto"/>
          <w:kern w:val="2"/>
          <w:sz w:val="21"/>
          <w:szCs w:val="21"/>
        </w:rPr>
      </w:pPr>
      <w:r>
        <w:rPr>
          <w:rFonts w:hint="eastAsia" w:hAnsi="宋体" w:cs="宋体"/>
          <w:color w:val="auto"/>
          <w:kern w:val="2"/>
          <w:sz w:val="21"/>
          <w:szCs w:val="21"/>
        </w:rPr>
        <w:t>b） 擅自增加结构使用荷载；</w:t>
      </w:r>
    </w:p>
    <w:p w14:paraId="1CC3F567">
      <w:pPr>
        <w:widowControl/>
        <w:spacing w:line="320" w:lineRule="exact"/>
        <w:ind w:firstLine="420" w:firstLineChars="200"/>
        <w:jc w:val="left"/>
        <w:rPr>
          <w:rFonts w:hAnsi="宋体" w:cs="宋体"/>
          <w:sz w:val="21"/>
          <w:szCs w:val="21"/>
        </w:rPr>
      </w:pPr>
      <w:r>
        <w:rPr>
          <w:rFonts w:hint="eastAsia" w:hAnsi="宋体" w:cs="宋体"/>
          <w:kern w:val="2"/>
          <w:sz w:val="21"/>
          <w:szCs w:val="21"/>
        </w:rPr>
        <w:t>c） 擅自改变原抗浮措施。</w:t>
      </w:r>
    </w:p>
    <w:p w14:paraId="4C4AD15D">
      <w:pPr>
        <w:autoSpaceDE w:val="0"/>
        <w:autoSpaceDN w:val="0"/>
        <w:adjustRightInd w:val="0"/>
        <w:spacing w:line="320" w:lineRule="exact"/>
        <w:jc w:val="left"/>
        <w:rPr>
          <w:rFonts w:hAnsi="宋体" w:cs="宋体"/>
          <w:strike/>
          <w:color w:val="FF0000"/>
          <w:sz w:val="21"/>
          <w:szCs w:val="21"/>
        </w:rPr>
      </w:pPr>
      <w:r>
        <w:rPr>
          <w:rFonts w:hint="eastAsia" w:ascii="黑体" w:hAnsi="黑体" w:eastAsia="黑体" w:cs="黑体"/>
          <w:sz w:val="21"/>
          <w:szCs w:val="21"/>
        </w:rPr>
        <w:t xml:space="preserve">5.1.1.3  </w:t>
      </w:r>
      <w:r>
        <w:rPr>
          <w:rFonts w:hint="eastAsia" w:hAnsi="宋体" w:cs="宋体"/>
          <w:sz w:val="21"/>
          <w:szCs w:val="21"/>
        </w:rPr>
        <w:t>人防工程混凝土表面有侵蚀、风化、疏松、脱落、掉角等损坏，混凝土结构有露筋、裂缝等情况时，应根据损伤情况和现行国家标准《既有建筑鉴定与加固通用规范》GB55021相关规定进行调查、检测和鉴定。经鉴定需加固的人防工程，应按上述规范规定的程序进行加固；当结构安全无影响时，可制定针对性的修补方案进行处理。</w:t>
      </w:r>
    </w:p>
    <w:p w14:paraId="31BB6F11">
      <w:pPr>
        <w:autoSpaceDE w:val="0"/>
        <w:autoSpaceDN w:val="0"/>
        <w:adjustRightInd w:val="0"/>
        <w:spacing w:line="320" w:lineRule="exact"/>
        <w:jc w:val="left"/>
        <w:rPr>
          <w:rFonts w:hAnsi="宋体" w:cs="宋体"/>
          <w:color w:val="auto"/>
          <w:sz w:val="21"/>
          <w:szCs w:val="21"/>
        </w:rPr>
      </w:pPr>
      <w:r>
        <w:rPr>
          <w:rFonts w:hint="eastAsia" w:ascii="黑体" w:hAnsi="黑体" w:eastAsia="黑体" w:cs="黑体"/>
          <w:sz w:val="21"/>
          <w:szCs w:val="21"/>
        </w:rPr>
        <w:t xml:space="preserve">5.1.1.4  </w:t>
      </w:r>
      <w:r>
        <w:rPr>
          <w:rFonts w:hint="eastAsia" w:hAnsi="宋体" w:cs="宋体"/>
          <w:sz w:val="21"/>
          <w:szCs w:val="21"/>
        </w:rPr>
        <w:t>人防工程承重构件和防护结构不得任意开孔。若必须开孔，必须征得人防主管部门同意，经专业机构进行设计、施工，完成后相关资料提交人防主管部门备案。</w:t>
      </w:r>
    </w:p>
    <w:p w14:paraId="04A2B3B6">
      <w:pPr>
        <w:autoSpaceDE w:val="0"/>
        <w:autoSpaceDN w:val="0"/>
        <w:adjustRightInd w:val="0"/>
        <w:spacing w:line="320" w:lineRule="exact"/>
        <w:jc w:val="left"/>
        <w:rPr>
          <w:rFonts w:hAnsi="宋体" w:cs="宋体"/>
          <w:sz w:val="21"/>
          <w:szCs w:val="21"/>
        </w:rPr>
      </w:pPr>
      <w:r>
        <w:rPr>
          <w:rFonts w:hint="eastAsia" w:ascii="黑体" w:hAnsi="黑体" w:eastAsia="黑体" w:cs="黑体"/>
          <w:sz w:val="21"/>
          <w:szCs w:val="21"/>
        </w:rPr>
        <w:t xml:space="preserve">5.1.1.5  </w:t>
      </w:r>
      <w:r>
        <w:rPr>
          <w:rFonts w:hint="eastAsia" w:hAnsi="宋体" w:cs="宋体"/>
          <w:sz w:val="21"/>
          <w:szCs w:val="21"/>
        </w:rPr>
        <w:t>人防工程各类标识标牌应种类齐全，字体清晰，位置正确，且不应被遮挡、涂改和损毁,安装（打孔）时应当避开各类管线。</w:t>
      </w:r>
    </w:p>
    <w:p w14:paraId="7415E2D3">
      <w:pPr>
        <w:spacing w:beforeLines="50" w:afterLines="50" w:line="320" w:lineRule="exact"/>
        <w:outlineLvl w:val="2"/>
        <w:rPr>
          <w:rFonts w:ascii="黑体" w:hAnsi="黑体" w:eastAsia="黑体" w:cs="黑体"/>
          <w:sz w:val="21"/>
          <w:szCs w:val="21"/>
        </w:rPr>
      </w:pPr>
      <w:r>
        <w:rPr>
          <w:rFonts w:hint="eastAsia" w:ascii="黑体" w:hAnsi="黑体" w:eastAsia="黑体" w:cs="黑体"/>
          <w:sz w:val="21"/>
          <w:szCs w:val="21"/>
        </w:rPr>
        <w:t>5.1.2  孔口安全</w:t>
      </w:r>
    </w:p>
    <w:p w14:paraId="7617A58A">
      <w:pPr>
        <w:autoSpaceDE w:val="0"/>
        <w:autoSpaceDN w:val="0"/>
        <w:adjustRightInd w:val="0"/>
        <w:spacing w:line="320" w:lineRule="exact"/>
        <w:jc w:val="left"/>
        <w:rPr>
          <w:rFonts w:hAnsi="宋体" w:cs="宋体"/>
          <w:color w:val="FF0000"/>
          <w:sz w:val="21"/>
          <w:szCs w:val="21"/>
        </w:rPr>
      </w:pPr>
      <w:r>
        <w:rPr>
          <w:rFonts w:hint="eastAsia" w:ascii="黑体" w:hAnsi="黑体" w:eastAsia="黑体" w:cs="黑体"/>
          <w:sz w:val="21"/>
          <w:szCs w:val="21"/>
        </w:rPr>
        <w:t xml:space="preserve">5.1.2.1  </w:t>
      </w:r>
      <w:r>
        <w:rPr>
          <w:rFonts w:hint="eastAsia" w:hAnsi="宋体" w:cs="宋体"/>
          <w:color w:val="auto"/>
          <w:sz w:val="21"/>
          <w:szCs w:val="21"/>
        </w:rPr>
        <w:t>人防工程出入口、通风竖井、排烟竖井等各种外露孔口及其围护构件应保持完好，并做好必要的截水、挡水及排水等防止涌水、倒灌措施，有坠落风险的孔口应设置防坠落设施及警告标识。</w:t>
      </w:r>
    </w:p>
    <w:p w14:paraId="7015E110">
      <w:pPr>
        <w:autoSpaceDE w:val="0"/>
        <w:autoSpaceDN w:val="0"/>
        <w:adjustRightInd w:val="0"/>
        <w:spacing w:line="320" w:lineRule="exact"/>
        <w:jc w:val="left"/>
        <w:rPr>
          <w:rFonts w:hAnsi="宋体" w:cs="宋体"/>
          <w:sz w:val="21"/>
          <w:szCs w:val="21"/>
        </w:rPr>
      </w:pPr>
      <w:r>
        <w:rPr>
          <w:rFonts w:hint="eastAsia" w:ascii="黑体" w:hAnsi="黑体" w:eastAsia="黑体" w:cs="黑体"/>
          <w:sz w:val="21"/>
          <w:szCs w:val="21"/>
        </w:rPr>
        <w:t>5.1.</w:t>
      </w:r>
      <w:r>
        <w:rPr>
          <w:rFonts w:ascii="黑体" w:hAnsi="黑体" w:eastAsia="黑体" w:cs="黑体"/>
          <w:sz w:val="21"/>
          <w:szCs w:val="21"/>
        </w:rPr>
        <w:t>2</w:t>
      </w:r>
      <w:r>
        <w:rPr>
          <w:rFonts w:hint="eastAsia" w:ascii="黑体" w:hAnsi="黑体" w:eastAsia="黑体" w:cs="黑体"/>
          <w:sz w:val="21"/>
          <w:szCs w:val="21"/>
        </w:rPr>
        <w:t xml:space="preserve">.2  </w:t>
      </w:r>
      <w:r>
        <w:rPr>
          <w:rFonts w:hint="eastAsia" w:hAnsi="宋体" w:cs="宋体"/>
          <w:sz w:val="21"/>
          <w:szCs w:val="21"/>
        </w:rPr>
        <w:t>平时使用的出入口通道不得被占用，地面应平整，疏散通道内不得有影响通行</w:t>
      </w:r>
      <w:r>
        <w:rPr>
          <w:rFonts w:hint="eastAsia" w:hAnsi="宋体" w:cs="宋体"/>
          <w:color w:val="auto"/>
          <w:sz w:val="21"/>
          <w:szCs w:val="21"/>
        </w:rPr>
        <w:t>的障碍物。</w:t>
      </w:r>
    </w:p>
    <w:p w14:paraId="0639E415">
      <w:pPr>
        <w:autoSpaceDE w:val="0"/>
        <w:autoSpaceDN w:val="0"/>
        <w:adjustRightInd w:val="0"/>
        <w:spacing w:line="320" w:lineRule="exact"/>
        <w:jc w:val="left"/>
        <w:rPr>
          <w:rFonts w:hAnsi="宋体" w:cs="宋体"/>
          <w:sz w:val="21"/>
          <w:szCs w:val="21"/>
        </w:rPr>
      </w:pPr>
      <w:r>
        <w:rPr>
          <w:rFonts w:hint="eastAsia" w:ascii="黑体" w:hAnsi="黑体" w:eastAsia="黑体" w:cs="黑体"/>
          <w:sz w:val="21"/>
          <w:szCs w:val="21"/>
        </w:rPr>
        <w:t>5.1.</w:t>
      </w:r>
      <w:r>
        <w:rPr>
          <w:rFonts w:ascii="黑体" w:hAnsi="黑体" w:eastAsia="黑体" w:cs="黑体"/>
          <w:sz w:val="21"/>
          <w:szCs w:val="21"/>
        </w:rPr>
        <w:t>2</w:t>
      </w:r>
      <w:r>
        <w:rPr>
          <w:rFonts w:hint="eastAsia" w:ascii="黑体" w:hAnsi="黑体" w:eastAsia="黑体" w:cs="黑体"/>
          <w:sz w:val="21"/>
          <w:szCs w:val="21"/>
        </w:rPr>
        <w:t xml:space="preserve">.3  </w:t>
      </w:r>
      <w:r>
        <w:rPr>
          <w:rFonts w:hint="eastAsia" w:hAnsi="宋体" w:cs="宋体"/>
          <w:sz w:val="21"/>
          <w:szCs w:val="21"/>
        </w:rPr>
        <w:t>人防工程建筑风道（井）、管沟内应保持通畅、干燥、无杂物，沟、坑盖板应完好、平整，如有破损、变形应及时修补或更换。</w:t>
      </w:r>
    </w:p>
    <w:p w14:paraId="1984830B">
      <w:pPr>
        <w:autoSpaceDE w:val="0"/>
        <w:autoSpaceDN w:val="0"/>
        <w:adjustRightInd w:val="0"/>
        <w:spacing w:line="320" w:lineRule="exact"/>
        <w:jc w:val="left"/>
        <w:rPr>
          <w:rFonts w:hAnsi="宋体" w:cs="宋体"/>
          <w:sz w:val="21"/>
          <w:szCs w:val="21"/>
        </w:rPr>
      </w:pPr>
      <w:r>
        <w:rPr>
          <w:rFonts w:hint="eastAsia" w:ascii="黑体" w:hAnsi="宋体" w:eastAsia="黑体" w:cs="黑体"/>
          <w:sz w:val="21"/>
          <w:szCs w:val="21"/>
        </w:rPr>
        <w:t>5.1.</w:t>
      </w:r>
      <w:r>
        <w:rPr>
          <w:rFonts w:ascii="黑体" w:hAnsi="宋体" w:eastAsia="黑体" w:cs="黑体"/>
          <w:sz w:val="21"/>
          <w:szCs w:val="21"/>
        </w:rPr>
        <w:t>2</w:t>
      </w:r>
      <w:r>
        <w:rPr>
          <w:rFonts w:hint="eastAsia" w:ascii="黑体" w:hAnsi="宋体" w:eastAsia="黑体" w:cs="黑体"/>
          <w:sz w:val="21"/>
          <w:szCs w:val="21"/>
        </w:rPr>
        <w:t xml:space="preserve">.4  </w:t>
      </w:r>
      <w:r>
        <w:rPr>
          <w:rFonts w:hint="eastAsia" w:hAnsi="宋体" w:cs="宋体"/>
          <w:sz w:val="21"/>
          <w:szCs w:val="21"/>
        </w:rPr>
        <w:t>不出地面的防爆波电缆井、</w:t>
      </w:r>
      <w:r>
        <w:rPr>
          <w:rFonts w:hint="eastAsia" w:hAnsi="宋体" w:cs="宋体"/>
          <w:color w:val="auto"/>
          <w:sz w:val="21"/>
          <w:szCs w:val="21"/>
        </w:rPr>
        <w:t>油管接头井井盖、封堵盖板等应在地面相应位置范围清理杂物、做好标识。应定期检查，一旦破坏，须按原封闭方式进行封闭。</w:t>
      </w:r>
    </w:p>
    <w:p w14:paraId="71D19177">
      <w:pPr>
        <w:spacing w:beforeLines="50" w:afterLines="50" w:line="320" w:lineRule="exact"/>
        <w:outlineLvl w:val="2"/>
        <w:rPr>
          <w:rFonts w:ascii="黑体" w:hAnsi="黑体" w:eastAsia="黑体" w:cs="黑体"/>
          <w:sz w:val="21"/>
          <w:szCs w:val="21"/>
        </w:rPr>
      </w:pPr>
      <w:r>
        <w:rPr>
          <w:rFonts w:hint="eastAsia" w:ascii="黑体" w:hAnsi="黑体" w:eastAsia="黑体" w:cs="黑体"/>
          <w:sz w:val="21"/>
          <w:szCs w:val="21"/>
        </w:rPr>
        <w:t xml:space="preserve">5.1.3  </w:t>
      </w:r>
      <w:r>
        <w:rPr>
          <w:rFonts w:hint="eastAsia" w:ascii="黑体" w:hAnsi="宋体" w:eastAsia="黑体" w:cs="黑体"/>
          <w:sz w:val="21"/>
          <w:szCs w:val="21"/>
        </w:rPr>
        <w:t>防护设备设施</w:t>
      </w:r>
    </w:p>
    <w:p w14:paraId="09859648">
      <w:pPr>
        <w:autoSpaceDE w:val="0"/>
        <w:autoSpaceDN w:val="0"/>
        <w:adjustRightInd w:val="0"/>
        <w:spacing w:line="320" w:lineRule="exact"/>
        <w:jc w:val="left"/>
        <w:rPr>
          <w:rFonts w:hAnsi="宋体" w:cs="宋体"/>
          <w:strike/>
          <w:color w:val="auto"/>
          <w:sz w:val="21"/>
          <w:szCs w:val="21"/>
        </w:rPr>
      </w:pPr>
      <w:r>
        <w:rPr>
          <w:rFonts w:hint="eastAsia" w:ascii="黑体" w:hAnsi="黑体" w:eastAsia="黑体" w:cs="黑体"/>
          <w:color w:val="auto"/>
          <w:sz w:val="21"/>
          <w:szCs w:val="21"/>
        </w:rPr>
        <w:t xml:space="preserve">5.1.3.1  </w:t>
      </w:r>
      <w:r>
        <w:rPr>
          <w:rFonts w:hint="eastAsia" w:hAnsi="宋体" w:cs="宋体"/>
          <w:sz w:val="21"/>
          <w:szCs w:val="21"/>
        </w:rPr>
        <w:t>人防防护密闭门、密闭门、防爆波活门、封堵板、</w:t>
      </w:r>
      <w:r>
        <w:rPr>
          <w:rFonts w:hint="eastAsia" w:hAnsi="宋体" w:cs="宋体"/>
          <w:color w:val="auto"/>
          <w:sz w:val="21"/>
          <w:szCs w:val="21"/>
        </w:rPr>
        <w:t>防爆地漏</w:t>
      </w:r>
      <w:r>
        <w:rPr>
          <w:rFonts w:hint="eastAsia" w:hAnsi="宋体" w:cs="宋体"/>
          <w:sz w:val="21"/>
          <w:szCs w:val="21"/>
        </w:rPr>
        <w:t>以及各类管线套管等人防防护设备设施应加强维护保养工作，确保平时安全使用及战时防护效能。</w:t>
      </w:r>
    </w:p>
    <w:p w14:paraId="7510FDFB">
      <w:pPr>
        <w:autoSpaceDE w:val="0"/>
        <w:autoSpaceDN w:val="0"/>
        <w:adjustRightInd w:val="0"/>
        <w:spacing w:line="320" w:lineRule="exact"/>
        <w:jc w:val="left"/>
        <w:rPr>
          <w:rFonts w:hAnsi="宋体" w:cs="宋体"/>
          <w:sz w:val="21"/>
          <w:szCs w:val="21"/>
        </w:rPr>
      </w:pPr>
      <w:r>
        <w:rPr>
          <w:rFonts w:hint="eastAsia" w:ascii="黑体" w:hAnsi="黑体" w:eastAsia="黑体" w:cs="黑体"/>
          <w:color w:val="auto"/>
          <w:sz w:val="21"/>
          <w:szCs w:val="21"/>
        </w:rPr>
        <w:t xml:space="preserve">5.1.3.2  </w:t>
      </w:r>
      <w:r>
        <w:rPr>
          <w:rFonts w:hint="eastAsia" w:hAnsi="宋体" w:cs="宋体"/>
          <w:sz w:val="21"/>
          <w:szCs w:val="21"/>
        </w:rPr>
        <w:t>平时处于开启状态的防护密闭门、密闭门、防爆波活门等，应采用安全可靠的固定措施，防止门扇因自开、自关引发磕碰、阻碍疏散等安全隐患。</w:t>
      </w:r>
    </w:p>
    <w:p w14:paraId="537AE370">
      <w:pPr>
        <w:autoSpaceDE w:val="0"/>
        <w:autoSpaceDN w:val="0"/>
        <w:adjustRightInd w:val="0"/>
        <w:spacing w:line="320" w:lineRule="exact"/>
        <w:jc w:val="left"/>
        <w:rPr>
          <w:rFonts w:hAnsi="宋体" w:cs="宋体"/>
          <w:color w:val="FF0000"/>
          <w:sz w:val="21"/>
          <w:szCs w:val="21"/>
        </w:rPr>
      </w:pPr>
      <w:r>
        <w:rPr>
          <w:rFonts w:hint="eastAsia" w:ascii="黑体" w:hAnsi="黑体" w:eastAsia="黑体" w:cs="黑体"/>
          <w:color w:val="auto"/>
          <w:sz w:val="21"/>
          <w:szCs w:val="21"/>
        </w:rPr>
        <w:t xml:space="preserve">5.1.3.3  </w:t>
      </w:r>
      <w:r>
        <w:rPr>
          <w:rFonts w:hint="eastAsia" w:hAnsi="宋体" w:cs="宋体"/>
          <w:color w:val="auto"/>
          <w:sz w:val="21"/>
          <w:szCs w:val="21"/>
        </w:rPr>
        <w:t>防护密闭门、密闭门长期处于开启或关闭状态时，应用千斤顶支撑或用楔形硬木垫托门扇下部，以防门轴长期局部受力产生疲劳下垂变形。</w:t>
      </w:r>
    </w:p>
    <w:p w14:paraId="0F9EBCA0">
      <w:pPr>
        <w:autoSpaceDE w:val="0"/>
        <w:autoSpaceDN w:val="0"/>
        <w:adjustRightInd w:val="0"/>
        <w:spacing w:line="320" w:lineRule="exact"/>
        <w:jc w:val="left"/>
        <w:rPr>
          <w:rFonts w:hAnsi="宋体" w:cs="宋体"/>
          <w:color w:val="auto"/>
          <w:sz w:val="21"/>
          <w:szCs w:val="21"/>
        </w:rPr>
      </w:pPr>
      <w:r>
        <w:rPr>
          <w:rFonts w:hint="eastAsia" w:ascii="黑体" w:hAnsi="黑体" w:eastAsia="黑体" w:cs="黑体"/>
          <w:color w:val="auto"/>
          <w:sz w:val="21"/>
          <w:szCs w:val="21"/>
        </w:rPr>
        <w:t xml:space="preserve">5.1.3.4  </w:t>
      </w:r>
      <w:r>
        <w:rPr>
          <w:rFonts w:hint="eastAsia" w:hAnsi="宋体" w:cs="宋体"/>
          <w:sz w:val="21"/>
          <w:szCs w:val="21"/>
        </w:rPr>
        <w:t>平时购置到位临战安装的</w:t>
      </w:r>
      <w:r>
        <w:rPr>
          <w:rFonts w:hint="eastAsia" w:hAnsi="宋体" w:cs="宋体"/>
          <w:color w:val="auto"/>
          <w:sz w:val="21"/>
          <w:szCs w:val="21"/>
        </w:rPr>
        <w:t>防护密闭</w:t>
      </w:r>
      <w:r>
        <w:rPr>
          <w:rFonts w:hint="eastAsia" w:hAnsi="宋体" w:cs="宋体"/>
          <w:sz w:val="21"/>
          <w:szCs w:val="21"/>
        </w:rPr>
        <w:t>封堵板、防倒塌棚架等防护设施应指定地点妥善存放，不得随意摆放。</w:t>
      </w:r>
    </w:p>
    <w:p w14:paraId="623EEEDD">
      <w:pPr>
        <w:spacing w:beforeLines="50" w:afterLines="50" w:line="320" w:lineRule="exact"/>
        <w:outlineLvl w:val="2"/>
        <w:rPr>
          <w:rFonts w:ascii="黑体" w:hAnsi="黑体" w:eastAsia="黑体" w:cs="黑体"/>
          <w:color w:val="FF0000"/>
          <w:sz w:val="21"/>
          <w:szCs w:val="21"/>
        </w:rPr>
      </w:pPr>
      <w:r>
        <w:rPr>
          <w:rFonts w:hint="eastAsia" w:ascii="黑体" w:hAnsi="黑体" w:eastAsia="黑体" w:cs="黑体"/>
          <w:color w:val="auto"/>
          <w:sz w:val="21"/>
          <w:szCs w:val="21"/>
        </w:rPr>
        <w:t>5.1.4  建筑防火</w:t>
      </w:r>
    </w:p>
    <w:p w14:paraId="3495FDD5">
      <w:pPr>
        <w:autoSpaceDE w:val="0"/>
        <w:autoSpaceDN w:val="0"/>
        <w:adjustRightInd w:val="0"/>
        <w:spacing w:line="320" w:lineRule="exact"/>
        <w:jc w:val="left"/>
        <w:rPr>
          <w:rFonts w:hAnsi="宋体" w:cs="宋体"/>
          <w:color w:val="auto"/>
          <w:sz w:val="21"/>
          <w:szCs w:val="21"/>
        </w:rPr>
      </w:pPr>
      <w:r>
        <w:rPr>
          <w:rFonts w:hint="eastAsia" w:ascii="黑体" w:hAnsi="黑体" w:eastAsia="黑体" w:cs="黑体"/>
          <w:color w:val="auto"/>
          <w:sz w:val="21"/>
          <w:szCs w:val="21"/>
        </w:rPr>
        <w:t xml:space="preserve">5.1.4.1  </w:t>
      </w:r>
      <w:r>
        <w:rPr>
          <w:rFonts w:hint="eastAsia" w:hAnsi="宋体" w:cs="宋体"/>
          <w:sz w:val="21"/>
          <w:szCs w:val="21"/>
        </w:rPr>
        <w:t>不得擅自改变原有人防工程平面布局和防火、防烟分区的划分。当确</w:t>
      </w:r>
      <w:r>
        <w:rPr>
          <w:rFonts w:hint="eastAsia" w:hAnsi="宋体" w:cs="宋体"/>
          <w:color w:val="auto"/>
          <w:sz w:val="21"/>
          <w:szCs w:val="21"/>
        </w:rPr>
        <w:t>需</w:t>
      </w:r>
      <w:r>
        <w:rPr>
          <w:rFonts w:hint="eastAsia" w:hAnsi="宋体" w:cs="宋体"/>
          <w:sz w:val="21"/>
          <w:szCs w:val="21"/>
        </w:rPr>
        <w:t>改变时，应</w:t>
      </w:r>
      <w:r>
        <w:rPr>
          <w:rFonts w:hint="eastAsia" w:hAnsi="宋体" w:cs="宋体"/>
          <w:color w:val="auto"/>
          <w:sz w:val="21"/>
          <w:szCs w:val="21"/>
        </w:rPr>
        <w:t>采取可靠</w:t>
      </w:r>
      <w:r>
        <w:rPr>
          <w:rFonts w:hint="eastAsia" w:hAnsi="宋体" w:cs="宋体"/>
          <w:sz w:val="21"/>
          <w:szCs w:val="21"/>
        </w:rPr>
        <w:t>的专业改造</w:t>
      </w:r>
      <w:r>
        <w:rPr>
          <w:rFonts w:hint="eastAsia" w:hAnsi="宋体" w:cs="宋体"/>
          <w:color w:val="auto"/>
          <w:sz w:val="21"/>
          <w:szCs w:val="21"/>
        </w:rPr>
        <w:t>设计</w:t>
      </w:r>
      <w:r>
        <w:rPr>
          <w:rFonts w:hint="eastAsia" w:hAnsi="宋体" w:cs="宋体"/>
          <w:sz w:val="21"/>
          <w:szCs w:val="21"/>
        </w:rPr>
        <w:t>，并报送相关部门进行消防审查。</w:t>
      </w:r>
    </w:p>
    <w:p w14:paraId="573A9ED5">
      <w:pPr>
        <w:autoSpaceDE w:val="0"/>
        <w:autoSpaceDN w:val="0"/>
        <w:adjustRightInd w:val="0"/>
        <w:spacing w:line="320" w:lineRule="exact"/>
        <w:jc w:val="left"/>
        <w:rPr>
          <w:rFonts w:hAnsi="宋体" w:cs="宋体"/>
          <w:color w:val="auto"/>
          <w:sz w:val="21"/>
          <w:szCs w:val="21"/>
        </w:rPr>
      </w:pPr>
      <w:r>
        <w:rPr>
          <w:rFonts w:hint="eastAsia" w:ascii="黑体" w:hAnsi="黑体" w:eastAsia="黑体" w:cs="黑体"/>
          <w:color w:val="auto"/>
          <w:sz w:val="21"/>
          <w:szCs w:val="21"/>
        </w:rPr>
        <w:t xml:space="preserve">5.1.4.2  </w:t>
      </w:r>
      <w:r>
        <w:rPr>
          <w:rFonts w:hint="eastAsia" w:hAnsi="宋体" w:cs="宋体"/>
          <w:sz w:val="21"/>
          <w:szCs w:val="21"/>
        </w:rPr>
        <w:t>人防工程不得生产、存放和经营火灾危险性为甲、乙类的物品。</w:t>
      </w:r>
    </w:p>
    <w:p w14:paraId="6A12EF34">
      <w:pPr>
        <w:autoSpaceDE w:val="0"/>
        <w:autoSpaceDN w:val="0"/>
        <w:adjustRightInd w:val="0"/>
        <w:spacing w:line="320" w:lineRule="exact"/>
        <w:jc w:val="left"/>
        <w:rPr>
          <w:rFonts w:hAnsi="宋体" w:cs="宋体"/>
          <w:color w:val="auto"/>
          <w:sz w:val="21"/>
          <w:szCs w:val="21"/>
        </w:rPr>
      </w:pPr>
      <w:r>
        <w:rPr>
          <w:rFonts w:hint="eastAsia" w:ascii="黑体" w:hAnsi="黑体" w:eastAsia="黑体" w:cs="黑体"/>
          <w:color w:val="auto"/>
          <w:sz w:val="21"/>
          <w:szCs w:val="21"/>
        </w:rPr>
        <w:t xml:space="preserve">5.1.4.3  </w:t>
      </w:r>
      <w:r>
        <w:rPr>
          <w:rFonts w:hint="eastAsia" w:hAnsi="宋体" w:cs="宋体"/>
          <w:sz w:val="21"/>
          <w:szCs w:val="21"/>
        </w:rPr>
        <w:t>人防工程平时应确保防火分隔、安全疏散、消防器材等各类消防设备设施完善，当发现有损坏或缺失影响消防安全时，应及时维修更换。</w:t>
      </w:r>
    </w:p>
    <w:p w14:paraId="3F118277">
      <w:pPr>
        <w:autoSpaceDE w:val="0"/>
        <w:autoSpaceDN w:val="0"/>
        <w:adjustRightInd w:val="0"/>
        <w:spacing w:line="320" w:lineRule="exact"/>
        <w:jc w:val="left"/>
        <w:rPr>
          <w:rFonts w:hAnsi="宋体" w:cs="宋体"/>
          <w:color w:val="FF0000"/>
          <w:sz w:val="21"/>
          <w:szCs w:val="21"/>
        </w:rPr>
      </w:pPr>
      <w:r>
        <w:rPr>
          <w:rFonts w:hint="eastAsia" w:ascii="黑体" w:hAnsi="黑体" w:eastAsia="黑体" w:cs="黑体"/>
          <w:color w:val="auto"/>
          <w:sz w:val="21"/>
          <w:szCs w:val="21"/>
        </w:rPr>
        <w:t xml:space="preserve">5.1.4.4  </w:t>
      </w:r>
      <w:r>
        <w:rPr>
          <w:rFonts w:hint="eastAsia" w:hAnsi="宋体" w:cs="宋体"/>
          <w:sz w:val="21"/>
          <w:szCs w:val="21"/>
        </w:rPr>
        <w:t>人防工程消防疏散门不应随意上锁。当必须设置时，应保证在火灾时不需使用钥匙等任何工具即能从内部易于打开，并在明显位置设置标识和使用提示。</w:t>
      </w:r>
    </w:p>
    <w:p w14:paraId="5DAC1F7E">
      <w:pPr>
        <w:spacing w:beforeLines="50" w:afterLines="50" w:line="320" w:lineRule="exact"/>
        <w:outlineLvl w:val="2"/>
        <w:rPr>
          <w:rFonts w:ascii="黑体" w:hAnsi="黑体" w:eastAsia="黑体" w:cs="黑体"/>
          <w:sz w:val="21"/>
          <w:szCs w:val="21"/>
        </w:rPr>
      </w:pPr>
      <w:r>
        <w:rPr>
          <w:rFonts w:hint="eastAsia" w:ascii="黑体" w:hAnsi="黑体" w:eastAsia="黑体" w:cs="黑体"/>
          <w:sz w:val="21"/>
          <w:szCs w:val="21"/>
        </w:rPr>
        <w:t>5.1.5  装饰装修</w:t>
      </w:r>
    </w:p>
    <w:p w14:paraId="40BF3C17">
      <w:pPr>
        <w:autoSpaceDE w:val="0"/>
        <w:autoSpaceDN w:val="0"/>
        <w:adjustRightInd w:val="0"/>
        <w:spacing w:line="320" w:lineRule="exact"/>
        <w:jc w:val="left"/>
        <w:rPr>
          <w:rFonts w:hAnsi="宋体" w:cs="宋体"/>
          <w:color w:val="auto"/>
          <w:sz w:val="21"/>
          <w:szCs w:val="21"/>
        </w:rPr>
      </w:pPr>
      <w:r>
        <w:rPr>
          <w:rFonts w:hint="eastAsia" w:ascii="黑体" w:hAnsi="黑体" w:eastAsia="黑体" w:cs="黑体"/>
          <w:color w:val="auto"/>
          <w:sz w:val="21"/>
          <w:szCs w:val="21"/>
        </w:rPr>
        <w:t xml:space="preserve">5.1.5.1  </w:t>
      </w:r>
      <w:r>
        <w:rPr>
          <w:rFonts w:hAnsi="宋体" w:cs="宋体"/>
          <w:sz w:val="21"/>
          <w:szCs w:val="21"/>
        </w:rPr>
        <w:t>装饰装修</w:t>
      </w:r>
      <w:r>
        <w:rPr>
          <w:rFonts w:hint="eastAsia" w:hAnsi="宋体" w:cs="宋体"/>
          <w:sz w:val="21"/>
          <w:szCs w:val="21"/>
        </w:rPr>
        <w:t>不得影响结构和消防安全，不得破坏人防防护设备设施功能。</w:t>
      </w:r>
    </w:p>
    <w:p w14:paraId="70A87A29">
      <w:pPr>
        <w:autoSpaceDE w:val="0"/>
        <w:autoSpaceDN w:val="0"/>
        <w:adjustRightInd w:val="0"/>
        <w:spacing w:line="320" w:lineRule="exact"/>
        <w:jc w:val="left"/>
        <w:rPr>
          <w:rFonts w:hAnsi="宋体" w:cs="宋体"/>
          <w:color w:val="auto"/>
          <w:sz w:val="21"/>
          <w:szCs w:val="21"/>
        </w:rPr>
      </w:pPr>
      <w:r>
        <w:rPr>
          <w:rFonts w:hint="eastAsia" w:ascii="黑体" w:hAnsi="黑体" w:eastAsia="黑体" w:cs="黑体"/>
          <w:color w:val="auto"/>
          <w:sz w:val="21"/>
          <w:szCs w:val="21"/>
        </w:rPr>
        <w:t xml:space="preserve">5.1.5.2  </w:t>
      </w:r>
      <w:r>
        <w:rPr>
          <w:rFonts w:hint="eastAsia" w:hAnsi="宋体" w:cs="宋体"/>
          <w:sz w:val="21"/>
          <w:szCs w:val="21"/>
        </w:rPr>
        <w:t>人员活动可能直接触及的设备设施或尖锐突出物应有可靠防护措施，如软包保护或</w:t>
      </w:r>
      <w:r>
        <w:rPr>
          <w:rFonts w:hAnsi="宋体" w:cs="宋体"/>
          <w:sz w:val="21"/>
          <w:szCs w:val="21"/>
        </w:rPr>
        <w:t>设置</w:t>
      </w:r>
      <w:r>
        <w:rPr>
          <w:rFonts w:hint="eastAsia" w:hAnsi="宋体" w:cs="宋体"/>
          <w:sz w:val="21"/>
          <w:szCs w:val="21"/>
        </w:rPr>
        <w:t>明显提示标识等措施。</w:t>
      </w:r>
    </w:p>
    <w:p w14:paraId="7BE62090">
      <w:pPr>
        <w:autoSpaceDE w:val="0"/>
        <w:autoSpaceDN w:val="0"/>
        <w:adjustRightInd w:val="0"/>
        <w:spacing w:line="320" w:lineRule="exact"/>
        <w:jc w:val="left"/>
        <w:rPr>
          <w:rFonts w:hAnsi="宋体" w:cs="宋体"/>
          <w:sz w:val="21"/>
          <w:szCs w:val="21"/>
        </w:rPr>
      </w:pPr>
      <w:r>
        <w:rPr>
          <w:rFonts w:hint="eastAsia" w:ascii="黑体" w:hAnsi="黑体" w:eastAsia="黑体" w:cs="黑体"/>
          <w:color w:val="auto"/>
          <w:sz w:val="21"/>
          <w:szCs w:val="21"/>
        </w:rPr>
        <w:t xml:space="preserve">5.1.5.3  </w:t>
      </w:r>
      <w:r>
        <w:rPr>
          <w:rFonts w:hint="eastAsia" w:hAnsi="宋体" w:cs="宋体"/>
          <w:sz w:val="21"/>
          <w:szCs w:val="21"/>
        </w:rPr>
        <w:t>人防工程顶板不应抹灰。装修设置吊顶时，应采用轻质、坚固的龙骨，吊顶饰面材料应方便拆卸，灯具吊件连接应牢固。</w:t>
      </w:r>
    </w:p>
    <w:p w14:paraId="3DFD7E32">
      <w:pPr>
        <w:autoSpaceDE w:val="0"/>
        <w:autoSpaceDN w:val="0"/>
        <w:adjustRightInd w:val="0"/>
        <w:spacing w:line="320" w:lineRule="exact"/>
        <w:jc w:val="left"/>
        <w:rPr>
          <w:rFonts w:hAnsi="宋体" w:cs="宋体"/>
          <w:color w:val="auto"/>
          <w:sz w:val="21"/>
          <w:szCs w:val="21"/>
        </w:rPr>
      </w:pPr>
      <w:r>
        <w:rPr>
          <w:rFonts w:hint="eastAsia" w:ascii="黑体" w:hAnsi="黑体" w:eastAsia="黑体" w:cs="黑体"/>
          <w:color w:val="auto"/>
          <w:sz w:val="21"/>
          <w:szCs w:val="21"/>
        </w:rPr>
        <w:t xml:space="preserve">5.1.5.4  </w:t>
      </w:r>
      <w:r>
        <w:rPr>
          <w:rFonts w:hint="eastAsia" w:hAnsi="宋体" w:cs="宋体"/>
          <w:color w:val="auto"/>
          <w:sz w:val="21"/>
          <w:szCs w:val="21"/>
        </w:rPr>
        <w:t>装饰装修工程所用材料应满足下列要求：</w:t>
      </w:r>
    </w:p>
    <w:p w14:paraId="79247982">
      <w:pPr>
        <w:autoSpaceDE w:val="0"/>
        <w:autoSpaceDN w:val="0"/>
        <w:adjustRightInd w:val="0"/>
        <w:spacing w:line="320" w:lineRule="exact"/>
        <w:ind w:firstLine="420" w:firstLineChars="200"/>
        <w:jc w:val="left"/>
        <w:rPr>
          <w:rFonts w:hAnsi="宋体" w:cs="宋体"/>
          <w:color w:val="auto"/>
          <w:sz w:val="21"/>
          <w:szCs w:val="21"/>
        </w:rPr>
      </w:pPr>
      <w:r>
        <w:rPr>
          <w:rFonts w:hint="eastAsia" w:hAnsi="宋体" w:cs="宋体"/>
          <w:color w:val="auto"/>
          <w:sz w:val="21"/>
          <w:szCs w:val="21"/>
        </w:rPr>
        <w:t>a） 应选用防火、防潮的材料，并满足防腐、抗震、环保及其他特殊功能的要求。</w:t>
      </w:r>
    </w:p>
    <w:p w14:paraId="03C01197">
      <w:pPr>
        <w:autoSpaceDE w:val="0"/>
        <w:autoSpaceDN w:val="0"/>
        <w:adjustRightInd w:val="0"/>
        <w:spacing w:line="320" w:lineRule="exact"/>
        <w:ind w:firstLine="420" w:firstLineChars="200"/>
        <w:jc w:val="left"/>
        <w:rPr>
          <w:rFonts w:hAnsi="宋体" w:cs="宋体"/>
          <w:color w:val="auto"/>
          <w:sz w:val="21"/>
          <w:szCs w:val="21"/>
        </w:rPr>
      </w:pPr>
      <w:r>
        <w:rPr>
          <w:rFonts w:hint="eastAsia" w:hAnsi="宋体" w:cs="宋体"/>
          <w:color w:val="auto"/>
          <w:sz w:val="21"/>
          <w:szCs w:val="21"/>
        </w:rPr>
        <w:t>b） 品种、规格和质量应符合设计要求和国家现行标准的规定，不得使用国家明令淘汰的材料；</w:t>
      </w:r>
    </w:p>
    <w:p w14:paraId="4E915FCE">
      <w:pPr>
        <w:autoSpaceDE w:val="0"/>
        <w:autoSpaceDN w:val="0"/>
        <w:adjustRightInd w:val="0"/>
        <w:spacing w:line="320" w:lineRule="exact"/>
        <w:ind w:firstLine="420" w:firstLineChars="200"/>
        <w:jc w:val="left"/>
        <w:rPr>
          <w:rFonts w:hAnsi="宋体" w:cs="宋体"/>
          <w:color w:val="auto"/>
          <w:sz w:val="21"/>
          <w:szCs w:val="21"/>
        </w:rPr>
      </w:pPr>
      <w:r>
        <w:rPr>
          <w:rFonts w:hint="eastAsia" w:hAnsi="宋体" w:cs="宋体"/>
          <w:color w:val="auto"/>
          <w:sz w:val="21"/>
          <w:szCs w:val="21"/>
        </w:rPr>
        <w:t>c） 燃烧性能应符合现行国家标准《建筑内部装修设计防火规范》GB 50222和《建筑设计防火规范》GB 50016的规定；</w:t>
      </w:r>
    </w:p>
    <w:p w14:paraId="707CB70E">
      <w:pPr>
        <w:autoSpaceDE w:val="0"/>
        <w:autoSpaceDN w:val="0"/>
        <w:adjustRightInd w:val="0"/>
        <w:spacing w:line="320" w:lineRule="exact"/>
        <w:ind w:firstLine="420" w:firstLineChars="200"/>
        <w:jc w:val="left"/>
        <w:rPr>
          <w:rFonts w:hAnsi="宋体" w:cs="宋体"/>
          <w:color w:val="auto"/>
          <w:sz w:val="21"/>
          <w:szCs w:val="21"/>
        </w:rPr>
      </w:pPr>
      <w:r>
        <w:rPr>
          <w:rFonts w:hint="eastAsia" w:hAnsi="宋体" w:cs="宋体"/>
          <w:color w:val="auto"/>
          <w:sz w:val="21"/>
          <w:szCs w:val="21"/>
        </w:rPr>
        <w:t>d） 应符合国家有关建筑装饰装修材料有害物质限量标准的规定。</w:t>
      </w:r>
    </w:p>
    <w:p w14:paraId="42B780C5">
      <w:pPr>
        <w:spacing w:beforeLines="50" w:afterLines="50" w:line="320" w:lineRule="exact"/>
        <w:outlineLvl w:val="1"/>
        <w:rPr>
          <w:rFonts w:ascii="黑体" w:hAnsi="黑体" w:eastAsia="黑体" w:cs="黑体"/>
          <w:color w:val="auto"/>
          <w:sz w:val="21"/>
          <w:szCs w:val="21"/>
        </w:rPr>
      </w:pPr>
      <w:bookmarkStart w:id="21" w:name="_Toc8227"/>
      <w:bookmarkStart w:id="22" w:name="_Toc26595"/>
      <w:bookmarkStart w:id="23" w:name="_Toc9820"/>
      <w:r>
        <w:rPr>
          <w:rFonts w:hint="eastAsia" w:ascii="黑体" w:hAnsi="黑体" w:eastAsia="黑体" w:cs="黑体"/>
          <w:color w:val="auto"/>
          <w:sz w:val="21"/>
          <w:szCs w:val="21"/>
        </w:rPr>
        <w:t>5.1.6  内部环境</w:t>
      </w:r>
    </w:p>
    <w:p w14:paraId="2D5948C8">
      <w:pPr>
        <w:autoSpaceDE w:val="0"/>
        <w:autoSpaceDN w:val="0"/>
        <w:adjustRightInd w:val="0"/>
        <w:spacing w:line="320" w:lineRule="exact"/>
        <w:jc w:val="left"/>
        <w:rPr>
          <w:rFonts w:hAnsi="宋体" w:cs="宋体"/>
          <w:color w:val="auto"/>
          <w:sz w:val="21"/>
          <w:szCs w:val="21"/>
        </w:rPr>
      </w:pPr>
      <w:r>
        <w:rPr>
          <w:rFonts w:hint="eastAsia" w:ascii="黑体" w:hAnsi="黑体" w:eastAsia="黑体" w:cs="黑体"/>
          <w:color w:val="auto"/>
          <w:sz w:val="21"/>
          <w:szCs w:val="21"/>
        </w:rPr>
        <w:t>5.1.6.1</w:t>
      </w:r>
      <w:r>
        <w:rPr>
          <w:rFonts w:hint="eastAsia" w:hAnsi="宋体" w:cs="宋体"/>
          <w:color w:val="auto"/>
          <w:sz w:val="21"/>
          <w:szCs w:val="21"/>
        </w:rPr>
        <w:t xml:space="preserve"> 人防工程</w:t>
      </w:r>
      <w:r>
        <w:rPr>
          <w:rFonts w:hAnsi="宋体" w:cs="宋体"/>
          <w:color w:val="auto"/>
          <w:sz w:val="21"/>
          <w:szCs w:val="21"/>
        </w:rPr>
        <w:t>内部环境应符合</w:t>
      </w:r>
      <w:r>
        <w:rPr>
          <w:rFonts w:hint="eastAsia" w:hAnsi="宋体" w:cs="宋体"/>
          <w:color w:val="auto"/>
          <w:sz w:val="21"/>
          <w:szCs w:val="21"/>
        </w:rPr>
        <w:t>《民用建筑工程室内环境污染控制规范》GB 50325 、《建筑环境通用规范》GB 55016的有关规定</w:t>
      </w:r>
      <w:r>
        <w:rPr>
          <w:rFonts w:hAnsi="宋体" w:cs="宋体"/>
          <w:color w:val="auto"/>
          <w:sz w:val="21"/>
          <w:szCs w:val="21"/>
        </w:rPr>
        <w:t>，</w:t>
      </w:r>
      <w:r>
        <w:rPr>
          <w:rFonts w:hint="eastAsia" w:hAnsi="宋体" w:cs="宋体"/>
          <w:color w:val="auto"/>
          <w:sz w:val="21"/>
          <w:szCs w:val="21"/>
        </w:rPr>
        <w:t>室内环境指标</w:t>
      </w:r>
      <w:r>
        <w:rPr>
          <w:rFonts w:hAnsi="宋体" w:cs="宋体"/>
          <w:color w:val="auto"/>
          <w:sz w:val="21"/>
          <w:szCs w:val="21"/>
        </w:rPr>
        <w:t>应满足</w:t>
      </w:r>
      <w:r>
        <w:rPr>
          <w:rFonts w:hint="eastAsia" w:hAnsi="宋体" w:cs="宋体"/>
          <w:color w:val="auto"/>
          <w:sz w:val="21"/>
          <w:szCs w:val="21"/>
        </w:rPr>
        <w:t>《人防工程平时使用环境卫生要求》GB/T 17216</w:t>
      </w:r>
      <w:r>
        <w:rPr>
          <w:rFonts w:hAnsi="宋体" w:cs="宋体"/>
          <w:color w:val="auto"/>
          <w:sz w:val="21"/>
          <w:szCs w:val="21"/>
        </w:rPr>
        <w:t>的有关</w:t>
      </w:r>
      <w:r>
        <w:rPr>
          <w:rFonts w:hint="eastAsia" w:hAnsi="宋体" w:cs="宋体"/>
          <w:color w:val="auto"/>
          <w:sz w:val="21"/>
          <w:szCs w:val="21"/>
        </w:rPr>
        <w:t>规定</w:t>
      </w:r>
      <w:r>
        <w:rPr>
          <w:rFonts w:hAnsi="宋体" w:cs="宋体"/>
          <w:color w:val="auto"/>
          <w:sz w:val="21"/>
          <w:szCs w:val="21"/>
        </w:rPr>
        <w:t>。</w:t>
      </w:r>
    </w:p>
    <w:p w14:paraId="6AE26419">
      <w:pPr>
        <w:autoSpaceDE w:val="0"/>
        <w:autoSpaceDN w:val="0"/>
        <w:spacing w:line="320" w:lineRule="exact"/>
        <w:rPr>
          <w:rFonts w:hAnsi="宋体" w:cs="宋体"/>
          <w:color w:val="auto"/>
          <w:sz w:val="21"/>
          <w:szCs w:val="21"/>
        </w:rPr>
      </w:pPr>
      <w:r>
        <w:rPr>
          <w:rFonts w:hint="eastAsia" w:ascii="黑体" w:hAnsi="黑体" w:eastAsia="黑体" w:cs="黑体"/>
          <w:color w:val="auto"/>
          <w:sz w:val="21"/>
          <w:szCs w:val="21"/>
        </w:rPr>
        <w:t xml:space="preserve">5.1.6.2  </w:t>
      </w:r>
      <w:r>
        <w:rPr>
          <w:rFonts w:hint="eastAsia" w:hAnsi="宋体" w:cs="宋体"/>
          <w:color w:val="auto"/>
          <w:sz w:val="21"/>
          <w:szCs w:val="21"/>
        </w:rPr>
        <w:t>工程内空气环境指标应符合相应国家卫生标准及人防工程平时使用环境卫生要求。工程内一氧化碳、二氧化碳、灰尘浓度、菌落数、噪声值、污染物（甲醛、苯类气体、氨气）等</w:t>
      </w:r>
      <w:r>
        <w:rPr>
          <w:rFonts w:hAnsi="宋体" w:cs="宋体"/>
          <w:color w:val="auto"/>
          <w:sz w:val="21"/>
          <w:szCs w:val="21"/>
        </w:rPr>
        <w:t>宜</w:t>
      </w:r>
      <w:r>
        <w:rPr>
          <w:rFonts w:hint="eastAsia" w:hAnsi="宋体" w:cs="宋体"/>
          <w:color w:val="auto"/>
          <w:sz w:val="21"/>
          <w:szCs w:val="21"/>
        </w:rPr>
        <w:t>定期测定，空气温、湿度应适时监测，若不能满足卫生标准，应及时采取相应的通风、除湿措施，以保持良好状态。</w:t>
      </w:r>
    </w:p>
    <w:p w14:paraId="6D7C0578">
      <w:pPr>
        <w:autoSpaceDE w:val="0"/>
        <w:autoSpaceDN w:val="0"/>
        <w:spacing w:line="320" w:lineRule="exact"/>
        <w:rPr>
          <w:rFonts w:hAnsi="宋体" w:cs="宋体"/>
          <w:color w:val="auto"/>
          <w:sz w:val="21"/>
          <w:szCs w:val="21"/>
        </w:rPr>
      </w:pPr>
      <w:r>
        <w:rPr>
          <w:rFonts w:hint="eastAsia" w:ascii="黑体" w:hAnsi="黑体" w:eastAsia="黑体" w:cs="黑体"/>
          <w:color w:val="auto"/>
          <w:sz w:val="21"/>
          <w:szCs w:val="21"/>
        </w:rPr>
        <w:t xml:space="preserve">5.1.6.3  </w:t>
      </w:r>
      <w:r>
        <w:rPr>
          <w:rFonts w:hint="eastAsia" w:hAnsi="宋体" w:cs="宋体"/>
          <w:color w:val="auto"/>
          <w:sz w:val="21"/>
          <w:szCs w:val="21"/>
        </w:rPr>
        <w:t>工程内噪声环境应符合以下要求：</w:t>
      </w:r>
    </w:p>
    <w:p w14:paraId="04FCF7DB">
      <w:pPr>
        <w:autoSpaceDE w:val="0"/>
        <w:autoSpaceDN w:val="0"/>
        <w:spacing w:line="320" w:lineRule="exact"/>
        <w:ind w:firstLine="420" w:firstLineChars="200"/>
        <w:rPr>
          <w:rFonts w:hAnsi="宋体" w:cs="宋体"/>
          <w:color w:val="auto"/>
          <w:sz w:val="21"/>
          <w:szCs w:val="21"/>
        </w:rPr>
      </w:pPr>
      <w:r>
        <w:rPr>
          <w:rFonts w:hint="eastAsia" w:hAnsi="宋体" w:cs="宋体"/>
          <w:color w:val="auto"/>
          <w:sz w:val="21"/>
          <w:szCs w:val="21"/>
        </w:rPr>
        <w:t>a） 工程内允许噪声值，根据平时用途应符合《民用建筑隔声设计规范》GB 50118、《声环境质量标准》GB 3096、《建筑环境通用规范》GB 55016的规定。</w:t>
      </w:r>
    </w:p>
    <w:p w14:paraId="76FC899E">
      <w:pPr>
        <w:autoSpaceDE w:val="0"/>
        <w:autoSpaceDN w:val="0"/>
        <w:spacing w:line="320" w:lineRule="exact"/>
        <w:ind w:firstLine="420" w:firstLineChars="200"/>
        <w:rPr>
          <w:rFonts w:hAnsi="宋体" w:cs="宋体"/>
          <w:color w:val="auto"/>
          <w:sz w:val="21"/>
          <w:szCs w:val="21"/>
        </w:rPr>
      </w:pPr>
      <w:r>
        <w:rPr>
          <w:rFonts w:hint="eastAsia" w:hAnsi="宋体" w:cs="宋体"/>
          <w:color w:val="auto"/>
          <w:sz w:val="21"/>
          <w:szCs w:val="21"/>
        </w:rPr>
        <w:t>b） 娱乐放映、游艺等高噪音空间，应采取隔声减振措施，防止噪声扰民。</w:t>
      </w:r>
    </w:p>
    <w:p w14:paraId="01A0FCDB">
      <w:pPr>
        <w:autoSpaceDE w:val="0"/>
        <w:autoSpaceDN w:val="0"/>
        <w:spacing w:line="320" w:lineRule="exact"/>
        <w:ind w:firstLine="420" w:firstLineChars="200"/>
        <w:rPr>
          <w:rFonts w:hAnsi="宋体" w:cs="宋体"/>
          <w:color w:val="auto"/>
          <w:sz w:val="21"/>
          <w:szCs w:val="21"/>
        </w:rPr>
      </w:pPr>
      <w:r>
        <w:rPr>
          <w:rFonts w:hint="eastAsia" w:hAnsi="宋体" w:cs="宋体"/>
          <w:color w:val="auto"/>
          <w:sz w:val="21"/>
          <w:szCs w:val="21"/>
        </w:rPr>
        <w:t>c） 噪声或振动较大的设备，应设在专用机房内，并采用必要的隔声、减振、吸声、消声措施</w:t>
      </w:r>
      <w:r>
        <w:rPr>
          <w:rFonts w:hAnsi="宋体" w:cs="宋体"/>
          <w:color w:val="auto"/>
          <w:sz w:val="21"/>
          <w:szCs w:val="21"/>
        </w:rPr>
        <w:t>。</w:t>
      </w:r>
    </w:p>
    <w:p w14:paraId="1B27C811">
      <w:pPr>
        <w:adjustRightInd w:val="0"/>
        <w:spacing w:line="320" w:lineRule="exact"/>
        <w:rPr>
          <w:rFonts w:hAnsi="宋体" w:cs="宋体"/>
          <w:color w:val="auto"/>
          <w:sz w:val="21"/>
          <w:szCs w:val="21"/>
        </w:rPr>
      </w:pPr>
      <w:r>
        <w:rPr>
          <w:rFonts w:ascii="黑体" w:hAnsi="黑体" w:eastAsia="黑体" w:cs="黑体"/>
          <w:color w:val="auto"/>
          <w:sz w:val="21"/>
          <w:szCs w:val="21"/>
        </w:rPr>
        <w:t>5.1.6.</w:t>
      </w:r>
      <w:r>
        <w:rPr>
          <w:rFonts w:hint="eastAsia" w:ascii="黑体" w:hAnsi="黑体" w:eastAsia="黑体" w:cs="黑体"/>
          <w:color w:val="auto"/>
          <w:sz w:val="21"/>
          <w:szCs w:val="21"/>
        </w:rPr>
        <w:t>4</w:t>
      </w:r>
      <w:r>
        <w:rPr>
          <w:rFonts w:ascii="黑体" w:hAnsi="黑体" w:eastAsia="黑体" w:cs="黑体"/>
          <w:color w:val="auto"/>
          <w:sz w:val="21"/>
          <w:szCs w:val="21"/>
        </w:rPr>
        <w:t xml:space="preserve">  </w:t>
      </w:r>
      <w:r>
        <w:rPr>
          <w:rFonts w:hint="eastAsia" w:hAnsi="宋体" w:cs="宋体"/>
          <w:color w:val="auto"/>
          <w:sz w:val="21"/>
          <w:szCs w:val="21"/>
        </w:rPr>
        <w:t>人防工程室内色彩宜搭配协调，照度合适，光线充足</w:t>
      </w:r>
      <w:r>
        <w:rPr>
          <w:rFonts w:hAnsi="宋体" w:cs="宋体"/>
          <w:color w:val="auto"/>
          <w:sz w:val="21"/>
          <w:szCs w:val="21"/>
        </w:rPr>
        <w:t>。</w:t>
      </w:r>
    </w:p>
    <w:p w14:paraId="75DB18BD">
      <w:pPr>
        <w:spacing w:beforeLines="50" w:afterLines="50" w:line="320" w:lineRule="exact"/>
        <w:outlineLvl w:val="1"/>
        <w:rPr>
          <w:rFonts w:ascii="黑体" w:hAnsi="黑体" w:eastAsia="黑体" w:cs="黑体"/>
          <w:color w:val="auto"/>
          <w:sz w:val="21"/>
          <w:szCs w:val="21"/>
        </w:rPr>
      </w:pPr>
      <w:r>
        <w:rPr>
          <w:rFonts w:hint="eastAsia" w:ascii="黑体" w:hAnsi="黑体" w:eastAsia="黑体" w:cs="黑体"/>
          <w:color w:val="auto"/>
          <w:sz w:val="21"/>
          <w:szCs w:val="21"/>
        </w:rPr>
        <w:t>5.2  通风与空气调节</w:t>
      </w:r>
      <w:bookmarkEnd w:id="21"/>
      <w:r>
        <w:rPr>
          <w:rFonts w:ascii="黑体" w:hAnsi="黑体" w:eastAsia="黑体" w:cs="黑体"/>
          <w:color w:val="auto"/>
          <w:sz w:val="21"/>
          <w:szCs w:val="21"/>
        </w:rPr>
        <w:t>设备设施及系统</w:t>
      </w:r>
      <w:bookmarkEnd w:id="22"/>
    </w:p>
    <w:p w14:paraId="176BAE6B">
      <w:pPr>
        <w:spacing w:beforeLines="50" w:afterLines="50" w:line="320" w:lineRule="exact"/>
        <w:outlineLvl w:val="2"/>
        <w:rPr>
          <w:rFonts w:ascii="黑体" w:hAnsi="黑体" w:eastAsia="黑体" w:cs="黑体"/>
          <w:color w:val="auto"/>
          <w:sz w:val="21"/>
          <w:szCs w:val="21"/>
        </w:rPr>
      </w:pPr>
      <w:r>
        <w:rPr>
          <w:rFonts w:hint="eastAsia" w:ascii="黑体" w:hAnsi="黑体" w:eastAsia="黑体" w:cs="黑体"/>
          <w:color w:val="auto"/>
          <w:sz w:val="21"/>
          <w:szCs w:val="21"/>
        </w:rPr>
        <w:t>5.2.1  一般规定</w:t>
      </w:r>
    </w:p>
    <w:p w14:paraId="1799EE00">
      <w:pPr>
        <w:autoSpaceDE w:val="0"/>
        <w:autoSpaceDN w:val="0"/>
        <w:spacing w:line="320" w:lineRule="exact"/>
        <w:rPr>
          <w:rFonts w:hAnsi="宋体" w:cs="宋体"/>
          <w:sz w:val="21"/>
          <w:szCs w:val="21"/>
        </w:rPr>
      </w:pPr>
      <w:r>
        <w:rPr>
          <w:rFonts w:hint="eastAsia" w:ascii="黑体" w:hAnsi="黑体" w:eastAsia="黑体" w:cs="黑体"/>
          <w:color w:val="auto"/>
          <w:sz w:val="21"/>
          <w:szCs w:val="21"/>
        </w:rPr>
        <w:t xml:space="preserve">5.2.1.1  </w:t>
      </w:r>
      <w:r>
        <w:rPr>
          <w:rFonts w:hint="eastAsia" w:hAnsi="宋体" w:cs="宋体"/>
          <w:sz w:val="21"/>
          <w:szCs w:val="21"/>
        </w:rPr>
        <w:t>通风与空气调节系统运行应达到设计要求和有关标准技术标准，满足工程内部空气质量要求。</w:t>
      </w:r>
    </w:p>
    <w:p w14:paraId="5B087B1B">
      <w:pPr>
        <w:autoSpaceDE w:val="0"/>
        <w:autoSpaceDN w:val="0"/>
        <w:spacing w:line="320" w:lineRule="exact"/>
        <w:rPr>
          <w:rFonts w:hAnsi="宋体" w:cs="宋体"/>
          <w:color w:val="auto"/>
          <w:kern w:val="2"/>
          <w:sz w:val="21"/>
          <w:szCs w:val="21"/>
        </w:rPr>
      </w:pPr>
      <w:r>
        <w:rPr>
          <w:rFonts w:hint="eastAsia" w:ascii="黑体" w:hAnsi="宋体" w:eastAsia="黑体" w:cs="黑体"/>
          <w:sz w:val="21"/>
          <w:szCs w:val="21"/>
        </w:rPr>
        <w:t xml:space="preserve">5.2.1.2  </w:t>
      </w:r>
      <w:r>
        <w:rPr>
          <w:rFonts w:hint="eastAsia" w:hAnsi="宋体" w:cs="宋体"/>
          <w:kern w:val="2"/>
          <w:sz w:val="21"/>
          <w:szCs w:val="21"/>
        </w:rPr>
        <w:t>通风与空气调节系统上的设备启停、阀门控制顺序应按照设计要求及安全操作规程进行操作，宜制成安全操作流程图,就近悬挂，工作人员应按照安全操作规程及操作说明要求操作。</w:t>
      </w:r>
    </w:p>
    <w:p w14:paraId="5CA3AD77">
      <w:pPr>
        <w:autoSpaceDE w:val="0"/>
        <w:autoSpaceDN w:val="0"/>
        <w:spacing w:line="320" w:lineRule="exact"/>
        <w:rPr>
          <w:rFonts w:hAnsi="宋体" w:cs="宋体"/>
          <w:color w:val="auto"/>
          <w:kern w:val="2"/>
          <w:sz w:val="21"/>
          <w:szCs w:val="21"/>
        </w:rPr>
      </w:pPr>
      <w:r>
        <w:rPr>
          <w:rFonts w:hint="eastAsia" w:ascii="黑体" w:hAnsi="宋体" w:eastAsia="黑体" w:cs="黑体"/>
          <w:sz w:val="21"/>
          <w:szCs w:val="21"/>
        </w:rPr>
        <w:t xml:space="preserve">5.2.1.3  </w:t>
      </w:r>
      <w:r>
        <w:rPr>
          <w:rFonts w:hint="eastAsia" w:hAnsi="宋体" w:cs="宋体"/>
          <w:kern w:val="2"/>
          <w:sz w:val="21"/>
          <w:szCs w:val="21"/>
        </w:rPr>
        <w:t>通风系统路径应通畅，通风路径上的防护密闭门、密闭门应配置启闭状态标识牌，定期检查，确保正常通风。</w:t>
      </w:r>
    </w:p>
    <w:p w14:paraId="414F6BA9">
      <w:pPr>
        <w:spacing w:beforeLines="50" w:afterLines="50" w:line="320" w:lineRule="exact"/>
        <w:outlineLvl w:val="2"/>
        <w:rPr>
          <w:rFonts w:ascii="黑体" w:hAnsi="黑体" w:eastAsia="黑体" w:cs="黑体"/>
          <w:color w:val="auto"/>
          <w:sz w:val="18"/>
          <w:szCs w:val="18"/>
        </w:rPr>
      </w:pPr>
      <w:r>
        <w:rPr>
          <w:rFonts w:hint="eastAsia" w:ascii="黑体" w:hAnsi="黑体" w:eastAsia="黑体" w:cs="黑体"/>
          <w:color w:val="auto"/>
          <w:sz w:val="21"/>
          <w:szCs w:val="21"/>
        </w:rPr>
        <w:t xml:space="preserve">5.2.2  </w:t>
      </w:r>
      <w:r>
        <w:rPr>
          <w:rFonts w:ascii="黑体" w:hAnsi="黑体" w:eastAsia="黑体" w:cs="黑体"/>
          <w:color w:val="auto"/>
          <w:sz w:val="21"/>
          <w:szCs w:val="21"/>
        </w:rPr>
        <w:t>通风空调</w:t>
      </w:r>
    </w:p>
    <w:p w14:paraId="5B0F38A6">
      <w:pPr>
        <w:autoSpaceDE w:val="0"/>
        <w:autoSpaceDN w:val="0"/>
        <w:spacing w:line="320" w:lineRule="exact"/>
        <w:rPr>
          <w:rFonts w:hAnsi="宋体" w:cs="宋体"/>
          <w:color w:val="FF0000"/>
          <w:sz w:val="21"/>
          <w:szCs w:val="21"/>
        </w:rPr>
      </w:pPr>
      <w:r>
        <w:rPr>
          <w:rFonts w:hint="eastAsia" w:ascii="黑体" w:hAnsi="黑体" w:eastAsia="黑体" w:cs="黑体"/>
          <w:color w:val="auto"/>
          <w:sz w:val="21"/>
          <w:szCs w:val="21"/>
        </w:rPr>
        <w:t xml:space="preserve">5.2.2.1  </w:t>
      </w:r>
      <w:r>
        <w:rPr>
          <w:rFonts w:hint="eastAsia" w:hAnsi="宋体" w:cs="宋体"/>
          <w:sz w:val="21"/>
          <w:szCs w:val="21"/>
        </w:rPr>
        <w:t>工程内应采取适宜的防潮、除湿措施。</w:t>
      </w:r>
    </w:p>
    <w:p w14:paraId="5AA4E281">
      <w:pPr>
        <w:autoSpaceDE w:val="0"/>
        <w:autoSpaceDN w:val="0"/>
        <w:spacing w:line="320" w:lineRule="exact"/>
        <w:rPr>
          <w:rFonts w:hAnsi="宋体" w:cs="宋体"/>
          <w:sz w:val="21"/>
          <w:szCs w:val="21"/>
        </w:rPr>
      </w:pPr>
      <w:r>
        <w:rPr>
          <w:rFonts w:hint="eastAsia" w:ascii="黑体" w:hAnsi="黑体" w:eastAsia="黑体" w:cs="黑体"/>
          <w:color w:val="auto"/>
          <w:sz w:val="21"/>
          <w:szCs w:val="21"/>
        </w:rPr>
        <w:t xml:space="preserve">5.2.2.2  </w:t>
      </w:r>
      <w:r>
        <w:rPr>
          <w:rFonts w:hint="eastAsia" w:hAnsi="宋体" w:cs="宋体"/>
          <w:sz w:val="21"/>
          <w:szCs w:val="21"/>
        </w:rPr>
        <w:t>设有一氧化碳浓度自动检测装置的车库，通风系统应能自动运行，一氧化碳浓度超标时自动开启通风系统排风。</w:t>
      </w:r>
    </w:p>
    <w:p w14:paraId="535FFC0E">
      <w:pPr>
        <w:autoSpaceDE w:val="0"/>
        <w:autoSpaceDN w:val="0"/>
        <w:spacing w:line="320" w:lineRule="exact"/>
        <w:rPr>
          <w:rFonts w:hAnsi="宋体" w:cs="宋体"/>
          <w:sz w:val="21"/>
          <w:szCs w:val="21"/>
        </w:rPr>
      </w:pPr>
      <w:r>
        <w:rPr>
          <w:rFonts w:hint="eastAsia" w:ascii="黑体" w:hAnsi="宋体" w:eastAsia="黑体" w:cs="黑体"/>
          <w:sz w:val="21"/>
          <w:szCs w:val="21"/>
        </w:rPr>
        <w:t xml:space="preserve">5.2.2.3  </w:t>
      </w:r>
      <w:r>
        <w:rPr>
          <w:rFonts w:hint="eastAsia" w:hAnsi="宋体" w:cs="宋体"/>
          <w:color w:val="auto"/>
          <w:sz w:val="21"/>
          <w:szCs w:val="21"/>
        </w:rPr>
        <w:t>用于商业的人防工程</w:t>
      </w:r>
      <w:r>
        <w:rPr>
          <w:rFonts w:hint="eastAsia" w:hAnsi="宋体" w:cs="宋体"/>
          <w:sz w:val="21"/>
          <w:szCs w:val="21"/>
        </w:rPr>
        <w:t>的空调系统当无特殊要求时，室内应维持正压状态；厨房区域应设通风系统，应维持负压防止油烟外溢污染；卫生间应设置机械排风装置，维持负压状态。</w:t>
      </w:r>
    </w:p>
    <w:p w14:paraId="195C77C9">
      <w:pPr>
        <w:autoSpaceDE w:val="0"/>
        <w:autoSpaceDN w:val="0"/>
        <w:spacing w:line="320" w:lineRule="exact"/>
        <w:rPr>
          <w:rFonts w:hAnsi="宋体" w:cs="宋体"/>
          <w:color w:val="FF0000"/>
          <w:sz w:val="21"/>
          <w:szCs w:val="21"/>
        </w:rPr>
      </w:pPr>
      <w:r>
        <w:rPr>
          <w:rFonts w:hint="eastAsia" w:ascii="黑体" w:hAnsi="宋体" w:eastAsia="黑体" w:cs="黑体"/>
          <w:sz w:val="21"/>
          <w:szCs w:val="21"/>
        </w:rPr>
        <w:t xml:space="preserve">5.2.2.4  </w:t>
      </w:r>
      <w:r>
        <w:rPr>
          <w:rFonts w:hint="eastAsia" w:hAnsi="宋体" w:cs="宋体"/>
          <w:sz w:val="21"/>
          <w:szCs w:val="21"/>
        </w:rPr>
        <w:t>工程内通风机传动装置的外露部分以及通风机直通大气的进、出口的防护罩、防护网</w:t>
      </w:r>
      <w:r>
        <w:rPr>
          <w:rFonts w:hAnsi="宋体" w:cs="宋体"/>
          <w:sz w:val="21"/>
          <w:szCs w:val="21"/>
        </w:rPr>
        <w:t>等</w:t>
      </w:r>
      <w:r>
        <w:rPr>
          <w:rFonts w:hint="eastAsia" w:hAnsi="宋体" w:cs="宋体"/>
          <w:sz w:val="21"/>
          <w:szCs w:val="21"/>
        </w:rPr>
        <w:t>安全措施应保持完好。</w:t>
      </w:r>
    </w:p>
    <w:p w14:paraId="4728AD12">
      <w:pPr>
        <w:autoSpaceDE w:val="0"/>
        <w:autoSpaceDN w:val="0"/>
        <w:spacing w:line="320" w:lineRule="exact"/>
        <w:rPr>
          <w:rFonts w:hAnsi="宋体" w:cs="宋体"/>
          <w:sz w:val="21"/>
          <w:szCs w:val="21"/>
        </w:rPr>
      </w:pPr>
      <w:r>
        <w:rPr>
          <w:rFonts w:hint="eastAsia" w:ascii="黑体" w:hAnsi="宋体" w:eastAsia="黑体" w:cs="黑体"/>
          <w:sz w:val="21"/>
          <w:szCs w:val="21"/>
        </w:rPr>
        <w:t xml:space="preserve">5.2.2.5  </w:t>
      </w:r>
      <w:r>
        <w:rPr>
          <w:rFonts w:hint="eastAsia" w:hAnsi="宋体" w:cs="宋体"/>
          <w:sz w:val="21"/>
          <w:szCs w:val="21"/>
        </w:rPr>
        <w:t>通风与空气调节管道、阀门、设备应定期检查，管道连接</w:t>
      </w:r>
      <w:r>
        <w:rPr>
          <w:rFonts w:hAnsi="宋体" w:cs="宋体"/>
          <w:sz w:val="21"/>
          <w:szCs w:val="21"/>
        </w:rPr>
        <w:t>处</w:t>
      </w:r>
      <w:r>
        <w:rPr>
          <w:rFonts w:hint="eastAsia" w:hAnsi="宋体" w:cs="宋体"/>
          <w:sz w:val="21"/>
          <w:szCs w:val="21"/>
        </w:rPr>
        <w:t>不应有</w:t>
      </w:r>
      <w:r>
        <w:rPr>
          <w:rFonts w:hAnsi="宋体" w:cs="宋体"/>
          <w:sz w:val="21"/>
          <w:szCs w:val="21"/>
        </w:rPr>
        <w:t>松</w:t>
      </w:r>
      <w:r>
        <w:rPr>
          <w:rFonts w:hint="eastAsia" w:hAnsi="宋体" w:cs="宋体"/>
          <w:sz w:val="21"/>
          <w:szCs w:val="21"/>
        </w:rPr>
        <w:t>动、</w:t>
      </w:r>
      <w:r>
        <w:rPr>
          <w:rFonts w:hint="eastAsia" w:hAnsi="宋体"/>
          <w:sz w:val="21"/>
          <w:szCs w:val="21"/>
        </w:rPr>
        <w:t>破损、滴漏水等，</w:t>
      </w:r>
      <w:r>
        <w:rPr>
          <w:rFonts w:hint="eastAsia" w:hAnsi="宋体" w:cs="宋体"/>
          <w:sz w:val="21"/>
          <w:szCs w:val="21"/>
        </w:rPr>
        <w:t>橡胶圈不应有老化、变形情况，阀门启闭应灵活，设备应能正常工作，发现问题应及时维修和更换。</w:t>
      </w:r>
    </w:p>
    <w:p w14:paraId="3E1C1E23">
      <w:pPr>
        <w:spacing w:beforeLines="50" w:afterLines="50" w:line="320" w:lineRule="exact"/>
        <w:outlineLvl w:val="2"/>
        <w:rPr>
          <w:rFonts w:ascii="黑体" w:hAnsi="黑体" w:eastAsia="黑体" w:cs="黑体"/>
          <w:color w:val="auto"/>
          <w:sz w:val="21"/>
          <w:szCs w:val="21"/>
        </w:rPr>
      </w:pPr>
      <w:r>
        <w:rPr>
          <w:rFonts w:hint="eastAsia" w:ascii="黑体" w:hAnsi="黑体" w:eastAsia="黑体" w:cs="黑体"/>
          <w:color w:val="auto"/>
          <w:sz w:val="21"/>
          <w:szCs w:val="21"/>
        </w:rPr>
        <w:t>5.2.3  防烟、排烟</w:t>
      </w:r>
    </w:p>
    <w:p w14:paraId="6F7C60DB">
      <w:pPr>
        <w:autoSpaceDE w:val="0"/>
        <w:autoSpaceDN w:val="0"/>
        <w:spacing w:line="320" w:lineRule="exact"/>
        <w:rPr>
          <w:rFonts w:hAnsi="宋体" w:cs="宋体"/>
          <w:color w:val="auto"/>
          <w:sz w:val="21"/>
          <w:szCs w:val="21"/>
        </w:rPr>
      </w:pPr>
      <w:r>
        <w:rPr>
          <w:rFonts w:hint="eastAsia" w:ascii="黑体" w:hAnsi="黑体" w:eastAsia="黑体" w:cs="黑体"/>
          <w:color w:val="auto"/>
          <w:sz w:val="21"/>
          <w:szCs w:val="21"/>
        </w:rPr>
        <w:t xml:space="preserve">5.2.3.1  </w:t>
      </w:r>
      <w:r>
        <w:rPr>
          <w:rFonts w:hint="eastAsia" w:hAnsi="宋体" w:cs="宋体"/>
          <w:sz w:val="21"/>
          <w:szCs w:val="21"/>
        </w:rPr>
        <w:t>防烟、排烟系统的风机、阀门等设施应定期维护保养，定期清点、检测、清洗、调试，确保系统完好有效。</w:t>
      </w:r>
    </w:p>
    <w:p w14:paraId="3A437F8E">
      <w:pPr>
        <w:autoSpaceDE w:val="0"/>
        <w:autoSpaceDN w:val="0"/>
        <w:spacing w:line="320" w:lineRule="exact"/>
        <w:rPr>
          <w:rFonts w:hAnsi="宋体" w:cs="宋体"/>
          <w:sz w:val="21"/>
          <w:szCs w:val="21"/>
        </w:rPr>
      </w:pPr>
      <w:r>
        <w:rPr>
          <w:rFonts w:hint="eastAsia" w:ascii="黑体" w:hAnsi="黑体" w:eastAsia="黑体" w:cs="黑体"/>
          <w:color w:val="auto"/>
          <w:sz w:val="21"/>
          <w:szCs w:val="21"/>
        </w:rPr>
        <w:t xml:space="preserve">5.2.3.2  </w:t>
      </w:r>
      <w:r>
        <w:rPr>
          <w:rFonts w:hint="eastAsia" w:hAnsi="宋体" w:cs="宋体"/>
          <w:sz w:val="21"/>
          <w:szCs w:val="21"/>
        </w:rPr>
        <w:t>消防补风、排烟路径上的防护密闭门、密闭门应配置启闭标识牌，消防补风、排烟机房内集气室的检修门平时应为常闭状态，定期检查。</w:t>
      </w:r>
    </w:p>
    <w:p w14:paraId="7DE3B86B">
      <w:pPr>
        <w:autoSpaceDE w:val="0"/>
        <w:autoSpaceDN w:val="0"/>
        <w:spacing w:line="320" w:lineRule="exact"/>
        <w:rPr>
          <w:rFonts w:hAnsi="宋体" w:cs="宋体"/>
          <w:color w:val="FF0000"/>
          <w:kern w:val="2"/>
          <w:sz w:val="21"/>
          <w:szCs w:val="21"/>
        </w:rPr>
      </w:pPr>
      <w:r>
        <w:rPr>
          <w:rFonts w:hint="eastAsia" w:ascii="黑体" w:hAnsi="宋体" w:eastAsia="黑体" w:cs="黑体"/>
          <w:sz w:val="21"/>
          <w:szCs w:val="21"/>
        </w:rPr>
        <w:t xml:space="preserve">5.2.3.3  </w:t>
      </w:r>
      <w:r>
        <w:rPr>
          <w:rFonts w:hint="eastAsia" w:hAnsi="宋体" w:cs="宋体"/>
          <w:kern w:val="2"/>
          <w:sz w:val="21"/>
          <w:szCs w:val="21"/>
        </w:rPr>
        <w:t>严禁遮挡排烟风口、正压送风口、补风口及控制器,</w:t>
      </w:r>
      <w:r>
        <w:rPr>
          <w:rFonts w:hint="eastAsia" w:hAnsi="宋体" w:cs="宋体"/>
          <w:sz w:val="21"/>
          <w:szCs w:val="21"/>
        </w:rPr>
        <w:t>排烟</w:t>
      </w:r>
      <w:r>
        <w:rPr>
          <w:rFonts w:hint="eastAsia" w:hAnsi="宋体" w:cs="宋体"/>
          <w:kern w:val="2"/>
          <w:sz w:val="21"/>
          <w:szCs w:val="21"/>
        </w:rPr>
        <w:t>风</w:t>
      </w:r>
      <w:r>
        <w:rPr>
          <w:rFonts w:hint="eastAsia" w:hAnsi="宋体" w:cs="宋体"/>
          <w:sz w:val="21"/>
          <w:szCs w:val="21"/>
        </w:rPr>
        <w:t>口1.5m范围内不应存放可燃物或可燃构件</w:t>
      </w:r>
      <w:r>
        <w:rPr>
          <w:rFonts w:hint="eastAsia" w:hAnsi="宋体" w:cs="宋体"/>
          <w:kern w:val="2"/>
          <w:sz w:val="21"/>
          <w:szCs w:val="21"/>
        </w:rPr>
        <w:t>。</w:t>
      </w:r>
    </w:p>
    <w:p w14:paraId="2A324D42">
      <w:pPr>
        <w:autoSpaceDE w:val="0"/>
        <w:autoSpaceDN w:val="0"/>
        <w:spacing w:line="320" w:lineRule="exact"/>
        <w:rPr>
          <w:rFonts w:hAnsi="宋体" w:cs="宋体"/>
          <w:sz w:val="21"/>
          <w:szCs w:val="21"/>
        </w:rPr>
      </w:pPr>
      <w:r>
        <w:rPr>
          <w:rFonts w:hint="eastAsia" w:ascii="黑体" w:hAnsi="宋体" w:eastAsia="黑体" w:cs="黑体"/>
          <w:sz w:val="21"/>
          <w:szCs w:val="21"/>
        </w:rPr>
        <w:t xml:space="preserve">5.2.3.4  </w:t>
      </w:r>
      <w:r>
        <w:rPr>
          <w:rFonts w:hint="eastAsia" w:hAnsi="宋体" w:cs="宋体"/>
          <w:sz w:val="21"/>
          <w:szCs w:val="21"/>
        </w:rPr>
        <w:t>定期检查室外出地面风井及百叶，不应有遮挡及破损；风井内不应有积水、杂物。</w:t>
      </w:r>
    </w:p>
    <w:p w14:paraId="03D82411">
      <w:pPr>
        <w:autoSpaceDE w:val="0"/>
        <w:autoSpaceDN w:val="0"/>
        <w:spacing w:line="320" w:lineRule="exact"/>
        <w:rPr>
          <w:rFonts w:hAnsi="宋体" w:cs="宋体"/>
          <w:strike/>
          <w:color w:val="auto"/>
          <w:sz w:val="21"/>
          <w:szCs w:val="21"/>
        </w:rPr>
      </w:pPr>
      <w:r>
        <w:rPr>
          <w:rFonts w:hint="eastAsia" w:ascii="黑体" w:hAnsi="宋体" w:eastAsia="黑体" w:cs="黑体"/>
          <w:color w:val="auto"/>
          <w:sz w:val="21"/>
          <w:szCs w:val="21"/>
        </w:rPr>
        <w:t xml:space="preserve">5.2.3.5  </w:t>
      </w:r>
      <w:r>
        <w:rPr>
          <w:rFonts w:hint="eastAsia" w:hAnsi="宋体" w:cs="宋体"/>
          <w:color w:val="auto"/>
          <w:sz w:val="21"/>
          <w:szCs w:val="21"/>
        </w:rPr>
        <w:t>挡烟垂壁应有永久性标牌，标牌应牢固，标识内容清楚。挡烟垂壁的组装、拼接或连接等应牢固，不应有错位和松动现象。</w:t>
      </w:r>
    </w:p>
    <w:p w14:paraId="0BF2ABEE">
      <w:pPr>
        <w:autoSpaceDE w:val="0"/>
        <w:autoSpaceDN w:val="0"/>
        <w:spacing w:line="320" w:lineRule="exact"/>
        <w:rPr>
          <w:rFonts w:hAnsi="宋体" w:cs="宋体"/>
          <w:color w:val="auto"/>
          <w:sz w:val="21"/>
          <w:szCs w:val="21"/>
        </w:rPr>
      </w:pPr>
      <w:r>
        <w:rPr>
          <w:rFonts w:hint="eastAsia" w:ascii="黑体" w:hAnsi="宋体" w:eastAsia="黑体" w:cs="黑体"/>
          <w:color w:val="auto"/>
          <w:sz w:val="21"/>
          <w:szCs w:val="21"/>
        </w:rPr>
        <w:t xml:space="preserve">5.2.3.6  </w:t>
      </w:r>
      <w:r>
        <w:rPr>
          <w:rFonts w:hAnsi="宋体" w:cs="宋体"/>
          <w:color w:val="auto"/>
          <w:sz w:val="21"/>
          <w:szCs w:val="21"/>
        </w:rPr>
        <w:t>防烟、排烟系统</w:t>
      </w:r>
      <w:r>
        <w:rPr>
          <w:rFonts w:hint="eastAsia" w:hAnsi="宋体" w:cs="宋体"/>
          <w:color w:val="auto"/>
          <w:sz w:val="21"/>
          <w:szCs w:val="21"/>
        </w:rPr>
        <w:t>的部件应完好有效，以下部位的装置应明显可见、固定牢靠且操作灵活、可靠：</w:t>
      </w:r>
    </w:p>
    <w:p w14:paraId="1179E24C">
      <w:pPr>
        <w:autoSpaceDE w:val="0"/>
        <w:autoSpaceDN w:val="0"/>
        <w:spacing w:line="320" w:lineRule="exact"/>
        <w:ind w:firstLine="210" w:firstLineChars="100"/>
        <w:rPr>
          <w:rFonts w:hAnsi="宋体" w:cs="宋体"/>
          <w:color w:val="auto"/>
          <w:sz w:val="21"/>
          <w:szCs w:val="21"/>
        </w:rPr>
      </w:pPr>
      <w:r>
        <w:rPr>
          <w:rFonts w:hint="eastAsia" w:hAnsi="宋体" w:cs="宋体"/>
          <w:color w:val="auto"/>
          <w:sz w:val="21"/>
          <w:szCs w:val="21"/>
        </w:rPr>
        <w:t>a） 活动挡烟垂壁的手动操作按钮；</w:t>
      </w:r>
    </w:p>
    <w:p w14:paraId="028908E7">
      <w:pPr>
        <w:autoSpaceDE w:val="0"/>
        <w:autoSpaceDN w:val="0"/>
        <w:spacing w:line="320" w:lineRule="exact"/>
        <w:ind w:firstLine="210" w:firstLineChars="100"/>
        <w:rPr>
          <w:rFonts w:hAnsi="宋体" w:cs="宋体"/>
          <w:color w:val="auto"/>
          <w:sz w:val="21"/>
          <w:szCs w:val="21"/>
        </w:rPr>
      </w:pPr>
      <w:r>
        <w:rPr>
          <w:rFonts w:hint="eastAsia" w:hAnsi="宋体" w:cs="宋体"/>
          <w:color w:val="auto"/>
          <w:sz w:val="21"/>
          <w:szCs w:val="21"/>
        </w:rPr>
        <w:t>b） 常闭送风口、排烟阀或排烟口的手动驱动装置；</w:t>
      </w:r>
    </w:p>
    <w:p w14:paraId="15DD1F98">
      <w:pPr>
        <w:autoSpaceDE w:val="0"/>
        <w:autoSpaceDN w:val="0"/>
        <w:spacing w:line="320" w:lineRule="exact"/>
        <w:ind w:firstLine="210" w:firstLineChars="100"/>
        <w:rPr>
          <w:rFonts w:hAnsi="宋体" w:cs="宋体"/>
          <w:color w:val="auto"/>
          <w:sz w:val="21"/>
          <w:szCs w:val="21"/>
        </w:rPr>
      </w:pPr>
      <w:r>
        <w:rPr>
          <w:rFonts w:hint="eastAsia" w:hAnsi="宋体" w:cs="宋体"/>
          <w:color w:val="auto"/>
          <w:sz w:val="21"/>
          <w:szCs w:val="21"/>
        </w:rPr>
        <w:t>c） 地下封闭楼梯间、防烟楼梯间、前室、合用前室、消防电梯前室等部位自然排烟窗的手动开启装置；</w:t>
      </w:r>
    </w:p>
    <w:p w14:paraId="795AA15A">
      <w:pPr>
        <w:autoSpaceDE w:val="0"/>
        <w:autoSpaceDN w:val="0"/>
        <w:spacing w:line="320" w:lineRule="exact"/>
        <w:ind w:firstLine="210" w:firstLineChars="100"/>
        <w:rPr>
          <w:rFonts w:hAnsi="宋体" w:cs="宋体"/>
          <w:color w:val="auto"/>
          <w:sz w:val="21"/>
          <w:szCs w:val="21"/>
        </w:rPr>
      </w:pPr>
      <w:r>
        <w:rPr>
          <w:rFonts w:hint="eastAsia" w:hAnsi="宋体" w:cs="宋体"/>
          <w:color w:val="auto"/>
          <w:sz w:val="21"/>
          <w:szCs w:val="21"/>
        </w:rPr>
        <w:t>d） 楼梯间、前室、合用前室、消防电梯前室、避难走道前室等部位加压送风口的手动开启装置。</w:t>
      </w:r>
    </w:p>
    <w:p w14:paraId="59C13F86">
      <w:pPr>
        <w:spacing w:beforeLines="50" w:afterLines="50" w:line="320" w:lineRule="exact"/>
        <w:outlineLvl w:val="2"/>
        <w:rPr>
          <w:rFonts w:ascii="黑体" w:hAnsi="黑体" w:eastAsia="黑体" w:cs="黑体"/>
          <w:color w:val="auto"/>
          <w:sz w:val="21"/>
          <w:szCs w:val="21"/>
        </w:rPr>
      </w:pPr>
      <w:r>
        <w:rPr>
          <w:rFonts w:hint="eastAsia" w:ascii="黑体" w:hAnsi="黑体" w:eastAsia="黑体" w:cs="黑体"/>
          <w:color w:val="auto"/>
          <w:sz w:val="21"/>
          <w:szCs w:val="21"/>
        </w:rPr>
        <w:t>5.2.4  防护通风</w:t>
      </w:r>
      <w:r>
        <w:rPr>
          <w:rFonts w:ascii="黑体" w:hAnsi="黑体" w:eastAsia="黑体" w:cs="黑体"/>
          <w:color w:val="auto"/>
          <w:sz w:val="21"/>
          <w:szCs w:val="21"/>
        </w:rPr>
        <w:t>设备</w:t>
      </w:r>
    </w:p>
    <w:p w14:paraId="54321BDF">
      <w:pPr>
        <w:autoSpaceDE w:val="0"/>
        <w:autoSpaceDN w:val="0"/>
        <w:spacing w:line="320" w:lineRule="exact"/>
        <w:rPr>
          <w:rFonts w:hAnsi="宋体" w:cs="宋体"/>
          <w:sz w:val="21"/>
          <w:szCs w:val="21"/>
        </w:rPr>
      </w:pPr>
      <w:r>
        <w:rPr>
          <w:rFonts w:hint="eastAsia" w:ascii="黑体" w:hAnsi="宋体" w:eastAsia="黑体" w:cs="黑体"/>
          <w:sz w:val="21"/>
          <w:szCs w:val="21"/>
        </w:rPr>
        <w:t xml:space="preserve">5.2.4.1  </w:t>
      </w:r>
      <w:r>
        <w:rPr>
          <w:rFonts w:hint="eastAsia" w:hAnsi="宋体" w:cs="宋体"/>
          <w:sz w:val="21"/>
          <w:szCs w:val="21"/>
        </w:rPr>
        <w:t>防护通风设备应保持完好有效，做好设备的维护保养工作，保障设备的性能良好。</w:t>
      </w:r>
    </w:p>
    <w:p w14:paraId="210A939A">
      <w:pPr>
        <w:autoSpaceDE w:val="0"/>
        <w:autoSpaceDN w:val="0"/>
        <w:spacing w:line="320" w:lineRule="exact"/>
        <w:rPr>
          <w:rFonts w:hAnsi="宋体" w:cs="宋体"/>
          <w:color w:val="auto"/>
          <w:sz w:val="21"/>
          <w:szCs w:val="21"/>
        </w:rPr>
      </w:pPr>
      <w:r>
        <w:rPr>
          <w:rFonts w:hint="eastAsia" w:ascii="黑体" w:hAnsi="黑体" w:eastAsia="黑体" w:cs="黑体"/>
          <w:color w:val="auto"/>
          <w:sz w:val="21"/>
          <w:szCs w:val="21"/>
        </w:rPr>
        <w:t xml:space="preserve">5.2.4.2  </w:t>
      </w:r>
      <w:r>
        <w:rPr>
          <w:rFonts w:hint="eastAsia" w:hAnsi="宋体" w:cs="宋体"/>
          <w:sz w:val="21"/>
          <w:szCs w:val="21"/>
        </w:rPr>
        <w:t>过滤吸收器平时不得打开其两端的密封盖板，不得与酸碱、发烟剂、消毒剂等一起存放。过滤吸收器的配件（波纹管、出入口接头、法兰、喉箍、电缆等）应齐全，支吊架固定应安全、牢固。</w:t>
      </w:r>
    </w:p>
    <w:p w14:paraId="1F938F55">
      <w:pPr>
        <w:autoSpaceDE w:val="0"/>
        <w:autoSpaceDN w:val="0"/>
        <w:spacing w:line="320" w:lineRule="exact"/>
        <w:rPr>
          <w:rFonts w:hAnsi="宋体" w:cs="宋体"/>
          <w:color w:val="auto"/>
          <w:sz w:val="21"/>
          <w:szCs w:val="21"/>
        </w:rPr>
      </w:pPr>
      <w:r>
        <w:rPr>
          <w:rFonts w:hint="eastAsia" w:ascii="黑体" w:hAnsi="黑体" w:eastAsia="黑体" w:cs="黑体"/>
          <w:color w:val="auto"/>
          <w:sz w:val="21"/>
          <w:szCs w:val="21"/>
        </w:rPr>
        <w:t xml:space="preserve">5.2.4.3  </w:t>
      </w:r>
      <w:r>
        <w:rPr>
          <w:rFonts w:hint="eastAsia" w:hAnsi="宋体" w:cs="宋体"/>
          <w:sz w:val="21"/>
          <w:szCs w:val="21"/>
        </w:rPr>
        <w:t>油网滤尘器过滤网、外框、边框等不应有锈蚀、损坏，压差测量管及球阀等部件应完整齐全，滤尘器平时应定期刷油，防止锈蚀。</w:t>
      </w:r>
    </w:p>
    <w:p w14:paraId="750CCEEB">
      <w:pPr>
        <w:autoSpaceDE w:val="0"/>
        <w:autoSpaceDN w:val="0"/>
        <w:spacing w:line="320" w:lineRule="exact"/>
        <w:rPr>
          <w:rFonts w:hAnsi="宋体" w:cs="宋体"/>
          <w:sz w:val="21"/>
          <w:szCs w:val="21"/>
        </w:rPr>
      </w:pPr>
      <w:r>
        <w:rPr>
          <w:rFonts w:hint="eastAsia" w:ascii="黑体" w:hAnsi="黑体" w:eastAsia="黑体" w:cs="黑体"/>
          <w:color w:val="auto"/>
          <w:sz w:val="21"/>
          <w:szCs w:val="21"/>
        </w:rPr>
        <w:t xml:space="preserve">5.2.4.4  </w:t>
      </w:r>
      <w:r>
        <w:rPr>
          <w:rFonts w:hAnsi="宋体" w:cs="宋体"/>
          <w:sz w:val="21"/>
          <w:szCs w:val="21"/>
        </w:rPr>
        <w:t>定期检查</w:t>
      </w:r>
      <w:r>
        <w:rPr>
          <w:rFonts w:hint="eastAsia" w:hAnsi="宋体" w:cs="宋体"/>
          <w:sz w:val="21"/>
          <w:szCs w:val="21"/>
        </w:rPr>
        <w:t>超压排气活门的完整性，相关部件不得缺失，动作应灵活，密封性能良好。有松动情况及时紧固，超压排气活门的橡胶密封圈、弹簧、填料等出现老化、失效情况，应及时更换。</w:t>
      </w:r>
    </w:p>
    <w:p w14:paraId="522D1937">
      <w:pPr>
        <w:autoSpaceDE w:val="0"/>
        <w:autoSpaceDN w:val="0"/>
        <w:spacing w:line="320" w:lineRule="exact"/>
        <w:rPr>
          <w:rFonts w:hAnsi="宋体" w:cs="宋体"/>
          <w:color w:val="auto"/>
          <w:sz w:val="21"/>
          <w:szCs w:val="21"/>
        </w:rPr>
      </w:pPr>
      <w:r>
        <w:rPr>
          <w:rFonts w:hint="eastAsia" w:ascii="黑体" w:hAnsi="宋体" w:eastAsia="黑体" w:cs="黑体"/>
          <w:sz w:val="21"/>
          <w:szCs w:val="21"/>
        </w:rPr>
        <w:t>5.2.4.</w:t>
      </w:r>
      <w:r>
        <w:rPr>
          <w:rFonts w:ascii="黑体" w:hAnsi="宋体" w:eastAsia="黑体" w:cs="黑体"/>
          <w:sz w:val="21"/>
          <w:szCs w:val="21"/>
        </w:rPr>
        <w:t>5</w:t>
      </w:r>
      <w:r>
        <w:rPr>
          <w:rFonts w:hint="eastAsia" w:hAnsi="宋体" w:cs="宋体"/>
          <w:sz w:val="21"/>
          <w:szCs w:val="21"/>
        </w:rPr>
        <w:t xml:space="preserve">  密闭阀门相关部件不得缺失，开关应灵活、到位，电控单元应运转正常。密闭阀与管道连接应紧密、牢固，橡胶密封面不应有油脂性附着物。</w:t>
      </w:r>
    </w:p>
    <w:p w14:paraId="0AFE782C">
      <w:pPr>
        <w:autoSpaceDE w:val="0"/>
        <w:autoSpaceDN w:val="0"/>
        <w:spacing w:line="320" w:lineRule="exact"/>
        <w:rPr>
          <w:rFonts w:hAnsi="宋体" w:cs="宋体"/>
          <w:color w:val="auto"/>
          <w:sz w:val="21"/>
          <w:szCs w:val="21"/>
        </w:rPr>
      </w:pPr>
      <w:r>
        <w:rPr>
          <w:rFonts w:hint="eastAsia" w:ascii="黑体" w:hAnsi="宋体" w:eastAsia="黑体" w:cs="黑体"/>
          <w:sz w:val="21"/>
          <w:szCs w:val="21"/>
        </w:rPr>
        <w:t>5.2.4.</w:t>
      </w:r>
      <w:r>
        <w:rPr>
          <w:rFonts w:ascii="黑体" w:hAnsi="宋体" w:eastAsia="黑体" w:cs="黑体"/>
          <w:sz w:val="21"/>
          <w:szCs w:val="21"/>
        </w:rPr>
        <w:t>6</w:t>
      </w:r>
      <w:r>
        <w:rPr>
          <w:rFonts w:hint="eastAsia" w:ascii="黑体" w:hAnsi="宋体" w:eastAsia="黑体" w:cs="黑体"/>
          <w:sz w:val="21"/>
          <w:szCs w:val="21"/>
        </w:rPr>
        <w:t xml:space="preserve">  </w:t>
      </w:r>
      <w:r>
        <w:rPr>
          <w:rFonts w:hint="eastAsia" w:hAnsi="宋体" w:cs="宋体"/>
          <w:sz w:val="21"/>
          <w:szCs w:val="21"/>
        </w:rPr>
        <w:t>测压及风量测量装置</w:t>
      </w:r>
      <w:r>
        <w:rPr>
          <w:rFonts w:hAnsi="宋体" w:cs="宋体"/>
          <w:sz w:val="21"/>
          <w:szCs w:val="21"/>
        </w:rPr>
        <w:t>相关</w:t>
      </w:r>
      <w:r>
        <w:rPr>
          <w:rFonts w:hint="eastAsia" w:hAnsi="宋体" w:cs="宋体"/>
          <w:sz w:val="21"/>
          <w:szCs w:val="21"/>
        </w:rPr>
        <w:t>部件应齐全、无损坏、固定牢固。风量测量装置和测压计的测量精度应达到要求，测压管与测压计的连接管</w:t>
      </w:r>
      <w:r>
        <w:rPr>
          <w:rFonts w:hAnsi="宋体" w:cs="宋体"/>
          <w:sz w:val="21"/>
          <w:szCs w:val="21"/>
        </w:rPr>
        <w:t>出现</w:t>
      </w:r>
      <w:r>
        <w:rPr>
          <w:rFonts w:hint="eastAsia" w:hAnsi="宋体" w:cs="宋体"/>
          <w:sz w:val="21"/>
          <w:szCs w:val="21"/>
        </w:rPr>
        <w:t>老化、测压计玻璃管破损</w:t>
      </w:r>
      <w:r>
        <w:rPr>
          <w:rFonts w:hAnsi="宋体" w:cs="宋体"/>
          <w:sz w:val="21"/>
          <w:szCs w:val="21"/>
        </w:rPr>
        <w:t>的情况</w:t>
      </w:r>
      <w:r>
        <w:rPr>
          <w:rFonts w:hint="eastAsia" w:hAnsi="宋体" w:cs="宋体"/>
          <w:sz w:val="21"/>
          <w:szCs w:val="21"/>
        </w:rPr>
        <w:t>，应及时更换。</w:t>
      </w:r>
    </w:p>
    <w:p w14:paraId="20ED3601">
      <w:pPr>
        <w:autoSpaceDE w:val="0"/>
        <w:autoSpaceDN w:val="0"/>
        <w:spacing w:line="320" w:lineRule="exact"/>
        <w:rPr>
          <w:rFonts w:hAnsi="宋体" w:cs="宋体"/>
          <w:sz w:val="21"/>
          <w:szCs w:val="21"/>
        </w:rPr>
      </w:pPr>
      <w:r>
        <w:rPr>
          <w:rFonts w:hint="eastAsia" w:ascii="黑体" w:hAnsi="宋体" w:eastAsia="黑体" w:cs="黑体"/>
          <w:sz w:val="21"/>
          <w:szCs w:val="21"/>
        </w:rPr>
        <w:t>5.2.4.</w:t>
      </w:r>
      <w:r>
        <w:rPr>
          <w:rFonts w:ascii="黑体" w:hAnsi="宋体" w:eastAsia="黑体" w:cs="黑体"/>
          <w:sz w:val="21"/>
          <w:szCs w:val="21"/>
        </w:rPr>
        <w:t>7</w:t>
      </w:r>
      <w:r>
        <w:rPr>
          <w:rFonts w:hint="eastAsia" w:ascii="黑体" w:hAnsi="宋体" w:eastAsia="黑体" w:cs="黑体"/>
          <w:sz w:val="21"/>
          <w:szCs w:val="21"/>
        </w:rPr>
        <w:t xml:space="preserve">  </w:t>
      </w:r>
      <w:r>
        <w:rPr>
          <w:rFonts w:hint="eastAsia" w:hAnsi="宋体" w:cs="宋体"/>
          <w:sz w:val="21"/>
          <w:szCs w:val="21"/>
        </w:rPr>
        <w:t>口部测量管、取样管的部件应齐全</w:t>
      </w:r>
      <w:r>
        <w:rPr>
          <w:rFonts w:hAnsi="宋体" w:cs="宋体"/>
          <w:sz w:val="21"/>
          <w:szCs w:val="21"/>
        </w:rPr>
        <w:t>、</w:t>
      </w:r>
      <w:r>
        <w:rPr>
          <w:rFonts w:hint="eastAsia" w:hAnsi="宋体" w:cs="宋体"/>
          <w:sz w:val="21"/>
          <w:szCs w:val="21"/>
        </w:rPr>
        <w:t>无损坏，固定应牢固，不应有锈蚀情况，阀门开关灵活</w:t>
      </w:r>
      <w:r>
        <w:rPr>
          <w:rFonts w:hAnsi="宋体" w:cs="宋体"/>
          <w:sz w:val="21"/>
          <w:szCs w:val="21"/>
        </w:rPr>
        <w:t>、</w:t>
      </w:r>
      <w:r>
        <w:rPr>
          <w:rFonts w:hint="eastAsia" w:hAnsi="宋体" w:cs="宋体"/>
          <w:sz w:val="21"/>
          <w:szCs w:val="21"/>
        </w:rPr>
        <w:t>不漏气，压力测量管及阻力测量管上阀门更换时宜选用单嘴燃气阀。</w:t>
      </w:r>
    </w:p>
    <w:p w14:paraId="7832AB8C">
      <w:pPr>
        <w:autoSpaceDE w:val="0"/>
        <w:autoSpaceDN w:val="0"/>
        <w:spacing w:line="320" w:lineRule="exact"/>
        <w:rPr>
          <w:rFonts w:hAnsi="宋体" w:cs="宋体"/>
          <w:sz w:val="21"/>
          <w:szCs w:val="21"/>
        </w:rPr>
      </w:pPr>
      <w:r>
        <w:rPr>
          <w:rFonts w:hint="eastAsia" w:ascii="黑体" w:hAnsi="宋体" w:eastAsia="黑体" w:cs="黑体"/>
          <w:sz w:val="21"/>
          <w:szCs w:val="21"/>
        </w:rPr>
        <w:t>5.2.4.</w:t>
      </w:r>
      <w:r>
        <w:rPr>
          <w:rFonts w:ascii="黑体" w:hAnsi="宋体" w:eastAsia="黑体" w:cs="黑体"/>
          <w:sz w:val="21"/>
          <w:szCs w:val="21"/>
        </w:rPr>
        <w:t>8</w:t>
      </w:r>
      <w:r>
        <w:rPr>
          <w:rFonts w:hint="eastAsia" w:ascii="黑体" w:hAnsi="宋体" w:eastAsia="黑体" w:cs="黑体"/>
          <w:sz w:val="21"/>
          <w:szCs w:val="21"/>
        </w:rPr>
        <w:t xml:space="preserve">  </w:t>
      </w:r>
      <w:r>
        <w:rPr>
          <w:rFonts w:hint="eastAsia" w:hAnsi="宋体" w:cs="宋体"/>
          <w:sz w:val="21"/>
          <w:szCs w:val="21"/>
        </w:rPr>
        <w:t>风管、风道及风管保温层应完好，保持干燥、整洁；风管及其支吊架等固定应牢靠，不应有锈蚀；风口、阀门及活动部件等完好，启闭应灵活，调节准确，与管道应连接紧密、固定牢靠。</w:t>
      </w:r>
    </w:p>
    <w:p w14:paraId="08774012">
      <w:pPr>
        <w:autoSpaceDE w:val="0"/>
        <w:autoSpaceDN w:val="0"/>
        <w:spacing w:line="320" w:lineRule="exact"/>
        <w:rPr>
          <w:rFonts w:hAnsi="宋体" w:cs="宋体"/>
          <w:sz w:val="21"/>
          <w:szCs w:val="21"/>
        </w:rPr>
      </w:pPr>
      <w:r>
        <w:rPr>
          <w:rFonts w:hint="eastAsia" w:ascii="黑体" w:hAnsi="宋体" w:eastAsia="黑体" w:cs="黑体"/>
          <w:sz w:val="21"/>
          <w:szCs w:val="21"/>
        </w:rPr>
        <w:t>5.2.4.</w:t>
      </w:r>
      <w:r>
        <w:rPr>
          <w:rFonts w:ascii="黑体" w:hAnsi="宋体" w:eastAsia="黑体" w:cs="黑体"/>
          <w:sz w:val="21"/>
          <w:szCs w:val="21"/>
        </w:rPr>
        <w:t>9</w:t>
      </w:r>
      <w:r>
        <w:rPr>
          <w:rFonts w:hint="eastAsia" w:ascii="黑体" w:hAnsi="宋体" w:eastAsia="黑体" w:cs="黑体"/>
          <w:sz w:val="21"/>
          <w:szCs w:val="21"/>
        </w:rPr>
        <w:t xml:space="preserve">  </w:t>
      </w:r>
      <w:r>
        <w:rPr>
          <w:rFonts w:hint="eastAsia" w:hAnsi="宋体" w:cs="宋体"/>
          <w:sz w:val="21"/>
          <w:szCs w:val="21"/>
        </w:rPr>
        <w:t>通风机及空气调节设备应完好，运转正常，软连接不应有松动，老化，渗漏现象，减震性能完好，定期对机组性能检测、运行保养。</w:t>
      </w:r>
    </w:p>
    <w:p w14:paraId="7F56AF24">
      <w:pPr>
        <w:autoSpaceDE w:val="0"/>
        <w:autoSpaceDN w:val="0"/>
        <w:spacing w:line="320" w:lineRule="exact"/>
        <w:rPr>
          <w:rFonts w:hAnsi="宋体" w:cs="宋体"/>
          <w:color w:val="auto"/>
          <w:sz w:val="21"/>
          <w:szCs w:val="21"/>
        </w:rPr>
      </w:pPr>
      <w:r>
        <w:rPr>
          <w:rFonts w:hint="eastAsia" w:ascii="黑体" w:hAnsi="宋体" w:eastAsia="黑体" w:cs="黑体"/>
          <w:color w:val="auto"/>
          <w:sz w:val="21"/>
          <w:szCs w:val="21"/>
        </w:rPr>
        <w:t xml:space="preserve">5.2.4.10  </w:t>
      </w:r>
      <w:r>
        <w:rPr>
          <w:rFonts w:hint="eastAsia" w:hAnsi="宋体" w:cs="宋体"/>
          <w:color w:val="auto"/>
          <w:sz w:val="21"/>
          <w:szCs w:val="21"/>
        </w:rPr>
        <w:t>定期组织专业人员对空调室外机防护室内的通风设备及空调室外机进行检查、维护。</w:t>
      </w:r>
    </w:p>
    <w:p w14:paraId="53BEF92C">
      <w:pPr>
        <w:spacing w:beforeLines="50" w:afterLines="50" w:line="320" w:lineRule="exact"/>
        <w:outlineLvl w:val="1"/>
        <w:rPr>
          <w:rFonts w:ascii="黑体" w:hAnsi="黑体" w:eastAsia="黑体" w:cs="黑体"/>
          <w:color w:val="auto"/>
          <w:sz w:val="21"/>
          <w:szCs w:val="21"/>
        </w:rPr>
      </w:pPr>
      <w:bookmarkStart w:id="24" w:name="_Toc18450"/>
      <w:r>
        <w:rPr>
          <w:rFonts w:hint="eastAsia" w:ascii="黑体" w:hAnsi="黑体" w:eastAsia="黑体" w:cs="黑体"/>
          <w:color w:val="auto"/>
          <w:sz w:val="21"/>
          <w:szCs w:val="21"/>
        </w:rPr>
        <w:t>5.3  给</w:t>
      </w:r>
      <w:r>
        <w:rPr>
          <w:rFonts w:ascii="黑体" w:hAnsi="黑体" w:eastAsia="黑体" w:cs="黑体"/>
          <w:color w:val="auto"/>
          <w:sz w:val="21"/>
          <w:szCs w:val="21"/>
        </w:rPr>
        <w:t>水、</w:t>
      </w:r>
      <w:r>
        <w:rPr>
          <w:rFonts w:hint="eastAsia" w:ascii="黑体" w:hAnsi="黑体" w:eastAsia="黑体" w:cs="黑体"/>
          <w:color w:val="auto"/>
          <w:sz w:val="21"/>
          <w:szCs w:val="21"/>
        </w:rPr>
        <w:t>排水及供油</w:t>
      </w:r>
      <w:bookmarkEnd w:id="23"/>
      <w:r>
        <w:rPr>
          <w:rFonts w:ascii="黑体" w:hAnsi="黑体" w:eastAsia="黑体" w:cs="黑体"/>
          <w:color w:val="auto"/>
          <w:sz w:val="21"/>
          <w:szCs w:val="21"/>
        </w:rPr>
        <w:t>设备设施及系统</w:t>
      </w:r>
      <w:bookmarkEnd w:id="24"/>
      <w:r>
        <w:rPr>
          <w:rFonts w:hint="eastAsia" w:ascii="黑体" w:hAnsi="黑体" w:eastAsia="黑体" w:cs="黑体"/>
          <w:color w:val="auto"/>
          <w:sz w:val="21"/>
          <w:szCs w:val="21"/>
        </w:rPr>
        <w:tab/>
      </w:r>
      <w:r>
        <w:rPr>
          <w:rFonts w:hint="eastAsia" w:ascii="黑体" w:hAnsi="黑体" w:eastAsia="黑体" w:cs="黑体"/>
          <w:color w:val="auto"/>
          <w:sz w:val="21"/>
          <w:szCs w:val="21"/>
        </w:rPr>
        <w:tab/>
      </w:r>
    </w:p>
    <w:p w14:paraId="5BFC4458">
      <w:pPr>
        <w:spacing w:beforeLines="50" w:afterLines="50" w:line="320" w:lineRule="exact"/>
        <w:outlineLvl w:val="2"/>
        <w:rPr>
          <w:rFonts w:ascii="黑体" w:hAnsi="黑体" w:eastAsia="黑体" w:cs="黑体"/>
          <w:color w:val="auto"/>
          <w:sz w:val="21"/>
          <w:szCs w:val="21"/>
        </w:rPr>
      </w:pPr>
      <w:r>
        <w:rPr>
          <w:rFonts w:hint="eastAsia" w:ascii="黑体" w:hAnsi="黑体" w:eastAsia="黑体" w:cs="黑体"/>
          <w:color w:val="auto"/>
          <w:sz w:val="21"/>
          <w:szCs w:val="21"/>
        </w:rPr>
        <w:t>5.3.1  一般规定</w:t>
      </w:r>
      <w:r>
        <w:rPr>
          <w:rFonts w:hint="eastAsia" w:ascii="黑体" w:hAnsi="黑体" w:eastAsia="黑体" w:cs="黑体"/>
          <w:color w:val="auto"/>
          <w:sz w:val="21"/>
          <w:szCs w:val="21"/>
        </w:rPr>
        <w:tab/>
      </w:r>
    </w:p>
    <w:p w14:paraId="5F8356B3">
      <w:pPr>
        <w:spacing w:line="320" w:lineRule="exact"/>
        <w:rPr>
          <w:rFonts w:ascii="Times New Roman" w:hAnsi="Times New Roman"/>
          <w:color w:val="auto"/>
          <w:sz w:val="21"/>
          <w:szCs w:val="21"/>
        </w:rPr>
      </w:pPr>
      <w:r>
        <w:rPr>
          <w:rFonts w:hint="eastAsia" w:ascii="黑体" w:hAnsi="黑体" w:eastAsia="黑体" w:cs="黑体"/>
          <w:color w:val="auto"/>
          <w:sz w:val="21"/>
          <w:szCs w:val="21"/>
        </w:rPr>
        <w:t xml:space="preserve">5.3.1.1  </w:t>
      </w:r>
      <w:r>
        <w:rPr>
          <w:rFonts w:hint="eastAsia" w:hAnsi="宋体"/>
          <w:sz w:val="21"/>
          <w:szCs w:val="21"/>
        </w:rPr>
        <w:t>给水、排水及供油管道应定期检修，修理渗漏的管接头，更换腐蚀或损坏的管道、支架及固定件，修复或更换脱落、失效的保温层。</w:t>
      </w:r>
    </w:p>
    <w:p w14:paraId="5441DA17">
      <w:pPr>
        <w:spacing w:line="320" w:lineRule="exact"/>
        <w:rPr>
          <w:rFonts w:ascii="Times New Roman" w:hAnsi="Times New Roman"/>
          <w:color w:val="auto"/>
          <w:sz w:val="21"/>
          <w:szCs w:val="21"/>
        </w:rPr>
      </w:pPr>
      <w:r>
        <w:rPr>
          <w:rFonts w:hint="eastAsia" w:ascii="黑体" w:hAnsi="黑体" w:eastAsia="黑体" w:cs="黑体"/>
          <w:color w:val="auto"/>
          <w:sz w:val="21"/>
          <w:szCs w:val="21"/>
        </w:rPr>
        <w:t xml:space="preserve">5.3.1.2  </w:t>
      </w:r>
      <w:r>
        <w:rPr>
          <w:rFonts w:hint="eastAsia" w:hAnsi="宋体"/>
          <w:sz w:val="21"/>
          <w:szCs w:val="21"/>
        </w:rPr>
        <w:t>各类阀门应定期检查，若有开不动、关不严、滴漏水、渗漏油等情况，应及时修理或更换。</w:t>
      </w:r>
    </w:p>
    <w:p w14:paraId="588D4B7D">
      <w:pPr>
        <w:spacing w:line="320" w:lineRule="exact"/>
        <w:rPr>
          <w:rFonts w:cs="Times New Roman"/>
          <w:color w:val="auto"/>
          <w:sz w:val="21"/>
          <w:szCs w:val="21"/>
        </w:rPr>
      </w:pPr>
      <w:r>
        <w:rPr>
          <w:rFonts w:hint="eastAsia" w:ascii="黑体" w:hAnsi="黑体" w:eastAsia="黑体" w:cs="黑体"/>
          <w:color w:val="auto"/>
          <w:sz w:val="21"/>
          <w:szCs w:val="21"/>
        </w:rPr>
        <w:t xml:space="preserve">5.3.1.3 </w:t>
      </w:r>
      <w:r>
        <w:rPr>
          <w:rFonts w:hint="eastAsia" w:hAnsi="宋体"/>
          <w:sz w:val="21"/>
          <w:szCs w:val="21"/>
        </w:rPr>
        <w:t>常开常闭状态的阀门，启闭标识牌应准确对应阀门状态，</w:t>
      </w:r>
      <w:r>
        <w:rPr>
          <w:rFonts w:hint="eastAsia" w:ascii="Times New Roman" w:hAnsi="Times New Roman"/>
          <w:sz w:val="21"/>
          <w:szCs w:val="21"/>
        </w:rPr>
        <w:t>并定期添加润滑剂。</w:t>
      </w:r>
    </w:p>
    <w:p w14:paraId="77747AED">
      <w:pPr>
        <w:spacing w:line="320" w:lineRule="exact"/>
        <w:rPr>
          <w:color w:val="auto"/>
          <w:sz w:val="21"/>
          <w:szCs w:val="21"/>
        </w:rPr>
      </w:pPr>
      <w:r>
        <w:rPr>
          <w:rFonts w:hint="eastAsia" w:ascii="黑体" w:hAnsi="黑体" w:eastAsia="黑体" w:cs="黑体"/>
          <w:color w:val="auto"/>
          <w:sz w:val="21"/>
          <w:szCs w:val="21"/>
        </w:rPr>
        <w:t xml:space="preserve">5.3.1.4  </w:t>
      </w:r>
      <w:r>
        <w:rPr>
          <w:rFonts w:hint="eastAsia" w:hAnsi="宋体"/>
          <w:sz w:val="21"/>
          <w:szCs w:val="21"/>
        </w:rPr>
        <w:t>各类水泵、油泵及其动力设施应保持完好、清洁、干燥、无锈蚀。</w:t>
      </w:r>
    </w:p>
    <w:p w14:paraId="3FD968BD">
      <w:pPr>
        <w:spacing w:line="320" w:lineRule="exact"/>
        <w:rPr>
          <w:rFonts w:ascii="Times New Roman" w:hAnsi="Times New Roman"/>
          <w:color w:val="auto"/>
          <w:sz w:val="21"/>
          <w:szCs w:val="21"/>
        </w:rPr>
      </w:pPr>
      <w:r>
        <w:rPr>
          <w:rFonts w:hint="eastAsia" w:ascii="黑体" w:hAnsi="黑体" w:eastAsia="黑体" w:cs="黑体"/>
          <w:color w:val="auto"/>
          <w:sz w:val="21"/>
          <w:szCs w:val="21"/>
        </w:rPr>
        <w:t xml:space="preserve">5.3.1.5 </w:t>
      </w:r>
      <w:r>
        <w:rPr>
          <w:rFonts w:hint="eastAsia" w:hAnsi="宋体"/>
          <w:sz w:val="21"/>
          <w:szCs w:val="21"/>
        </w:rPr>
        <w:t>各类泵均必须按产品说明和“操作规程”要求进行操作。</w:t>
      </w:r>
    </w:p>
    <w:p w14:paraId="4C3D0AFF">
      <w:pPr>
        <w:pStyle w:val="13"/>
        <w:widowControl/>
        <w:spacing w:beforeLines="50" w:beforeAutospacing="0" w:afterLines="50" w:afterAutospacing="0" w:line="320" w:lineRule="exact"/>
        <w:jc w:val="both"/>
        <w:outlineLvl w:val="2"/>
        <w:rPr>
          <w:rFonts w:ascii="黑体" w:hAnsi="黑体" w:eastAsia="黑体" w:cs="黑体"/>
          <w:color w:val="auto"/>
          <w:sz w:val="21"/>
          <w:szCs w:val="21"/>
        </w:rPr>
      </w:pPr>
      <w:r>
        <w:rPr>
          <w:rFonts w:hint="eastAsia" w:ascii="黑体" w:hAnsi="黑体" w:eastAsia="黑体" w:cs="黑体"/>
          <w:color w:val="auto"/>
          <w:sz w:val="21"/>
          <w:szCs w:val="21"/>
        </w:rPr>
        <w:t>5.3.2  水源及给水</w:t>
      </w:r>
    </w:p>
    <w:p w14:paraId="10664D1D">
      <w:pPr>
        <w:spacing w:line="320" w:lineRule="exact"/>
        <w:rPr>
          <w:rFonts w:ascii="黑体" w:hAnsi="黑体" w:eastAsia="黑体" w:cs="黑体"/>
          <w:color w:val="auto"/>
          <w:sz w:val="21"/>
          <w:szCs w:val="21"/>
        </w:rPr>
      </w:pPr>
      <w:r>
        <w:rPr>
          <w:rFonts w:hint="eastAsia" w:ascii="黑体" w:hAnsi="黑体" w:eastAsia="黑体" w:cs="黑体"/>
          <w:color w:val="auto"/>
          <w:sz w:val="21"/>
          <w:szCs w:val="21"/>
        </w:rPr>
        <w:t xml:space="preserve">5.3.2.1  </w:t>
      </w:r>
      <w:r>
        <w:rPr>
          <w:rFonts w:hint="eastAsia" w:hAnsi="宋体"/>
          <w:sz w:val="21"/>
          <w:szCs w:val="21"/>
        </w:rPr>
        <w:t>具有内部水源的人防工程，水源井周边应有不小于20m的卫生防护区，在此范围内不得设有渗水厕所、渗水坑和废渣堆等污染源。</w:t>
      </w:r>
    </w:p>
    <w:p w14:paraId="59D7BBCE">
      <w:pPr>
        <w:spacing w:line="320" w:lineRule="exact"/>
        <w:rPr>
          <w:color w:val="auto"/>
          <w:sz w:val="21"/>
          <w:szCs w:val="21"/>
        </w:rPr>
      </w:pPr>
      <w:r>
        <w:rPr>
          <w:rFonts w:hint="eastAsia" w:ascii="黑体" w:hAnsi="黑体" w:eastAsia="黑体" w:cs="黑体"/>
          <w:color w:val="auto"/>
          <w:sz w:val="21"/>
          <w:szCs w:val="21"/>
        </w:rPr>
        <w:t>5.3.2.2</w:t>
      </w:r>
      <w:r>
        <w:rPr>
          <w:rFonts w:hint="eastAsia" w:hAnsi="宋体"/>
          <w:sz w:val="21"/>
          <w:szCs w:val="21"/>
        </w:rPr>
        <w:t>贮水设施人孔盖板及锁具应定期检查，溢流管、通气管及放空管末端的防虫网罩应保持完好。</w:t>
      </w:r>
    </w:p>
    <w:p w14:paraId="0DE60F1B">
      <w:pPr>
        <w:spacing w:line="320" w:lineRule="exact"/>
        <w:rPr>
          <w:rFonts w:hAnsi="宋体"/>
          <w:sz w:val="21"/>
          <w:szCs w:val="21"/>
        </w:rPr>
      </w:pPr>
      <w:r>
        <w:rPr>
          <w:rFonts w:hint="eastAsia" w:ascii="黑体" w:hAnsi="黑体" w:eastAsia="黑体" w:cs="黑体"/>
          <w:color w:val="auto"/>
          <w:sz w:val="21"/>
          <w:szCs w:val="21"/>
        </w:rPr>
        <w:t xml:space="preserve">5.3.2.3  </w:t>
      </w:r>
      <w:r>
        <w:rPr>
          <w:rFonts w:hint="eastAsia" w:hAnsi="宋体"/>
          <w:sz w:val="21"/>
          <w:szCs w:val="21"/>
        </w:rPr>
        <w:t>热水器、开水器应按产品要求定期检修、清洗，应保持设备不漏水，内外表面无锈、无垢，底部无沉积物，保温层应完整无损。若发现漏电、漏水，应停止使用，进行修理。保温层损坏应</w:t>
      </w:r>
      <w:r>
        <w:rPr>
          <w:rFonts w:hAnsi="宋体"/>
          <w:sz w:val="21"/>
          <w:szCs w:val="21"/>
        </w:rPr>
        <w:t>及时</w:t>
      </w:r>
      <w:r>
        <w:rPr>
          <w:rFonts w:hint="eastAsia" w:hAnsi="宋体"/>
          <w:sz w:val="21"/>
          <w:szCs w:val="21"/>
        </w:rPr>
        <w:t>维修，失效的应更换。</w:t>
      </w:r>
    </w:p>
    <w:p w14:paraId="3D9AB606">
      <w:pPr>
        <w:spacing w:line="320" w:lineRule="exact"/>
        <w:rPr>
          <w:rFonts w:hAnsi="宋体"/>
          <w:sz w:val="21"/>
          <w:szCs w:val="21"/>
        </w:rPr>
      </w:pPr>
      <w:r>
        <w:rPr>
          <w:rFonts w:hint="eastAsia" w:ascii="黑体" w:hAnsi="宋体" w:eastAsia="黑体" w:cs="黑体"/>
          <w:sz w:val="21"/>
          <w:szCs w:val="21"/>
        </w:rPr>
        <w:t>5.3.2.4</w:t>
      </w:r>
      <w:r>
        <w:rPr>
          <w:rFonts w:hint="eastAsia" w:hAnsi="宋体"/>
          <w:sz w:val="21"/>
          <w:szCs w:val="21"/>
        </w:rPr>
        <w:t xml:space="preserve">  严禁擅自拆除工程内的洗消设施，战时使用的洗消软管、移动泵、排水软管等洗消设施平时应储藏在</w:t>
      </w:r>
      <w:r>
        <w:rPr>
          <w:rFonts w:hint="eastAsia" w:hAnsi="Times New Roman" w:cs="Times New Roman"/>
          <w:sz w:val="21"/>
          <w:szCs w:val="21"/>
        </w:rPr>
        <w:t>平战功能转换器材储藏室</w:t>
      </w:r>
      <w:r>
        <w:rPr>
          <w:rFonts w:hint="eastAsia" w:hAnsi="宋体"/>
          <w:sz w:val="21"/>
          <w:szCs w:val="21"/>
        </w:rPr>
        <w:t>，不得随意挪用。</w:t>
      </w:r>
    </w:p>
    <w:p w14:paraId="2B7EC284">
      <w:pPr>
        <w:spacing w:line="320" w:lineRule="exact"/>
        <w:rPr>
          <w:rFonts w:hAnsi="宋体"/>
          <w:sz w:val="21"/>
          <w:szCs w:val="21"/>
        </w:rPr>
      </w:pPr>
      <w:r>
        <w:rPr>
          <w:rFonts w:hint="eastAsia" w:ascii="黑体" w:hAnsi="宋体" w:eastAsia="黑体" w:cs="黑体"/>
          <w:sz w:val="21"/>
          <w:szCs w:val="21"/>
        </w:rPr>
        <w:t>5.3.2.5</w:t>
      </w:r>
      <w:r>
        <w:rPr>
          <w:rFonts w:hint="eastAsia" w:hAnsi="宋体"/>
          <w:sz w:val="21"/>
          <w:szCs w:val="21"/>
        </w:rPr>
        <w:t xml:space="preserve">  应定期对口部洗消系统进行维护保养，确保各种设备正常、开关灵活、管道完好及畅通。</w:t>
      </w:r>
    </w:p>
    <w:p w14:paraId="4158EB0D">
      <w:pPr>
        <w:pStyle w:val="13"/>
        <w:widowControl/>
        <w:spacing w:beforeLines="50" w:beforeAutospacing="0" w:afterLines="50" w:afterAutospacing="0" w:line="320" w:lineRule="exact"/>
        <w:jc w:val="both"/>
        <w:outlineLvl w:val="2"/>
        <w:rPr>
          <w:rFonts w:ascii="黑体" w:hAnsi="黑体" w:eastAsia="黑体" w:cs="黑体"/>
          <w:color w:val="auto"/>
          <w:sz w:val="21"/>
          <w:szCs w:val="21"/>
        </w:rPr>
      </w:pPr>
      <w:r>
        <w:rPr>
          <w:rFonts w:hint="eastAsia" w:ascii="黑体" w:hAnsi="黑体" w:eastAsia="黑体" w:cs="黑体"/>
          <w:color w:val="auto"/>
          <w:sz w:val="21"/>
          <w:szCs w:val="21"/>
        </w:rPr>
        <w:t>5.3.3  排水</w:t>
      </w:r>
    </w:p>
    <w:p w14:paraId="6F7D70FE">
      <w:pPr>
        <w:spacing w:line="320" w:lineRule="exact"/>
        <w:rPr>
          <w:color w:val="auto"/>
          <w:sz w:val="21"/>
          <w:szCs w:val="21"/>
        </w:rPr>
      </w:pPr>
      <w:r>
        <w:rPr>
          <w:rFonts w:hint="eastAsia" w:ascii="黑体" w:hAnsi="黑体" w:eastAsia="黑体" w:cs="黑体"/>
          <w:color w:val="auto"/>
          <w:sz w:val="21"/>
          <w:szCs w:val="21"/>
        </w:rPr>
        <w:t xml:space="preserve">5.3.3.1  </w:t>
      </w:r>
      <w:r>
        <w:rPr>
          <w:rFonts w:hint="eastAsia" w:hAnsi="宋体"/>
          <w:sz w:val="21"/>
          <w:szCs w:val="21"/>
        </w:rPr>
        <w:t>集水池</w:t>
      </w:r>
      <w:r>
        <w:rPr>
          <w:rFonts w:hint="eastAsia" w:ascii="Times New Roman" w:hAnsi="Times New Roman"/>
          <w:sz w:val="21"/>
          <w:szCs w:val="21"/>
        </w:rPr>
        <w:t>应定期清掏和冲洗，检查</w:t>
      </w:r>
      <w:r>
        <w:rPr>
          <w:rFonts w:hint="eastAsia" w:hAnsi="宋体"/>
          <w:sz w:val="21"/>
          <w:szCs w:val="21"/>
        </w:rPr>
        <w:t>井盖、井座等部件，如有破损、松动、锈蚀现象，应及时维修和更换。</w:t>
      </w:r>
    </w:p>
    <w:p w14:paraId="27825403">
      <w:pPr>
        <w:spacing w:line="320" w:lineRule="exact"/>
        <w:rPr>
          <w:color w:val="auto"/>
          <w:sz w:val="21"/>
          <w:szCs w:val="21"/>
        </w:rPr>
      </w:pPr>
      <w:r>
        <w:rPr>
          <w:rFonts w:hint="eastAsia" w:ascii="黑体" w:hAnsi="黑体" w:eastAsia="黑体" w:cs="黑体"/>
          <w:color w:val="auto"/>
          <w:sz w:val="21"/>
          <w:szCs w:val="21"/>
        </w:rPr>
        <w:t xml:space="preserve">5.3.3.2  </w:t>
      </w:r>
      <w:r>
        <w:rPr>
          <w:rFonts w:hint="eastAsia" w:hAnsi="宋体"/>
          <w:sz w:val="21"/>
          <w:szCs w:val="21"/>
        </w:rPr>
        <w:t>地漏、清扫口和排水口应定期检查,保持外观完好，盖板启闭灵活，对破损、锈蚀的设施应及时维修或更换。</w:t>
      </w:r>
    </w:p>
    <w:p w14:paraId="5BBDD4CF">
      <w:pPr>
        <w:spacing w:line="320" w:lineRule="exact"/>
        <w:rPr>
          <w:color w:val="auto"/>
          <w:sz w:val="21"/>
          <w:szCs w:val="21"/>
        </w:rPr>
      </w:pPr>
      <w:r>
        <w:rPr>
          <w:rFonts w:hint="eastAsia" w:ascii="黑体" w:hAnsi="黑体" w:eastAsia="黑体" w:cs="黑体"/>
          <w:color w:val="auto"/>
          <w:sz w:val="21"/>
          <w:szCs w:val="21"/>
        </w:rPr>
        <w:t xml:space="preserve">5.3.3.3  </w:t>
      </w:r>
      <w:r>
        <w:rPr>
          <w:rFonts w:hint="eastAsia" w:hAnsi="宋体"/>
          <w:sz w:val="21"/>
          <w:szCs w:val="21"/>
        </w:rPr>
        <w:t>影响人员和车辆通行安全的地漏、清</w:t>
      </w:r>
      <w:r>
        <w:rPr>
          <w:rFonts w:hint="eastAsia" w:hAnsi="宋体"/>
          <w:color w:val="auto"/>
          <w:sz w:val="21"/>
          <w:szCs w:val="21"/>
        </w:rPr>
        <w:t>扫口和排水口，应加设防护措施并保证系统管道排水畅通。</w:t>
      </w:r>
    </w:p>
    <w:p w14:paraId="7CB58BEB">
      <w:pPr>
        <w:spacing w:line="320" w:lineRule="exact"/>
        <w:rPr>
          <w:color w:val="auto"/>
          <w:sz w:val="21"/>
          <w:szCs w:val="21"/>
        </w:rPr>
      </w:pPr>
      <w:r>
        <w:rPr>
          <w:rFonts w:hint="eastAsia" w:ascii="黑体" w:hAnsi="黑体" w:eastAsia="黑体" w:cs="黑体"/>
          <w:color w:val="auto"/>
          <w:sz w:val="21"/>
          <w:szCs w:val="21"/>
        </w:rPr>
        <w:t xml:space="preserve">5.3.3.4  </w:t>
      </w:r>
      <w:r>
        <w:rPr>
          <w:rFonts w:hint="eastAsia" w:hAnsi="宋体"/>
          <w:color w:val="auto"/>
          <w:sz w:val="21"/>
          <w:szCs w:val="21"/>
        </w:rPr>
        <w:t>卫生间、盥洗间等可能被水浸湿的区域，应加设地面防滑措施。</w:t>
      </w:r>
    </w:p>
    <w:p w14:paraId="100FAA59">
      <w:pPr>
        <w:spacing w:line="320" w:lineRule="exact"/>
        <w:rPr>
          <w:color w:val="auto"/>
          <w:sz w:val="21"/>
          <w:szCs w:val="21"/>
        </w:rPr>
      </w:pPr>
      <w:r>
        <w:rPr>
          <w:rFonts w:hint="eastAsia" w:ascii="黑体" w:hAnsi="黑体" w:eastAsia="黑体" w:cs="黑体"/>
          <w:color w:val="auto"/>
          <w:sz w:val="21"/>
          <w:szCs w:val="21"/>
        </w:rPr>
        <w:t xml:space="preserve">5.3.3.5  </w:t>
      </w:r>
      <w:r>
        <w:rPr>
          <w:rFonts w:hint="eastAsia" w:hAnsi="宋体"/>
          <w:color w:val="auto"/>
          <w:sz w:val="21"/>
          <w:szCs w:val="21"/>
        </w:rPr>
        <w:t>应定期检查集水池通气管道是否畅通、地漏及卫生设备水封是否有效。</w:t>
      </w:r>
    </w:p>
    <w:p w14:paraId="0B6E3E5D">
      <w:pPr>
        <w:pStyle w:val="13"/>
        <w:widowControl/>
        <w:spacing w:beforeLines="50" w:beforeAutospacing="0" w:afterLines="50" w:afterAutospacing="0" w:line="320" w:lineRule="exact"/>
        <w:jc w:val="both"/>
        <w:outlineLvl w:val="2"/>
        <w:rPr>
          <w:rFonts w:ascii="黑体" w:hAnsi="黑体" w:eastAsia="黑体" w:cs="黑体"/>
          <w:sz w:val="21"/>
          <w:szCs w:val="21"/>
        </w:rPr>
      </w:pPr>
      <w:r>
        <w:rPr>
          <w:rFonts w:hint="eastAsia" w:ascii="黑体" w:hAnsi="黑体" w:eastAsia="黑体" w:cs="黑体"/>
          <w:sz w:val="21"/>
          <w:szCs w:val="21"/>
        </w:rPr>
        <w:t>5.3.4  供油</w:t>
      </w:r>
    </w:p>
    <w:p w14:paraId="330CB7CE">
      <w:pPr>
        <w:spacing w:line="320" w:lineRule="exact"/>
        <w:rPr>
          <w:sz w:val="21"/>
          <w:szCs w:val="21"/>
        </w:rPr>
      </w:pPr>
      <w:r>
        <w:rPr>
          <w:rFonts w:hint="eastAsia" w:ascii="黑体" w:hAnsi="黑体" w:eastAsia="黑体" w:cs="黑体"/>
          <w:sz w:val="21"/>
          <w:szCs w:val="21"/>
        </w:rPr>
        <w:t xml:space="preserve">5.3.4.1  </w:t>
      </w:r>
      <w:r>
        <w:rPr>
          <w:rFonts w:hint="eastAsia" w:hAnsi="宋体"/>
          <w:sz w:val="21"/>
          <w:szCs w:val="21"/>
        </w:rPr>
        <w:t>油管接头井盖、井座如有损坏、松动、锈蚀等现象，应及时维修和更换。</w:t>
      </w:r>
    </w:p>
    <w:p w14:paraId="74428AA1">
      <w:pPr>
        <w:spacing w:line="320" w:lineRule="exact"/>
        <w:rPr>
          <w:rFonts w:cs="Times New Roman"/>
          <w:sz w:val="21"/>
          <w:szCs w:val="21"/>
        </w:rPr>
      </w:pPr>
      <w:r>
        <w:rPr>
          <w:rFonts w:hint="eastAsia" w:ascii="黑体" w:hAnsi="黑体" w:eastAsia="黑体" w:cs="黑体"/>
          <w:sz w:val="21"/>
          <w:szCs w:val="21"/>
        </w:rPr>
        <w:t xml:space="preserve">5.3.4.2  </w:t>
      </w:r>
      <w:r>
        <w:rPr>
          <w:rFonts w:hint="eastAsia" w:hAnsi="宋体"/>
          <w:sz w:val="21"/>
          <w:szCs w:val="21"/>
        </w:rPr>
        <w:t>定期</w:t>
      </w:r>
      <w:r>
        <w:rPr>
          <w:rFonts w:hint="eastAsia" w:hAnsi="宋体" w:cs="Times New Roman"/>
          <w:sz w:val="21"/>
          <w:szCs w:val="21"/>
        </w:rPr>
        <w:t>检查贮油设施人孔盖板及锁具，检查通气管和放空管末端的防虫网罩，确保完好。</w:t>
      </w:r>
    </w:p>
    <w:p w14:paraId="1BEFFB36">
      <w:pPr>
        <w:spacing w:line="320" w:lineRule="exact"/>
        <w:rPr>
          <w:rFonts w:cs="Times New Roman"/>
          <w:sz w:val="21"/>
          <w:szCs w:val="21"/>
        </w:rPr>
      </w:pPr>
      <w:r>
        <w:rPr>
          <w:rFonts w:ascii="黑体" w:hAnsi="黑体" w:eastAsia="黑体" w:cs="黑体"/>
          <w:sz w:val="21"/>
          <w:szCs w:val="21"/>
        </w:rPr>
        <w:t>5.3.4.</w:t>
      </w:r>
      <w:r>
        <w:rPr>
          <w:rFonts w:hint="eastAsia" w:ascii="黑体" w:hAnsi="黑体" w:eastAsia="黑体" w:cs="黑体"/>
          <w:sz w:val="21"/>
          <w:szCs w:val="21"/>
        </w:rPr>
        <w:t>3</w:t>
      </w:r>
      <w:r>
        <w:rPr>
          <w:rFonts w:ascii="黑体" w:hAnsi="黑体" w:eastAsia="黑体" w:cs="黑体"/>
          <w:sz w:val="21"/>
          <w:szCs w:val="21"/>
        </w:rPr>
        <w:t xml:space="preserve"> </w:t>
      </w:r>
      <w:r>
        <w:rPr>
          <w:rFonts w:hint="eastAsia" w:ascii="黑体" w:hAnsi="黑体" w:eastAsia="黑体" w:cs="黑体"/>
          <w:sz w:val="21"/>
          <w:szCs w:val="21"/>
        </w:rPr>
        <w:t xml:space="preserve"> </w:t>
      </w:r>
      <w:r>
        <w:rPr>
          <w:rFonts w:hint="eastAsia" w:hAnsi="宋体"/>
          <w:sz w:val="21"/>
          <w:szCs w:val="21"/>
        </w:rPr>
        <w:t>贮油箱、油桶、油位计及油过滤器等设施应定期检查，发现漏油、腐蚀、堵塞时应及时修复。</w:t>
      </w:r>
    </w:p>
    <w:p w14:paraId="4CA09AE9">
      <w:pPr>
        <w:spacing w:line="320" w:lineRule="exact"/>
        <w:rPr>
          <w:rFonts w:hAnsi="宋体"/>
          <w:sz w:val="21"/>
          <w:szCs w:val="21"/>
        </w:rPr>
      </w:pPr>
      <w:r>
        <w:rPr>
          <w:rFonts w:hint="eastAsia" w:ascii="黑体" w:hAnsi="黑体" w:eastAsia="黑体" w:cs="黑体"/>
          <w:sz w:val="21"/>
          <w:szCs w:val="21"/>
        </w:rPr>
        <w:t xml:space="preserve">5.3.4.4  </w:t>
      </w:r>
      <w:r>
        <w:rPr>
          <w:rFonts w:hint="eastAsia" w:hAnsi="宋体"/>
          <w:sz w:val="21"/>
          <w:szCs w:val="21"/>
        </w:rPr>
        <w:t>燃油应经过沉淀和过滤处理，保持油质良好，杂质应定期清理。</w:t>
      </w:r>
    </w:p>
    <w:p w14:paraId="1FC3080A">
      <w:pPr>
        <w:spacing w:line="320" w:lineRule="exact"/>
        <w:rPr>
          <w:rFonts w:hAnsi="宋体"/>
          <w:sz w:val="21"/>
          <w:szCs w:val="21"/>
        </w:rPr>
      </w:pPr>
      <w:r>
        <w:rPr>
          <w:rFonts w:ascii="黑体" w:hAnsi="宋体" w:eastAsia="黑体"/>
          <w:sz w:val="21"/>
          <w:szCs w:val="21"/>
        </w:rPr>
        <w:t>5.3.4.</w:t>
      </w:r>
      <w:r>
        <w:rPr>
          <w:rFonts w:hint="eastAsia" w:ascii="黑体" w:hAnsi="宋体" w:eastAsia="黑体"/>
          <w:sz w:val="21"/>
          <w:szCs w:val="21"/>
        </w:rPr>
        <w:t>5</w:t>
      </w:r>
      <w:r>
        <w:rPr>
          <w:rFonts w:ascii="黑体" w:hAnsi="宋体" w:eastAsia="黑体"/>
          <w:sz w:val="21"/>
          <w:szCs w:val="21"/>
        </w:rPr>
        <w:t xml:space="preserve"> </w:t>
      </w:r>
      <w:r>
        <w:rPr>
          <w:rFonts w:hint="eastAsia" w:ascii="黑体" w:hAnsi="宋体" w:eastAsia="黑体"/>
          <w:sz w:val="21"/>
          <w:szCs w:val="21"/>
        </w:rPr>
        <w:t xml:space="preserve"> </w:t>
      </w:r>
      <w:r>
        <w:rPr>
          <w:rFonts w:hint="eastAsia" w:hAnsi="宋体"/>
          <w:sz w:val="21"/>
          <w:szCs w:val="21"/>
        </w:rPr>
        <w:t>贮油间的砂箱、灭火器和悬挂式自动灭火装置等灭火设备，应按产品要求进行维护保养，严禁擅自挪用、拆除。</w:t>
      </w:r>
    </w:p>
    <w:p w14:paraId="2A60A6DF">
      <w:pPr>
        <w:spacing w:line="320" w:lineRule="exact"/>
        <w:rPr>
          <w:rFonts w:hAnsi="宋体"/>
          <w:sz w:val="21"/>
          <w:szCs w:val="21"/>
        </w:rPr>
      </w:pPr>
      <w:r>
        <w:rPr>
          <w:rFonts w:hint="eastAsia" w:ascii="黑体" w:hAnsi="宋体" w:eastAsia="黑体"/>
          <w:sz w:val="21"/>
          <w:szCs w:val="21"/>
        </w:rPr>
        <w:t xml:space="preserve">5.3.4.6  </w:t>
      </w:r>
      <w:r>
        <w:rPr>
          <w:rFonts w:hint="eastAsia" w:hAnsi="宋体"/>
          <w:sz w:val="21"/>
          <w:szCs w:val="21"/>
        </w:rPr>
        <w:t>平时使用的贮油间，每天至少通风两次，每次通风时间不少于0.5小时。</w:t>
      </w:r>
    </w:p>
    <w:p w14:paraId="0ED7EE44">
      <w:pPr>
        <w:pStyle w:val="13"/>
        <w:widowControl/>
        <w:spacing w:beforeLines="50" w:beforeAutospacing="0" w:afterLines="50" w:afterAutospacing="0" w:line="320" w:lineRule="exact"/>
        <w:jc w:val="both"/>
        <w:outlineLvl w:val="2"/>
        <w:rPr>
          <w:rFonts w:ascii="黑体" w:hAnsi="黑体" w:eastAsia="黑体" w:cs="黑体"/>
          <w:sz w:val="21"/>
          <w:szCs w:val="21"/>
        </w:rPr>
      </w:pPr>
      <w:r>
        <w:rPr>
          <w:rFonts w:hint="eastAsia" w:ascii="黑体" w:hAnsi="黑体" w:eastAsia="黑体" w:cs="黑体"/>
          <w:sz w:val="21"/>
          <w:szCs w:val="21"/>
        </w:rPr>
        <w:t>5.3.5  消防给排水和灭火设施</w:t>
      </w:r>
    </w:p>
    <w:p w14:paraId="016C0CCB">
      <w:pPr>
        <w:spacing w:line="320" w:lineRule="exact"/>
        <w:rPr>
          <w:rFonts w:ascii="黑体" w:hAnsi="黑体" w:eastAsia="黑体" w:cs="黑体"/>
          <w:sz w:val="21"/>
          <w:szCs w:val="21"/>
        </w:rPr>
      </w:pPr>
      <w:r>
        <w:rPr>
          <w:rFonts w:hint="eastAsia" w:ascii="黑体" w:hAnsi="黑体" w:eastAsia="黑体" w:cs="黑体"/>
          <w:sz w:val="21"/>
          <w:szCs w:val="21"/>
        </w:rPr>
        <w:t xml:space="preserve">5.3.5.1  </w:t>
      </w:r>
      <w:r>
        <w:rPr>
          <w:rFonts w:hint="eastAsia" w:hAnsi="宋体" w:cs="Times New Roman"/>
          <w:sz w:val="21"/>
          <w:szCs w:val="21"/>
        </w:rPr>
        <w:t>消防系统应定期试运行，确保系统安全可靠。</w:t>
      </w:r>
      <w:r>
        <w:rPr>
          <w:rFonts w:hint="eastAsia" w:hAnsi="Times New Roman" w:cs="Times New Roman"/>
          <w:sz w:val="21"/>
          <w:szCs w:val="21"/>
        </w:rPr>
        <w:t>消</w:t>
      </w:r>
      <w:r>
        <w:rPr>
          <w:rFonts w:hint="eastAsia" w:hAnsi="宋体" w:cs="Times New Roman"/>
          <w:sz w:val="21"/>
          <w:szCs w:val="21"/>
        </w:rPr>
        <w:t>防设施应定期进行检查和维护保养，不得擅自关停和拆改。</w:t>
      </w:r>
    </w:p>
    <w:p w14:paraId="7BFCD93C">
      <w:pPr>
        <w:spacing w:line="320" w:lineRule="exact"/>
        <w:rPr>
          <w:rFonts w:cs="Times New Roman"/>
          <w:sz w:val="21"/>
          <w:szCs w:val="21"/>
        </w:rPr>
      </w:pPr>
      <w:r>
        <w:rPr>
          <w:rFonts w:hint="eastAsia" w:ascii="黑体" w:hAnsi="黑体" w:eastAsia="黑体" w:cs="黑体"/>
          <w:sz w:val="21"/>
          <w:szCs w:val="21"/>
        </w:rPr>
        <w:t xml:space="preserve">5.3.5.2  </w:t>
      </w:r>
      <w:r>
        <w:rPr>
          <w:rFonts w:hint="eastAsia" w:hAnsi="宋体" w:cs="Times New Roman"/>
          <w:sz w:val="21"/>
          <w:szCs w:val="21"/>
        </w:rPr>
        <w:t>消火栓箱门宜设警示封条，箱内消防器材应齐全，箱体不应被遮挡或覆盖，箱门应</w:t>
      </w:r>
      <w:r>
        <w:rPr>
          <w:rFonts w:hint="eastAsia" w:ascii="Times New Roman" w:hAnsi="Times New Roman"/>
          <w:sz w:val="21"/>
          <w:szCs w:val="21"/>
        </w:rPr>
        <w:t>无障碍物阻挡</w:t>
      </w:r>
      <w:r>
        <w:rPr>
          <w:rFonts w:hint="eastAsia" w:hAnsi="宋体" w:cs="Times New Roman"/>
          <w:sz w:val="21"/>
          <w:szCs w:val="21"/>
        </w:rPr>
        <w:t>。</w:t>
      </w:r>
    </w:p>
    <w:p w14:paraId="02E5345A">
      <w:pPr>
        <w:spacing w:line="320" w:lineRule="exact"/>
        <w:rPr>
          <w:rFonts w:cs="Times New Roman"/>
          <w:sz w:val="21"/>
          <w:szCs w:val="21"/>
        </w:rPr>
      </w:pPr>
      <w:r>
        <w:rPr>
          <w:rFonts w:hint="eastAsia" w:ascii="黑体" w:hAnsi="黑体" w:eastAsia="黑体" w:cs="黑体"/>
          <w:sz w:val="21"/>
          <w:szCs w:val="21"/>
        </w:rPr>
        <w:t xml:space="preserve">5.3.5.3  </w:t>
      </w:r>
      <w:r>
        <w:rPr>
          <w:rFonts w:hint="eastAsia" w:hAnsi="宋体" w:cs="Times New Roman"/>
          <w:sz w:val="21"/>
          <w:szCs w:val="21"/>
        </w:rPr>
        <w:t>灭火器应定期维护、维修和报废。灭火器报废后，应按照等效替代的原则更换。</w:t>
      </w:r>
    </w:p>
    <w:p w14:paraId="0DB2A460">
      <w:pPr>
        <w:widowControl/>
        <w:spacing w:line="320" w:lineRule="exact"/>
        <w:jc w:val="left"/>
        <w:rPr>
          <w:rFonts w:hAnsi="宋体" w:cs="Times New Roman"/>
          <w:sz w:val="21"/>
          <w:szCs w:val="21"/>
        </w:rPr>
      </w:pPr>
      <w:r>
        <w:rPr>
          <w:rFonts w:hint="eastAsia" w:ascii="黑体" w:hAnsi="黑体" w:eastAsia="黑体" w:cs="黑体"/>
          <w:sz w:val="21"/>
          <w:szCs w:val="21"/>
        </w:rPr>
        <w:t xml:space="preserve">5.3.5.4  </w:t>
      </w:r>
      <w:r>
        <w:rPr>
          <w:rFonts w:hint="eastAsia" w:hAnsi="宋体" w:cs="Times New Roman"/>
          <w:sz w:val="21"/>
          <w:szCs w:val="21"/>
        </w:rPr>
        <w:t>定期对喷头进行外观检查，若发现有漏水、腐蚀、玻璃球变色和喷头周围有影响喷头动作或洒水的障碍物等现象，应立即更换与清理</w:t>
      </w:r>
      <w:r>
        <w:rPr>
          <w:rFonts w:hint="eastAsia" w:hAnsi="宋体" w:cs="Times New Roman"/>
          <w:color w:val="auto"/>
          <w:sz w:val="21"/>
          <w:szCs w:val="21"/>
        </w:rPr>
        <w:t>，有碰撞危险场所的喷头应加设防护措施。</w:t>
      </w:r>
    </w:p>
    <w:p w14:paraId="669205B4">
      <w:pPr>
        <w:spacing w:line="320" w:lineRule="exact"/>
        <w:jc w:val="left"/>
        <w:rPr>
          <w:rFonts w:hAnsi="宋体" w:cs="Times New Roman"/>
          <w:sz w:val="21"/>
          <w:szCs w:val="21"/>
        </w:rPr>
      </w:pPr>
      <w:r>
        <w:rPr>
          <w:rFonts w:hint="eastAsia" w:ascii="黑体" w:hAnsi="宋体" w:eastAsia="黑体" w:cs="黑体"/>
          <w:sz w:val="21"/>
          <w:szCs w:val="21"/>
        </w:rPr>
        <w:t xml:space="preserve">5.3.5.5  </w:t>
      </w:r>
      <w:r>
        <w:rPr>
          <w:rFonts w:hint="eastAsia" w:hAnsi="宋体" w:cs="Times New Roman"/>
          <w:sz w:val="21"/>
          <w:szCs w:val="21"/>
        </w:rPr>
        <w:t>水泵接合器及其阀门井应定期检查，确保各部件完好，井内无杂物堆积</w:t>
      </w:r>
      <w:r>
        <w:rPr>
          <w:rFonts w:hint="eastAsia" w:hAnsi="宋体" w:cs="Times New Roman"/>
          <w:color w:val="auto"/>
          <w:sz w:val="21"/>
          <w:szCs w:val="21"/>
        </w:rPr>
        <w:t>和</w:t>
      </w:r>
      <w:r>
        <w:rPr>
          <w:rFonts w:hint="eastAsia" w:hAnsi="宋体" w:cs="Times New Roman"/>
          <w:sz w:val="21"/>
          <w:szCs w:val="21"/>
        </w:rPr>
        <w:t>积水。</w:t>
      </w:r>
    </w:p>
    <w:p w14:paraId="121A1DF6">
      <w:pPr>
        <w:spacing w:line="320" w:lineRule="exact"/>
        <w:rPr>
          <w:rFonts w:hAnsi="宋体" w:cs="Times New Roman"/>
          <w:sz w:val="21"/>
          <w:szCs w:val="21"/>
        </w:rPr>
      </w:pPr>
      <w:r>
        <w:rPr>
          <w:rFonts w:hint="eastAsia" w:ascii="黑体" w:hAnsi="宋体" w:eastAsia="黑体" w:cs="黑体"/>
          <w:sz w:val="21"/>
          <w:szCs w:val="21"/>
        </w:rPr>
        <w:t xml:space="preserve">5.3.5.6  </w:t>
      </w:r>
      <w:r>
        <w:rPr>
          <w:rFonts w:hAnsi="宋体" w:cs="Times New Roman"/>
          <w:sz w:val="21"/>
          <w:szCs w:val="21"/>
        </w:rPr>
        <w:t>气体灭火系统应由专人负责定期检查和维护，应保证其处于正常运行状态，不得擅自关停。</w:t>
      </w:r>
    </w:p>
    <w:p w14:paraId="7134A182">
      <w:pPr>
        <w:spacing w:line="320" w:lineRule="exact"/>
        <w:rPr>
          <w:rFonts w:hAnsi="宋体" w:cs="Times New Roman"/>
          <w:color w:val="auto"/>
          <w:sz w:val="21"/>
          <w:szCs w:val="21"/>
        </w:rPr>
      </w:pPr>
      <w:r>
        <w:rPr>
          <w:rFonts w:hint="eastAsia" w:ascii="黑体" w:hAnsi="宋体" w:eastAsia="黑体" w:cs="黑体"/>
          <w:color w:val="auto"/>
          <w:sz w:val="21"/>
          <w:szCs w:val="21"/>
        </w:rPr>
        <w:t>5.3.5.7</w:t>
      </w:r>
      <w:r>
        <w:rPr>
          <w:rFonts w:hint="eastAsia" w:hAnsi="宋体" w:cs="Times New Roman"/>
          <w:color w:val="auto"/>
          <w:sz w:val="21"/>
          <w:szCs w:val="21"/>
        </w:rPr>
        <w:t xml:space="preserve">  消防排水设施应定期检查和维护，确保消防排水及时有效。</w:t>
      </w:r>
    </w:p>
    <w:p w14:paraId="0B2A83FD">
      <w:pPr>
        <w:spacing w:beforeLines="50" w:afterLines="50" w:line="320" w:lineRule="exact"/>
        <w:outlineLvl w:val="1"/>
        <w:rPr>
          <w:rFonts w:ascii="黑体" w:hAnsi="黑体" w:eastAsia="黑体" w:cs="黑体"/>
          <w:color w:val="auto"/>
          <w:sz w:val="21"/>
          <w:szCs w:val="21"/>
        </w:rPr>
      </w:pPr>
      <w:bookmarkStart w:id="25" w:name="_Toc25475"/>
      <w:r>
        <w:rPr>
          <w:rFonts w:hint="eastAsia" w:ascii="黑体" w:hAnsi="黑体" w:eastAsia="黑体" w:cs="黑体"/>
          <w:color w:val="auto"/>
          <w:sz w:val="21"/>
          <w:szCs w:val="21"/>
        </w:rPr>
        <w:t>5.4  电气</w:t>
      </w:r>
      <w:r>
        <w:rPr>
          <w:rFonts w:ascii="黑体" w:hAnsi="黑体" w:eastAsia="黑体" w:cs="黑体"/>
          <w:color w:val="auto"/>
          <w:sz w:val="21"/>
          <w:szCs w:val="21"/>
        </w:rPr>
        <w:t>设备设施及系统</w:t>
      </w:r>
      <w:bookmarkEnd w:id="25"/>
    </w:p>
    <w:p w14:paraId="3EFD5730">
      <w:pPr>
        <w:autoSpaceDE w:val="0"/>
        <w:autoSpaceDN w:val="0"/>
        <w:spacing w:beforeLines="50" w:afterLines="50" w:line="320" w:lineRule="exact"/>
        <w:rPr>
          <w:rFonts w:ascii="黑体" w:hAnsi="黑体" w:eastAsia="黑体" w:cs="黑体"/>
          <w:color w:val="auto"/>
          <w:sz w:val="21"/>
          <w:szCs w:val="21"/>
        </w:rPr>
      </w:pPr>
      <w:r>
        <w:rPr>
          <w:rFonts w:hint="eastAsia" w:ascii="黑体" w:hAnsi="黑体" w:eastAsia="黑体" w:cs="黑体"/>
          <w:color w:val="auto"/>
          <w:sz w:val="21"/>
          <w:szCs w:val="21"/>
        </w:rPr>
        <w:t>5.4.1  一般规定</w:t>
      </w:r>
    </w:p>
    <w:p w14:paraId="7D592A57">
      <w:pPr>
        <w:autoSpaceDE w:val="0"/>
        <w:autoSpaceDN w:val="0"/>
        <w:spacing w:line="320" w:lineRule="exact"/>
        <w:jc w:val="left"/>
        <w:rPr>
          <w:rFonts w:hAnsi="宋体" w:cs="宋体"/>
          <w:color w:val="auto"/>
          <w:sz w:val="21"/>
          <w:szCs w:val="21"/>
        </w:rPr>
      </w:pPr>
      <w:r>
        <w:rPr>
          <w:rFonts w:hint="eastAsia" w:ascii="黑体" w:hAnsi="黑体" w:eastAsia="黑体" w:cs="黑体"/>
          <w:color w:val="auto"/>
          <w:sz w:val="21"/>
          <w:szCs w:val="21"/>
        </w:rPr>
        <w:t xml:space="preserve">5.4.1.1  </w:t>
      </w:r>
      <w:r>
        <w:rPr>
          <w:rFonts w:hint="eastAsia" w:hAnsi="宋体" w:cs="宋体"/>
          <w:color w:val="auto"/>
          <w:sz w:val="21"/>
          <w:szCs w:val="21"/>
        </w:rPr>
        <w:t>电气设备应定期保养维护，锈蚀严重、损坏的应及时维修或更换。</w:t>
      </w:r>
    </w:p>
    <w:p w14:paraId="0DE07CDC">
      <w:pPr>
        <w:autoSpaceDE w:val="0"/>
        <w:autoSpaceDN w:val="0"/>
        <w:spacing w:line="320" w:lineRule="exact"/>
        <w:jc w:val="left"/>
        <w:rPr>
          <w:rFonts w:hAnsi="宋体" w:cs="宋体"/>
          <w:color w:val="auto"/>
          <w:sz w:val="21"/>
          <w:szCs w:val="21"/>
        </w:rPr>
      </w:pPr>
      <w:r>
        <w:rPr>
          <w:rFonts w:hint="eastAsia" w:ascii="黑体" w:hAnsi="黑体" w:eastAsia="黑体" w:cs="黑体"/>
          <w:color w:val="auto"/>
          <w:sz w:val="21"/>
          <w:szCs w:val="21"/>
        </w:rPr>
        <w:t xml:space="preserve">5.4.1.2  </w:t>
      </w:r>
      <w:r>
        <w:rPr>
          <w:rFonts w:hint="eastAsia" w:hAnsi="宋体" w:cs="宋体"/>
          <w:sz w:val="21"/>
          <w:szCs w:val="21"/>
        </w:rPr>
        <w:t>电气设备需加强管理，确保电气系统运行应安全可靠。</w:t>
      </w:r>
    </w:p>
    <w:p w14:paraId="39F39BE0">
      <w:pPr>
        <w:autoSpaceDE w:val="0"/>
        <w:autoSpaceDN w:val="0"/>
        <w:spacing w:line="320" w:lineRule="exact"/>
        <w:jc w:val="left"/>
        <w:rPr>
          <w:rFonts w:hAnsi="宋体" w:cs="宋体"/>
          <w:color w:val="auto"/>
          <w:sz w:val="21"/>
          <w:szCs w:val="21"/>
        </w:rPr>
      </w:pPr>
      <w:r>
        <w:rPr>
          <w:rFonts w:hint="eastAsia" w:ascii="黑体" w:hAnsi="黑体" w:eastAsia="黑体" w:cs="黑体"/>
          <w:color w:val="auto"/>
          <w:sz w:val="21"/>
          <w:szCs w:val="21"/>
        </w:rPr>
        <w:t xml:space="preserve">5.4.1.3  </w:t>
      </w:r>
      <w:r>
        <w:rPr>
          <w:rFonts w:hint="eastAsia" w:hAnsi="宋体" w:cs="宋体"/>
          <w:color w:val="auto"/>
          <w:sz w:val="21"/>
          <w:szCs w:val="21"/>
        </w:rPr>
        <w:t>电气设备维护人员应具备必要的电气知识和业务技能，掌握触电急救方法。</w:t>
      </w:r>
    </w:p>
    <w:p w14:paraId="70A12E85">
      <w:pPr>
        <w:autoSpaceDE w:val="0"/>
        <w:autoSpaceDN w:val="0"/>
        <w:spacing w:beforeLines="50" w:afterLines="50" w:line="320" w:lineRule="exact"/>
        <w:rPr>
          <w:rFonts w:ascii="黑体" w:hAnsi="黑体" w:eastAsia="黑体" w:cs="黑体"/>
          <w:color w:val="auto"/>
          <w:sz w:val="21"/>
          <w:szCs w:val="21"/>
        </w:rPr>
      </w:pPr>
      <w:r>
        <w:rPr>
          <w:rFonts w:hint="eastAsia" w:ascii="黑体" w:hAnsi="黑体" w:eastAsia="黑体" w:cs="黑体"/>
          <w:color w:val="auto"/>
          <w:sz w:val="21"/>
          <w:szCs w:val="21"/>
        </w:rPr>
        <w:t>5.4.2  照明</w:t>
      </w:r>
    </w:p>
    <w:p w14:paraId="52381CB0">
      <w:pPr>
        <w:autoSpaceDE w:val="0"/>
        <w:autoSpaceDN w:val="0"/>
        <w:spacing w:line="320" w:lineRule="exact"/>
        <w:jc w:val="left"/>
        <w:rPr>
          <w:rFonts w:hAnsi="宋体" w:cs="宋体"/>
          <w:color w:val="auto"/>
          <w:sz w:val="21"/>
          <w:szCs w:val="21"/>
        </w:rPr>
      </w:pPr>
      <w:r>
        <w:rPr>
          <w:rFonts w:hint="eastAsia" w:ascii="黑体" w:hAnsi="黑体" w:eastAsia="黑体" w:cs="黑体"/>
          <w:color w:val="auto"/>
          <w:sz w:val="21"/>
          <w:szCs w:val="21"/>
        </w:rPr>
        <w:t xml:space="preserve">5.4.2.1  </w:t>
      </w:r>
      <w:r>
        <w:rPr>
          <w:rFonts w:hint="eastAsia" w:hAnsi="宋体" w:cs="宋体"/>
          <w:color w:val="auto"/>
          <w:sz w:val="21"/>
          <w:szCs w:val="21"/>
        </w:rPr>
        <w:t>工程内部需保证值班照明</w:t>
      </w:r>
      <w:r>
        <w:rPr>
          <w:rFonts w:hint="eastAsia" w:hAnsi="宋体" w:cs="Times New Roman"/>
          <w:color w:val="auto"/>
          <w:sz w:val="21"/>
          <w:szCs w:val="21"/>
        </w:rPr>
        <w:t>正常工作</w:t>
      </w:r>
      <w:r>
        <w:rPr>
          <w:rFonts w:hint="eastAsia" w:hAnsi="宋体" w:cs="宋体"/>
          <w:color w:val="auto"/>
          <w:sz w:val="21"/>
          <w:szCs w:val="21"/>
        </w:rPr>
        <w:t>，平时可根据需要，打开或关闭部分照明回路。</w:t>
      </w:r>
    </w:p>
    <w:p w14:paraId="58F4B900">
      <w:pPr>
        <w:autoSpaceDE w:val="0"/>
        <w:autoSpaceDN w:val="0"/>
        <w:spacing w:line="320" w:lineRule="exact"/>
        <w:jc w:val="left"/>
        <w:rPr>
          <w:rFonts w:hAnsi="宋体" w:cs="宋体"/>
          <w:color w:val="auto"/>
          <w:sz w:val="21"/>
          <w:szCs w:val="21"/>
        </w:rPr>
      </w:pPr>
      <w:r>
        <w:rPr>
          <w:rFonts w:hint="eastAsia" w:ascii="黑体" w:hAnsi="黑体" w:eastAsia="黑体" w:cs="黑体"/>
          <w:color w:val="auto"/>
          <w:sz w:val="21"/>
          <w:szCs w:val="21"/>
        </w:rPr>
        <w:t xml:space="preserve">5.4.2.2  </w:t>
      </w:r>
      <w:r>
        <w:rPr>
          <w:rFonts w:hint="eastAsia" w:hAnsi="宋体" w:cs="宋体"/>
          <w:color w:val="auto"/>
          <w:sz w:val="21"/>
          <w:szCs w:val="21"/>
        </w:rPr>
        <w:t>照明灯具表面高温部位不得靠近可燃物。</w:t>
      </w:r>
    </w:p>
    <w:p w14:paraId="646269F4">
      <w:pPr>
        <w:autoSpaceDE w:val="0"/>
        <w:autoSpaceDN w:val="0"/>
        <w:spacing w:line="320" w:lineRule="exact"/>
        <w:jc w:val="left"/>
        <w:rPr>
          <w:rFonts w:ascii="黑体" w:hAnsi="黑体" w:eastAsia="黑体" w:cs="黑体"/>
          <w:color w:val="auto"/>
          <w:sz w:val="21"/>
          <w:szCs w:val="21"/>
        </w:rPr>
      </w:pPr>
      <w:r>
        <w:rPr>
          <w:rFonts w:hint="eastAsia" w:ascii="黑体" w:hAnsi="黑体" w:eastAsia="黑体" w:cs="黑体"/>
          <w:color w:val="auto"/>
          <w:sz w:val="21"/>
          <w:szCs w:val="21"/>
        </w:rPr>
        <w:t xml:space="preserve">5.4.2.3  </w:t>
      </w:r>
      <w:r>
        <w:rPr>
          <w:rFonts w:hint="eastAsia" w:hAnsi="宋体" w:cs="宋体"/>
          <w:color w:val="auto"/>
          <w:sz w:val="21"/>
          <w:szCs w:val="21"/>
        </w:rPr>
        <w:t>供电设备线路严禁乱搭乱接，不应使用与原设计文件不符的大功率电器设备。</w:t>
      </w:r>
    </w:p>
    <w:p w14:paraId="61F8C691">
      <w:pPr>
        <w:autoSpaceDE w:val="0"/>
        <w:autoSpaceDN w:val="0"/>
        <w:spacing w:line="320" w:lineRule="exact"/>
        <w:jc w:val="left"/>
        <w:rPr>
          <w:rFonts w:hAnsi="宋体" w:cs="宋体"/>
          <w:color w:val="auto"/>
          <w:sz w:val="21"/>
          <w:szCs w:val="21"/>
        </w:rPr>
      </w:pPr>
      <w:r>
        <w:rPr>
          <w:rFonts w:hint="eastAsia" w:ascii="黑体" w:hAnsi="黑体" w:eastAsia="黑体" w:cs="黑体"/>
          <w:color w:val="auto"/>
          <w:sz w:val="21"/>
          <w:szCs w:val="21"/>
        </w:rPr>
        <w:t xml:space="preserve">5.4.2.4  </w:t>
      </w:r>
      <w:r>
        <w:rPr>
          <w:rFonts w:hint="eastAsia" w:hAnsi="宋体" w:cs="宋体"/>
          <w:color w:val="auto"/>
          <w:sz w:val="21"/>
          <w:szCs w:val="21"/>
        </w:rPr>
        <w:t>灯具、开关及插座面板应保持清洁、完好。</w:t>
      </w:r>
    </w:p>
    <w:p w14:paraId="6EC02F4A">
      <w:pPr>
        <w:autoSpaceDE w:val="0"/>
        <w:autoSpaceDN w:val="0"/>
        <w:spacing w:line="320" w:lineRule="exact"/>
        <w:jc w:val="left"/>
        <w:rPr>
          <w:rFonts w:ascii="黑体" w:hAnsi="黑体" w:eastAsia="黑体" w:cs="黑体"/>
          <w:color w:val="auto"/>
          <w:sz w:val="21"/>
          <w:szCs w:val="21"/>
        </w:rPr>
      </w:pPr>
      <w:r>
        <w:rPr>
          <w:rFonts w:hint="eastAsia" w:ascii="黑体" w:hAnsi="黑体" w:eastAsia="黑体" w:cs="黑体"/>
          <w:color w:val="auto"/>
          <w:sz w:val="21"/>
          <w:szCs w:val="21"/>
        </w:rPr>
        <w:t xml:space="preserve">5.4.2.5  </w:t>
      </w:r>
      <w:r>
        <w:rPr>
          <w:rFonts w:hint="eastAsia" w:hAnsi="宋体" w:cs="宋体"/>
          <w:color w:val="auto"/>
          <w:sz w:val="21"/>
          <w:szCs w:val="21"/>
        </w:rPr>
        <w:t>定期点亮全部照明灯具、检测各插座回路，对故障的照明灯具、插座应及时维修或更换。</w:t>
      </w:r>
    </w:p>
    <w:p w14:paraId="65552563">
      <w:pPr>
        <w:autoSpaceDE w:val="0"/>
        <w:autoSpaceDN w:val="0"/>
        <w:spacing w:beforeLines="50" w:afterLines="50" w:line="320" w:lineRule="exact"/>
        <w:rPr>
          <w:rFonts w:ascii="黑体" w:hAnsi="黑体" w:eastAsia="黑体" w:cs="黑体"/>
          <w:color w:val="auto"/>
          <w:sz w:val="21"/>
          <w:szCs w:val="21"/>
        </w:rPr>
      </w:pPr>
      <w:r>
        <w:rPr>
          <w:rFonts w:hint="eastAsia" w:ascii="黑体" w:hAnsi="黑体" w:eastAsia="黑体" w:cs="黑体"/>
          <w:color w:val="auto"/>
          <w:sz w:val="21"/>
          <w:szCs w:val="21"/>
        </w:rPr>
        <w:t>5.4.3  配电与控制</w:t>
      </w:r>
    </w:p>
    <w:p w14:paraId="76DCB5BE">
      <w:pPr>
        <w:autoSpaceDE w:val="0"/>
        <w:autoSpaceDN w:val="0"/>
        <w:spacing w:line="320" w:lineRule="exact"/>
        <w:jc w:val="left"/>
        <w:rPr>
          <w:rFonts w:hAnsi="宋体" w:cs="宋体"/>
          <w:color w:val="auto"/>
          <w:sz w:val="21"/>
          <w:szCs w:val="21"/>
        </w:rPr>
      </w:pPr>
      <w:r>
        <w:rPr>
          <w:rFonts w:hint="eastAsia" w:ascii="黑体" w:hAnsi="黑体" w:eastAsia="黑体" w:cs="黑体"/>
          <w:color w:val="auto"/>
          <w:sz w:val="21"/>
          <w:szCs w:val="21"/>
        </w:rPr>
        <w:t xml:space="preserve">5.4.3.1  </w:t>
      </w:r>
      <w:r>
        <w:rPr>
          <w:rFonts w:hint="eastAsia" w:hAnsi="宋体" w:cs="宋体"/>
          <w:color w:val="auto"/>
          <w:sz w:val="21"/>
          <w:szCs w:val="21"/>
        </w:rPr>
        <w:t>配电箱（柜）控制回路标识应齐全、清晰。</w:t>
      </w:r>
    </w:p>
    <w:p w14:paraId="4C01D722">
      <w:pPr>
        <w:autoSpaceDE w:val="0"/>
        <w:autoSpaceDN w:val="0"/>
        <w:spacing w:line="320" w:lineRule="exact"/>
        <w:jc w:val="left"/>
        <w:rPr>
          <w:rFonts w:hAnsi="宋体" w:cs="宋体"/>
          <w:color w:val="auto"/>
          <w:sz w:val="21"/>
          <w:szCs w:val="21"/>
        </w:rPr>
      </w:pPr>
      <w:r>
        <w:rPr>
          <w:rFonts w:hint="eastAsia" w:ascii="黑体" w:hAnsi="黑体" w:eastAsia="黑体" w:cs="黑体"/>
          <w:color w:val="auto"/>
          <w:sz w:val="21"/>
          <w:szCs w:val="21"/>
        </w:rPr>
        <w:t xml:space="preserve">5.4.3.2  </w:t>
      </w:r>
      <w:r>
        <w:rPr>
          <w:rFonts w:hint="eastAsia" w:hAnsi="宋体" w:cs="宋体"/>
          <w:color w:val="auto"/>
          <w:sz w:val="21"/>
          <w:szCs w:val="21"/>
        </w:rPr>
        <w:t>电缆（线）与开关、熔断器、灯头等电气设备连接应牢固可靠、接触良好。</w:t>
      </w:r>
    </w:p>
    <w:p w14:paraId="2E3BFF87">
      <w:pPr>
        <w:autoSpaceDE w:val="0"/>
        <w:autoSpaceDN w:val="0"/>
        <w:spacing w:line="320" w:lineRule="exact"/>
        <w:jc w:val="left"/>
        <w:rPr>
          <w:rFonts w:hAnsi="宋体" w:cs="宋体"/>
          <w:color w:val="auto"/>
          <w:sz w:val="21"/>
          <w:szCs w:val="21"/>
        </w:rPr>
      </w:pPr>
      <w:r>
        <w:rPr>
          <w:rFonts w:hint="eastAsia" w:ascii="黑体" w:hAnsi="黑体" w:eastAsia="黑体" w:cs="黑体"/>
          <w:color w:val="auto"/>
          <w:sz w:val="21"/>
          <w:szCs w:val="21"/>
        </w:rPr>
        <w:t xml:space="preserve">5.4.3.3 </w:t>
      </w:r>
      <w:r>
        <w:rPr>
          <w:rFonts w:hint="eastAsia" w:hAnsi="宋体" w:cs="宋体"/>
          <w:color w:val="auto"/>
          <w:sz w:val="21"/>
          <w:szCs w:val="21"/>
        </w:rPr>
        <w:t xml:space="preserve"> 设在公共区域的配电箱（柜）门应设置警示标志及锁具，非维护</w:t>
      </w:r>
      <w:r>
        <w:rPr>
          <w:rFonts w:hAnsi="宋体" w:cs="宋体"/>
          <w:color w:val="auto"/>
          <w:sz w:val="21"/>
          <w:szCs w:val="21"/>
        </w:rPr>
        <w:t>管理</w:t>
      </w:r>
      <w:r>
        <w:rPr>
          <w:rFonts w:hint="eastAsia" w:hAnsi="宋体" w:cs="宋体"/>
          <w:color w:val="auto"/>
          <w:sz w:val="21"/>
          <w:szCs w:val="21"/>
        </w:rPr>
        <w:t>人员禁止操作。</w:t>
      </w:r>
    </w:p>
    <w:p w14:paraId="28D93075">
      <w:pPr>
        <w:autoSpaceDE w:val="0"/>
        <w:autoSpaceDN w:val="0"/>
        <w:spacing w:line="320" w:lineRule="exact"/>
        <w:jc w:val="left"/>
        <w:rPr>
          <w:rFonts w:hAnsi="宋体" w:cs="宋体"/>
          <w:color w:val="auto"/>
          <w:sz w:val="21"/>
          <w:szCs w:val="21"/>
        </w:rPr>
      </w:pPr>
      <w:r>
        <w:rPr>
          <w:rFonts w:hint="eastAsia" w:ascii="黑体" w:hAnsi="黑体" w:eastAsia="黑体" w:cs="黑体"/>
          <w:color w:val="auto"/>
          <w:sz w:val="21"/>
          <w:szCs w:val="21"/>
        </w:rPr>
        <w:t xml:space="preserve">5.4.3.4  </w:t>
      </w:r>
      <w:r>
        <w:rPr>
          <w:rFonts w:hint="eastAsia" w:hAnsi="宋体" w:cs="宋体"/>
          <w:sz w:val="21"/>
          <w:szCs w:val="21"/>
        </w:rPr>
        <w:t>配电室（间）内应保持良好的通风及散热。</w:t>
      </w:r>
    </w:p>
    <w:p w14:paraId="3DC1E1C6">
      <w:pPr>
        <w:autoSpaceDE w:val="0"/>
        <w:autoSpaceDN w:val="0"/>
        <w:spacing w:line="320" w:lineRule="exact"/>
        <w:jc w:val="left"/>
        <w:rPr>
          <w:rFonts w:hAnsi="宋体" w:cs="宋体"/>
          <w:color w:val="auto"/>
          <w:sz w:val="21"/>
          <w:szCs w:val="21"/>
        </w:rPr>
      </w:pPr>
      <w:r>
        <w:rPr>
          <w:rFonts w:hint="eastAsia" w:ascii="黑体" w:hAnsi="黑体" w:eastAsia="黑体" w:cs="黑体"/>
          <w:color w:val="auto"/>
          <w:sz w:val="21"/>
          <w:szCs w:val="21"/>
        </w:rPr>
        <w:t xml:space="preserve">5.4.3.5  </w:t>
      </w:r>
      <w:r>
        <w:rPr>
          <w:rFonts w:hint="eastAsia" w:hAnsi="宋体" w:cs="宋体"/>
          <w:color w:val="auto"/>
          <w:sz w:val="21"/>
          <w:szCs w:val="21"/>
        </w:rPr>
        <w:t>配电箱（柜）附近1.5米内禁止堆放杂物。</w:t>
      </w:r>
    </w:p>
    <w:p w14:paraId="3BEAEDC5">
      <w:pPr>
        <w:autoSpaceDE w:val="0"/>
        <w:autoSpaceDN w:val="0"/>
        <w:spacing w:line="320" w:lineRule="exact"/>
        <w:jc w:val="left"/>
        <w:rPr>
          <w:rFonts w:hAnsi="宋体" w:cs="宋体"/>
          <w:color w:val="auto"/>
          <w:sz w:val="21"/>
          <w:szCs w:val="21"/>
        </w:rPr>
      </w:pPr>
      <w:r>
        <w:rPr>
          <w:rFonts w:hint="eastAsia" w:ascii="黑体" w:hAnsi="黑体" w:eastAsia="黑体" w:cs="黑体"/>
          <w:color w:val="auto"/>
          <w:sz w:val="21"/>
          <w:szCs w:val="21"/>
        </w:rPr>
        <w:t xml:space="preserve">5.4.3.6  </w:t>
      </w:r>
      <w:r>
        <w:rPr>
          <w:rFonts w:hint="eastAsia" w:hAnsi="宋体" w:cs="宋体"/>
          <w:color w:val="auto"/>
          <w:sz w:val="21"/>
          <w:szCs w:val="21"/>
        </w:rPr>
        <w:t>电气设备维护操作人员应熟练掌握操作方法和操作程序；操作电气设备时，安全防护装置应配备齐全。</w:t>
      </w:r>
    </w:p>
    <w:p w14:paraId="60038AC5">
      <w:pPr>
        <w:autoSpaceDE w:val="0"/>
        <w:autoSpaceDN w:val="0"/>
        <w:spacing w:line="320" w:lineRule="exact"/>
        <w:jc w:val="left"/>
        <w:rPr>
          <w:rFonts w:hAnsi="宋体" w:cs="宋体"/>
          <w:color w:val="auto"/>
          <w:sz w:val="21"/>
          <w:szCs w:val="21"/>
        </w:rPr>
      </w:pPr>
      <w:r>
        <w:rPr>
          <w:rFonts w:hint="eastAsia" w:ascii="黑体" w:hAnsi="黑体" w:eastAsia="黑体" w:cs="黑体"/>
          <w:color w:val="auto"/>
          <w:sz w:val="21"/>
          <w:szCs w:val="21"/>
        </w:rPr>
        <w:t xml:space="preserve">5.4.3.7  </w:t>
      </w:r>
      <w:r>
        <w:rPr>
          <w:rFonts w:hint="eastAsia" w:hAnsi="宋体" w:cs="宋体"/>
          <w:color w:val="auto"/>
          <w:sz w:val="21"/>
          <w:szCs w:val="21"/>
        </w:rPr>
        <w:t>电气设备发生异常时，</w:t>
      </w:r>
      <w:r>
        <w:rPr>
          <w:rFonts w:hint="eastAsia" w:hAnsi="宋体" w:cs="宋体"/>
          <w:sz w:val="21"/>
          <w:szCs w:val="21"/>
        </w:rPr>
        <w:t>应及时通知电气设备维护管理人员。</w:t>
      </w:r>
    </w:p>
    <w:p w14:paraId="21808BE0">
      <w:pPr>
        <w:autoSpaceDE w:val="0"/>
        <w:autoSpaceDN w:val="0"/>
        <w:spacing w:line="320" w:lineRule="exact"/>
        <w:jc w:val="left"/>
        <w:rPr>
          <w:rFonts w:hAnsi="宋体" w:cs="宋体"/>
          <w:color w:val="auto"/>
          <w:sz w:val="21"/>
          <w:szCs w:val="21"/>
        </w:rPr>
      </w:pPr>
      <w:r>
        <w:rPr>
          <w:rFonts w:hint="eastAsia" w:ascii="黑体" w:hAnsi="黑体" w:eastAsia="黑体" w:cs="黑体"/>
          <w:color w:val="auto"/>
          <w:sz w:val="21"/>
          <w:szCs w:val="21"/>
        </w:rPr>
        <w:t xml:space="preserve">5.4.3.8  </w:t>
      </w:r>
      <w:r>
        <w:rPr>
          <w:rFonts w:hint="eastAsia" w:hAnsi="宋体" w:cs="宋体"/>
          <w:color w:val="auto"/>
          <w:sz w:val="21"/>
          <w:szCs w:val="21"/>
        </w:rPr>
        <w:t>检修电气设备时，应断开该设备所在回路电源，禁止带电作业，</w:t>
      </w:r>
      <w:r>
        <w:rPr>
          <w:rFonts w:hint="eastAsia" w:hAnsi="宋体" w:cs="宋体"/>
          <w:sz w:val="21"/>
          <w:szCs w:val="21"/>
        </w:rPr>
        <w:t>并悬挂警示标牌</w:t>
      </w:r>
      <w:r>
        <w:rPr>
          <w:rFonts w:hint="eastAsia" w:hAnsi="宋体" w:cs="宋体"/>
          <w:color w:val="auto"/>
          <w:sz w:val="21"/>
          <w:szCs w:val="21"/>
        </w:rPr>
        <w:t>。</w:t>
      </w:r>
    </w:p>
    <w:p w14:paraId="1FBC5F52">
      <w:pPr>
        <w:autoSpaceDE w:val="0"/>
        <w:autoSpaceDN w:val="0"/>
        <w:spacing w:line="320" w:lineRule="exact"/>
        <w:jc w:val="left"/>
        <w:rPr>
          <w:rFonts w:hAnsi="宋体" w:cs="宋体"/>
          <w:color w:val="auto"/>
          <w:sz w:val="21"/>
          <w:szCs w:val="21"/>
        </w:rPr>
      </w:pPr>
      <w:r>
        <w:rPr>
          <w:rFonts w:hint="eastAsia" w:ascii="黑体" w:hAnsi="黑体" w:eastAsia="黑体" w:cs="黑体"/>
          <w:color w:val="auto"/>
          <w:sz w:val="21"/>
          <w:szCs w:val="21"/>
        </w:rPr>
        <w:t xml:space="preserve">5.4.3.9  </w:t>
      </w:r>
      <w:r>
        <w:rPr>
          <w:rFonts w:hint="eastAsia" w:hAnsi="宋体" w:cs="宋体"/>
          <w:sz w:val="21"/>
          <w:szCs w:val="21"/>
        </w:rPr>
        <w:t>定期进行双电源配电箱（柜）主电源和备用电源转换试验。</w:t>
      </w:r>
    </w:p>
    <w:p w14:paraId="693CDD99">
      <w:pPr>
        <w:autoSpaceDE w:val="0"/>
        <w:autoSpaceDN w:val="0"/>
        <w:spacing w:line="320" w:lineRule="exact"/>
        <w:jc w:val="left"/>
        <w:rPr>
          <w:rFonts w:hAnsi="宋体" w:cs="宋体"/>
          <w:color w:val="auto"/>
          <w:sz w:val="21"/>
          <w:szCs w:val="21"/>
        </w:rPr>
      </w:pPr>
      <w:r>
        <w:rPr>
          <w:rFonts w:hint="eastAsia" w:ascii="黑体" w:hAnsi="黑体" w:eastAsia="黑体" w:cs="黑体"/>
          <w:color w:val="auto"/>
          <w:sz w:val="21"/>
          <w:szCs w:val="21"/>
        </w:rPr>
        <w:t xml:space="preserve">5.4.3.10  </w:t>
      </w:r>
      <w:r>
        <w:rPr>
          <w:rFonts w:hint="eastAsia" w:hAnsi="宋体" w:cs="宋体"/>
          <w:color w:val="auto"/>
          <w:sz w:val="21"/>
          <w:szCs w:val="21"/>
        </w:rPr>
        <w:t>电气设备维修或更换时应选用防潮性能好的无油定型产品。</w:t>
      </w:r>
    </w:p>
    <w:p w14:paraId="61BA5BCA">
      <w:pPr>
        <w:autoSpaceDE w:val="0"/>
        <w:autoSpaceDN w:val="0"/>
        <w:spacing w:line="320" w:lineRule="exact"/>
        <w:jc w:val="left"/>
        <w:rPr>
          <w:rFonts w:hAnsi="宋体" w:cs="宋体"/>
          <w:color w:val="auto"/>
          <w:sz w:val="21"/>
          <w:szCs w:val="21"/>
        </w:rPr>
      </w:pPr>
      <w:r>
        <w:rPr>
          <w:rFonts w:hint="eastAsia" w:ascii="黑体" w:hAnsi="黑体" w:eastAsia="黑体" w:cs="黑体"/>
          <w:color w:val="auto"/>
          <w:sz w:val="21"/>
          <w:szCs w:val="21"/>
        </w:rPr>
        <w:t xml:space="preserve">5.4.3.11  </w:t>
      </w:r>
      <w:r>
        <w:rPr>
          <w:rFonts w:hint="eastAsia" w:hAnsi="宋体" w:cs="宋体"/>
          <w:color w:val="auto"/>
          <w:sz w:val="21"/>
          <w:szCs w:val="21"/>
        </w:rPr>
        <w:t>定期检查、测试三种通风方式信号装置系统及其控制设备等相关设备设施。</w:t>
      </w:r>
    </w:p>
    <w:p w14:paraId="57CDCD6E">
      <w:pPr>
        <w:autoSpaceDE w:val="0"/>
        <w:autoSpaceDN w:val="0"/>
        <w:spacing w:beforeLines="50" w:afterLines="50" w:line="320" w:lineRule="exact"/>
        <w:rPr>
          <w:rFonts w:ascii="黑体" w:hAnsi="黑体" w:eastAsia="黑体" w:cs="黑体"/>
          <w:color w:val="auto"/>
          <w:sz w:val="21"/>
          <w:szCs w:val="21"/>
        </w:rPr>
      </w:pPr>
      <w:r>
        <w:rPr>
          <w:rFonts w:hint="eastAsia" w:ascii="黑体" w:hAnsi="黑体" w:eastAsia="黑体" w:cs="黑体"/>
          <w:color w:val="auto"/>
          <w:sz w:val="21"/>
          <w:szCs w:val="21"/>
        </w:rPr>
        <w:t>5.4.4  线路敷设</w:t>
      </w:r>
    </w:p>
    <w:p w14:paraId="004B8381">
      <w:pPr>
        <w:autoSpaceDE w:val="0"/>
        <w:autoSpaceDN w:val="0"/>
        <w:spacing w:line="320" w:lineRule="exact"/>
        <w:jc w:val="left"/>
        <w:rPr>
          <w:rFonts w:hAnsi="宋体" w:cs="宋体"/>
          <w:color w:val="auto"/>
          <w:sz w:val="21"/>
          <w:szCs w:val="21"/>
        </w:rPr>
      </w:pPr>
      <w:r>
        <w:rPr>
          <w:rFonts w:hint="eastAsia" w:ascii="黑体" w:hAnsi="黑体" w:eastAsia="黑体" w:cs="黑体"/>
          <w:color w:val="auto"/>
          <w:sz w:val="21"/>
          <w:szCs w:val="21"/>
        </w:rPr>
        <w:t xml:space="preserve">5.4.4.1  </w:t>
      </w:r>
      <w:r>
        <w:rPr>
          <w:rFonts w:hint="eastAsia" w:hAnsi="宋体" w:cs="宋体"/>
          <w:color w:val="auto"/>
          <w:sz w:val="21"/>
          <w:szCs w:val="21"/>
        </w:rPr>
        <w:t>人防内部平时未使用的备用电管做好防潮、防火封堵处理</w:t>
      </w:r>
      <w:r>
        <w:rPr>
          <w:rFonts w:hAnsi="宋体" w:cs="宋体"/>
          <w:color w:val="auto"/>
          <w:sz w:val="21"/>
          <w:szCs w:val="21"/>
        </w:rPr>
        <w:t>，</w:t>
      </w:r>
      <w:r>
        <w:rPr>
          <w:rFonts w:hint="eastAsia" w:hAnsi="宋体" w:cs="宋体"/>
          <w:color w:val="auto"/>
          <w:sz w:val="21"/>
          <w:szCs w:val="21"/>
        </w:rPr>
        <w:t>人防工程内部后期新增电气管线应利用附近电气备用套管敷设；强电电缆应确保一根电缆穿一根保护管。</w:t>
      </w:r>
    </w:p>
    <w:p w14:paraId="094C8EA1">
      <w:pPr>
        <w:autoSpaceDE w:val="0"/>
        <w:autoSpaceDN w:val="0"/>
        <w:spacing w:line="320" w:lineRule="exact"/>
        <w:jc w:val="left"/>
        <w:rPr>
          <w:rFonts w:hAnsi="宋体" w:cs="宋体"/>
          <w:color w:val="auto"/>
          <w:sz w:val="21"/>
          <w:szCs w:val="21"/>
        </w:rPr>
      </w:pPr>
      <w:r>
        <w:rPr>
          <w:rFonts w:hint="eastAsia" w:ascii="黑体" w:hAnsi="黑体" w:eastAsia="黑体" w:cs="黑体"/>
          <w:color w:val="auto"/>
          <w:sz w:val="21"/>
          <w:szCs w:val="21"/>
        </w:rPr>
        <w:t xml:space="preserve">5.4.4.2  </w:t>
      </w:r>
      <w:r>
        <w:rPr>
          <w:rFonts w:hint="eastAsia" w:hAnsi="宋体" w:cs="宋体"/>
          <w:color w:val="auto"/>
          <w:sz w:val="21"/>
          <w:szCs w:val="21"/>
        </w:rPr>
        <w:t>电气配电线路需穿管保护，不得外露。</w:t>
      </w:r>
    </w:p>
    <w:p w14:paraId="09A710F2">
      <w:pPr>
        <w:autoSpaceDE w:val="0"/>
        <w:autoSpaceDN w:val="0"/>
        <w:spacing w:line="320" w:lineRule="exact"/>
        <w:jc w:val="left"/>
        <w:rPr>
          <w:rFonts w:hAnsi="宋体" w:cs="宋体"/>
          <w:color w:val="auto"/>
          <w:sz w:val="21"/>
          <w:szCs w:val="21"/>
        </w:rPr>
      </w:pPr>
      <w:r>
        <w:rPr>
          <w:rFonts w:hint="eastAsia" w:ascii="黑体" w:hAnsi="黑体" w:eastAsia="黑体" w:cs="黑体"/>
          <w:color w:val="auto"/>
          <w:sz w:val="21"/>
          <w:szCs w:val="21"/>
        </w:rPr>
        <w:t xml:space="preserve">5.4.4.3  </w:t>
      </w:r>
      <w:r>
        <w:rPr>
          <w:rFonts w:hint="eastAsia" w:hAnsi="宋体" w:cs="宋体"/>
          <w:color w:val="auto"/>
          <w:sz w:val="21"/>
          <w:szCs w:val="21"/>
        </w:rPr>
        <w:t>电气配电线路要定期进行绝缘检查，发现破损或线路老化时，需及时进行处理。</w:t>
      </w:r>
    </w:p>
    <w:p w14:paraId="1248BE5C">
      <w:pPr>
        <w:autoSpaceDE w:val="0"/>
        <w:autoSpaceDN w:val="0"/>
        <w:spacing w:line="320" w:lineRule="exact"/>
        <w:jc w:val="left"/>
        <w:rPr>
          <w:rFonts w:hAnsi="宋体" w:cs="宋体"/>
          <w:color w:val="auto"/>
          <w:sz w:val="21"/>
          <w:szCs w:val="21"/>
        </w:rPr>
      </w:pPr>
      <w:r>
        <w:rPr>
          <w:rFonts w:hint="eastAsia" w:ascii="黑体" w:hAnsi="黑体" w:eastAsia="黑体" w:cs="黑体"/>
          <w:color w:val="auto"/>
          <w:sz w:val="21"/>
          <w:szCs w:val="21"/>
        </w:rPr>
        <w:t xml:space="preserve">5.4.4.4  </w:t>
      </w:r>
      <w:r>
        <w:rPr>
          <w:rFonts w:hint="eastAsia" w:hAnsi="宋体" w:cs="宋体"/>
          <w:color w:val="auto"/>
          <w:sz w:val="21"/>
          <w:szCs w:val="21"/>
        </w:rPr>
        <w:t>电缆桥架中电缆应排放整齐，间距符合规范要求；桥架盖板应完整，桥架中电缆不应外露；金属桥架及电气套管应定期除锈维护。</w:t>
      </w:r>
    </w:p>
    <w:p w14:paraId="48D58B61">
      <w:pPr>
        <w:autoSpaceDE w:val="0"/>
        <w:autoSpaceDN w:val="0"/>
        <w:spacing w:beforeLines="50" w:afterLines="50" w:line="320" w:lineRule="exact"/>
        <w:rPr>
          <w:rFonts w:ascii="黑体" w:hAnsi="黑体" w:eastAsia="黑体" w:cs="黑体"/>
          <w:color w:val="auto"/>
          <w:sz w:val="21"/>
          <w:szCs w:val="21"/>
        </w:rPr>
      </w:pPr>
      <w:r>
        <w:rPr>
          <w:rFonts w:hint="eastAsia" w:ascii="黑体" w:hAnsi="黑体" w:eastAsia="黑体" w:cs="黑体"/>
          <w:color w:val="auto"/>
          <w:sz w:val="21"/>
          <w:szCs w:val="21"/>
        </w:rPr>
        <w:t>5.4.5  防触电</w:t>
      </w:r>
    </w:p>
    <w:p w14:paraId="7D217D66">
      <w:pPr>
        <w:autoSpaceDE w:val="0"/>
        <w:autoSpaceDN w:val="0"/>
        <w:spacing w:line="320" w:lineRule="exact"/>
        <w:jc w:val="left"/>
        <w:rPr>
          <w:rFonts w:ascii="黑体" w:hAnsi="黑体" w:eastAsia="黑体" w:cs="黑体"/>
          <w:color w:val="auto"/>
          <w:sz w:val="21"/>
          <w:szCs w:val="21"/>
        </w:rPr>
      </w:pPr>
      <w:r>
        <w:rPr>
          <w:rFonts w:hint="eastAsia" w:ascii="黑体" w:hAnsi="黑体" w:eastAsia="黑体" w:cs="黑体"/>
          <w:color w:val="auto"/>
          <w:sz w:val="21"/>
          <w:szCs w:val="21"/>
        </w:rPr>
        <w:t xml:space="preserve">5.4.5.1  </w:t>
      </w:r>
      <w:r>
        <w:rPr>
          <w:rFonts w:hint="eastAsia" w:hAnsi="宋体" w:cs="宋体"/>
          <w:color w:val="auto"/>
          <w:sz w:val="21"/>
          <w:szCs w:val="21"/>
        </w:rPr>
        <w:t>接地电阻应定期检测，达不到设计要求时，应增设人工接地电极。</w:t>
      </w:r>
    </w:p>
    <w:p w14:paraId="049CE8F1">
      <w:pPr>
        <w:autoSpaceDE w:val="0"/>
        <w:autoSpaceDN w:val="0"/>
        <w:spacing w:line="320" w:lineRule="exact"/>
        <w:jc w:val="left"/>
        <w:rPr>
          <w:rFonts w:ascii="黑体" w:hAnsi="宋体" w:eastAsia="黑体" w:cs="黑体"/>
          <w:color w:val="auto"/>
          <w:sz w:val="21"/>
          <w:szCs w:val="21"/>
        </w:rPr>
      </w:pPr>
      <w:r>
        <w:rPr>
          <w:rFonts w:hint="eastAsia" w:ascii="黑体" w:hAnsi="黑体" w:eastAsia="黑体" w:cs="黑体"/>
          <w:color w:val="auto"/>
          <w:sz w:val="21"/>
          <w:szCs w:val="21"/>
        </w:rPr>
        <w:t xml:space="preserve">5.4.5.2  </w:t>
      </w:r>
      <w:r>
        <w:rPr>
          <w:rFonts w:hint="eastAsia" w:hAnsi="宋体" w:cs="宋体"/>
          <w:sz w:val="21"/>
          <w:szCs w:val="21"/>
        </w:rPr>
        <w:t>应定期巡查下列金属设备等电位连接，发现松动、脱落、锈蚀现象，应及时维护处理。</w:t>
      </w:r>
    </w:p>
    <w:p w14:paraId="737566C0">
      <w:pPr>
        <w:autoSpaceDE w:val="0"/>
        <w:autoSpaceDN w:val="0"/>
        <w:spacing w:line="320" w:lineRule="exact"/>
        <w:ind w:firstLine="420" w:firstLineChars="200"/>
        <w:jc w:val="left"/>
        <w:rPr>
          <w:rFonts w:hAnsi="宋体" w:cs="宋体"/>
          <w:color w:val="auto"/>
          <w:sz w:val="21"/>
          <w:szCs w:val="21"/>
        </w:rPr>
      </w:pPr>
      <w:r>
        <w:rPr>
          <w:rFonts w:hint="eastAsia" w:hAnsi="宋体" w:cs="宋体"/>
          <w:sz w:val="21"/>
          <w:szCs w:val="21"/>
        </w:rPr>
        <w:t xml:space="preserve">a） 保护接地干线； </w:t>
      </w:r>
    </w:p>
    <w:p w14:paraId="18E24423">
      <w:pPr>
        <w:autoSpaceDE w:val="0"/>
        <w:autoSpaceDN w:val="0"/>
        <w:spacing w:line="320" w:lineRule="exact"/>
        <w:ind w:firstLine="420" w:firstLineChars="200"/>
        <w:jc w:val="left"/>
        <w:rPr>
          <w:rFonts w:hAnsi="宋体" w:cs="宋体"/>
          <w:color w:val="auto"/>
          <w:sz w:val="21"/>
          <w:szCs w:val="21"/>
        </w:rPr>
      </w:pPr>
      <w:r>
        <w:rPr>
          <w:rFonts w:hint="eastAsia" w:hAnsi="宋体" w:cs="宋体"/>
          <w:sz w:val="21"/>
          <w:szCs w:val="21"/>
        </w:rPr>
        <w:t xml:space="preserve">b） 电气装置人工接地极的接地干线或总接地端子； </w:t>
      </w:r>
    </w:p>
    <w:p w14:paraId="49D7AAA6">
      <w:pPr>
        <w:autoSpaceDE w:val="0"/>
        <w:autoSpaceDN w:val="0"/>
        <w:spacing w:line="320" w:lineRule="exact"/>
        <w:ind w:firstLine="420" w:firstLineChars="200"/>
        <w:jc w:val="left"/>
        <w:rPr>
          <w:rFonts w:hAnsi="宋体" w:cs="宋体"/>
          <w:color w:val="auto"/>
          <w:sz w:val="21"/>
          <w:szCs w:val="21"/>
        </w:rPr>
      </w:pPr>
      <w:r>
        <w:rPr>
          <w:rFonts w:hint="eastAsia" w:hAnsi="宋体" w:cs="宋体"/>
          <w:sz w:val="21"/>
          <w:szCs w:val="21"/>
        </w:rPr>
        <w:t xml:space="preserve">c） 工程内的公用金属管道，如通风管、给水管、排水管、电缆或电线的穿线管； </w:t>
      </w:r>
    </w:p>
    <w:p w14:paraId="3226CCE9">
      <w:pPr>
        <w:autoSpaceDE w:val="0"/>
        <w:autoSpaceDN w:val="0"/>
        <w:spacing w:line="320" w:lineRule="exact"/>
        <w:ind w:firstLine="420" w:firstLineChars="200"/>
        <w:jc w:val="left"/>
        <w:rPr>
          <w:rFonts w:hAnsi="宋体" w:cs="宋体"/>
          <w:color w:val="auto"/>
          <w:sz w:val="21"/>
          <w:szCs w:val="21"/>
        </w:rPr>
      </w:pPr>
      <w:r>
        <w:rPr>
          <w:rFonts w:hint="eastAsia" w:hAnsi="宋体" w:cs="宋体"/>
          <w:sz w:val="21"/>
          <w:szCs w:val="21"/>
        </w:rPr>
        <w:t xml:space="preserve">d） 室内的电气设备金属外壳； </w:t>
      </w:r>
    </w:p>
    <w:p w14:paraId="1EF5CBB6">
      <w:pPr>
        <w:widowControl/>
        <w:spacing w:line="320" w:lineRule="exact"/>
        <w:ind w:firstLine="420" w:firstLineChars="200"/>
        <w:jc w:val="left"/>
        <w:rPr>
          <w:rFonts w:hAnsi="宋体" w:cs="宋体"/>
          <w:color w:val="auto"/>
          <w:sz w:val="21"/>
          <w:szCs w:val="21"/>
        </w:rPr>
      </w:pPr>
      <w:r>
        <w:rPr>
          <w:rFonts w:hint="eastAsia" w:hAnsi="宋体" w:cs="宋体"/>
          <w:sz w:val="21"/>
          <w:szCs w:val="21"/>
        </w:rPr>
        <w:t xml:space="preserve">e） 电缆金属外护层。 </w:t>
      </w:r>
    </w:p>
    <w:p w14:paraId="5116FAC5">
      <w:pPr>
        <w:autoSpaceDE w:val="0"/>
        <w:autoSpaceDN w:val="0"/>
        <w:spacing w:line="320" w:lineRule="exact"/>
        <w:jc w:val="left"/>
        <w:rPr>
          <w:rFonts w:ascii="黑体" w:hAnsi="黑体" w:eastAsia="黑体" w:cs="黑体"/>
          <w:strike/>
          <w:color w:val="auto"/>
          <w:sz w:val="21"/>
          <w:szCs w:val="21"/>
        </w:rPr>
      </w:pPr>
      <w:r>
        <w:rPr>
          <w:rFonts w:hint="eastAsia" w:ascii="黑体" w:hAnsi="黑体" w:eastAsia="黑体" w:cs="黑体"/>
          <w:color w:val="auto"/>
          <w:sz w:val="21"/>
          <w:szCs w:val="21"/>
        </w:rPr>
        <w:t xml:space="preserve">5.4.5.3  </w:t>
      </w:r>
      <w:r>
        <w:rPr>
          <w:rFonts w:hint="eastAsia" w:hAnsi="宋体" w:cs="宋体"/>
          <w:color w:val="auto"/>
          <w:sz w:val="21"/>
          <w:szCs w:val="21"/>
        </w:rPr>
        <w:t>设备线路维修时，严禁在保护线（PE）上接入开关或熔断器。</w:t>
      </w:r>
    </w:p>
    <w:p w14:paraId="26CD3FCD">
      <w:pPr>
        <w:autoSpaceDE w:val="0"/>
        <w:autoSpaceDN w:val="0"/>
        <w:spacing w:line="320" w:lineRule="exact"/>
        <w:jc w:val="left"/>
        <w:rPr>
          <w:rFonts w:ascii="黑体" w:hAnsi="黑体" w:eastAsia="黑体" w:cs="黑体"/>
          <w:color w:val="auto"/>
          <w:sz w:val="21"/>
          <w:szCs w:val="21"/>
        </w:rPr>
      </w:pPr>
      <w:r>
        <w:rPr>
          <w:rFonts w:hint="eastAsia" w:ascii="黑体" w:hAnsi="黑体" w:eastAsia="黑体" w:cs="黑体"/>
          <w:color w:val="auto"/>
          <w:sz w:val="21"/>
          <w:szCs w:val="21"/>
        </w:rPr>
        <w:t xml:space="preserve">5.4.5.4  </w:t>
      </w:r>
      <w:r>
        <w:rPr>
          <w:rFonts w:hint="eastAsia" w:hAnsi="宋体" w:cs="宋体"/>
          <w:sz w:val="21"/>
          <w:szCs w:val="21"/>
        </w:rPr>
        <w:t>严禁在电线（缆）或电力设备上悬挂、放置物品。</w:t>
      </w:r>
    </w:p>
    <w:p w14:paraId="3443870C">
      <w:pPr>
        <w:autoSpaceDE w:val="0"/>
        <w:autoSpaceDN w:val="0"/>
        <w:spacing w:beforeLines="50" w:afterLines="50" w:line="320" w:lineRule="exact"/>
        <w:rPr>
          <w:rFonts w:ascii="黑体" w:hAnsi="黑体" w:eastAsia="黑体" w:cs="黑体"/>
          <w:color w:val="auto"/>
          <w:sz w:val="21"/>
          <w:szCs w:val="21"/>
        </w:rPr>
      </w:pPr>
      <w:r>
        <w:rPr>
          <w:rFonts w:hint="eastAsia" w:ascii="黑体" w:hAnsi="黑体" w:eastAsia="黑体" w:cs="黑体"/>
          <w:color w:val="auto"/>
          <w:sz w:val="21"/>
          <w:szCs w:val="21"/>
        </w:rPr>
        <w:t>5.4.6  充电桩设备</w:t>
      </w:r>
    </w:p>
    <w:p w14:paraId="492E5D34">
      <w:pPr>
        <w:widowControl/>
        <w:spacing w:line="320" w:lineRule="exact"/>
        <w:jc w:val="left"/>
        <w:rPr>
          <w:rFonts w:hAnsi="宋体" w:cs="宋体"/>
          <w:color w:val="auto"/>
          <w:sz w:val="21"/>
          <w:szCs w:val="21"/>
        </w:rPr>
      </w:pPr>
      <w:r>
        <w:rPr>
          <w:rFonts w:hint="eastAsia" w:ascii="黑体" w:hAnsi="黑体" w:eastAsia="黑体" w:cs="黑体"/>
          <w:color w:val="auto"/>
          <w:sz w:val="21"/>
          <w:szCs w:val="21"/>
        </w:rPr>
        <w:t xml:space="preserve">5.4.6.1  </w:t>
      </w:r>
      <w:r>
        <w:rPr>
          <w:rFonts w:hint="eastAsia" w:hAnsi="宋体" w:cs="宋体"/>
          <w:sz w:val="21"/>
          <w:szCs w:val="21"/>
        </w:rPr>
        <w:t>人防工程内部增设汽车充电桩设备时，为确保人防工程防护效能，不应在人防墙体或顶板上钻孔锚固，可在人防底板或承重柱上钻孔锚固，锚固采用化学锚栓或植筋方式，钻孔直径不大于12mm，钻孔深度不超过100mm，多余孔应采用结构胶填充密实。</w:t>
      </w:r>
    </w:p>
    <w:p w14:paraId="41A5A6E8">
      <w:pPr>
        <w:widowControl/>
        <w:spacing w:line="320" w:lineRule="exact"/>
        <w:jc w:val="left"/>
        <w:rPr>
          <w:rFonts w:hAnsi="宋体" w:cs="宋体"/>
          <w:sz w:val="21"/>
          <w:szCs w:val="21"/>
        </w:rPr>
      </w:pPr>
      <w:r>
        <w:rPr>
          <w:rFonts w:hint="eastAsia" w:ascii="黑体" w:hAnsi="黑体" w:eastAsia="黑体" w:cs="黑体"/>
          <w:color w:val="auto"/>
          <w:sz w:val="21"/>
          <w:szCs w:val="21"/>
        </w:rPr>
        <w:t xml:space="preserve">5.4.6.2  </w:t>
      </w:r>
      <w:r>
        <w:rPr>
          <w:rFonts w:hint="eastAsia" w:hAnsi="宋体" w:cs="宋体"/>
          <w:sz w:val="21"/>
          <w:szCs w:val="21"/>
        </w:rPr>
        <w:t>充电设施电力线路严禁从人防专用配电箱（柜）中引接。</w:t>
      </w:r>
    </w:p>
    <w:p w14:paraId="2722B563">
      <w:pPr>
        <w:widowControl/>
        <w:spacing w:line="320" w:lineRule="exact"/>
        <w:jc w:val="left"/>
        <w:rPr>
          <w:rFonts w:hAnsi="宋体" w:cs="宋体"/>
          <w:sz w:val="21"/>
          <w:szCs w:val="21"/>
        </w:rPr>
      </w:pPr>
      <w:r>
        <w:rPr>
          <w:rFonts w:hint="eastAsia" w:ascii="黑体" w:hAnsi="宋体" w:eastAsia="黑体" w:cs="黑体"/>
          <w:sz w:val="21"/>
          <w:szCs w:val="21"/>
        </w:rPr>
        <w:t xml:space="preserve">5.4.6.3  </w:t>
      </w:r>
      <w:r>
        <w:rPr>
          <w:rFonts w:hint="eastAsia" w:hAnsi="宋体" w:cs="宋体"/>
          <w:sz w:val="21"/>
          <w:szCs w:val="21"/>
        </w:rPr>
        <w:t>充电设施电力线路应设置独立的桥架，不应占用人防战时使用桥架；充电设施电力线路需穿越人防</w:t>
      </w:r>
      <w:r>
        <w:rPr>
          <w:rFonts w:hAnsi="宋体" w:cs="宋体"/>
          <w:sz w:val="21"/>
          <w:szCs w:val="21"/>
        </w:rPr>
        <w:t>围护</w:t>
      </w:r>
      <w:r>
        <w:rPr>
          <w:rFonts w:hint="eastAsia" w:hAnsi="宋体" w:cs="宋体"/>
          <w:sz w:val="21"/>
          <w:szCs w:val="21"/>
        </w:rPr>
        <w:t>结构的，应利用原设计预留电管或口部备用电管。</w:t>
      </w:r>
    </w:p>
    <w:p w14:paraId="59F276C2">
      <w:pPr>
        <w:autoSpaceDE w:val="0"/>
        <w:autoSpaceDN w:val="0"/>
        <w:spacing w:beforeLines="50" w:afterLines="50" w:line="320" w:lineRule="exact"/>
        <w:rPr>
          <w:rFonts w:ascii="黑体" w:hAnsi="黑体" w:eastAsia="黑体" w:cs="黑体"/>
          <w:color w:val="auto"/>
          <w:sz w:val="21"/>
          <w:szCs w:val="21"/>
        </w:rPr>
      </w:pPr>
      <w:r>
        <w:rPr>
          <w:rFonts w:hint="eastAsia" w:ascii="黑体" w:hAnsi="黑体" w:eastAsia="黑体" w:cs="黑体"/>
          <w:color w:val="auto"/>
          <w:sz w:val="21"/>
          <w:szCs w:val="21"/>
        </w:rPr>
        <w:t>5.4.7  消防电气设备</w:t>
      </w:r>
    </w:p>
    <w:p w14:paraId="3659DDA1">
      <w:pPr>
        <w:widowControl/>
        <w:spacing w:line="320" w:lineRule="exact"/>
        <w:jc w:val="left"/>
        <w:rPr>
          <w:rFonts w:hAnsi="宋体" w:cs="宋体"/>
          <w:color w:val="auto"/>
          <w:sz w:val="21"/>
          <w:szCs w:val="21"/>
        </w:rPr>
      </w:pPr>
      <w:r>
        <w:rPr>
          <w:rFonts w:hint="eastAsia" w:ascii="黑体" w:hAnsi="黑体" w:eastAsia="黑体" w:cs="黑体"/>
          <w:color w:val="auto"/>
          <w:sz w:val="21"/>
          <w:szCs w:val="21"/>
        </w:rPr>
        <w:t xml:space="preserve">5.4.7.1  </w:t>
      </w:r>
      <w:r>
        <w:rPr>
          <w:rFonts w:hint="eastAsia" w:hAnsi="宋体" w:cs="宋体"/>
          <w:color w:val="auto"/>
          <w:sz w:val="21"/>
          <w:szCs w:val="21"/>
        </w:rPr>
        <w:t>应急照明、应急疏散灯具及消防设备间的备用照明应定期巡查；若发现灯具破损、光源变暗老化、字迹不清楚等情况，应维修或更换。</w:t>
      </w:r>
    </w:p>
    <w:p w14:paraId="0F9D67E3">
      <w:pPr>
        <w:widowControl/>
        <w:spacing w:line="320" w:lineRule="exact"/>
        <w:jc w:val="left"/>
        <w:rPr>
          <w:rFonts w:hAnsi="宋体" w:cs="宋体"/>
          <w:color w:val="auto"/>
          <w:sz w:val="21"/>
          <w:szCs w:val="21"/>
        </w:rPr>
      </w:pPr>
      <w:r>
        <w:rPr>
          <w:rFonts w:hint="eastAsia" w:ascii="黑体" w:hAnsi="黑体" w:eastAsia="黑体" w:cs="黑体"/>
          <w:color w:val="auto"/>
          <w:sz w:val="21"/>
          <w:szCs w:val="21"/>
        </w:rPr>
        <w:t xml:space="preserve">5.4.7.2  </w:t>
      </w:r>
      <w:r>
        <w:rPr>
          <w:rFonts w:hint="eastAsia" w:hAnsi="宋体" w:cs="宋体"/>
          <w:sz w:val="21"/>
          <w:szCs w:val="21"/>
        </w:rPr>
        <w:t>安全（应急）出口指示灯、应急疏散指示灯应保持常亮，不得遮挡。</w:t>
      </w:r>
    </w:p>
    <w:p w14:paraId="2F58CB3A">
      <w:pPr>
        <w:widowControl/>
        <w:spacing w:line="320" w:lineRule="exact"/>
        <w:jc w:val="left"/>
        <w:rPr>
          <w:rFonts w:hAnsi="宋体" w:cs="宋体"/>
          <w:color w:val="auto"/>
          <w:sz w:val="21"/>
          <w:szCs w:val="21"/>
        </w:rPr>
      </w:pPr>
      <w:r>
        <w:rPr>
          <w:rFonts w:hint="eastAsia" w:ascii="黑体" w:hAnsi="黑体" w:eastAsia="黑体" w:cs="黑体"/>
          <w:color w:val="auto"/>
          <w:sz w:val="21"/>
          <w:szCs w:val="21"/>
        </w:rPr>
        <w:t xml:space="preserve">5.4.7.3  </w:t>
      </w:r>
      <w:r>
        <w:rPr>
          <w:rFonts w:hint="eastAsia" w:hAnsi="宋体" w:cs="宋体"/>
          <w:sz w:val="21"/>
          <w:szCs w:val="21"/>
        </w:rPr>
        <w:t>仅供战时使用的安</w:t>
      </w:r>
      <w:r>
        <w:rPr>
          <w:rFonts w:hint="eastAsia" w:hAnsi="宋体" w:cs="宋体"/>
          <w:color w:val="auto"/>
          <w:sz w:val="21"/>
          <w:szCs w:val="21"/>
        </w:rPr>
        <w:t>全出入口上方平时不应设置安全（应急）出口指示灯。</w:t>
      </w:r>
    </w:p>
    <w:p w14:paraId="2823F298">
      <w:pPr>
        <w:widowControl/>
        <w:spacing w:line="320" w:lineRule="exact"/>
        <w:jc w:val="left"/>
        <w:rPr>
          <w:rFonts w:hAnsi="宋体" w:cs="宋体"/>
          <w:color w:val="auto"/>
          <w:sz w:val="21"/>
          <w:szCs w:val="21"/>
        </w:rPr>
      </w:pPr>
      <w:r>
        <w:rPr>
          <w:rFonts w:hint="eastAsia" w:ascii="黑体" w:hAnsi="黑体" w:eastAsia="黑体" w:cs="黑体"/>
          <w:color w:val="auto"/>
          <w:sz w:val="21"/>
          <w:szCs w:val="21"/>
        </w:rPr>
        <w:t xml:space="preserve">5.4.7.4  </w:t>
      </w:r>
      <w:r>
        <w:rPr>
          <w:rFonts w:hint="eastAsia" w:hAnsi="宋体" w:cs="宋体"/>
          <w:color w:val="auto"/>
          <w:sz w:val="21"/>
          <w:szCs w:val="21"/>
        </w:rPr>
        <w:t>定期切断应急疏散照明电力系统电源，测量其应急工作状态的供电持续时间,达不到原设计文件要求时应及时更换。</w:t>
      </w:r>
    </w:p>
    <w:p w14:paraId="4E4C3FA4">
      <w:pPr>
        <w:widowControl/>
        <w:spacing w:line="320" w:lineRule="exact"/>
        <w:jc w:val="left"/>
        <w:rPr>
          <w:rFonts w:hAnsi="宋体" w:cs="宋体"/>
          <w:color w:val="auto"/>
          <w:sz w:val="21"/>
          <w:szCs w:val="21"/>
        </w:rPr>
      </w:pPr>
      <w:r>
        <w:rPr>
          <w:rFonts w:hint="eastAsia" w:ascii="黑体" w:hAnsi="黑体" w:eastAsia="黑体" w:cs="黑体"/>
          <w:color w:val="auto"/>
          <w:sz w:val="21"/>
          <w:szCs w:val="21"/>
        </w:rPr>
        <w:t xml:space="preserve">5.4.7.5  </w:t>
      </w:r>
      <w:r>
        <w:rPr>
          <w:rFonts w:hint="eastAsia" w:hAnsi="宋体" w:cs="宋体"/>
          <w:color w:val="auto"/>
          <w:sz w:val="21"/>
          <w:szCs w:val="21"/>
        </w:rPr>
        <w:t>消防风机、水泵控制箱平时应切换至自动运行状态。</w:t>
      </w:r>
    </w:p>
    <w:p w14:paraId="41B78118">
      <w:pPr>
        <w:widowControl/>
        <w:spacing w:line="320" w:lineRule="exact"/>
        <w:jc w:val="left"/>
        <w:rPr>
          <w:rFonts w:hAnsi="宋体" w:cs="宋体"/>
          <w:color w:val="auto"/>
          <w:sz w:val="21"/>
          <w:szCs w:val="21"/>
        </w:rPr>
      </w:pPr>
      <w:r>
        <w:rPr>
          <w:rFonts w:hint="eastAsia" w:ascii="黑体" w:hAnsi="黑体" w:eastAsia="黑体" w:cs="黑体"/>
          <w:color w:val="auto"/>
          <w:sz w:val="21"/>
          <w:szCs w:val="21"/>
        </w:rPr>
        <w:t xml:space="preserve">5.4.7.6  </w:t>
      </w:r>
      <w:r>
        <w:rPr>
          <w:rFonts w:hint="eastAsia" w:hAnsi="宋体" w:cs="宋体"/>
          <w:color w:val="auto"/>
          <w:sz w:val="21"/>
          <w:szCs w:val="21"/>
        </w:rPr>
        <w:t>定期检查火灾报警联动装置各项功能。</w:t>
      </w:r>
    </w:p>
    <w:p w14:paraId="2E66CC9C">
      <w:pPr>
        <w:widowControl/>
        <w:spacing w:line="320" w:lineRule="exact"/>
        <w:jc w:val="left"/>
        <w:rPr>
          <w:rFonts w:hAnsi="宋体" w:cs="宋体"/>
          <w:color w:val="auto"/>
          <w:sz w:val="21"/>
          <w:szCs w:val="21"/>
        </w:rPr>
      </w:pPr>
      <w:r>
        <w:rPr>
          <w:rFonts w:hint="eastAsia" w:ascii="黑体" w:hAnsi="黑体" w:eastAsia="黑体" w:cs="黑体"/>
          <w:color w:val="auto"/>
          <w:sz w:val="21"/>
          <w:szCs w:val="21"/>
        </w:rPr>
        <w:t xml:space="preserve">5.4.7.7  </w:t>
      </w:r>
      <w:r>
        <w:rPr>
          <w:rFonts w:hint="eastAsia" w:hAnsi="宋体" w:cs="宋体"/>
          <w:sz w:val="21"/>
          <w:szCs w:val="21"/>
        </w:rPr>
        <w:t>定期对所有火灾探测器进行实效模拟试验，发现失效的火灾探测器应及时更换。对电缆、接线盒、设备做直观检查，清理尘埃。</w:t>
      </w:r>
    </w:p>
    <w:p w14:paraId="6AE33ED8">
      <w:pPr>
        <w:widowControl/>
        <w:spacing w:line="320" w:lineRule="exact"/>
        <w:jc w:val="left"/>
        <w:rPr>
          <w:rFonts w:hAnsi="宋体" w:cs="宋体"/>
          <w:color w:val="auto"/>
          <w:sz w:val="21"/>
          <w:szCs w:val="21"/>
        </w:rPr>
      </w:pPr>
      <w:r>
        <w:rPr>
          <w:rFonts w:hint="eastAsia" w:ascii="黑体" w:hAnsi="黑体" w:eastAsia="黑体" w:cs="黑体"/>
          <w:color w:val="auto"/>
          <w:sz w:val="21"/>
          <w:szCs w:val="21"/>
        </w:rPr>
        <w:t xml:space="preserve">5.4.7.8  </w:t>
      </w:r>
      <w:r>
        <w:rPr>
          <w:rFonts w:hint="eastAsia" w:hAnsi="宋体" w:cs="宋体"/>
          <w:sz w:val="21"/>
          <w:szCs w:val="21"/>
        </w:rPr>
        <w:t>定期在消防控制室用话筒对所选区域播音，检查音响效果。</w:t>
      </w:r>
    </w:p>
    <w:p w14:paraId="1DBC38AC">
      <w:pPr>
        <w:widowControl/>
        <w:spacing w:line="320" w:lineRule="exact"/>
        <w:jc w:val="left"/>
        <w:rPr>
          <w:rFonts w:hAnsi="宋体" w:cs="宋体"/>
          <w:color w:val="auto"/>
          <w:sz w:val="21"/>
          <w:szCs w:val="21"/>
        </w:rPr>
      </w:pPr>
      <w:r>
        <w:rPr>
          <w:rFonts w:hint="eastAsia" w:ascii="黑体" w:hAnsi="黑体" w:eastAsia="黑体" w:cs="黑体"/>
          <w:color w:val="auto"/>
          <w:sz w:val="21"/>
          <w:szCs w:val="21"/>
        </w:rPr>
        <w:t xml:space="preserve">5.4.7.9  </w:t>
      </w:r>
      <w:r>
        <w:rPr>
          <w:rFonts w:hint="eastAsia" w:hAnsi="宋体" w:cs="宋体"/>
          <w:sz w:val="21"/>
          <w:szCs w:val="21"/>
        </w:rPr>
        <w:t>定期在自动控制方式下，分别触发两个相关的火灾探测器或触发手动报警按钮后，核对启动火灾应急广播的区域，检查音响效果。</w:t>
      </w:r>
    </w:p>
    <w:p w14:paraId="3FABB2DC">
      <w:pPr>
        <w:widowControl/>
        <w:spacing w:line="320" w:lineRule="exact"/>
        <w:jc w:val="left"/>
        <w:rPr>
          <w:rFonts w:hAnsi="宋体" w:cs="宋体"/>
          <w:color w:val="auto"/>
          <w:sz w:val="21"/>
          <w:szCs w:val="21"/>
        </w:rPr>
      </w:pPr>
      <w:r>
        <w:rPr>
          <w:rFonts w:hint="eastAsia" w:ascii="黑体" w:hAnsi="黑体" w:eastAsia="黑体" w:cs="黑体"/>
          <w:color w:val="auto"/>
          <w:sz w:val="21"/>
          <w:szCs w:val="21"/>
        </w:rPr>
        <w:t xml:space="preserve">5.4.7.10  </w:t>
      </w:r>
      <w:r>
        <w:rPr>
          <w:rFonts w:hint="eastAsia" w:hAnsi="宋体" w:cs="宋体"/>
          <w:sz w:val="21"/>
          <w:szCs w:val="21"/>
        </w:rPr>
        <w:t>定期在公共广播扩音机处于关闭和播放状态下，自动和手动强制切换火灾应急广播。</w:t>
      </w:r>
    </w:p>
    <w:p w14:paraId="3655E3FF">
      <w:pPr>
        <w:spacing w:beforeLines="50" w:afterLines="50"/>
        <w:outlineLvl w:val="1"/>
        <w:rPr>
          <w:rFonts w:ascii="黑体" w:hAnsi="黑体" w:eastAsia="黑体" w:cs="黑体"/>
          <w:sz w:val="21"/>
          <w:szCs w:val="21"/>
        </w:rPr>
      </w:pPr>
      <w:bookmarkStart w:id="26" w:name="_Toc22499"/>
      <w:r>
        <w:rPr>
          <w:rFonts w:hint="eastAsia" w:ascii="黑体" w:hAnsi="黑体" w:eastAsia="黑体" w:cs="黑体"/>
          <w:sz w:val="21"/>
          <w:szCs w:val="21"/>
        </w:rPr>
        <w:t>5.5  信息与智能化</w:t>
      </w:r>
      <w:bookmarkEnd w:id="26"/>
    </w:p>
    <w:p w14:paraId="18FAF142">
      <w:pPr>
        <w:widowControl/>
        <w:spacing w:line="320" w:lineRule="exact"/>
        <w:jc w:val="left"/>
        <w:rPr>
          <w:rFonts w:hAnsi="宋体" w:cs="宋体"/>
          <w:sz w:val="21"/>
          <w:szCs w:val="21"/>
        </w:rPr>
      </w:pPr>
      <w:r>
        <w:rPr>
          <w:rFonts w:hint="eastAsia" w:ascii="黑体" w:hAnsi="黑体" w:eastAsia="黑体" w:cs="黑体"/>
          <w:sz w:val="21"/>
          <w:szCs w:val="21"/>
        </w:rPr>
        <w:t xml:space="preserve">5.5.1  </w:t>
      </w:r>
      <w:r>
        <w:rPr>
          <w:rFonts w:hint="eastAsia" w:hAnsi="宋体" w:cs="宋体"/>
          <w:sz w:val="21"/>
          <w:szCs w:val="21"/>
        </w:rPr>
        <w:t>工程内根据需要可配置数字视频安防监控、移动通信室内信号覆盖、出入口控制等信息与智能化系统。</w:t>
      </w:r>
    </w:p>
    <w:p w14:paraId="43E05163">
      <w:pPr>
        <w:widowControl/>
        <w:spacing w:line="320" w:lineRule="exact"/>
        <w:jc w:val="left"/>
        <w:rPr>
          <w:rFonts w:hAnsi="宋体" w:cs="宋体"/>
          <w:sz w:val="21"/>
          <w:szCs w:val="21"/>
        </w:rPr>
      </w:pPr>
      <w:r>
        <w:rPr>
          <w:rFonts w:hint="eastAsia" w:ascii="黑体" w:hAnsi="黑体" w:eastAsia="黑体" w:cs="黑体"/>
          <w:sz w:val="21"/>
          <w:szCs w:val="21"/>
        </w:rPr>
        <w:t xml:space="preserve">5.5.2  </w:t>
      </w:r>
      <w:r>
        <w:rPr>
          <w:rFonts w:hint="eastAsia" w:hAnsi="宋体" w:cs="宋体"/>
          <w:sz w:val="21"/>
          <w:szCs w:val="21"/>
        </w:rPr>
        <w:t>信息与智能化系统管线在穿越围护结构、门框墙、临空墙、密闭隔墙时，应做好防护密闭处理。</w:t>
      </w:r>
    </w:p>
    <w:p w14:paraId="5B070ED7">
      <w:pPr>
        <w:widowControl/>
        <w:spacing w:line="320" w:lineRule="exact"/>
        <w:jc w:val="left"/>
        <w:rPr>
          <w:rFonts w:hAnsi="宋体" w:cs="宋体"/>
          <w:color w:val="auto"/>
          <w:sz w:val="21"/>
          <w:szCs w:val="21"/>
        </w:rPr>
      </w:pPr>
      <w:r>
        <w:rPr>
          <w:rFonts w:hint="eastAsia" w:ascii="黑体" w:hAnsi="黑体" w:eastAsia="黑体" w:cs="黑体"/>
          <w:color w:val="auto"/>
          <w:sz w:val="21"/>
          <w:szCs w:val="21"/>
        </w:rPr>
        <w:t xml:space="preserve">5.5.3  </w:t>
      </w:r>
      <w:r>
        <w:rPr>
          <w:rFonts w:hint="eastAsia" w:hAnsi="宋体" w:cs="宋体"/>
          <w:color w:val="auto"/>
          <w:sz w:val="21"/>
          <w:szCs w:val="21"/>
        </w:rPr>
        <w:t>人防工程视频安防监控系统设置应符合下列规定:</w:t>
      </w:r>
    </w:p>
    <w:p w14:paraId="618A537E">
      <w:pPr>
        <w:widowControl/>
        <w:spacing w:line="320" w:lineRule="exact"/>
        <w:ind w:firstLine="420" w:firstLineChars="200"/>
        <w:jc w:val="left"/>
        <w:rPr>
          <w:rFonts w:hAnsi="宋体" w:cs="宋体"/>
          <w:color w:val="auto"/>
          <w:sz w:val="21"/>
          <w:szCs w:val="21"/>
        </w:rPr>
      </w:pPr>
      <w:r>
        <w:rPr>
          <w:rFonts w:hint="eastAsia" w:hAnsi="宋体" w:cs="宋体"/>
          <w:color w:val="auto"/>
          <w:sz w:val="21"/>
          <w:szCs w:val="21"/>
        </w:rPr>
        <w:t>a） 各出入口（包括车辆及人员出入口）、主要通道应设置固定焦距摄像机；</w:t>
      </w:r>
    </w:p>
    <w:p w14:paraId="0EA4E600">
      <w:pPr>
        <w:widowControl/>
        <w:spacing w:line="320" w:lineRule="exact"/>
        <w:ind w:firstLine="420" w:firstLineChars="200"/>
        <w:jc w:val="left"/>
        <w:rPr>
          <w:rFonts w:hAnsi="宋体" w:cs="宋体"/>
          <w:color w:val="auto"/>
          <w:sz w:val="21"/>
          <w:szCs w:val="21"/>
        </w:rPr>
      </w:pPr>
      <w:r>
        <w:rPr>
          <w:rFonts w:hint="eastAsia" w:hAnsi="宋体" w:cs="宋体"/>
          <w:color w:val="auto"/>
          <w:sz w:val="21"/>
          <w:szCs w:val="21"/>
        </w:rPr>
        <w:t>b） 监控区域应无盲区,避免或减少图像出现逆光现象；</w:t>
      </w:r>
    </w:p>
    <w:p w14:paraId="1E3DE505">
      <w:pPr>
        <w:widowControl/>
        <w:spacing w:line="320" w:lineRule="exact"/>
        <w:ind w:firstLine="420" w:firstLineChars="200"/>
        <w:jc w:val="left"/>
        <w:rPr>
          <w:rFonts w:hAnsi="宋体" w:cs="宋体"/>
          <w:color w:val="auto"/>
          <w:sz w:val="21"/>
          <w:szCs w:val="21"/>
        </w:rPr>
      </w:pPr>
      <w:r>
        <w:rPr>
          <w:rFonts w:hint="eastAsia" w:hAnsi="宋体" w:cs="宋体"/>
          <w:color w:val="auto"/>
          <w:sz w:val="21"/>
          <w:szCs w:val="21"/>
        </w:rPr>
        <w:t>c） 视频图像应清晰显示人员的行为特征，出入口视频图像应清晰显示进出人员面部特征和（或）机动车牌号。</w:t>
      </w:r>
    </w:p>
    <w:p w14:paraId="6BB076E9">
      <w:pPr>
        <w:widowControl/>
        <w:spacing w:line="320" w:lineRule="exact"/>
        <w:jc w:val="left"/>
        <w:rPr>
          <w:rFonts w:hAnsi="宋体" w:cs="宋体"/>
          <w:color w:val="auto"/>
          <w:sz w:val="21"/>
          <w:szCs w:val="21"/>
        </w:rPr>
      </w:pPr>
      <w:r>
        <w:rPr>
          <w:rFonts w:hint="eastAsia" w:ascii="黑体" w:hAnsi="黑体" w:eastAsia="黑体" w:cs="黑体"/>
          <w:color w:val="auto"/>
          <w:sz w:val="21"/>
          <w:szCs w:val="21"/>
        </w:rPr>
        <w:t xml:space="preserve">5.5.4  </w:t>
      </w:r>
      <w:r>
        <w:rPr>
          <w:rFonts w:hint="eastAsia" w:hAnsi="宋体" w:cs="宋体"/>
          <w:color w:val="auto"/>
          <w:sz w:val="21"/>
          <w:szCs w:val="21"/>
        </w:rPr>
        <w:t>移动通信室内信号覆盖系统应符合下列规定：</w:t>
      </w:r>
    </w:p>
    <w:p w14:paraId="649049BD">
      <w:pPr>
        <w:widowControl/>
        <w:spacing w:line="320" w:lineRule="exact"/>
        <w:ind w:firstLine="420" w:firstLineChars="200"/>
        <w:jc w:val="left"/>
        <w:rPr>
          <w:rFonts w:hAnsi="宋体" w:cs="宋体"/>
          <w:color w:val="auto"/>
          <w:sz w:val="21"/>
          <w:szCs w:val="21"/>
        </w:rPr>
      </w:pPr>
      <w:r>
        <w:rPr>
          <w:rFonts w:hint="eastAsia" w:hAnsi="宋体" w:cs="宋体"/>
          <w:color w:val="auto"/>
          <w:sz w:val="21"/>
          <w:szCs w:val="21"/>
        </w:rPr>
        <w:t>a） 系统应覆盖整个工程,接通率大于95%,并在99%的时间内移动用户能够接入。</w:t>
      </w:r>
    </w:p>
    <w:p w14:paraId="454C1F3A">
      <w:pPr>
        <w:widowControl/>
        <w:spacing w:line="320" w:lineRule="exact"/>
        <w:ind w:firstLine="420" w:firstLineChars="200"/>
        <w:jc w:val="left"/>
        <w:rPr>
          <w:rFonts w:hAnsi="宋体" w:cs="宋体"/>
          <w:color w:val="auto"/>
          <w:sz w:val="21"/>
          <w:szCs w:val="21"/>
        </w:rPr>
      </w:pPr>
      <w:r>
        <w:rPr>
          <w:rFonts w:hint="eastAsia" w:hAnsi="宋体" w:cs="宋体"/>
          <w:color w:val="auto"/>
          <w:sz w:val="21"/>
          <w:szCs w:val="21"/>
        </w:rPr>
        <w:t>b） 当同一人防工程内采用2套或2套以上基站进行覆盖时，其相邻区间做好邻区关系和信号无缝越区切换。</w:t>
      </w:r>
    </w:p>
    <w:p w14:paraId="33D41D2B">
      <w:pPr>
        <w:widowControl/>
        <w:spacing w:line="320" w:lineRule="exact"/>
        <w:ind w:firstLine="420" w:firstLineChars="200"/>
        <w:jc w:val="left"/>
        <w:rPr>
          <w:rFonts w:hAnsi="宋体" w:cs="宋体"/>
          <w:color w:val="auto"/>
          <w:sz w:val="21"/>
          <w:szCs w:val="21"/>
        </w:rPr>
      </w:pPr>
      <w:r>
        <w:rPr>
          <w:rFonts w:hint="eastAsia" w:hAnsi="宋体" w:cs="宋体"/>
          <w:color w:val="auto"/>
          <w:sz w:val="21"/>
          <w:szCs w:val="21"/>
        </w:rPr>
        <w:t>c） 系统基站设备机房的主电源应不低于本建筑物的最高供电等级。通信用的设备当有不间断和无瞬变供电要求时,宜采用UPS不间断电源供电方式。</w:t>
      </w:r>
    </w:p>
    <w:p w14:paraId="10777A12">
      <w:pPr>
        <w:widowControl/>
        <w:spacing w:line="320" w:lineRule="exact"/>
        <w:jc w:val="left"/>
        <w:rPr>
          <w:rFonts w:hAnsi="宋体" w:cs="宋体"/>
          <w:color w:val="auto"/>
          <w:sz w:val="21"/>
          <w:szCs w:val="21"/>
        </w:rPr>
      </w:pPr>
      <w:r>
        <w:rPr>
          <w:rFonts w:hint="eastAsia" w:ascii="黑体" w:hAnsi="黑体" w:eastAsia="黑体" w:cs="黑体"/>
          <w:color w:val="auto"/>
          <w:sz w:val="21"/>
          <w:szCs w:val="21"/>
        </w:rPr>
        <w:t xml:space="preserve">5.5.5  </w:t>
      </w:r>
      <w:r>
        <w:rPr>
          <w:rFonts w:hint="eastAsia" w:hAnsi="宋体" w:cs="宋体"/>
          <w:color w:val="auto"/>
          <w:sz w:val="21"/>
          <w:szCs w:val="21"/>
        </w:rPr>
        <w:t>出入口控制系统设置应符合下列规定：</w:t>
      </w:r>
    </w:p>
    <w:p w14:paraId="66C5C007">
      <w:pPr>
        <w:widowControl/>
        <w:spacing w:line="320" w:lineRule="exact"/>
        <w:ind w:firstLine="420" w:firstLineChars="200"/>
        <w:jc w:val="left"/>
        <w:rPr>
          <w:rFonts w:hAnsi="宋体" w:cs="宋体"/>
          <w:color w:val="auto"/>
          <w:sz w:val="21"/>
          <w:szCs w:val="21"/>
        </w:rPr>
      </w:pPr>
      <w:r>
        <w:rPr>
          <w:rFonts w:hint="eastAsia" w:hAnsi="宋体" w:cs="宋体"/>
          <w:color w:val="auto"/>
          <w:sz w:val="21"/>
          <w:szCs w:val="21"/>
        </w:rPr>
        <w:t>a） 根据系统功能要求、出入权限、出入时间段、通行流量等因素，合理确定系统配置；</w:t>
      </w:r>
    </w:p>
    <w:p w14:paraId="5189A35D">
      <w:pPr>
        <w:widowControl/>
        <w:spacing w:line="320" w:lineRule="exact"/>
        <w:ind w:firstLine="420" w:firstLineChars="200"/>
        <w:jc w:val="left"/>
        <w:rPr>
          <w:rFonts w:hAnsi="宋体" w:cs="宋体"/>
          <w:color w:val="auto"/>
          <w:sz w:val="21"/>
          <w:szCs w:val="21"/>
        </w:rPr>
      </w:pPr>
      <w:r>
        <w:rPr>
          <w:rFonts w:hint="eastAsia" w:hAnsi="宋体" w:cs="宋体"/>
          <w:color w:val="auto"/>
          <w:sz w:val="21"/>
          <w:szCs w:val="21"/>
        </w:rPr>
        <w:t>b） 重要通道、重要部位宜设置出入口控制装置；系统应对设防区域的位置、通行对象及通行时间等进行实时控制。</w:t>
      </w:r>
    </w:p>
    <w:p w14:paraId="3F19AEF0">
      <w:pPr>
        <w:widowControl/>
        <w:spacing w:line="320" w:lineRule="exact"/>
        <w:ind w:firstLine="420" w:firstLineChars="200"/>
        <w:jc w:val="left"/>
        <w:rPr>
          <w:rFonts w:hAnsi="宋体" w:cs="宋体"/>
          <w:color w:val="auto"/>
          <w:sz w:val="21"/>
          <w:szCs w:val="21"/>
        </w:rPr>
      </w:pPr>
      <w:r>
        <w:rPr>
          <w:rFonts w:hint="eastAsia" w:hAnsi="宋体" w:cs="宋体"/>
          <w:color w:val="auto"/>
          <w:sz w:val="21"/>
          <w:szCs w:val="21"/>
        </w:rPr>
        <w:t>c） 系统应具有对强行开门、长时间不关门、通信中断、设备故障等非正常情况，实时报警功能；</w:t>
      </w:r>
    </w:p>
    <w:p w14:paraId="2CFC1E9E">
      <w:pPr>
        <w:widowControl/>
        <w:spacing w:line="320" w:lineRule="exact"/>
        <w:jc w:val="left"/>
        <w:rPr>
          <w:rFonts w:ascii="黑体" w:hAnsi="黑体" w:eastAsia="黑体" w:cs="黑体"/>
          <w:color w:val="auto"/>
          <w:sz w:val="21"/>
          <w:szCs w:val="21"/>
        </w:rPr>
      </w:pPr>
      <w:r>
        <w:rPr>
          <w:rFonts w:hint="eastAsia" w:ascii="黑体" w:hAnsi="黑体" w:eastAsia="黑体" w:cs="黑体"/>
          <w:color w:val="auto"/>
          <w:sz w:val="21"/>
          <w:szCs w:val="21"/>
        </w:rPr>
        <w:t xml:space="preserve">5.5.6  </w:t>
      </w:r>
      <w:r>
        <w:rPr>
          <w:rFonts w:hint="eastAsia" w:hAnsi="宋体" w:cs="宋体"/>
          <w:color w:val="auto"/>
          <w:sz w:val="21"/>
          <w:szCs w:val="21"/>
        </w:rPr>
        <w:t>信息系统操作与管理人员应当经过信息安全培训,掌握信息安全基本要求和基本技能。</w:t>
      </w:r>
    </w:p>
    <w:p w14:paraId="4E0E57B5">
      <w:pPr>
        <w:spacing w:line="320" w:lineRule="exact"/>
        <w:rPr>
          <w:sz w:val="21"/>
          <w:szCs w:val="21"/>
        </w:rPr>
      </w:pPr>
    </w:p>
    <w:p w14:paraId="5341693C">
      <w:pPr>
        <w:spacing w:line="320" w:lineRule="exact"/>
        <w:rPr>
          <w:sz w:val="21"/>
          <w:szCs w:val="21"/>
        </w:rPr>
      </w:pPr>
    </w:p>
    <w:p w14:paraId="626B20DE">
      <w:pPr>
        <w:spacing w:line="320" w:lineRule="exact"/>
        <w:rPr>
          <w:sz w:val="21"/>
          <w:szCs w:val="21"/>
        </w:rPr>
      </w:pPr>
    </w:p>
    <w:p w14:paraId="1076FEA7">
      <w:pPr>
        <w:spacing w:line="320" w:lineRule="exact"/>
        <w:rPr>
          <w:sz w:val="21"/>
          <w:szCs w:val="21"/>
        </w:rPr>
      </w:pPr>
    </w:p>
    <w:p w14:paraId="4D09771F">
      <w:pPr>
        <w:spacing w:line="320" w:lineRule="exact"/>
        <w:rPr>
          <w:sz w:val="21"/>
          <w:szCs w:val="21"/>
        </w:rPr>
      </w:pPr>
    </w:p>
    <w:p w14:paraId="1F56D09C">
      <w:pPr>
        <w:spacing w:line="320" w:lineRule="exact"/>
        <w:rPr>
          <w:sz w:val="21"/>
          <w:szCs w:val="21"/>
        </w:rPr>
      </w:pPr>
    </w:p>
    <w:p w14:paraId="33327731">
      <w:pPr>
        <w:spacing w:line="320" w:lineRule="exact"/>
        <w:rPr>
          <w:sz w:val="21"/>
          <w:szCs w:val="21"/>
        </w:rPr>
      </w:pPr>
    </w:p>
    <w:p w14:paraId="3C0F664A">
      <w:pPr>
        <w:spacing w:line="320" w:lineRule="exact"/>
        <w:rPr>
          <w:sz w:val="21"/>
          <w:szCs w:val="21"/>
        </w:rPr>
      </w:pPr>
    </w:p>
    <w:p w14:paraId="59C316EF">
      <w:pPr>
        <w:spacing w:line="320" w:lineRule="exact"/>
        <w:rPr>
          <w:sz w:val="21"/>
          <w:szCs w:val="21"/>
        </w:rPr>
      </w:pPr>
    </w:p>
    <w:p w14:paraId="709AE02B">
      <w:pPr>
        <w:spacing w:line="320" w:lineRule="exact"/>
        <w:rPr>
          <w:sz w:val="21"/>
          <w:szCs w:val="21"/>
        </w:rPr>
      </w:pPr>
    </w:p>
    <w:p w14:paraId="2D93DE8F">
      <w:pPr>
        <w:spacing w:line="320" w:lineRule="exact"/>
        <w:rPr>
          <w:sz w:val="21"/>
          <w:szCs w:val="21"/>
        </w:rPr>
      </w:pPr>
    </w:p>
    <w:p w14:paraId="5ED807AD">
      <w:pPr>
        <w:spacing w:line="320" w:lineRule="exact"/>
        <w:rPr>
          <w:sz w:val="21"/>
          <w:szCs w:val="21"/>
        </w:rPr>
      </w:pPr>
    </w:p>
    <w:p w14:paraId="54CC8B02">
      <w:pPr>
        <w:spacing w:line="320" w:lineRule="exact"/>
        <w:rPr>
          <w:sz w:val="21"/>
          <w:szCs w:val="21"/>
        </w:rPr>
      </w:pPr>
    </w:p>
    <w:p w14:paraId="608B8D73">
      <w:pPr>
        <w:spacing w:line="320" w:lineRule="exact"/>
        <w:rPr>
          <w:sz w:val="21"/>
          <w:szCs w:val="21"/>
        </w:rPr>
      </w:pPr>
    </w:p>
    <w:p w14:paraId="0D49F5BE">
      <w:pPr>
        <w:spacing w:line="320" w:lineRule="exact"/>
        <w:rPr>
          <w:sz w:val="21"/>
          <w:szCs w:val="21"/>
        </w:rPr>
      </w:pPr>
    </w:p>
    <w:p w14:paraId="138C0024">
      <w:pPr>
        <w:spacing w:line="320" w:lineRule="exact"/>
        <w:rPr>
          <w:sz w:val="21"/>
          <w:szCs w:val="21"/>
        </w:rPr>
      </w:pPr>
    </w:p>
    <w:p w14:paraId="25F05E1A">
      <w:pPr>
        <w:spacing w:line="320" w:lineRule="exact"/>
        <w:rPr>
          <w:sz w:val="21"/>
          <w:szCs w:val="21"/>
        </w:rPr>
      </w:pPr>
    </w:p>
    <w:p w14:paraId="1B178342">
      <w:pPr>
        <w:spacing w:line="320" w:lineRule="exact"/>
        <w:rPr>
          <w:sz w:val="21"/>
          <w:szCs w:val="21"/>
        </w:rPr>
      </w:pPr>
    </w:p>
    <w:p w14:paraId="0A9D4C8E">
      <w:pPr>
        <w:spacing w:line="320" w:lineRule="exact"/>
        <w:rPr>
          <w:sz w:val="21"/>
          <w:szCs w:val="21"/>
        </w:rPr>
      </w:pPr>
    </w:p>
    <w:p w14:paraId="32A7BCD1">
      <w:pPr>
        <w:spacing w:line="320" w:lineRule="exact"/>
        <w:rPr>
          <w:sz w:val="21"/>
          <w:szCs w:val="21"/>
        </w:rPr>
      </w:pPr>
    </w:p>
    <w:p w14:paraId="6862AA64">
      <w:pPr>
        <w:spacing w:line="320" w:lineRule="exact"/>
        <w:rPr>
          <w:sz w:val="21"/>
          <w:szCs w:val="21"/>
        </w:rPr>
      </w:pPr>
    </w:p>
    <w:p w14:paraId="387EA6F0">
      <w:pPr>
        <w:spacing w:line="320" w:lineRule="exact"/>
        <w:rPr>
          <w:sz w:val="21"/>
          <w:szCs w:val="21"/>
        </w:rPr>
      </w:pPr>
    </w:p>
    <w:p w14:paraId="1908837F">
      <w:pPr>
        <w:spacing w:line="320" w:lineRule="exact"/>
        <w:rPr>
          <w:sz w:val="21"/>
          <w:szCs w:val="21"/>
        </w:rPr>
      </w:pPr>
    </w:p>
    <w:p w14:paraId="0E3CFAD7">
      <w:pPr>
        <w:spacing w:line="320" w:lineRule="exact"/>
        <w:rPr>
          <w:sz w:val="21"/>
          <w:szCs w:val="21"/>
        </w:rPr>
      </w:pPr>
    </w:p>
    <w:p w14:paraId="0F7F0B99">
      <w:pPr>
        <w:spacing w:line="320" w:lineRule="exact"/>
        <w:rPr>
          <w:sz w:val="21"/>
          <w:szCs w:val="21"/>
        </w:rPr>
      </w:pPr>
    </w:p>
    <w:p w14:paraId="7291737A">
      <w:pPr>
        <w:spacing w:line="320" w:lineRule="exact"/>
        <w:rPr>
          <w:sz w:val="21"/>
          <w:szCs w:val="21"/>
        </w:rPr>
      </w:pPr>
    </w:p>
    <w:p w14:paraId="0D900B6F">
      <w:pPr>
        <w:spacing w:line="320" w:lineRule="exact"/>
        <w:rPr>
          <w:sz w:val="21"/>
          <w:szCs w:val="21"/>
        </w:rPr>
      </w:pPr>
    </w:p>
    <w:p w14:paraId="78B0F0BC">
      <w:pPr>
        <w:spacing w:line="320" w:lineRule="exact"/>
        <w:rPr>
          <w:sz w:val="21"/>
          <w:szCs w:val="21"/>
        </w:rPr>
      </w:pPr>
    </w:p>
    <w:p w14:paraId="3A7C9D0A">
      <w:pPr>
        <w:spacing w:line="320" w:lineRule="exact"/>
        <w:rPr>
          <w:sz w:val="21"/>
          <w:szCs w:val="21"/>
        </w:rPr>
      </w:pPr>
    </w:p>
    <w:p w14:paraId="6EAF4A5A">
      <w:pPr>
        <w:spacing w:line="320" w:lineRule="exact"/>
        <w:rPr>
          <w:sz w:val="21"/>
          <w:szCs w:val="21"/>
        </w:rPr>
      </w:pPr>
    </w:p>
    <w:p w14:paraId="09CA8AA5">
      <w:pPr>
        <w:spacing w:line="320" w:lineRule="exact"/>
        <w:rPr>
          <w:sz w:val="21"/>
          <w:szCs w:val="21"/>
        </w:rPr>
      </w:pPr>
    </w:p>
    <w:p w14:paraId="76DCBCF5">
      <w:pPr>
        <w:spacing w:line="320" w:lineRule="exact"/>
        <w:rPr>
          <w:sz w:val="21"/>
          <w:szCs w:val="21"/>
        </w:rPr>
      </w:pPr>
    </w:p>
    <w:p w14:paraId="4469C48D">
      <w:pPr>
        <w:spacing w:line="320" w:lineRule="exact"/>
        <w:rPr>
          <w:sz w:val="21"/>
          <w:szCs w:val="21"/>
        </w:rPr>
      </w:pPr>
    </w:p>
    <w:p w14:paraId="13957A76">
      <w:pPr>
        <w:spacing w:beforeLines="50" w:afterLines="50" w:line="320" w:lineRule="exact"/>
        <w:outlineLvl w:val="0"/>
      </w:pPr>
      <w:bookmarkStart w:id="27" w:name="_Toc30362"/>
      <w:r>
        <w:rPr>
          <w:rFonts w:hint="eastAsia" w:ascii="黑体" w:hAnsi="黑体" w:eastAsia="黑体" w:cs="黑体"/>
          <w:sz w:val="21"/>
          <w:szCs w:val="21"/>
        </w:rPr>
        <w:t>6　应急状态</w:t>
      </w:r>
      <w:bookmarkEnd w:id="27"/>
    </w:p>
    <w:p w14:paraId="2712C770">
      <w:pPr>
        <w:spacing w:beforeLines="50" w:afterLines="50"/>
        <w:outlineLvl w:val="1"/>
        <w:rPr>
          <w:rFonts w:ascii="黑体" w:hAnsi="黑体" w:eastAsia="黑体" w:cs="黑体"/>
          <w:sz w:val="21"/>
          <w:szCs w:val="21"/>
        </w:rPr>
      </w:pPr>
      <w:bookmarkStart w:id="28" w:name="_Toc30496"/>
      <w:r>
        <w:rPr>
          <w:rFonts w:hint="eastAsia" w:ascii="黑体" w:hAnsi="黑体" w:eastAsia="黑体" w:cs="黑体"/>
          <w:sz w:val="21"/>
          <w:szCs w:val="21"/>
        </w:rPr>
        <w:t>6.1  一般规定</w:t>
      </w:r>
      <w:bookmarkEnd w:id="28"/>
    </w:p>
    <w:p w14:paraId="0F06BE77">
      <w:pPr>
        <w:pStyle w:val="13"/>
        <w:widowControl/>
        <w:spacing w:before="0" w:beforeAutospacing="0" w:after="0" w:afterAutospacing="0" w:line="320" w:lineRule="exact"/>
        <w:rPr>
          <w:rFonts w:hAnsi="宋体" w:cs="宋体"/>
          <w:kern w:val="2"/>
          <w:sz w:val="21"/>
          <w:szCs w:val="21"/>
        </w:rPr>
      </w:pPr>
      <w:r>
        <w:rPr>
          <w:rFonts w:hint="eastAsia" w:ascii="黑体" w:hAnsi="黑体" w:eastAsia="黑体" w:cs="黑体"/>
          <w:kern w:val="2"/>
          <w:sz w:val="21"/>
          <w:szCs w:val="21"/>
        </w:rPr>
        <w:t xml:space="preserve">6.1.1  </w:t>
      </w:r>
      <w:r>
        <w:rPr>
          <w:rFonts w:hint="eastAsia" w:hAnsi="宋体" w:cs="宋体"/>
          <w:kern w:val="2"/>
          <w:sz w:val="21"/>
          <w:szCs w:val="21"/>
        </w:rPr>
        <w:t>平时使用应遵守消防、防汛、防踩踏等各项防灾规定，配备负责安全管理的专职人员和应急状态物资储备。</w:t>
      </w:r>
    </w:p>
    <w:p w14:paraId="123372AA">
      <w:pPr>
        <w:pStyle w:val="13"/>
        <w:widowControl/>
        <w:spacing w:before="0" w:beforeAutospacing="0" w:after="0" w:afterAutospacing="0" w:line="320" w:lineRule="exact"/>
        <w:rPr>
          <w:rFonts w:hAnsi="宋体" w:cs="宋体"/>
          <w:kern w:val="2"/>
          <w:sz w:val="21"/>
          <w:szCs w:val="21"/>
        </w:rPr>
      </w:pPr>
      <w:r>
        <w:rPr>
          <w:rFonts w:hint="eastAsia" w:ascii="黑体" w:hAnsi="黑体" w:eastAsia="黑体" w:cs="黑体"/>
          <w:kern w:val="2"/>
          <w:sz w:val="21"/>
          <w:szCs w:val="21"/>
        </w:rPr>
        <w:t xml:space="preserve">6.1.2  </w:t>
      </w:r>
      <w:r>
        <w:rPr>
          <w:rFonts w:hint="eastAsia" w:hAnsi="宋体" w:cs="宋体"/>
          <w:color w:val="auto"/>
          <w:kern w:val="2"/>
          <w:sz w:val="21"/>
          <w:szCs w:val="21"/>
        </w:rPr>
        <w:t>安全使用责任人或使用人应针对可能发生的火灾、拥挤踩踏、洪水等事故制定</w:t>
      </w:r>
      <w:r>
        <w:rPr>
          <w:rFonts w:hAnsi="宋体" w:cs="宋体"/>
          <w:color w:val="auto"/>
          <w:kern w:val="2"/>
          <w:sz w:val="21"/>
          <w:szCs w:val="21"/>
        </w:rPr>
        <w:t>相应的</w:t>
      </w:r>
      <w:r>
        <w:rPr>
          <w:rFonts w:hint="eastAsia" w:hAnsi="宋体" w:cs="宋体"/>
          <w:color w:val="auto"/>
          <w:kern w:val="2"/>
          <w:sz w:val="21"/>
          <w:szCs w:val="21"/>
        </w:rPr>
        <w:t>防灾救灾应急预案。</w:t>
      </w:r>
    </w:p>
    <w:p w14:paraId="7CAABCF0">
      <w:pPr>
        <w:pStyle w:val="13"/>
        <w:widowControl/>
        <w:spacing w:before="0" w:beforeAutospacing="0" w:after="0" w:afterAutospacing="0" w:line="320" w:lineRule="exact"/>
        <w:rPr>
          <w:rFonts w:hAnsi="宋体" w:cs="宋体"/>
          <w:color w:val="auto"/>
          <w:kern w:val="2"/>
          <w:sz w:val="21"/>
          <w:szCs w:val="21"/>
        </w:rPr>
      </w:pPr>
      <w:r>
        <w:rPr>
          <w:rFonts w:hint="eastAsia" w:ascii="黑体" w:hAnsi="黑体" w:eastAsia="黑体" w:cs="黑体"/>
          <w:color w:val="auto"/>
          <w:kern w:val="2"/>
          <w:sz w:val="21"/>
          <w:szCs w:val="21"/>
        </w:rPr>
        <w:t xml:space="preserve">6.1.3  </w:t>
      </w:r>
      <w:r>
        <w:rPr>
          <w:rFonts w:hint="eastAsia" w:hAnsi="宋体" w:cs="宋体"/>
          <w:color w:val="auto"/>
          <w:sz w:val="21"/>
          <w:szCs w:val="21"/>
        </w:rPr>
        <w:t>人员疏散通道、出入口的疏散引导标识应做到位置醒目、指向明确。</w:t>
      </w:r>
    </w:p>
    <w:p w14:paraId="7FFF6201">
      <w:pPr>
        <w:pStyle w:val="13"/>
        <w:widowControl/>
        <w:spacing w:before="0" w:beforeAutospacing="0" w:after="0" w:afterAutospacing="0" w:line="320" w:lineRule="exact"/>
        <w:rPr>
          <w:rFonts w:hAnsi="宋体" w:cs="宋体"/>
          <w:color w:val="auto"/>
          <w:sz w:val="21"/>
          <w:szCs w:val="21"/>
        </w:rPr>
      </w:pPr>
      <w:r>
        <w:rPr>
          <w:rFonts w:hint="eastAsia" w:ascii="黑体" w:hAnsi="黑体" w:eastAsia="黑体" w:cs="黑体"/>
          <w:color w:val="auto"/>
          <w:kern w:val="2"/>
          <w:sz w:val="21"/>
          <w:szCs w:val="21"/>
        </w:rPr>
        <w:t xml:space="preserve">6.1.4 </w:t>
      </w:r>
      <w:r>
        <w:rPr>
          <w:rFonts w:hint="eastAsia" w:hAnsi="宋体" w:cs="宋体"/>
          <w:color w:val="auto"/>
          <w:sz w:val="21"/>
          <w:szCs w:val="21"/>
        </w:rPr>
        <w:t xml:space="preserve"> 应委托具备相应资质检测单位定期对消防设施、器材进行全面检测，不合格产品应及时更换。</w:t>
      </w:r>
    </w:p>
    <w:p w14:paraId="01F70DCB">
      <w:pPr>
        <w:spacing w:beforeLines="50" w:afterLines="50"/>
        <w:outlineLvl w:val="1"/>
        <w:rPr>
          <w:rFonts w:ascii="黑体" w:hAnsi="黑体" w:eastAsia="黑体" w:cs="黑体"/>
          <w:sz w:val="21"/>
          <w:szCs w:val="21"/>
        </w:rPr>
      </w:pPr>
      <w:bookmarkStart w:id="29" w:name="_Toc12023"/>
      <w:r>
        <w:rPr>
          <w:rFonts w:hint="eastAsia" w:ascii="黑体" w:hAnsi="黑体" w:eastAsia="黑体" w:cs="黑体"/>
          <w:sz w:val="21"/>
          <w:szCs w:val="21"/>
        </w:rPr>
        <w:t>6.2  火灾</w:t>
      </w:r>
      <w:bookmarkEnd w:id="29"/>
    </w:p>
    <w:p w14:paraId="00D5BB28">
      <w:pPr>
        <w:spacing w:line="320" w:lineRule="exact"/>
        <w:rPr>
          <w:rFonts w:ascii="黑体" w:hAnsi="黑体" w:eastAsia="黑体" w:cs="黑体"/>
          <w:color w:val="auto"/>
          <w:sz w:val="21"/>
          <w:szCs w:val="21"/>
        </w:rPr>
      </w:pPr>
      <w:r>
        <w:rPr>
          <w:rFonts w:hint="eastAsia" w:ascii="黑体" w:hAnsi="黑体" w:eastAsia="黑体" w:cs="黑体"/>
          <w:color w:val="auto"/>
          <w:kern w:val="2"/>
          <w:sz w:val="21"/>
          <w:szCs w:val="21"/>
        </w:rPr>
        <w:t xml:space="preserve">6.2.1 </w:t>
      </w:r>
      <w:r>
        <w:rPr>
          <w:rFonts w:hint="eastAsia" w:hAnsi="宋体" w:cs="宋体"/>
          <w:color w:val="auto"/>
          <w:kern w:val="2"/>
          <w:sz w:val="21"/>
          <w:szCs w:val="21"/>
        </w:rPr>
        <w:t xml:space="preserve"> 消防监控设备报警指示灯闪烁并发出火警警报声后，应迅速读出火警点的地址号和火警的具体位置，通知有关人员现场查看。</w:t>
      </w:r>
    </w:p>
    <w:p w14:paraId="6AC0A1FF">
      <w:pPr>
        <w:pStyle w:val="13"/>
        <w:widowControl/>
        <w:spacing w:before="0" w:beforeAutospacing="0" w:after="0" w:afterAutospacing="0" w:line="320" w:lineRule="exact"/>
        <w:rPr>
          <w:rFonts w:hAnsi="宋体" w:cs="宋体"/>
          <w:color w:val="auto"/>
          <w:kern w:val="2"/>
          <w:sz w:val="21"/>
          <w:szCs w:val="21"/>
        </w:rPr>
      </w:pPr>
      <w:r>
        <w:rPr>
          <w:rFonts w:hint="eastAsia" w:ascii="黑体" w:hAnsi="黑体" w:eastAsia="黑体" w:cs="黑体"/>
          <w:color w:val="auto"/>
          <w:kern w:val="2"/>
          <w:sz w:val="21"/>
          <w:szCs w:val="21"/>
        </w:rPr>
        <w:t xml:space="preserve">6.2.2  </w:t>
      </w:r>
      <w:r>
        <w:rPr>
          <w:rFonts w:hint="eastAsia" w:hAnsi="宋体" w:cs="宋体"/>
          <w:color w:val="auto"/>
          <w:kern w:val="2"/>
          <w:sz w:val="21"/>
          <w:szCs w:val="21"/>
        </w:rPr>
        <w:t>确认火灾后，立即拨打119火警电话，启动人防工程内部的所有火灾声光警报器及消防应急广播</w:t>
      </w:r>
      <w:r>
        <w:rPr>
          <w:rFonts w:hAnsi="宋体" w:cs="宋体"/>
          <w:color w:val="auto"/>
          <w:kern w:val="2"/>
          <w:sz w:val="21"/>
          <w:szCs w:val="21"/>
        </w:rPr>
        <w:t>，</w:t>
      </w:r>
      <w:r>
        <w:rPr>
          <w:rFonts w:hint="eastAsia" w:hAnsi="宋体" w:cs="宋体"/>
          <w:color w:val="auto"/>
          <w:kern w:val="2"/>
          <w:sz w:val="21"/>
          <w:szCs w:val="21"/>
        </w:rPr>
        <w:t>并通过广播、通讯设备指挥人员疏散及组织人员救火。</w:t>
      </w:r>
    </w:p>
    <w:p w14:paraId="4D7148C9">
      <w:pPr>
        <w:pStyle w:val="13"/>
        <w:widowControl/>
        <w:spacing w:before="0" w:beforeAutospacing="0" w:after="0" w:afterAutospacing="0" w:line="320" w:lineRule="exact"/>
        <w:rPr>
          <w:rFonts w:hAnsi="宋体" w:cs="宋体"/>
          <w:color w:val="auto"/>
          <w:kern w:val="2"/>
          <w:sz w:val="21"/>
          <w:szCs w:val="21"/>
        </w:rPr>
      </w:pPr>
      <w:r>
        <w:rPr>
          <w:rFonts w:hint="eastAsia" w:ascii="黑体" w:hAnsi="黑体" w:eastAsia="黑体" w:cs="黑体"/>
          <w:color w:val="auto"/>
          <w:kern w:val="2"/>
          <w:sz w:val="21"/>
          <w:szCs w:val="21"/>
        </w:rPr>
        <w:t xml:space="preserve">6.2.3  </w:t>
      </w:r>
      <w:r>
        <w:rPr>
          <w:rFonts w:hint="eastAsia" w:hAnsi="宋体" w:cs="宋体"/>
          <w:color w:val="auto"/>
          <w:kern w:val="2"/>
          <w:sz w:val="21"/>
          <w:szCs w:val="21"/>
        </w:rPr>
        <w:t>当确认火灾后，由发生火灾的报警区域开始，启动疏散通道的消防应急照明和疏散指示系统，工程内部人员根据应急疏散指示灯具提示进行安全有序疏散。</w:t>
      </w:r>
    </w:p>
    <w:p w14:paraId="2612470A">
      <w:pPr>
        <w:pStyle w:val="13"/>
        <w:widowControl/>
        <w:spacing w:before="0" w:beforeAutospacing="0" w:after="0" w:afterAutospacing="0" w:line="320" w:lineRule="exact"/>
        <w:rPr>
          <w:rFonts w:hAnsi="宋体" w:cs="宋体"/>
          <w:color w:val="auto"/>
          <w:kern w:val="2"/>
          <w:sz w:val="21"/>
          <w:szCs w:val="21"/>
        </w:rPr>
      </w:pPr>
      <w:r>
        <w:rPr>
          <w:rFonts w:hint="eastAsia" w:ascii="黑体" w:hAnsi="黑体" w:eastAsia="黑体" w:cs="黑体"/>
          <w:color w:val="auto"/>
          <w:kern w:val="2"/>
          <w:sz w:val="21"/>
          <w:szCs w:val="21"/>
        </w:rPr>
        <w:t xml:space="preserve">6.2.4  </w:t>
      </w:r>
      <w:r>
        <w:rPr>
          <w:rFonts w:hint="eastAsia" w:hAnsi="宋体" w:cs="宋体"/>
          <w:color w:val="auto"/>
          <w:kern w:val="2"/>
          <w:sz w:val="21"/>
          <w:szCs w:val="21"/>
        </w:rPr>
        <w:t>消防联动控制器应能及时切断工程内部非消防设备电源，打开疏散通道上的门禁系统、停车场出入口挡杆。</w:t>
      </w:r>
    </w:p>
    <w:p w14:paraId="5E3A1CC0">
      <w:pPr>
        <w:pStyle w:val="13"/>
        <w:widowControl/>
        <w:spacing w:before="0" w:beforeAutospacing="0" w:after="0" w:afterAutospacing="0" w:line="320" w:lineRule="exact"/>
        <w:rPr>
          <w:rFonts w:hAnsi="宋体" w:cs="宋体"/>
          <w:color w:val="auto"/>
          <w:kern w:val="2"/>
          <w:sz w:val="21"/>
          <w:szCs w:val="21"/>
        </w:rPr>
      </w:pPr>
      <w:r>
        <w:rPr>
          <w:rFonts w:hint="eastAsia" w:ascii="黑体" w:hAnsi="黑体" w:eastAsia="黑体" w:cs="黑体"/>
          <w:color w:val="auto"/>
          <w:kern w:val="2"/>
          <w:sz w:val="21"/>
          <w:szCs w:val="21"/>
        </w:rPr>
        <w:t>6.2.</w:t>
      </w:r>
      <w:r>
        <w:rPr>
          <w:rFonts w:ascii="黑体" w:hAnsi="黑体" w:eastAsia="黑体" w:cs="黑体"/>
          <w:color w:val="auto"/>
          <w:kern w:val="2"/>
          <w:sz w:val="21"/>
          <w:szCs w:val="21"/>
        </w:rPr>
        <w:t>5</w:t>
      </w:r>
      <w:r>
        <w:rPr>
          <w:rFonts w:hint="eastAsia" w:hAnsi="宋体" w:cs="宋体"/>
          <w:color w:val="auto"/>
          <w:kern w:val="2"/>
          <w:sz w:val="21"/>
          <w:szCs w:val="21"/>
        </w:rPr>
        <w:t xml:space="preserve">  当确认火灾后，自动或人工启动工程内部的消防灭火设备设施。</w:t>
      </w:r>
    </w:p>
    <w:p w14:paraId="79752542">
      <w:pPr>
        <w:pStyle w:val="13"/>
        <w:widowControl/>
        <w:spacing w:before="0" w:beforeAutospacing="0" w:after="0" w:afterAutospacing="0" w:line="320" w:lineRule="exact"/>
        <w:rPr>
          <w:rFonts w:hAnsi="宋体" w:cs="宋体"/>
          <w:color w:val="auto"/>
          <w:kern w:val="2"/>
          <w:sz w:val="21"/>
          <w:szCs w:val="21"/>
        </w:rPr>
      </w:pPr>
      <w:r>
        <w:rPr>
          <w:rFonts w:hint="eastAsia" w:ascii="黑体" w:hAnsi="黑体" w:eastAsia="黑体" w:cs="黑体"/>
          <w:color w:val="auto"/>
          <w:kern w:val="2"/>
          <w:sz w:val="21"/>
          <w:szCs w:val="21"/>
        </w:rPr>
        <w:t>6.2.</w:t>
      </w:r>
      <w:r>
        <w:rPr>
          <w:rFonts w:ascii="黑体" w:hAnsi="黑体" w:eastAsia="黑体" w:cs="黑体"/>
          <w:color w:val="auto"/>
          <w:kern w:val="2"/>
          <w:sz w:val="21"/>
          <w:szCs w:val="21"/>
        </w:rPr>
        <w:t>6</w:t>
      </w:r>
      <w:r>
        <w:rPr>
          <w:rFonts w:hint="eastAsia" w:ascii="黑体" w:hAnsi="黑体" w:eastAsia="黑体" w:cs="黑体"/>
          <w:color w:val="auto"/>
          <w:kern w:val="2"/>
          <w:sz w:val="21"/>
          <w:szCs w:val="21"/>
        </w:rPr>
        <w:t xml:space="preserve">  </w:t>
      </w:r>
      <w:r>
        <w:rPr>
          <w:rFonts w:hint="eastAsia" w:hAnsi="宋体" w:cs="宋体"/>
          <w:color w:val="auto"/>
          <w:sz w:val="21"/>
          <w:szCs w:val="21"/>
        </w:rPr>
        <w:t>火情解除后，应配合主管部门查找分析火灾原因，总结经验教训。</w:t>
      </w:r>
      <w:r>
        <w:rPr>
          <w:rFonts w:hint="eastAsia" w:hAnsi="宋体" w:cs="宋体"/>
          <w:color w:val="auto"/>
          <w:kern w:val="2"/>
          <w:sz w:val="21"/>
          <w:szCs w:val="21"/>
        </w:rPr>
        <w:t>恢复相关的消防设施，消防监控设备复位进行正常监控。</w:t>
      </w:r>
    </w:p>
    <w:p w14:paraId="390D9899">
      <w:pPr>
        <w:spacing w:beforeLines="50" w:afterLines="50"/>
        <w:outlineLvl w:val="1"/>
        <w:rPr>
          <w:rFonts w:ascii="黑体" w:hAnsi="黑体" w:eastAsia="黑体" w:cs="黑体"/>
          <w:sz w:val="21"/>
          <w:szCs w:val="21"/>
        </w:rPr>
      </w:pPr>
      <w:bookmarkStart w:id="30" w:name="_Toc11497"/>
      <w:r>
        <w:rPr>
          <w:rFonts w:hint="eastAsia" w:ascii="黑体" w:hAnsi="黑体" w:eastAsia="黑体" w:cs="黑体"/>
          <w:sz w:val="21"/>
          <w:szCs w:val="21"/>
        </w:rPr>
        <w:t>6.3  防汛</w:t>
      </w:r>
      <w:bookmarkEnd w:id="30"/>
    </w:p>
    <w:p w14:paraId="29E0FD06">
      <w:pPr>
        <w:pStyle w:val="13"/>
        <w:widowControl/>
        <w:spacing w:before="0" w:beforeAutospacing="0" w:after="0" w:afterAutospacing="0" w:line="320" w:lineRule="exact"/>
        <w:rPr>
          <w:rFonts w:hAnsi="宋体" w:cs="宋体"/>
          <w:color w:val="auto"/>
          <w:sz w:val="21"/>
          <w:szCs w:val="21"/>
        </w:rPr>
      </w:pPr>
      <w:r>
        <w:rPr>
          <w:rFonts w:hint="eastAsia" w:ascii="黑体" w:hAnsi="黑体" w:eastAsia="黑体" w:cs="黑体"/>
          <w:color w:val="auto"/>
          <w:sz w:val="21"/>
          <w:szCs w:val="21"/>
        </w:rPr>
        <w:t xml:space="preserve">6.3.1 </w:t>
      </w:r>
      <w:r>
        <w:rPr>
          <w:rFonts w:hint="eastAsia" w:hAnsi="宋体" w:cs="宋体"/>
          <w:color w:val="auto"/>
          <w:sz w:val="21"/>
          <w:szCs w:val="21"/>
        </w:rPr>
        <w:t xml:space="preserve"> 应保持口部外的截水沟、排水口等各种排水设施完好，并应经常清理疏通，防止杂物污泥等堵塞排水道，防止人防工程外部排水不畅，造成雨水倒灌进入人防工程。</w:t>
      </w:r>
    </w:p>
    <w:p w14:paraId="44D8061D">
      <w:pPr>
        <w:pStyle w:val="13"/>
        <w:widowControl/>
        <w:spacing w:before="0" w:beforeAutospacing="0" w:after="0" w:afterAutospacing="0" w:line="320" w:lineRule="exact"/>
        <w:rPr>
          <w:rFonts w:hAnsi="宋体" w:cs="宋体"/>
          <w:color w:val="auto"/>
          <w:kern w:val="2"/>
          <w:sz w:val="21"/>
          <w:szCs w:val="21"/>
        </w:rPr>
      </w:pPr>
      <w:r>
        <w:rPr>
          <w:rFonts w:hint="eastAsia" w:ascii="黑体" w:hAnsi="黑体" w:eastAsia="黑体" w:cs="黑体"/>
          <w:color w:val="auto"/>
          <w:kern w:val="2"/>
          <w:sz w:val="21"/>
          <w:szCs w:val="21"/>
        </w:rPr>
        <w:t xml:space="preserve">6.3.2  </w:t>
      </w:r>
      <w:r>
        <w:rPr>
          <w:rFonts w:hint="eastAsia" w:hAnsi="宋体" w:cs="宋体"/>
          <w:color w:val="auto"/>
          <w:kern w:val="2"/>
          <w:sz w:val="21"/>
          <w:szCs w:val="21"/>
        </w:rPr>
        <w:t>应在靠近室外入口处划定专门区域存</w:t>
      </w:r>
      <w:r>
        <w:rPr>
          <w:rFonts w:hint="eastAsia" w:hAnsi="宋体" w:cs="宋体"/>
          <w:color w:val="auto"/>
          <w:sz w:val="21"/>
          <w:szCs w:val="21"/>
        </w:rPr>
        <w:t>放防水挡板、防水沙袋等防汛物资器材，严禁擅自挪用。定期检查并进行防汛演练，确保达到防汛效果。</w:t>
      </w:r>
    </w:p>
    <w:p w14:paraId="6B2AF2A2">
      <w:pPr>
        <w:pStyle w:val="13"/>
        <w:widowControl/>
        <w:spacing w:before="0" w:beforeAutospacing="0" w:after="0" w:afterAutospacing="0" w:line="320" w:lineRule="exact"/>
        <w:rPr>
          <w:rFonts w:hAnsi="宋体" w:cs="宋体"/>
          <w:color w:val="auto"/>
          <w:kern w:val="2"/>
          <w:sz w:val="21"/>
          <w:szCs w:val="21"/>
        </w:rPr>
      </w:pPr>
      <w:r>
        <w:rPr>
          <w:rFonts w:hint="eastAsia" w:ascii="黑体" w:hAnsi="黑体" w:eastAsia="黑体" w:cs="黑体"/>
          <w:color w:val="auto"/>
          <w:kern w:val="2"/>
          <w:sz w:val="21"/>
          <w:szCs w:val="21"/>
        </w:rPr>
        <w:t xml:space="preserve">6.3.3  </w:t>
      </w:r>
      <w:r>
        <w:rPr>
          <w:rFonts w:hint="eastAsia" w:hAnsi="宋体" w:cs="宋体"/>
          <w:color w:val="auto"/>
          <w:kern w:val="2"/>
          <w:sz w:val="21"/>
          <w:szCs w:val="21"/>
        </w:rPr>
        <w:t>应保证工程内部的排水沟、</w:t>
      </w:r>
      <w:r>
        <w:rPr>
          <w:rFonts w:hAnsi="宋体" w:cs="宋体"/>
          <w:color w:val="auto"/>
          <w:kern w:val="2"/>
          <w:sz w:val="21"/>
          <w:szCs w:val="21"/>
        </w:rPr>
        <w:t>地漏、</w:t>
      </w:r>
      <w:r>
        <w:rPr>
          <w:rFonts w:hint="eastAsia" w:hAnsi="宋体" w:cs="宋体"/>
          <w:color w:val="auto"/>
          <w:kern w:val="2"/>
          <w:sz w:val="21"/>
          <w:szCs w:val="21"/>
        </w:rPr>
        <w:t>集水井、排水管道、排水泵等设施完好，确保排水通畅。</w:t>
      </w:r>
    </w:p>
    <w:p w14:paraId="5B44B780">
      <w:pPr>
        <w:pStyle w:val="13"/>
        <w:widowControl/>
        <w:spacing w:before="0" w:beforeAutospacing="0" w:after="0" w:afterAutospacing="0" w:line="320" w:lineRule="exact"/>
        <w:rPr>
          <w:rFonts w:hAnsi="宋体" w:cs="宋体"/>
          <w:color w:val="auto"/>
          <w:kern w:val="2"/>
          <w:sz w:val="21"/>
          <w:szCs w:val="21"/>
        </w:rPr>
      </w:pPr>
      <w:r>
        <w:rPr>
          <w:rFonts w:hint="eastAsia" w:ascii="黑体" w:hAnsi="黑体" w:eastAsia="黑体" w:cs="黑体"/>
          <w:color w:val="auto"/>
          <w:kern w:val="2"/>
          <w:sz w:val="21"/>
          <w:szCs w:val="21"/>
        </w:rPr>
        <w:t xml:space="preserve">6.3.4  </w:t>
      </w:r>
      <w:r>
        <w:rPr>
          <w:rFonts w:hint="eastAsia" w:hAnsi="宋体" w:cs="宋体"/>
          <w:color w:val="auto"/>
          <w:sz w:val="21"/>
          <w:szCs w:val="21"/>
        </w:rPr>
        <w:t>每季度应检查防爆波电缆井内是否有积水，检查防爆波电缆井套管处是否有渗水，如出现积水或渗水现象，应采取排水、堵漏等措施。</w:t>
      </w:r>
    </w:p>
    <w:p w14:paraId="0FCF0C84">
      <w:pPr>
        <w:pStyle w:val="13"/>
        <w:widowControl/>
        <w:spacing w:before="0" w:beforeAutospacing="0" w:after="0" w:afterAutospacing="0" w:line="320" w:lineRule="exact"/>
        <w:rPr>
          <w:rFonts w:hAnsi="宋体" w:cs="宋体"/>
          <w:color w:val="auto"/>
          <w:kern w:val="2"/>
          <w:sz w:val="21"/>
          <w:szCs w:val="21"/>
        </w:rPr>
      </w:pPr>
      <w:r>
        <w:rPr>
          <w:rFonts w:hint="eastAsia" w:ascii="黑体" w:hAnsi="黑体" w:eastAsia="黑体" w:cs="黑体"/>
          <w:color w:val="auto"/>
          <w:kern w:val="2"/>
          <w:sz w:val="21"/>
          <w:szCs w:val="21"/>
        </w:rPr>
        <w:t xml:space="preserve">6.3.5  </w:t>
      </w:r>
      <w:r>
        <w:rPr>
          <w:rFonts w:hint="eastAsia" w:hAnsi="宋体" w:cs="宋体"/>
          <w:color w:val="auto"/>
          <w:sz w:val="21"/>
          <w:szCs w:val="21"/>
        </w:rPr>
        <w:t>出现雨水倒灌情况时，人防工程内的插座回路电源应</w:t>
      </w:r>
      <w:r>
        <w:rPr>
          <w:rFonts w:hAnsi="宋体" w:cs="宋体"/>
          <w:color w:val="auto"/>
          <w:sz w:val="21"/>
          <w:szCs w:val="21"/>
        </w:rPr>
        <w:t>自动</w:t>
      </w:r>
      <w:r>
        <w:rPr>
          <w:rFonts w:hint="eastAsia" w:hAnsi="宋体" w:cs="宋体"/>
          <w:color w:val="auto"/>
          <w:sz w:val="21"/>
          <w:szCs w:val="21"/>
        </w:rPr>
        <w:t>切断，防止安装高度较低的插座进水而造成漏电事故。</w:t>
      </w:r>
    </w:p>
    <w:p w14:paraId="2A7C4553">
      <w:pPr>
        <w:pStyle w:val="13"/>
        <w:widowControl/>
        <w:spacing w:before="0" w:beforeAutospacing="0" w:after="0" w:afterAutospacing="0" w:line="320" w:lineRule="exact"/>
        <w:rPr>
          <w:rFonts w:hAnsi="宋体" w:cs="宋体"/>
          <w:color w:val="auto"/>
          <w:kern w:val="2"/>
          <w:sz w:val="21"/>
          <w:szCs w:val="21"/>
        </w:rPr>
      </w:pPr>
      <w:r>
        <w:rPr>
          <w:rFonts w:hint="eastAsia" w:ascii="黑体" w:hAnsi="黑体" w:eastAsia="黑体" w:cs="黑体"/>
          <w:color w:val="auto"/>
          <w:kern w:val="2"/>
          <w:sz w:val="21"/>
          <w:szCs w:val="21"/>
        </w:rPr>
        <w:t xml:space="preserve">6.3.6  </w:t>
      </w:r>
      <w:r>
        <w:rPr>
          <w:rFonts w:hint="eastAsia" w:hAnsi="宋体" w:cs="宋体"/>
          <w:color w:val="auto"/>
          <w:kern w:val="2"/>
          <w:sz w:val="21"/>
          <w:szCs w:val="21"/>
        </w:rPr>
        <w:t>人防工程维护管理工作人员应准备手电筒或其它方便携带的备用照明灯具，在地下室照明因灾情发生故障时仍能</w:t>
      </w:r>
      <w:r>
        <w:rPr>
          <w:rFonts w:hAnsi="宋体" w:cs="宋体"/>
          <w:color w:val="auto"/>
          <w:kern w:val="2"/>
          <w:sz w:val="21"/>
          <w:szCs w:val="21"/>
        </w:rPr>
        <w:t>正常</w:t>
      </w:r>
      <w:r>
        <w:rPr>
          <w:rFonts w:hint="eastAsia" w:hAnsi="宋体" w:cs="宋体"/>
          <w:color w:val="auto"/>
          <w:kern w:val="2"/>
          <w:sz w:val="21"/>
          <w:szCs w:val="21"/>
        </w:rPr>
        <w:t>进行抢险救灾工作。</w:t>
      </w:r>
    </w:p>
    <w:p w14:paraId="59E266BA">
      <w:pPr>
        <w:spacing w:beforeLines="50" w:afterLines="50"/>
        <w:outlineLvl w:val="1"/>
        <w:rPr>
          <w:rFonts w:ascii="黑体" w:hAnsi="黑体" w:eastAsia="黑体" w:cs="黑体"/>
          <w:sz w:val="21"/>
          <w:szCs w:val="21"/>
        </w:rPr>
      </w:pPr>
      <w:bookmarkStart w:id="31" w:name="_Toc3488"/>
      <w:r>
        <w:rPr>
          <w:rFonts w:hint="eastAsia" w:ascii="黑体" w:hAnsi="黑体" w:eastAsia="黑体" w:cs="黑体"/>
          <w:sz w:val="21"/>
          <w:szCs w:val="21"/>
        </w:rPr>
        <w:t>6.4  防踩踏</w:t>
      </w:r>
      <w:bookmarkEnd w:id="31"/>
    </w:p>
    <w:p w14:paraId="5130FC42">
      <w:pPr>
        <w:pStyle w:val="13"/>
        <w:widowControl/>
        <w:spacing w:before="0" w:beforeAutospacing="0" w:after="0" w:afterAutospacing="0" w:line="320" w:lineRule="exact"/>
        <w:rPr>
          <w:rFonts w:hAnsi="宋体" w:cs="宋体"/>
          <w:color w:val="auto"/>
          <w:kern w:val="2"/>
          <w:sz w:val="21"/>
          <w:szCs w:val="21"/>
        </w:rPr>
      </w:pPr>
      <w:r>
        <w:rPr>
          <w:rFonts w:hint="eastAsia" w:ascii="黑体" w:hAnsi="黑体" w:eastAsia="黑体" w:cs="黑体"/>
          <w:kern w:val="2"/>
          <w:sz w:val="21"/>
          <w:szCs w:val="21"/>
        </w:rPr>
        <w:t xml:space="preserve">6.4.1  </w:t>
      </w:r>
      <w:r>
        <w:rPr>
          <w:rFonts w:hint="eastAsia" w:hAnsi="宋体" w:cs="宋体"/>
          <w:kern w:val="2"/>
          <w:sz w:val="21"/>
          <w:szCs w:val="21"/>
        </w:rPr>
        <w:t>通过加强场地管理、人流管控和安全设施建设，同时建立现场监测与预警机制和快速的疏散救援措施，有效地避免和减少踩踏事故的发生。</w:t>
      </w:r>
    </w:p>
    <w:p w14:paraId="112B5F9C">
      <w:pPr>
        <w:pStyle w:val="13"/>
        <w:widowControl/>
        <w:spacing w:before="0" w:beforeAutospacing="0" w:after="0" w:afterAutospacing="0" w:line="320" w:lineRule="exact"/>
        <w:rPr>
          <w:rFonts w:hAnsi="宋体" w:cs="宋体"/>
          <w:kern w:val="2"/>
          <w:sz w:val="21"/>
          <w:szCs w:val="21"/>
        </w:rPr>
      </w:pPr>
      <w:r>
        <w:rPr>
          <w:rFonts w:hint="eastAsia" w:ascii="黑体" w:hAnsi="黑体" w:eastAsia="黑体" w:cs="黑体"/>
          <w:kern w:val="2"/>
          <w:sz w:val="21"/>
          <w:szCs w:val="21"/>
        </w:rPr>
        <w:t xml:space="preserve">6.4.2  </w:t>
      </w:r>
      <w:r>
        <w:rPr>
          <w:rFonts w:hint="eastAsia" w:hAnsi="宋体" w:cs="宋体"/>
          <w:kern w:val="2"/>
          <w:sz w:val="21"/>
          <w:szCs w:val="21"/>
        </w:rPr>
        <w:t>疏散通道、安全出口应当保持畅通</w:t>
      </w:r>
      <w:r>
        <w:rPr>
          <w:rFonts w:hAnsi="宋体" w:cs="宋体"/>
          <w:kern w:val="2"/>
          <w:sz w:val="21"/>
          <w:szCs w:val="21"/>
        </w:rPr>
        <w:t>，禁止一切</w:t>
      </w:r>
      <w:r>
        <w:rPr>
          <w:rFonts w:ascii="Arial" w:hAnsi="Arial" w:eastAsia="Arial" w:cs="Arial"/>
          <w:spacing w:val="15"/>
          <w:sz w:val="22"/>
          <w:szCs w:val="22"/>
          <w:shd w:val="clear" w:color="auto" w:fill="FEFEFE"/>
        </w:rPr>
        <w:t>占</w:t>
      </w:r>
      <w:r>
        <w:rPr>
          <w:rFonts w:hint="eastAsia" w:hAnsi="宋体" w:cs="宋体"/>
          <w:kern w:val="2"/>
          <w:sz w:val="21"/>
          <w:szCs w:val="21"/>
        </w:rPr>
        <w:t>用、堵塞、封闭疏散通道、安全出口或者有其他妨碍安全疏散行为</w:t>
      </w:r>
      <w:r>
        <w:rPr>
          <w:rFonts w:hAnsi="宋体" w:cs="宋体"/>
          <w:kern w:val="2"/>
          <w:sz w:val="21"/>
          <w:szCs w:val="21"/>
        </w:rPr>
        <w:t>。</w:t>
      </w:r>
    </w:p>
    <w:p w14:paraId="6267E27D">
      <w:pPr>
        <w:pStyle w:val="13"/>
        <w:widowControl/>
        <w:spacing w:before="0" w:beforeAutospacing="0" w:after="0" w:afterAutospacing="0" w:line="320" w:lineRule="exact"/>
        <w:rPr>
          <w:rFonts w:hAnsi="宋体" w:cs="宋体"/>
          <w:kern w:val="2"/>
          <w:sz w:val="21"/>
          <w:szCs w:val="21"/>
        </w:rPr>
      </w:pPr>
      <w:r>
        <w:rPr>
          <w:rFonts w:hint="eastAsia" w:ascii="黑体" w:hAnsi="黑体" w:eastAsia="黑体" w:cs="黑体"/>
          <w:kern w:val="2"/>
          <w:sz w:val="21"/>
          <w:szCs w:val="21"/>
        </w:rPr>
        <w:t xml:space="preserve">6.4.3  </w:t>
      </w:r>
      <w:r>
        <w:rPr>
          <w:rFonts w:hint="eastAsia" w:hAnsi="宋体" w:cs="宋体"/>
          <w:color w:val="auto"/>
          <w:kern w:val="2"/>
          <w:sz w:val="21"/>
          <w:szCs w:val="21"/>
        </w:rPr>
        <w:t>人员密集场所应根据人流量及时控制人员出入口开放数量，</w:t>
      </w:r>
      <w:r>
        <w:rPr>
          <w:rFonts w:hAnsi="宋体" w:cs="宋体"/>
          <w:color w:val="auto"/>
          <w:kern w:val="2"/>
          <w:sz w:val="21"/>
          <w:szCs w:val="21"/>
        </w:rPr>
        <w:t>避免</w:t>
      </w:r>
      <w:r>
        <w:rPr>
          <w:rFonts w:hint="eastAsia" w:hAnsi="宋体" w:cs="宋体"/>
          <w:color w:val="auto"/>
          <w:kern w:val="2"/>
          <w:sz w:val="21"/>
          <w:szCs w:val="21"/>
        </w:rPr>
        <w:t>人员密度过大情况出现。</w:t>
      </w:r>
    </w:p>
    <w:p w14:paraId="7DB97922">
      <w:pPr>
        <w:pStyle w:val="13"/>
        <w:widowControl/>
        <w:spacing w:before="0" w:beforeAutospacing="0" w:after="0" w:afterAutospacing="0" w:line="320" w:lineRule="exact"/>
        <w:rPr>
          <w:rFonts w:hAnsi="宋体" w:cs="宋体"/>
          <w:kern w:val="2"/>
          <w:sz w:val="21"/>
          <w:szCs w:val="21"/>
        </w:rPr>
      </w:pPr>
      <w:r>
        <w:rPr>
          <w:rFonts w:hint="eastAsia" w:ascii="黑体" w:hAnsi="黑体" w:eastAsia="黑体" w:cs="黑体"/>
          <w:kern w:val="2"/>
          <w:sz w:val="21"/>
          <w:szCs w:val="21"/>
        </w:rPr>
        <w:t>6.4.</w:t>
      </w:r>
      <w:r>
        <w:rPr>
          <w:rFonts w:ascii="黑体" w:hAnsi="黑体" w:eastAsia="黑体" w:cs="黑体"/>
          <w:kern w:val="2"/>
          <w:sz w:val="21"/>
          <w:szCs w:val="21"/>
        </w:rPr>
        <w:t>4</w:t>
      </w:r>
      <w:r>
        <w:rPr>
          <w:rFonts w:hAnsi="宋体" w:cs="宋体"/>
          <w:kern w:val="2"/>
          <w:sz w:val="21"/>
          <w:szCs w:val="21"/>
        </w:rPr>
        <w:t>定期</w:t>
      </w:r>
      <w:r>
        <w:rPr>
          <w:rFonts w:hint="eastAsia" w:hAnsi="宋体" w:cs="宋体"/>
          <w:kern w:val="2"/>
          <w:sz w:val="21"/>
          <w:szCs w:val="21"/>
        </w:rPr>
        <w:t>检查各种安全出口、疏散通道和楼梯口等</w:t>
      </w:r>
      <w:r>
        <w:rPr>
          <w:rFonts w:hAnsi="宋体" w:cs="宋体"/>
          <w:kern w:val="2"/>
          <w:sz w:val="21"/>
          <w:szCs w:val="21"/>
        </w:rPr>
        <w:t>部位</w:t>
      </w:r>
      <w:r>
        <w:rPr>
          <w:rFonts w:hint="eastAsia" w:hAnsi="宋体" w:cs="宋体"/>
          <w:kern w:val="2"/>
          <w:sz w:val="21"/>
          <w:szCs w:val="21"/>
        </w:rPr>
        <w:t>的疏散指示标志灯和应急照明设施，确保应急照明范围应全覆盖，应急电源连续供电时间满足要求。</w:t>
      </w:r>
    </w:p>
    <w:p w14:paraId="5C9E1B41">
      <w:pPr>
        <w:spacing w:beforeLines="50" w:afterLines="50" w:line="320" w:lineRule="exact"/>
        <w:outlineLvl w:val="0"/>
        <w:rPr>
          <w:rFonts w:ascii="黑体" w:hAnsi="黑体" w:eastAsia="黑体" w:cs="黑体"/>
          <w:sz w:val="21"/>
          <w:szCs w:val="21"/>
        </w:rPr>
      </w:pPr>
      <w:bookmarkStart w:id="32" w:name="_Toc15105"/>
      <w:bookmarkStart w:id="33" w:name="_Toc18609"/>
      <w:r>
        <w:rPr>
          <w:rFonts w:hint="eastAsia" w:ascii="黑体" w:hAnsi="黑体" w:eastAsia="黑体" w:cs="黑体"/>
          <w:sz w:val="21"/>
          <w:szCs w:val="21"/>
        </w:rPr>
        <w:t>7  安全管理</w:t>
      </w:r>
      <w:bookmarkEnd w:id="32"/>
      <w:bookmarkEnd w:id="33"/>
    </w:p>
    <w:p w14:paraId="01569844">
      <w:pPr>
        <w:spacing w:beforeLines="50" w:afterLines="50" w:line="320" w:lineRule="exact"/>
        <w:outlineLvl w:val="1"/>
        <w:rPr>
          <w:rFonts w:ascii="黑体" w:hAnsi="黑体" w:eastAsia="黑体" w:cs="黑体"/>
          <w:sz w:val="21"/>
          <w:szCs w:val="21"/>
        </w:rPr>
      </w:pPr>
      <w:bookmarkStart w:id="34" w:name="_Toc26301"/>
      <w:bookmarkStart w:id="35" w:name="_Toc14821"/>
      <w:r>
        <w:rPr>
          <w:rFonts w:hint="eastAsia" w:ascii="黑体" w:hAnsi="黑体" w:eastAsia="黑体" w:cs="黑体"/>
          <w:sz w:val="21"/>
          <w:szCs w:val="21"/>
        </w:rPr>
        <w:t>7.1  一般规定</w:t>
      </w:r>
      <w:bookmarkEnd w:id="34"/>
      <w:bookmarkEnd w:id="35"/>
    </w:p>
    <w:p w14:paraId="52BF11E7">
      <w:pPr>
        <w:pStyle w:val="13"/>
        <w:widowControl/>
        <w:spacing w:before="0" w:beforeAutospacing="0" w:after="0" w:afterAutospacing="0" w:line="320" w:lineRule="exact"/>
        <w:rPr>
          <w:rFonts w:hAnsi="宋体" w:cs="宋体"/>
          <w:strike/>
          <w:color w:val="auto"/>
          <w:kern w:val="2"/>
          <w:sz w:val="21"/>
          <w:szCs w:val="21"/>
        </w:rPr>
      </w:pPr>
      <w:r>
        <w:rPr>
          <w:rFonts w:hint="eastAsia" w:ascii="黑体" w:hAnsi="黑体" w:eastAsia="黑体" w:cs="黑体"/>
          <w:color w:val="auto"/>
          <w:kern w:val="2"/>
          <w:sz w:val="21"/>
          <w:szCs w:val="21"/>
        </w:rPr>
        <w:t xml:space="preserve">7.1.1  </w:t>
      </w:r>
      <w:r>
        <w:rPr>
          <w:rFonts w:hint="eastAsia" w:hAnsi="宋体" w:cs="宋体"/>
          <w:color w:val="auto"/>
          <w:kern w:val="2"/>
          <w:sz w:val="21"/>
          <w:szCs w:val="21"/>
        </w:rPr>
        <w:t>人防工程平时使用实行备案登记制度，平时使用人须向工程所在地县级及以上人防主管部门申请使用登记，领取《人防工程平时使用证》。</w:t>
      </w:r>
    </w:p>
    <w:p w14:paraId="2C335F6C">
      <w:pPr>
        <w:pStyle w:val="13"/>
        <w:widowControl/>
        <w:spacing w:before="0" w:beforeAutospacing="0" w:after="0" w:afterAutospacing="0" w:line="320" w:lineRule="exact"/>
        <w:rPr>
          <w:rFonts w:hAnsi="宋体" w:cs="宋体"/>
          <w:color w:val="auto"/>
          <w:kern w:val="2"/>
          <w:sz w:val="21"/>
          <w:szCs w:val="21"/>
        </w:rPr>
      </w:pPr>
      <w:r>
        <w:rPr>
          <w:rFonts w:hint="eastAsia" w:ascii="黑体" w:hAnsi="黑体" w:eastAsia="黑体" w:cs="黑体"/>
          <w:color w:val="auto"/>
          <w:kern w:val="2"/>
          <w:sz w:val="21"/>
          <w:szCs w:val="21"/>
        </w:rPr>
        <w:t xml:space="preserve">7.1.2  </w:t>
      </w:r>
      <w:r>
        <w:rPr>
          <w:rFonts w:hint="eastAsia" w:hAnsi="宋体" w:cs="宋体"/>
          <w:color w:val="auto"/>
          <w:kern w:val="2"/>
          <w:sz w:val="21"/>
          <w:szCs w:val="21"/>
        </w:rPr>
        <w:t>人防工程平时使用应在保证战备功能的前提下为平时经济社会发展服务，平时使用应遵守国家与本地区有关地下空间安全生产及使用的管理规定。</w:t>
      </w:r>
    </w:p>
    <w:p w14:paraId="114270DF">
      <w:pPr>
        <w:pStyle w:val="13"/>
        <w:widowControl/>
        <w:spacing w:before="0" w:beforeAutospacing="0" w:after="0" w:afterAutospacing="0" w:line="320" w:lineRule="exact"/>
        <w:rPr>
          <w:rFonts w:hAnsi="宋体" w:cs="宋体"/>
          <w:color w:val="auto"/>
          <w:kern w:val="2"/>
          <w:sz w:val="21"/>
          <w:szCs w:val="21"/>
        </w:rPr>
      </w:pPr>
      <w:r>
        <w:rPr>
          <w:rFonts w:hint="eastAsia" w:ascii="黑体" w:hAnsi="黑体" w:eastAsia="黑体" w:cs="黑体"/>
          <w:color w:val="auto"/>
          <w:kern w:val="2"/>
          <w:sz w:val="21"/>
          <w:szCs w:val="21"/>
        </w:rPr>
        <w:t xml:space="preserve">7.1.3  </w:t>
      </w:r>
      <w:r>
        <w:rPr>
          <w:rFonts w:hint="eastAsia" w:hAnsi="宋体" w:cs="宋体"/>
          <w:color w:val="auto"/>
          <w:kern w:val="2"/>
          <w:sz w:val="21"/>
          <w:szCs w:val="21"/>
        </w:rPr>
        <w:t>人防工程的平时使用的安全管理由其所有权人及所有权人委托的物业单位共同负责，并接受当地主管部门及其他相关安全管理部门的检查监督。</w:t>
      </w:r>
    </w:p>
    <w:p w14:paraId="4A10F073">
      <w:pPr>
        <w:pStyle w:val="13"/>
        <w:widowControl/>
        <w:spacing w:before="0" w:beforeAutospacing="0" w:after="0" w:afterAutospacing="0" w:line="320" w:lineRule="exact"/>
        <w:rPr>
          <w:rFonts w:hAnsi="宋体" w:cs="宋体"/>
          <w:color w:val="FF0000"/>
          <w:kern w:val="2"/>
          <w:sz w:val="21"/>
          <w:szCs w:val="21"/>
        </w:rPr>
      </w:pPr>
      <w:r>
        <w:rPr>
          <w:rFonts w:hint="eastAsia" w:ascii="黑体" w:hAnsi="黑体" w:eastAsia="黑体" w:cs="黑体"/>
          <w:color w:val="auto"/>
          <w:kern w:val="2"/>
          <w:sz w:val="21"/>
          <w:szCs w:val="21"/>
        </w:rPr>
        <w:t>7.1.4</w:t>
      </w:r>
      <w:r>
        <w:rPr>
          <w:rFonts w:hint="eastAsia" w:hAnsi="宋体" w:cs="宋体"/>
          <w:color w:val="FF0000"/>
          <w:kern w:val="2"/>
          <w:sz w:val="21"/>
          <w:szCs w:val="21"/>
        </w:rPr>
        <w:t xml:space="preserve">  </w:t>
      </w:r>
      <w:r>
        <w:rPr>
          <w:rFonts w:hint="eastAsia" w:hAnsi="宋体" w:cs="宋体"/>
          <w:color w:val="auto"/>
          <w:kern w:val="2"/>
          <w:sz w:val="21"/>
          <w:szCs w:val="21"/>
        </w:rPr>
        <w:t>建立工程技术档案和维护管理记录，按照《人防防空工程维护管理技术规程》RFJ 05的规定，落实维护管理措施，使人防工程处于良好状态。</w:t>
      </w:r>
    </w:p>
    <w:p w14:paraId="471DA342">
      <w:pPr>
        <w:pStyle w:val="13"/>
        <w:widowControl/>
        <w:spacing w:before="0" w:beforeAutospacing="0" w:after="0" w:afterAutospacing="0" w:line="320" w:lineRule="exact"/>
        <w:rPr>
          <w:rFonts w:hAnsi="宋体" w:cs="宋体"/>
          <w:color w:val="auto"/>
          <w:kern w:val="2"/>
          <w:sz w:val="21"/>
          <w:szCs w:val="21"/>
        </w:rPr>
      </w:pPr>
      <w:r>
        <w:rPr>
          <w:rFonts w:hint="eastAsia" w:ascii="黑体" w:hAnsi="黑体" w:eastAsia="黑体" w:cs="黑体"/>
          <w:color w:val="auto"/>
          <w:kern w:val="2"/>
          <w:sz w:val="21"/>
          <w:szCs w:val="21"/>
        </w:rPr>
        <w:t xml:space="preserve">7.1.5  </w:t>
      </w:r>
      <w:r>
        <w:rPr>
          <w:rFonts w:hAnsi="宋体" w:cs="宋体"/>
          <w:color w:val="auto"/>
          <w:kern w:val="2"/>
          <w:sz w:val="21"/>
          <w:szCs w:val="21"/>
        </w:rPr>
        <w:t>禁止下列危害人防工程安全的行为:</w:t>
      </w:r>
    </w:p>
    <w:p w14:paraId="3A987913">
      <w:pPr>
        <w:pStyle w:val="13"/>
        <w:widowControl/>
        <w:spacing w:before="0" w:beforeAutospacing="0" w:after="0" w:afterAutospacing="0" w:line="320" w:lineRule="exact"/>
        <w:ind w:firstLine="420" w:firstLineChars="200"/>
        <w:rPr>
          <w:rFonts w:hAnsi="宋体" w:cs="宋体"/>
          <w:color w:val="auto"/>
          <w:kern w:val="2"/>
          <w:sz w:val="21"/>
          <w:szCs w:val="21"/>
        </w:rPr>
      </w:pPr>
      <w:r>
        <w:rPr>
          <w:rFonts w:hint="eastAsia" w:hAnsi="宋体" w:cs="宋体"/>
          <w:color w:val="auto"/>
          <w:kern w:val="2"/>
          <w:sz w:val="21"/>
          <w:szCs w:val="21"/>
        </w:rPr>
        <w:t>a） 在人防工程内部生产、使用、储存易燃、易爆、剧毒、放射性和腐蚀性物品;</w:t>
      </w:r>
    </w:p>
    <w:p w14:paraId="6760B888">
      <w:pPr>
        <w:pStyle w:val="13"/>
        <w:widowControl/>
        <w:spacing w:before="0" w:beforeAutospacing="0" w:after="0" w:afterAutospacing="0" w:line="320" w:lineRule="exact"/>
        <w:ind w:firstLine="420" w:firstLineChars="200"/>
        <w:rPr>
          <w:rFonts w:hAnsi="宋体" w:cs="宋体"/>
          <w:color w:val="auto"/>
          <w:kern w:val="2"/>
          <w:sz w:val="21"/>
          <w:szCs w:val="21"/>
        </w:rPr>
      </w:pPr>
      <w:r>
        <w:rPr>
          <w:rFonts w:hint="eastAsia" w:hAnsi="宋体" w:cs="宋体"/>
          <w:color w:val="auto"/>
          <w:kern w:val="2"/>
          <w:sz w:val="21"/>
          <w:szCs w:val="21"/>
        </w:rPr>
        <w:t>b） 在人防工程防护范围内进行爆破、钻探、挖掘等危及人防工程的作业;</w:t>
      </w:r>
    </w:p>
    <w:p w14:paraId="7553DD6A">
      <w:pPr>
        <w:pStyle w:val="13"/>
        <w:widowControl/>
        <w:spacing w:before="0" w:beforeAutospacing="0" w:after="0" w:afterAutospacing="0" w:line="320" w:lineRule="exact"/>
        <w:ind w:firstLine="420" w:firstLineChars="200"/>
        <w:rPr>
          <w:rFonts w:hAnsi="宋体" w:cs="宋体"/>
          <w:color w:val="auto"/>
          <w:kern w:val="2"/>
          <w:sz w:val="21"/>
          <w:szCs w:val="21"/>
        </w:rPr>
      </w:pPr>
      <w:r>
        <w:rPr>
          <w:rFonts w:hint="eastAsia" w:hAnsi="宋体" w:cs="宋体"/>
          <w:color w:val="auto"/>
          <w:kern w:val="2"/>
          <w:sz w:val="21"/>
          <w:szCs w:val="21"/>
        </w:rPr>
        <w:t>c） 向人防工程内部及其孔、口排泄废气、废水和倾倒废弃物;</w:t>
      </w:r>
    </w:p>
    <w:p w14:paraId="30CCF807">
      <w:pPr>
        <w:pStyle w:val="13"/>
        <w:widowControl/>
        <w:spacing w:before="0" w:beforeAutospacing="0" w:after="0" w:afterAutospacing="0" w:line="320" w:lineRule="exact"/>
        <w:ind w:firstLine="420" w:firstLineChars="200"/>
        <w:rPr>
          <w:rFonts w:hAnsi="宋体" w:cs="宋体"/>
          <w:color w:val="auto"/>
          <w:kern w:val="2"/>
          <w:sz w:val="21"/>
          <w:szCs w:val="21"/>
        </w:rPr>
      </w:pPr>
      <w:r>
        <w:rPr>
          <w:rFonts w:hint="eastAsia" w:hAnsi="宋体" w:cs="宋体"/>
          <w:color w:val="auto"/>
          <w:kern w:val="2"/>
          <w:sz w:val="21"/>
          <w:szCs w:val="21"/>
        </w:rPr>
        <w:t>d） 占用、堵塞、毁坏人防工程及其出入口;</w:t>
      </w:r>
    </w:p>
    <w:p w14:paraId="3545BFD7">
      <w:pPr>
        <w:widowControl/>
        <w:spacing w:line="320" w:lineRule="exact"/>
        <w:ind w:firstLine="420" w:firstLineChars="200"/>
        <w:jc w:val="left"/>
        <w:rPr>
          <w:rFonts w:hAnsi="宋体" w:cs="宋体"/>
          <w:color w:val="auto"/>
          <w:kern w:val="2"/>
          <w:sz w:val="21"/>
          <w:szCs w:val="21"/>
        </w:rPr>
      </w:pPr>
      <w:r>
        <w:rPr>
          <w:rFonts w:hint="eastAsia" w:hAnsi="宋体" w:cs="宋体"/>
          <w:color w:val="auto"/>
          <w:kern w:val="2"/>
          <w:sz w:val="21"/>
          <w:szCs w:val="21"/>
        </w:rPr>
        <w:t>e） 法律、法规禁止的其他行为。</w:t>
      </w:r>
    </w:p>
    <w:p w14:paraId="5DB0B4E2">
      <w:pPr>
        <w:widowControl/>
        <w:spacing w:line="320" w:lineRule="exact"/>
        <w:jc w:val="left"/>
        <w:rPr>
          <w:rFonts w:hAnsi="宋体" w:cs="宋体"/>
          <w:color w:val="auto"/>
          <w:sz w:val="21"/>
          <w:szCs w:val="21"/>
        </w:rPr>
      </w:pPr>
      <w:r>
        <w:rPr>
          <w:rFonts w:hint="eastAsia" w:ascii="黑体" w:hAnsi="黑体" w:eastAsia="黑体" w:cs="黑体"/>
          <w:color w:val="auto"/>
          <w:kern w:val="2"/>
          <w:sz w:val="21"/>
          <w:szCs w:val="21"/>
        </w:rPr>
        <w:t xml:space="preserve">7.1.6  </w:t>
      </w:r>
      <w:r>
        <w:rPr>
          <w:rFonts w:hint="eastAsia" w:hAnsi="宋体" w:cs="宋体"/>
          <w:color w:val="auto"/>
          <w:sz w:val="21"/>
          <w:szCs w:val="21"/>
        </w:rPr>
        <w:t>长期闲置的人防工程，平时应设置明显的警示标识，对工程内空气进行气体采样、检测分析，确认安全后，方可允许人员进入。</w:t>
      </w:r>
    </w:p>
    <w:p w14:paraId="5439F52D">
      <w:pPr>
        <w:spacing w:beforeLines="50" w:afterLines="50" w:line="320" w:lineRule="exact"/>
        <w:outlineLvl w:val="1"/>
        <w:rPr>
          <w:rFonts w:ascii="黑体" w:hAnsi="黑体" w:eastAsia="黑体" w:cs="黑体"/>
          <w:color w:val="auto"/>
          <w:sz w:val="21"/>
          <w:szCs w:val="21"/>
        </w:rPr>
      </w:pPr>
      <w:bookmarkStart w:id="36" w:name="_Toc8349"/>
      <w:bookmarkStart w:id="37" w:name="_Toc2733"/>
      <w:r>
        <w:rPr>
          <w:rFonts w:hint="eastAsia" w:ascii="黑体" w:hAnsi="黑体" w:eastAsia="黑体" w:cs="黑体"/>
          <w:color w:val="auto"/>
          <w:sz w:val="21"/>
          <w:szCs w:val="21"/>
        </w:rPr>
        <w:t>7.2  安全管理组织</w:t>
      </w:r>
      <w:bookmarkEnd w:id="36"/>
      <w:bookmarkEnd w:id="37"/>
    </w:p>
    <w:p w14:paraId="3BD5DA6F">
      <w:pPr>
        <w:pStyle w:val="13"/>
        <w:widowControl/>
        <w:spacing w:before="0" w:beforeAutospacing="0" w:after="0" w:afterAutospacing="0" w:line="320" w:lineRule="exact"/>
        <w:rPr>
          <w:rFonts w:hAnsi="宋体" w:cs="宋体"/>
          <w:color w:val="auto"/>
          <w:kern w:val="2"/>
          <w:sz w:val="21"/>
          <w:szCs w:val="21"/>
        </w:rPr>
      </w:pPr>
      <w:r>
        <w:rPr>
          <w:rFonts w:hint="eastAsia" w:ascii="黑体" w:hAnsi="黑体" w:eastAsia="黑体" w:cs="黑体"/>
          <w:color w:val="auto"/>
          <w:kern w:val="2"/>
          <w:sz w:val="21"/>
          <w:szCs w:val="21"/>
        </w:rPr>
        <w:t xml:space="preserve">7.2.1  </w:t>
      </w:r>
      <w:r>
        <w:rPr>
          <w:rFonts w:hint="eastAsia" w:hAnsi="宋体" w:cs="宋体"/>
          <w:kern w:val="2"/>
          <w:sz w:val="21"/>
          <w:szCs w:val="21"/>
        </w:rPr>
        <w:t>人防工程维护管理责任单位应设立安全管理部门或安全管理人员，负责人防工程的平时使用的安全管理工作。</w:t>
      </w:r>
    </w:p>
    <w:p w14:paraId="7B09C830">
      <w:pPr>
        <w:pStyle w:val="13"/>
        <w:widowControl/>
        <w:spacing w:before="0" w:beforeAutospacing="0" w:after="0" w:afterAutospacing="0" w:line="320" w:lineRule="exact"/>
        <w:rPr>
          <w:rFonts w:ascii="黑体" w:hAnsi="黑体" w:eastAsia="黑体" w:cs="黑体"/>
          <w:color w:val="auto"/>
          <w:kern w:val="2"/>
          <w:sz w:val="21"/>
          <w:szCs w:val="21"/>
        </w:rPr>
      </w:pPr>
      <w:r>
        <w:rPr>
          <w:rFonts w:hint="eastAsia" w:ascii="黑体" w:hAnsi="黑体" w:eastAsia="黑体" w:cs="黑体"/>
          <w:color w:val="auto"/>
          <w:kern w:val="2"/>
          <w:sz w:val="21"/>
          <w:szCs w:val="21"/>
        </w:rPr>
        <w:t xml:space="preserve">7.2.2  </w:t>
      </w:r>
      <w:r>
        <w:rPr>
          <w:rFonts w:hint="eastAsia" w:hAnsi="宋体" w:cs="宋体"/>
          <w:color w:val="auto"/>
          <w:kern w:val="2"/>
          <w:sz w:val="21"/>
          <w:szCs w:val="21"/>
        </w:rPr>
        <w:t>应对安全管理人员进行上岗前培训,通过考核后方可允许其上岗。</w:t>
      </w:r>
    </w:p>
    <w:p w14:paraId="02C57C9C">
      <w:pPr>
        <w:pStyle w:val="13"/>
        <w:widowControl/>
        <w:spacing w:before="0" w:beforeAutospacing="0" w:after="0" w:afterAutospacing="0" w:line="320" w:lineRule="exact"/>
        <w:rPr>
          <w:rFonts w:ascii="黑体" w:hAnsi="黑体" w:eastAsia="黑体" w:cs="黑体"/>
          <w:color w:val="auto"/>
          <w:kern w:val="2"/>
          <w:sz w:val="21"/>
          <w:szCs w:val="21"/>
        </w:rPr>
      </w:pPr>
      <w:r>
        <w:rPr>
          <w:rFonts w:hint="eastAsia" w:ascii="黑体" w:hAnsi="黑体" w:eastAsia="黑体" w:cs="黑体"/>
          <w:color w:val="auto"/>
          <w:kern w:val="2"/>
          <w:sz w:val="21"/>
          <w:szCs w:val="21"/>
        </w:rPr>
        <w:t xml:space="preserve">7.2.3  </w:t>
      </w:r>
      <w:r>
        <w:rPr>
          <w:rFonts w:hint="eastAsia" w:hAnsi="宋体" w:cs="宋体"/>
          <w:color w:val="auto"/>
          <w:kern w:val="2"/>
          <w:sz w:val="21"/>
          <w:szCs w:val="21"/>
        </w:rPr>
        <w:t>安全管理工作应包括如下内容:</w:t>
      </w:r>
    </w:p>
    <w:p w14:paraId="707F0398">
      <w:pPr>
        <w:pStyle w:val="13"/>
        <w:widowControl/>
        <w:spacing w:before="0" w:beforeAutospacing="0" w:after="0" w:afterAutospacing="0" w:line="320" w:lineRule="exact"/>
        <w:ind w:firstLine="420" w:firstLineChars="200"/>
        <w:rPr>
          <w:rFonts w:hAnsi="宋体" w:cs="宋体"/>
          <w:kern w:val="2"/>
          <w:sz w:val="21"/>
          <w:szCs w:val="21"/>
        </w:rPr>
      </w:pPr>
      <w:r>
        <w:rPr>
          <w:rFonts w:hint="eastAsia" w:hAnsi="宋体" w:cs="宋体"/>
          <w:kern w:val="2"/>
          <w:sz w:val="21"/>
          <w:szCs w:val="21"/>
        </w:rPr>
        <w:t>a）防范与保护:建立安全控制机制,确保人防工程各个系统按照规定要求运行；</w:t>
      </w:r>
    </w:p>
    <w:p w14:paraId="6B6E1615">
      <w:pPr>
        <w:pStyle w:val="13"/>
        <w:widowControl/>
        <w:spacing w:before="0" w:beforeAutospacing="0" w:after="0" w:afterAutospacing="0" w:line="320" w:lineRule="exact"/>
        <w:ind w:firstLine="420" w:firstLineChars="200"/>
        <w:rPr>
          <w:rFonts w:hAnsi="宋体" w:cs="宋体"/>
          <w:kern w:val="2"/>
          <w:sz w:val="21"/>
          <w:szCs w:val="21"/>
        </w:rPr>
      </w:pPr>
      <w:r>
        <w:rPr>
          <w:rFonts w:hint="eastAsia" w:hAnsi="宋体" w:cs="宋体"/>
          <w:kern w:val="2"/>
          <w:sz w:val="21"/>
          <w:szCs w:val="21"/>
        </w:rPr>
        <w:t>b）监控与检查:对内外部设备、环境等进行监控与检查,对检查中发现的安全隐患及时予以消除；</w:t>
      </w:r>
    </w:p>
    <w:p w14:paraId="49D9F268">
      <w:pPr>
        <w:pStyle w:val="13"/>
        <w:widowControl/>
        <w:spacing w:before="0" w:beforeAutospacing="0" w:after="0" w:afterAutospacing="0" w:line="320" w:lineRule="exact"/>
        <w:ind w:firstLine="420" w:firstLineChars="200"/>
        <w:rPr>
          <w:rFonts w:hAnsi="宋体" w:cs="宋体"/>
          <w:kern w:val="2"/>
          <w:sz w:val="21"/>
          <w:szCs w:val="21"/>
        </w:rPr>
      </w:pPr>
      <w:r>
        <w:rPr>
          <w:rFonts w:hint="eastAsia" w:hAnsi="宋体" w:cs="宋体"/>
          <w:kern w:val="2"/>
          <w:sz w:val="21"/>
          <w:szCs w:val="21"/>
        </w:rPr>
        <w:t>c） 响应与处置:发生安全事故时,应根据应急预案快速做出处理,并及时向市、区国动办或者其他相关行政管理部门以及产权人报告,协助做好调查处理工作；</w:t>
      </w:r>
    </w:p>
    <w:p w14:paraId="1B8741E9">
      <w:pPr>
        <w:pStyle w:val="13"/>
        <w:widowControl/>
        <w:spacing w:before="0" w:beforeAutospacing="0" w:after="0" w:afterAutospacing="0" w:line="320" w:lineRule="exact"/>
        <w:ind w:firstLine="420" w:firstLineChars="200"/>
        <w:rPr>
          <w:rFonts w:hAnsi="宋体" w:cs="宋体"/>
          <w:kern w:val="2"/>
          <w:sz w:val="21"/>
          <w:szCs w:val="21"/>
        </w:rPr>
      </w:pPr>
      <w:r>
        <w:rPr>
          <w:rFonts w:hint="eastAsia" w:hAnsi="宋体" w:cs="宋体"/>
          <w:kern w:val="2"/>
          <w:sz w:val="21"/>
          <w:szCs w:val="21"/>
        </w:rPr>
        <w:t>d） 负责落实国家和本</w:t>
      </w:r>
      <w:r>
        <w:rPr>
          <w:rFonts w:hAnsi="宋体" w:cs="宋体"/>
          <w:kern w:val="2"/>
          <w:sz w:val="21"/>
          <w:szCs w:val="21"/>
        </w:rPr>
        <w:t>省</w:t>
      </w:r>
      <w:r>
        <w:rPr>
          <w:rFonts w:hint="eastAsia" w:hAnsi="宋体" w:cs="宋体"/>
          <w:kern w:val="2"/>
          <w:sz w:val="21"/>
          <w:szCs w:val="21"/>
        </w:rPr>
        <w:t>与人防工程安全使用有关的规定,并接受政府有关部门的安全检查。</w:t>
      </w:r>
    </w:p>
    <w:p w14:paraId="776E382E">
      <w:pPr>
        <w:spacing w:beforeLines="50" w:afterLines="50" w:line="320" w:lineRule="exact"/>
        <w:outlineLvl w:val="1"/>
        <w:rPr>
          <w:rFonts w:ascii="黑体" w:hAnsi="黑体" w:eastAsia="黑体" w:cs="黑体"/>
          <w:color w:val="auto"/>
          <w:sz w:val="21"/>
          <w:szCs w:val="21"/>
        </w:rPr>
      </w:pPr>
      <w:bookmarkStart w:id="38" w:name="_Toc29104"/>
      <w:bookmarkStart w:id="39" w:name="_Toc16474"/>
      <w:r>
        <w:rPr>
          <w:rFonts w:hint="eastAsia" w:ascii="黑体" w:hAnsi="黑体" w:eastAsia="黑体" w:cs="黑体"/>
          <w:color w:val="auto"/>
          <w:sz w:val="21"/>
          <w:szCs w:val="21"/>
        </w:rPr>
        <w:t>7.3  安全管理制度</w:t>
      </w:r>
      <w:bookmarkEnd w:id="38"/>
      <w:bookmarkEnd w:id="39"/>
    </w:p>
    <w:p w14:paraId="0F5A7B8B">
      <w:pPr>
        <w:spacing w:line="320" w:lineRule="exact"/>
        <w:ind w:firstLine="420" w:firstLineChars="200"/>
        <w:rPr>
          <w:rFonts w:hAnsi="宋体" w:cs="宋体"/>
          <w:color w:val="auto"/>
          <w:kern w:val="2"/>
          <w:sz w:val="21"/>
          <w:szCs w:val="21"/>
        </w:rPr>
      </w:pPr>
      <w:r>
        <w:rPr>
          <w:rFonts w:hAnsi="宋体" w:cs="宋体"/>
          <w:kern w:val="2"/>
          <w:sz w:val="21"/>
          <w:szCs w:val="21"/>
        </w:rPr>
        <w:t>管理</w:t>
      </w:r>
      <w:r>
        <w:rPr>
          <w:rFonts w:hint="eastAsia" w:hAnsi="宋体" w:cs="宋体"/>
          <w:color w:val="auto"/>
          <w:kern w:val="2"/>
          <w:sz w:val="21"/>
          <w:szCs w:val="21"/>
        </w:rPr>
        <w:t>单位应建立健全符合本单位实际情况、以岗位责任制为核心的人防工程安全管理制度，并且严格执行。</w:t>
      </w:r>
    </w:p>
    <w:p w14:paraId="5EF94187">
      <w:pPr>
        <w:spacing w:line="320" w:lineRule="exact"/>
        <w:ind w:firstLine="420" w:firstLineChars="200"/>
        <w:rPr>
          <w:rFonts w:hAnsi="宋体" w:cs="宋体"/>
          <w:color w:val="auto"/>
          <w:kern w:val="2"/>
          <w:sz w:val="21"/>
          <w:szCs w:val="21"/>
        </w:rPr>
      </w:pPr>
      <w:r>
        <w:rPr>
          <w:rFonts w:hint="eastAsia" w:hAnsi="宋体" w:cs="宋体"/>
          <w:color w:val="auto"/>
          <w:kern w:val="2"/>
          <w:sz w:val="21"/>
          <w:szCs w:val="21"/>
        </w:rPr>
        <w:t>安全管理制度至少包括以下内容：</w:t>
      </w:r>
    </w:p>
    <w:p w14:paraId="2D534F66">
      <w:pPr>
        <w:spacing w:line="320" w:lineRule="exact"/>
        <w:ind w:firstLine="420" w:firstLineChars="200"/>
        <w:rPr>
          <w:rFonts w:hAnsi="宋体" w:cs="宋体"/>
          <w:color w:val="auto"/>
          <w:kern w:val="2"/>
          <w:sz w:val="21"/>
          <w:szCs w:val="21"/>
        </w:rPr>
      </w:pPr>
      <w:r>
        <w:rPr>
          <w:rFonts w:hint="eastAsia" w:hAnsi="宋体" w:cs="宋体"/>
          <w:color w:val="auto"/>
          <w:kern w:val="2"/>
          <w:sz w:val="21"/>
          <w:szCs w:val="21"/>
        </w:rPr>
        <w:t>a） 安全管理机构（需要设置时）和相关人员的岗位职责；</w:t>
      </w:r>
    </w:p>
    <w:p w14:paraId="19767172">
      <w:pPr>
        <w:spacing w:line="320" w:lineRule="exact"/>
        <w:ind w:firstLine="420" w:firstLineChars="200"/>
        <w:rPr>
          <w:rFonts w:hAnsi="宋体" w:cs="宋体"/>
          <w:color w:val="auto"/>
          <w:kern w:val="2"/>
          <w:sz w:val="21"/>
          <w:szCs w:val="21"/>
        </w:rPr>
      </w:pPr>
      <w:r>
        <w:rPr>
          <w:rFonts w:hint="eastAsia" w:hAnsi="宋体" w:cs="宋体"/>
          <w:color w:val="auto"/>
          <w:kern w:val="2"/>
          <w:sz w:val="21"/>
          <w:szCs w:val="21"/>
        </w:rPr>
        <w:t>b） 工程内、外部标识管理制度；</w:t>
      </w:r>
    </w:p>
    <w:p w14:paraId="7CA49C3B">
      <w:pPr>
        <w:spacing w:line="320" w:lineRule="exact"/>
        <w:ind w:firstLine="420" w:firstLineChars="200"/>
        <w:rPr>
          <w:rFonts w:hAnsi="宋体" w:cs="宋体"/>
          <w:color w:val="auto"/>
          <w:kern w:val="2"/>
          <w:sz w:val="21"/>
          <w:szCs w:val="21"/>
        </w:rPr>
      </w:pPr>
      <w:r>
        <w:rPr>
          <w:rFonts w:hint="eastAsia" w:hAnsi="宋体" w:cs="宋体"/>
          <w:color w:val="auto"/>
          <w:kern w:val="2"/>
          <w:sz w:val="21"/>
          <w:szCs w:val="21"/>
        </w:rPr>
        <w:t>c） 维修保养、定期自行检查和有关记录制度；</w:t>
      </w:r>
    </w:p>
    <w:p w14:paraId="6F2E427A">
      <w:pPr>
        <w:spacing w:line="320" w:lineRule="exact"/>
        <w:ind w:firstLine="420" w:firstLineChars="200"/>
        <w:rPr>
          <w:rFonts w:hAnsi="宋体" w:cs="宋体"/>
          <w:color w:val="auto"/>
          <w:kern w:val="2"/>
          <w:sz w:val="21"/>
          <w:szCs w:val="21"/>
        </w:rPr>
      </w:pPr>
      <w:r>
        <w:rPr>
          <w:rFonts w:hint="eastAsia" w:hAnsi="宋体" w:cs="宋体"/>
          <w:color w:val="auto"/>
          <w:kern w:val="2"/>
          <w:sz w:val="21"/>
          <w:szCs w:val="21"/>
        </w:rPr>
        <w:t>d） 隐患排查治理制度；</w:t>
      </w:r>
    </w:p>
    <w:p w14:paraId="485A47D6">
      <w:pPr>
        <w:spacing w:line="320" w:lineRule="exact"/>
        <w:ind w:firstLine="420" w:firstLineChars="200"/>
        <w:rPr>
          <w:rFonts w:hAnsi="宋体" w:cs="宋体"/>
          <w:color w:val="auto"/>
          <w:kern w:val="2"/>
          <w:sz w:val="21"/>
          <w:szCs w:val="21"/>
        </w:rPr>
      </w:pPr>
      <w:r>
        <w:rPr>
          <w:rFonts w:hint="eastAsia" w:hAnsi="宋体" w:cs="宋体"/>
          <w:color w:val="auto"/>
          <w:kern w:val="2"/>
          <w:sz w:val="21"/>
          <w:szCs w:val="21"/>
        </w:rPr>
        <w:t>e） 安全管理人员与作业人员管理和培训制度；</w:t>
      </w:r>
    </w:p>
    <w:p w14:paraId="2884AB42">
      <w:pPr>
        <w:spacing w:line="320" w:lineRule="exact"/>
        <w:ind w:firstLine="420" w:firstLineChars="200"/>
        <w:rPr>
          <w:rFonts w:hAnsi="宋体" w:cs="宋体"/>
          <w:color w:val="auto"/>
          <w:kern w:val="2"/>
          <w:sz w:val="21"/>
          <w:szCs w:val="21"/>
        </w:rPr>
      </w:pPr>
      <w:r>
        <w:rPr>
          <w:rFonts w:hint="eastAsia" w:hAnsi="宋体" w:cs="宋体"/>
          <w:color w:val="auto"/>
          <w:kern w:val="2"/>
          <w:sz w:val="21"/>
          <w:szCs w:val="21"/>
        </w:rPr>
        <w:t>f） 意外事件或者事故的应急救援管理制度；</w:t>
      </w:r>
    </w:p>
    <w:p w14:paraId="3A0F71DC">
      <w:pPr>
        <w:spacing w:line="320" w:lineRule="exact"/>
        <w:ind w:firstLine="420" w:firstLineChars="200"/>
        <w:rPr>
          <w:rFonts w:hAnsi="宋体" w:cs="宋体"/>
          <w:color w:val="auto"/>
          <w:kern w:val="2"/>
          <w:sz w:val="21"/>
          <w:szCs w:val="21"/>
        </w:rPr>
      </w:pPr>
      <w:r>
        <w:rPr>
          <w:rFonts w:hint="eastAsia" w:hAnsi="宋体" w:cs="宋体"/>
          <w:color w:val="auto"/>
          <w:kern w:val="2"/>
          <w:sz w:val="21"/>
          <w:szCs w:val="21"/>
        </w:rPr>
        <w:t>g） 事故报告和处理制度；</w:t>
      </w:r>
    </w:p>
    <w:p w14:paraId="3BB31D76">
      <w:pPr>
        <w:spacing w:line="320" w:lineRule="exact"/>
        <w:ind w:firstLine="420" w:firstLineChars="200"/>
        <w:rPr>
          <w:rFonts w:hAnsi="宋体" w:cs="宋体"/>
          <w:color w:val="auto"/>
          <w:kern w:val="2"/>
          <w:sz w:val="21"/>
          <w:szCs w:val="21"/>
        </w:rPr>
      </w:pPr>
      <w:r>
        <w:rPr>
          <w:rFonts w:hint="eastAsia" w:hAnsi="宋体" w:cs="宋体"/>
          <w:color w:val="auto"/>
          <w:kern w:val="2"/>
          <w:sz w:val="21"/>
          <w:szCs w:val="21"/>
        </w:rPr>
        <w:t>h） 安全技术档案管理制度。</w:t>
      </w:r>
    </w:p>
    <w:p w14:paraId="2C586755">
      <w:pPr>
        <w:spacing w:beforeLines="50" w:afterLines="50" w:line="320" w:lineRule="exact"/>
        <w:outlineLvl w:val="1"/>
        <w:rPr>
          <w:rFonts w:ascii="黑体" w:hAnsi="黑体" w:eastAsia="黑体" w:cs="黑体"/>
          <w:color w:val="auto"/>
          <w:sz w:val="21"/>
          <w:szCs w:val="21"/>
        </w:rPr>
      </w:pPr>
      <w:bookmarkStart w:id="40" w:name="_Toc10163"/>
      <w:bookmarkStart w:id="41" w:name="_Toc8337"/>
      <w:r>
        <w:rPr>
          <w:rFonts w:hint="eastAsia" w:ascii="黑体" w:hAnsi="黑体" w:eastAsia="黑体" w:cs="黑体"/>
          <w:color w:val="auto"/>
          <w:sz w:val="21"/>
          <w:szCs w:val="21"/>
        </w:rPr>
        <w:t>7.4  安全宣传教育</w:t>
      </w:r>
      <w:bookmarkEnd w:id="40"/>
      <w:bookmarkEnd w:id="41"/>
    </w:p>
    <w:p w14:paraId="60A9F037">
      <w:pPr>
        <w:pStyle w:val="13"/>
        <w:widowControl/>
        <w:spacing w:before="0" w:beforeAutospacing="0" w:after="0" w:afterAutospacing="0" w:line="320" w:lineRule="exact"/>
        <w:rPr>
          <w:rFonts w:hAnsi="宋体" w:cs="宋体"/>
          <w:color w:val="auto"/>
          <w:kern w:val="2"/>
          <w:sz w:val="21"/>
          <w:szCs w:val="21"/>
        </w:rPr>
      </w:pPr>
      <w:r>
        <w:rPr>
          <w:rFonts w:hint="eastAsia" w:ascii="黑体" w:hAnsi="黑体" w:eastAsia="黑体" w:cs="黑体"/>
          <w:color w:val="auto"/>
          <w:kern w:val="2"/>
          <w:sz w:val="21"/>
          <w:szCs w:val="21"/>
        </w:rPr>
        <w:t>7.4.1</w:t>
      </w:r>
      <w:r>
        <w:rPr>
          <w:rFonts w:hint="eastAsia" w:hAnsi="宋体" w:cs="宋体"/>
          <w:color w:val="auto"/>
          <w:kern w:val="2"/>
          <w:sz w:val="21"/>
          <w:szCs w:val="21"/>
        </w:rPr>
        <w:t xml:space="preserve">  根据项目实际情况，采用多种形式，定期对人防工程的使用人开展安全</w:t>
      </w:r>
      <w:r>
        <w:rPr>
          <w:rFonts w:hAnsi="宋体" w:cs="宋体"/>
          <w:color w:val="auto"/>
          <w:kern w:val="2"/>
          <w:sz w:val="21"/>
          <w:szCs w:val="21"/>
        </w:rPr>
        <w:t>宣</w:t>
      </w:r>
      <w:r>
        <w:rPr>
          <w:rFonts w:hint="eastAsia" w:hAnsi="宋体" w:cs="宋体"/>
          <w:color w:val="auto"/>
          <w:kern w:val="2"/>
          <w:sz w:val="21"/>
          <w:szCs w:val="21"/>
        </w:rPr>
        <w:t>传教育活动,强化安全意识。</w:t>
      </w:r>
    </w:p>
    <w:p w14:paraId="0D1FBB56">
      <w:pPr>
        <w:pStyle w:val="13"/>
        <w:widowControl/>
        <w:spacing w:before="0" w:beforeAutospacing="0" w:after="0" w:afterAutospacing="0" w:line="320" w:lineRule="exact"/>
        <w:rPr>
          <w:rFonts w:hAnsi="宋体" w:cs="宋体"/>
          <w:color w:val="auto"/>
          <w:kern w:val="2"/>
          <w:sz w:val="21"/>
          <w:szCs w:val="21"/>
        </w:rPr>
      </w:pPr>
      <w:r>
        <w:rPr>
          <w:rFonts w:hint="eastAsia" w:ascii="黑体" w:hAnsi="黑体" w:eastAsia="黑体" w:cs="黑体"/>
          <w:color w:val="auto"/>
          <w:kern w:val="2"/>
          <w:sz w:val="21"/>
          <w:szCs w:val="21"/>
        </w:rPr>
        <w:t xml:space="preserve">7.4.2  </w:t>
      </w:r>
      <w:r>
        <w:rPr>
          <w:rFonts w:hint="eastAsia" w:hAnsi="宋体" w:cs="宋体"/>
          <w:color w:val="auto"/>
          <w:kern w:val="2"/>
          <w:sz w:val="21"/>
          <w:szCs w:val="21"/>
        </w:rPr>
        <w:t>结合特殊天气，如大风暴雨、大雪冰冻、梅雨季节等，对相关人员进行有针对性的</w:t>
      </w:r>
      <w:r>
        <w:rPr>
          <w:rFonts w:hAnsi="宋体" w:cs="宋体"/>
          <w:color w:val="auto"/>
          <w:kern w:val="2"/>
          <w:sz w:val="21"/>
          <w:szCs w:val="21"/>
        </w:rPr>
        <w:t>安全</w:t>
      </w:r>
      <w:r>
        <w:rPr>
          <w:rFonts w:hint="eastAsia" w:hAnsi="宋体" w:cs="宋体"/>
          <w:color w:val="auto"/>
          <w:kern w:val="2"/>
          <w:sz w:val="21"/>
          <w:szCs w:val="21"/>
        </w:rPr>
        <w:t>宣传教育。</w:t>
      </w:r>
    </w:p>
    <w:p w14:paraId="75384220">
      <w:pPr>
        <w:pStyle w:val="13"/>
        <w:widowControl/>
        <w:spacing w:before="0" w:beforeAutospacing="0" w:after="0" w:afterAutospacing="0" w:line="320" w:lineRule="exact"/>
        <w:rPr>
          <w:rFonts w:hAnsi="宋体" w:cs="宋体"/>
          <w:color w:val="auto"/>
          <w:kern w:val="2"/>
          <w:sz w:val="21"/>
          <w:szCs w:val="21"/>
        </w:rPr>
      </w:pPr>
      <w:r>
        <w:rPr>
          <w:rFonts w:hint="eastAsia" w:ascii="黑体" w:hAnsi="黑体" w:eastAsia="黑体" w:cs="黑体"/>
          <w:color w:val="auto"/>
          <w:kern w:val="2"/>
          <w:sz w:val="21"/>
          <w:szCs w:val="21"/>
        </w:rPr>
        <w:t>7</w:t>
      </w:r>
      <w:r>
        <w:rPr>
          <w:rFonts w:ascii="黑体" w:hAnsi="黑体" w:eastAsia="黑体" w:cs="黑体"/>
          <w:color w:val="auto"/>
          <w:kern w:val="2"/>
          <w:sz w:val="21"/>
          <w:szCs w:val="21"/>
        </w:rPr>
        <w:t>.4.</w:t>
      </w:r>
      <w:r>
        <w:rPr>
          <w:rFonts w:hint="eastAsia" w:ascii="黑体" w:hAnsi="黑体" w:eastAsia="黑体" w:cs="黑体"/>
          <w:color w:val="auto"/>
          <w:kern w:val="2"/>
          <w:sz w:val="21"/>
          <w:szCs w:val="21"/>
        </w:rPr>
        <w:t xml:space="preserve">3  </w:t>
      </w:r>
      <w:r>
        <w:rPr>
          <w:rFonts w:hint="eastAsia" w:hAnsi="宋体" w:cs="宋体"/>
          <w:color w:val="auto"/>
          <w:kern w:val="2"/>
          <w:sz w:val="21"/>
          <w:szCs w:val="21"/>
        </w:rPr>
        <w:t>新员工上岗前应进行系统的岗前教育和培训，熟悉相关安全知识，考核通过后方可上岗。</w:t>
      </w:r>
    </w:p>
    <w:p w14:paraId="5485452A">
      <w:pPr>
        <w:pStyle w:val="13"/>
        <w:widowControl/>
        <w:spacing w:before="0" w:beforeAutospacing="0" w:after="0" w:afterAutospacing="0" w:line="320" w:lineRule="exact"/>
        <w:rPr>
          <w:rFonts w:hAnsi="宋体" w:cs="宋体"/>
          <w:color w:val="auto"/>
          <w:kern w:val="2"/>
          <w:sz w:val="21"/>
          <w:szCs w:val="21"/>
        </w:rPr>
      </w:pPr>
      <w:r>
        <w:rPr>
          <w:rFonts w:hint="eastAsia" w:ascii="黑体" w:hAnsi="黑体" w:eastAsia="黑体" w:cs="黑体"/>
          <w:color w:val="auto"/>
          <w:kern w:val="2"/>
          <w:sz w:val="21"/>
          <w:szCs w:val="21"/>
        </w:rPr>
        <w:t>7</w:t>
      </w:r>
      <w:r>
        <w:rPr>
          <w:rFonts w:ascii="黑体" w:hAnsi="黑体" w:eastAsia="黑体" w:cs="黑体"/>
          <w:color w:val="auto"/>
          <w:kern w:val="2"/>
          <w:sz w:val="21"/>
          <w:szCs w:val="21"/>
        </w:rPr>
        <w:t>.4.</w:t>
      </w:r>
      <w:r>
        <w:rPr>
          <w:rFonts w:hint="eastAsia" w:ascii="黑体" w:hAnsi="黑体" w:eastAsia="黑体" w:cs="黑体"/>
          <w:color w:val="auto"/>
          <w:kern w:val="2"/>
          <w:sz w:val="21"/>
          <w:szCs w:val="21"/>
        </w:rPr>
        <w:t xml:space="preserve">4  </w:t>
      </w:r>
      <w:r>
        <w:rPr>
          <w:rFonts w:hint="eastAsia" w:hAnsi="宋体" w:cs="宋体"/>
          <w:color w:val="auto"/>
          <w:kern w:val="2"/>
          <w:sz w:val="21"/>
          <w:szCs w:val="21"/>
        </w:rPr>
        <w:t>管理单位应确保负责安全管理和特种工作操作的人员能通过教育、培训及考核获得相应的工作能力。</w:t>
      </w:r>
    </w:p>
    <w:p w14:paraId="10FFC266">
      <w:pPr>
        <w:pStyle w:val="3"/>
        <w:spacing w:beforeLines="50" w:afterLines="50" w:line="320" w:lineRule="exact"/>
        <w:ind w:firstLine="0"/>
        <w:outlineLvl w:val="1"/>
        <w:rPr>
          <w:rFonts w:ascii="黑体" w:hAnsi="黑体" w:eastAsia="黑体" w:cs="黑体"/>
          <w:color w:val="auto"/>
          <w:kern w:val="2"/>
          <w:sz w:val="21"/>
          <w:szCs w:val="21"/>
        </w:rPr>
      </w:pPr>
      <w:bookmarkStart w:id="42" w:name="_Toc4878"/>
      <w:bookmarkStart w:id="43" w:name="_Toc5944"/>
      <w:r>
        <w:rPr>
          <w:rFonts w:hint="eastAsia" w:ascii="黑体" w:hAnsi="黑体" w:eastAsia="黑体" w:cs="黑体"/>
          <w:color w:val="auto"/>
          <w:kern w:val="2"/>
          <w:sz w:val="21"/>
          <w:szCs w:val="21"/>
        </w:rPr>
        <w:t>7.5  应急预案和演练</w:t>
      </w:r>
      <w:bookmarkEnd w:id="42"/>
      <w:bookmarkEnd w:id="43"/>
    </w:p>
    <w:p w14:paraId="523CF0FA">
      <w:pPr>
        <w:spacing w:line="320" w:lineRule="exact"/>
        <w:rPr>
          <w:color w:val="auto"/>
          <w:sz w:val="21"/>
          <w:szCs w:val="21"/>
        </w:rPr>
      </w:pPr>
      <w:r>
        <w:rPr>
          <w:rFonts w:hint="eastAsia" w:ascii="黑体" w:hAnsi="黑体" w:eastAsia="黑体" w:cs="黑体"/>
          <w:color w:val="auto"/>
          <w:kern w:val="2"/>
          <w:sz w:val="21"/>
          <w:szCs w:val="21"/>
        </w:rPr>
        <w:t xml:space="preserve">7.5.1 </w:t>
      </w:r>
      <w:r>
        <w:rPr>
          <w:rFonts w:hint="eastAsia"/>
          <w:color w:val="auto"/>
          <w:sz w:val="21"/>
          <w:szCs w:val="21"/>
        </w:rPr>
        <w:t>应结合工程实际和各种使用业态的特点,宜制订有针对性的消防、防汛、防触电、防踩踏、防恐袭等应急预案,并根据设施、环境等因素的变化及时修订、完善。</w:t>
      </w:r>
    </w:p>
    <w:p w14:paraId="2FB66E09">
      <w:pPr>
        <w:spacing w:line="320" w:lineRule="exact"/>
        <w:rPr>
          <w:color w:val="auto"/>
          <w:sz w:val="21"/>
          <w:szCs w:val="21"/>
        </w:rPr>
      </w:pPr>
      <w:r>
        <w:rPr>
          <w:rFonts w:hint="eastAsia" w:ascii="黑体" w:hAnsi="黑体" w:eastAsia="黑体" w:cs="黑体"/>
          <w:color w:val="auto"/>
          <w:kern w:val="2"/>
          <w:sz w:val="21"/>
          <w:szCs w:val="21"/>
        </w:rPr>
        <w:t>7.5.2</w:t>
      </w:r>
      <w:r>
        <w:rPr>
          <w:rFonts w:hint="eastAsia"/>
          <w:color w:val="auto"/>
          <w:sz w:val="21"/>
          <w:szCs w:val="21"/>
        </w:rPr>
        <w:t xml:space="preserve">  应急预案的指导思想:</w:t>
      </w:r>
    </w:p>
    <w:p w14:paraId="006EC7E4">
      <w:pPr>
        <w:spacing w:line="320" w:lineRule="exact"/>
        <w:ind w:firstLine="420" w:firstLineChars="200"/>
        <w:rPr>
          <w:color w:val="auto"/>
          <w:sz w:val="21"/>
          <w:szCs w:val="21"/>
        </w:rPr>
      </w:pPr>
      <w:r>
        <w:rPr>
          <w:rFonts w:hint="eastAsia" w:ascii="黑体" w:hAnsi="黑体" w:eastAsia="黑体" w:cs="黑体"/>
          <w:color w:val="auto"/>
          <w:sz w:val="21"/>
          <w:szCs w:val="21"/>
        </w:rPr>
        <w:t xml:space="preserve">a） </w:t>
      </w:r>
      <w:r>
        <w:rPr>
          <w:rFonts w:hint="eastAsia"/>
          <w:color w:val="auto"/>
          <w:sz w:val="21"/>
          <w:szCs w:val="21"/>
        </w:rPr>
        <w:t>以突发事件的预测、预防为重点；</w:t>
      </w:r>
    </w:p>
    <w:p w14:paraId="59D719E7">
      <w:pPr>
        <w:spacing w:line="320" w:lineRule="exact"/>
        <w:ind w:firstLine="420" w:firstLineChars="200"/>
        <w:rPr>
          <w:rFonts w:hAnsi="宋体" w:cs="宋体"/>
          <w:color w:val="auto"/>
          <w:sz w:val="21"/>
          <w:szCs w:val="21"/>
        </w:rPr>
      </w:pPr>
      <w:r>
        <w:rPr>
          <w:rFonts w:hint="eastAsia" w:hAnsi="宋体" w:cs="宋体"/>
          <w:color w:val="auto"/>
          <w:sz w:val="21"/>
          <w:szCs w:val="21"/>
        </w:rPr>
        <w:t>b） 以全力保证人身、设备和环境安全为核心；</w:t>
      </w:r>
    </w:p>
    <w:p w14:paraId="69477E15">
      <w:pPr>
        <w:spacing w:line="320" w:lineRule="exact"/>
        <w:ind w:firstLine="420" w:firstLineChars="200"/>
        <w:rPr>
          <w:rFonts w:hAnsi="宋体" w:cs="宋体"/>
          <w:color w:val="auto"/>
          <w:sz w:val="21"/>
          <w:szCs w:val="21"/>
        </w:rPr>
      </w:pPr>
      <w:r>
        <w:rPr>
          <w:rFonts w:hint="eastAsia" w:hAnsi="宋体" w:cs="宋体"/>
          <w:color w:val="auto"/>
          <w:sz w:val="21"/>
          <w:szCs w:val="21"/>
        </w:rPr>
        <w:t>c） 以建立突发事件的长效管理和应急处理机制为根本；</w:t>
      </w:r>
    </w:p>
    <w:p w14:paraId="027B9D74">
      <w:pPr>
        <w:spacing w:line="320" w:lineRule="exact"/>
        <w:ind w:firstLine="420" w:firstLineChars="200"/>
        <w:rPr>
          <w:rFonts w:hAnsi="宋体" w:cs="宋体"/>
          <w:color w:val="auto"/>
          <w:sz w:val="21"/>
          <w:szCs w:val="21"/>
        </w:rPr>
      </w:pPr>
      <w:r>
        <w:rPr>
          <w:rFonts w:hint="eastAsia" w:hAnsi="宋体" w:cs="宋体"/>
          <w:color w:val="auto"/>
          <w:sz w:val="21"/>
          <w:szCs w:val="21"/>
        </w:rPr>
        <w:t>d） 以对突发事件过程处理的快捷准确为目标 ,提高快速反应和应急处理能力，将突发事件造成的损失和影响降低到最小程度。</w:t>
      </w:r>
    </w:p>
    <w:p w14:paraId="6BE44E5C">
      <w:pPr>
        <w:spacing w:line="320" w:lineRule="exact"/>
        <w:rPr>
          <w:color w:val="auto"/>
          <w:sz w:val="21"/>
          <w:szCs w:val="21"/>
        </w:rPr>
      </w:pPr>
      <w:r>
        <w:rPr>
          <w:rFonts w:hint="eastAsia" w:ascii="黑体" w:hAnsi="黑体" w:eastAsia="黑体" w:cs="黑体"/>
          <w:color w:val="auto"/>
          <w:kern w:val="2"/>
          <w:sz w:val="21"/>
          <w:szCs w:val="21"/>
        </w:rPr>
        <w:t>7.5.3</w:t>
      </w:r>
      <w:r>
        <w:rPr>
          <w:rFonts w:hint="eastAsia"/>
          <w:color w:val="auto"/>
          <w:sz w:val="21"/>
          <w:szCs w:val="21"/>
        </w:rPr>
        <w:t xml:space="preserve">  应建立应急设施,配备应急装备,储备应急物资,</w:t>
      </w:r>
      <w:r>
        <w:rPr>
          <w:rFonts w:hint="eastAsia"/>
          <w:sz w:val="21"/>
          <w:szCs w:val="21"/>
        </w:rPr>
        <w:t>并进行经常性的检查、维护和保养</w:t>
      </w:r>
      <w:r>
        <w:rPr>
          <w:sz w:val="21"/>
          <w:szCs w:val="21"/>
        </w:rPr>
        <w:t>，</w:t>
      </w:r>
      <w:r>
        <w:rPr>
          <w:rFonts w:hint="eastAsia"/>
          <w:color w:val="auto"/>
          <w:sz w:val="21"/>
          <w:szCs w:val="21"/>
        </w:rPr>
        <w:t>使其处于良好状态，确保正常使用。</w:t>
      </w:r>
    </w:p>
    <w:p w14:paraId="14F355D8">
      <w:pPr>
        <w:spacing w:line="320" w:lineRule="exact"/>
        <w:rPr>
          <w:color w:val="auto"/>
          <w:sz w:val="21"/>
          <w:szCs w:val="21"/>
        </w:rPr>
      </w:pPr>
      <w:r>
        <w:rPr>
          <w:rFonts w:hint="eastAsia" w:ascii="黑体" w:hAnsi="黑体" w:eastAsia="黑体" w:cs="黑体"/>
          <w:color w:val="auto"/>
          <w:kern w:val="2"/>
          <w:sz w:val="21"/>
          <w:szCs w:val="21"/>
        </w:rPr>
        <w:t>7.5.4</w:t>
      </w:r>
      <w:r>
        <w:rPr>
          <w:rFonts w:hint="eastAsia"/>
          <w:color w:val="auto"/>
          <w:sz w:val="21"/>
          <w:szCs w:val="21"/>
        </w:rPr>
        <w:t xml:space="preserve">  按照应急预案的内容，</w:t>
      </w:r>
      <w:r>
        <w:rPr>
          <w:color w:val="auto"/>
          <w:sz w:val="21"/>
          <w:szCs w:val="21"/>
        </w:rPr>
        <w:t>定期</w:t>
      </w:r>
      <w:r>
        <w:rPr>
          <w:rFonts w:hint="eastAsia"/>
          <w:color w:val="auto"/>
          <w:sz w:val="21"/>
          <w:szCs w:val="21"/>
        </w:rPr>
        <w:t>组织应急培训，通过培训让</w:t>
      </w:r>
      <w:r>
        <w:rPr>
          <w:rFonts w:hint="eastAsia"/>
          <w:sz w:val="21"/>
          <w:szCs w:val="21"/>
        </w:rPr>
        <w:t>应急救援人员及全体员工</w:t>
      </w:r>
      <w:r>
        <w:rPr>
          <w:rFonts w:hint="eastAsia"/>
          <w:color w:val="auto"/>
          <w:sz w:val="21"/>
          <w:szCs w:val="21"/>
        </w:rPr>
        <w:t>熟悉预案内容，增加应急知识，提高突发事故的协调处置能力。</w:t>
      </w:r>
    </w:p>
    <w:p w14:paraId="529F8FC9">
      <w:pPr>
        <w:spacing w:line="320" w:lineRule="exact"/>
        <w:rPr>
          <w:color w:val="auto"/>
          <w:sz w:val="21"/>
          <w:szCs w:val="21"/>
        </w:rPr>
      </w:pPr>
      <w:r>
        <w:rPr>
          <w:rFonts w:hint="eastAsia" w:ascii="黑体" w:hAnsi="黑体" w:eastAsia="黑体" w:cs="黑体"/>
          <w:color w:val="auto"/>
          <w:kern w:val="2"/>
          <w:sz w:val="21"/>
          <w:szCs w:val="21"/>
        </w:rPr>
        <w:t>7.5.5</w:t>
      </w:r>
      <w:r>
        <w:rPr>
          <w:rFonts w:hint="eastAsia"/>
          <w:color w:val="auto"/>
          <w:sz w:val="21"/>
          <w:szCs w:val="21"/>
        </w:rPr>
        <w:t xml:space="preserve">  应</w:t>
      </w:r>
      <w:r>
        <w:rPr>
          <w:color w:val="auto"/>
          <w:sz w:val="21"/>
          <w:szCs w:val="21"/>
        </w:rPr>
        <w:t>定期</w:t>
      </w:r>
      <w:r>
        <w:rPr>
          <w:rFonts w:hint="eastAsia"/>
          <w:color w:val="auto"/>
          <w:sz w:val="21"/>
          <w:szCs w:val="21"/>
        </w:rPr>
        <w:t>开展消防、防汛等应急演练,并做好演练记录及效果评估，根据评估报告修订完善应急预案、改进应急管理工作。</w:t>
      </w:r>
    </w:p>
    <w:sectPr>
      <w:footerReference r:id="rId16" w:type="first"/>
      <w:footerReference r:id="rId14" w:type="default"/>
      <w:headerReference r:id="rId13" w:type="even"/>
      <w:footerReference r:id="rId15" w:type="even"/>
      <w:pgSz w:w="11906" w:h="16838"/>
      <w:pgMar w:top="1417" w:right="1134" w:bottom="1134" w:left="1417"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ystem">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Impact">
    <w:panose1 w:val="020B0806030902050204"/>
    <w:charset w:val="00"/>
    <w:family w:val="swiss"/>
    <w:pitch w:val="default"/>
    <w:sig w:usb0="00000287" w:usb1="00000000" w:usb2="00000000" w:usb3="00000000" w:csb0="2000009F" w:csb1="DFD70000"/>
  </w:font>
  <w:font w:name="华文中宋">
    <w:altName w:val="宋体"/>
    <w:panose1 w:val="02010600040101010101"/>
    <w:charset w:val="86"/>
    <w:family w:val="auto"/>
    <w:pitch w:val="default"/>
    <w:sig w:usb0="00000000" w:usb1="00000000" w:usb2="00000010" w:usb3="00000000" w:csb0="0004009F" w:csb1="00000000"/>
  </w:font>
  <w:font w:name="方正小标宋简体">
    <w:panose1 w:val="02000000000000000000"/>
    <w:charset w:val="86"/>
    <w:family w:val="script"/>
    <w:pitch w:val="default"/>
    <w:sig w:usb0="00000001" w:usb1="08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21BDB7">
    <w:pPr>
      <w:pStyle w:val="9"/>
      <w:jc w:val="center"/>
      <w:rPr>
        <w:rFonts w:cs="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202641">
    <w:pPr>
      <w:pStyle w:val="9"/>
      <w:ind w:firstLine="360" w:firstLineChars="200"/>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2C1F67">
    <w:pPr>
      <w:pStyle w:val="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A2B6FD">
    <w:pPr>
      <w:pStyle w:val="9"/>
      <w:jc w:val="center"/>
      <w:rPr>
        <w:rFonts w:cs="Times New Roman"/>
      </w:rPr>
    </w:pPr>
    <w: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ACF4291">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1ACF4291">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96B083">
    <w:pPr>
      <w:pStyle w:val="9"/>
      <w:ind w:firstLine="360" w:firstLineChars="200"/>
      <w:rPr>
        <w:rFonts w:ascii="Times New Roman" w:hAnsi="Times New Roman" w:cs="Times New Roman"/>
      </w:rPr>
    </w:pPr>
    <w: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7342DDF">
                          <w:pPr>
                            <w:pStyle w:val="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17342DDF">
                    <w:pPr>
                      <w:pStyle w:val="9"/>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06DCBD">
    <w:pPr>
      <w:pStyle w:val="9"/>
      <w:jc w:val="center"/>
      <w:rPr>
        <w:rFonts w:cs="Times New Roman"/>
      </w:rPr>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26DC0CB">
                          <w:pPr>
                            <w:pStyle w:val="9"/>
                          </w:pPr>
                          <w:r>
                            <w:fldChar w:fldCharType="begin"/>
                          </w:r>
                          <w:r>
                            <w:instrText xml:space="preserve"> PAGE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jHpww4AgAAb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mMenDDgCAABvBAAADgAAAAAAAAABACAAAAAfAQAAZHJzL2Uyb0RvYy54&#10;bWxQSwUGAAAAAAYABgBZAQAAyQUAAAAA&#10;">
              <v:fill on="f" focussize="0,0"/>
              <v:stroke on="f" weight="0.5pt"/>
              <v:imagedata o:title=""/>
              <o:lock v:ext="edit" aspectratio="f"/>
              <v:textbox inset="0mm,0mm,0mm,0mm" style="mso-fit-shape-to-text:t;">
                <w:txbxContent>
                  <w:p w14:paraId="026DC0CB">
                    <w:pPr>
                      <w:pStyle w:val="9"/>
                    </w:pPr>
                    <w:r>
                      <w:fldChar w:fldCharType="begin"/>
                    </w:r>
                    <w:r>
                      <w:instrText xml:space="preserve"> PAGE  \* MERGEFORMAT </w:instrText>
                    </w:r>
                    <w:r>
                      <w:fldChar w:fldCharType="separate"/>
                    </w:r>
                    <w:r>
                      <w:t>13</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CEF167">
    <w:pPr>
      <w:pStyle w:val="9"/>
      <w:ind w:firstLine="360" w:firstLineChars="200"/>
      <w:rPr>
        <w:rFonts w:ascii="Times New Roman" w:hAnsi="Times New Roman" w:cs="Times New Roman"/>
      </w:rPr>
    </w:pPr>
    <w: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0205C13">
                          <w:pPr>
                            <w:pStyle w:val="9"/>
                            <w:ind w:firstLine="360" w:firstLineChars="200"/>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12</w:t>
                          </w:r>
                          <w:r>
                            <w:rPr>
                              <w:rFonts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niKxQ4AgAAbwQAAA4AAABkcnMvZTJvRG9jLnhtbK1UzY7aMBC+V+o7&#10;WL6XABUrhAgruoiqEuquRKuejeOQSP6TbUjoA7Rv0FMvvfe5eI797BC22vawh17C2DP+Zr5vZpjf&#10;tkqSo3C+Njqno8GQEqG5KWq9z+nnT+s3U0p8YLpg0miR05Pw9Hbx+tW8sTMxNpWRhXAEINrPGpvT&#10;KgQ7yzLPK6GYHxgrNJylcYoFHN0+KxxrgK5kNh4Ob7LGuMI6w4X3uF11TnpBdC8BNGVZc7Ey/KCE&#10;Dh2qE5IFUPJVbT1dpGrLUvBwX5ZeBCJzCqYhfZEE9i5+s8WczfaO2armlxLYS0p4xkmxWiPpFWrF&#10;AiMHV/8FpWrujDdlGHCjso5IUgQsRsNn2mwrZkXiAqm9vYru/x8s/3h8cKQucjqhRDOFhp9/fD//&#10;/H3+9Y1MojyN9TNEbS3iQvvOtBia/t7jMrJuS6fiL/gQ+CHu6SquaAPh8dF0PJ0O4eLw9QfgZ0/P&#10;rfPhvTCKRCOnDt1LorLjxocutA+J2bRZ11KmDkpNmpzevJ0M04OrB+BSx1iRZuECEyl1pUcrtLv2&#10;wnNnihNoOtPNibd8XaOUDfPhgTkMBsrH6oR7fEppkNJcLEoq477+6z7Go1/wUtJg0HKqsVeUyA8a&#10;fQRg6A3XG7ve0Ad1ZzC5I6yk5cnEAxdkb5bOqC/Yp2XMARfTHJlyGnrzLnTDjn3kYrlMQQfr6n3V&#10;PcAUWhY2emt5TBOl8nZ5CJA2KR4F6lRBp+IBc5h6dtmZOOh/nlPU0//E4h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OeIrFDgCAABvBAAADgAAAAAAAAABACAAAAAfAQAAZHJzL2Uyb0RvYy54&#10;bWxQSwUGAAAAAAYABgBZAQAAyQUAAAAA&#10;">
              <v:fill on="f" focussize="0,0"/>
              <v:stroke on="f" weight="0.5pt"/>
              <v:imagedata o:title=""/>
              <o:lock v:ext="edit" aspectratio="f"/>
              <v:textbox inset="0mm,0mm,0mm,0mm" style="mso-fit-shape-to-text:t;">
                <w:txbxContent>
                  <w:p w14:paraId="10205C13">
                    <w:pPr>
                      <w:pStyle w:val="9"/>
                      <w:ind w:firstLine="360" w:firstLineChars="200"/>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12</w:t>
                    </w:r>
                    <w:r>
                      <w:rPr>
                        <w:rFonts w:ascii="Times New Roman" w:hAnsi="Times New Roman" w:cs="Times New Roman"/>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EFCE1D">
    <w:pPr>
      <w:pStyle w:val="9"/>
    </w:pPr>
    <w: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90AB85A">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VZerI4AgAAbwQAAA4AAABkcnMvZTJvRG9jLnhtbK1UzY7TMBC+I/EO&#10;lu80aRGrbt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tVl6sjgCAABvBAAADgAAAAAAAAABACAAAAAfAQAAZHJzL2Uyb0RvYy54&#10;bWxQSwUGAAAAAAYABgBZAQAAyQUAAAAA&#10;">
              <v:fill on="f" focussize="0,0"/>
              <v:stroke on="f" weight="0.5pt"/>
              <v:imagedata o:title=""/>
              <o:lock v:ext="edit" aspectratio="f"/>
              <v:textbox inset="0mm,0mm,0mm,0mm" style="mso-fit-shape-to-text:t;">
                <w:txbxContent>
                  <w:p w14:paraId="490AB85A">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8D300E">
    <w:pPr>
      <w:pStyle w:val="10"/>
      <w:pBdr>
        <w:bottom w:val="none" w:color="auto" w:sz="0" w:space="0"/>
      </w:pBdr>
      <w:jc w:val="right"/>
      <w:rPr>
        <w:w w:val="120"/>
        <w:sz w:val="21"/>
        <w:szCs w:val="21"/>
      </w:rPr>
    </w:pPr>
    <w:r>
      <w:rPr>
        <w:rFonts w:ascii="黑体" w:hAnsi="黑体" w:eastAsia="黑体" w:cs="Times New Roman"/>
        <w:w w:val="120"/>
        <w:sz w:val="21"/>
        <w:szCs w:val="21"/>
      </w:rPr>
      <w:t xml:space="preserve">DB34/T </w:t>
    </w:r>
    <w:r>
      <w:rPr>
        <w:rFonts w:hint="eastAsia" w:ascii="黑体" w:hAnsi="黑体" w:eastAsia="黑体" w:cs="Times New Roman"/>
        <w:w w:val="120"/>
        <w:sz w:val="21"/>
        <w:szCs w:val="21"/>
      </w:rPr>
      <w:t>XXXXX</w:t>
    </w:r>
    <w:r>
      <w:rPr>
        <w:rFonts w:ascii="黑体" w:hAnsi="黑体" w:eastAsia="黑体" w:cs="Times New Roman"/>
        <w:w w:val="120"/>
        <w:sz w:val="21"/>
        <w:szCs w:val="21"/>
      </w:rPr>
      <w:t>－</w:t>
    </w:r>
    <w:r>
      <w:rPr>
        <w:rFonts w:hint="eastAsia" w:ascii="黑体" w:hAnsi="黑体" w:eastAsia="黑体" w:cs="Times New Roman"/>
        <w:w w:val="120"/>
        <w:sz w:val="21"/>
        <w:szCs w:val="21"/>
      </w:rPr>
      <w:t>XXXX</w:t>
    </w:r>
  </w:p>
  <w:p w14:paraId="0153923E">
    <w:pPr>
      <w:pStyle w:val="1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97C5BE">
    <w:pPr>
      <w:pStyle w:val="10"/>
      <w:pBdr>
        <w:bottom w:val="none" w:color="auto" w:sz="0" w:space="0"/>
      </w:pBdr>
      <w:jc w:val="left"/>
      <w:rPr>
        <w:w w:val="120"/>
        <w:sz w:val="21"/>
        <w:szCs w:val="21"/>
      </w:rPr>
    </w:pPr>
    <w:r>
      <w:rPr>
        <w:rFonts w:ascii="黑体" w:hAnsi="黑体" w:eastAsia="黑体" w:cs="Times New Roman"/>
        <w:w w:val="120"/>
        <w:sz w:val="21"/>
        <w:szCs w:val="21"/>
      </w:rPr>
      <w:t xml:space="preserve">DB34/T </w:t>
    </w:r>
    <w:r>
      <w:rPr>
        <w:rFonts w:hint="eastAsia" w:ascii="黑体" w:hAnsi="黑体" w:eastAsia="黑体" w:cs="Times New Roman"/>
        <w:w w:val="120"/>
        <w:sz w:val="21"/>
        <w:szCs w:val="21"/>
      </w:rPr>
      <w:t>XXXXX</w:t>
    </w:r>
    <w:r>
      <w:rPr>
        <w:rFonts w:ascii="黑体" w:hAnsi="黑体" w:eastAsia="黑体" w:cs="Times New Roman"/>
        <w:w w:val="120"/>
        <w:sz w:val="21"/>
        <w:szCs w:val="21"/>
      </w:rPr>
      <w:t>－</w:t>
    </w:r>
    <w:r>
      <w:rPr>
        <w:rFonts w:hint="eastAsia" w:ascii="黑体" w:hAnsi="黑体" w:eastAsia="黑体" w:cs="Times New Roman"/>
        <w:w w:val="120"/>
        <w:sz w:val="21"/>
        <w:szCs w:val="21"/>
      </w:rPr>
      <w:t>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6E8865">
    <w:pPr>
      <w:pStyle w:val="1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EB270F">
    <w:pPr>
      <w:pStyle w:val="10"/>
      <w:pBdr>
        <w:bottom w:val="none" w:color="auto" w:sz="0" w:space="0"/>
      </w:pBdr>
      <w:jc w:val="right"/>
      <w:rPr>
        <w:w w:val="120"/>
        <w:sz w:val="21"/>
        <w:szCs w:val="21"/>
      </w:rPr>
    </w:pPr>
    <w:r>
      <w:rPr>
        <w:rFonts w:ascii="黑体" w:hAnsi="黑体" w:eastAsia="黑体" w:cs="Times New Roman"/>
        <w:w w:val="120"/>
        <w:sz w:val="21"/>
        <w:szCs w:val="21"/>
      </w:rPr>
      <w:t xml:space="preserve">DB34/T </w:t>
    </w:r>
    <w:r>
      <w:rPr>
        <w:rFonts w:hint="eastAsia" w:ascii="黑体" w:hAnsi="黑体" w:eastAsia="黑体" w:cs="Times New Roman"/>
        <w:w w:val="120"/>
        <w:sz w:val="21"/>
        <w:szCs w:val="21"/>
      </w:rPr>
      <w:t>XXXXX</w:t>
    </w:r>
    <w:r>
      <w:rPr>
        <w:rFonts w:ascii="黑体" w:hAnsi="黑体" w:eastAsia="黑体" w:cs="Times New Roman"/>
        <w:w w:val="120"/>
        <w:sz w:val="21"/>
        <w:szCs w:val="21"/>
      </w:rPr>
      <w:t>－</w:t>
    </w:r>
    <w:r>
      <w:rPr>
        <w:rFonts w:hint="eastAsia" w:ascii="黑体" w:hAnsi="黑体" w:eastAsia="黑体" w:cs="Times New Roman"/>
        <w:w w:val="120"/>
        <w:sz w:val="21"/>
        <w:szCs w:val="21"/>
      </w:rPr>
      <w:t>XXXX</w:t>
    </w:r>
  </w:p>
  <w:p w14:paraId="2F30C0FE">
    <w:pPr>
      <w:pStyle w:val="10"/>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A848F4">
    <w:pPr>
      <w:pStyle w:val="10"/>
      <w:pBdr>
        <w:bottom w:val="none" w:color="auto" w:sz="0" w:space="0"/>
      </w:pBdr>
      <w:jc w:val="left"/>
      <w:rPr>
        <w:w w:val="120"/>
        <w:sz w:val="21"/>
        <w:szCs w:val="21"/>
      </w:rPr>
    </w:pPr>
    <w:r>
      <w:rPr>
        <w:rFonts w:ascii="黑体" w:hAnsi="黑体" w:eastAsia="黑体" w:cs="Times New Roman"/>
        <w:w w:val="120"/>
        <w:sz w:val="21"/>
        <w:szCs w:val="21"/>
      </w:rPr>
      <w:t xml:space="preserve">DB34/T </w:t>
    </w:r>
    <w:r>
      <w:rPr>
        <w:rFonts w:hint="eastAsia" w:ascii="黑体" w:hAnsi="黑体" w:eastAsia="黑体" w:cs="Times New Roman"/>
        <w:w w:val="120"/>
        <w:sz w:val="21"/>
        <w:szCs w:val="21"/>
      </w:rPr>
      <w:t>XXXXX</w:t>
    </w:r>
    <w:r>
      <w:rPr>
        <w:rFonts w:ascii="黑体" w:hAnsi="黑体" w:eastAsia="黑体" w:cs="Times New Roman"/>
        <w:w w:val="120"/>
        <w:sz w:val="21"/>
        <w:szCs w:val="21"/>
      </w:rPr>
      <w:t>－</w:t>
    </w:r>
    <w:r>
      <w:rPr>
        <w:rFonts w:hint="eastAsia" w:ascii="黑体" w:hAnsi="黑体" w:eastAsia="黑体" w:cs="Times New Roman"/>
        <w:w w:val="120"/>
        <w:sz w:val="21"/>
        <w:szCs w:val="21"/>
      </w:rPr>
      <w:t>XXXX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E7F471">
    <w:pPr>
      <w:pStyle w:val="10"/>
      <w:pBdr>
        <w:bottom w:val="none" w:color="auto" w:sz="0" w:space="0"/>
      </w:pBdr>
      <w:jc w:val="left"/>
      <w:rPr>
        <w:w w:val="120"/>
        <w:sz w:val="21"/>
        <w:szCs w:val="21"/>
      </w:rPr>
    </w:pPr>
    <w:r>
      <w:rPr>
        <w:rFonts w:ascii="黑体" w:hAnsi="黑体" w:eastAsia="黑体" w:cs="Times New Roman"/>
        <w:w w:val="120"/>
        <w:sz w:val="21"/>
        <w:szCs w:val="21"/>
      </w:rPr>
      <w:t xml:space="preserve">DB34/T </w:t>
    </w:r>
    <w:r>
      <w:rPr>
        <w:rFonts w:hint="eastAsia" w:ascii="黑体" w:hAnsi="黑体" w:eastAsia="黑体" w:cs="Times New Roman"/>
        <w:w w:val="120"/>
        <w:sz w:val="21"/>
        <w:szCs w:val="21"/>
      </w:rPr>
      <w:t>XXXXX</w:t>
    </w:r>
    <w:r>
      <w:rPr>
        <w:rFonts w:ascii="黑体" w:hAnsi="黑体" w:eastAsia="黑体" w:cs="Times New Roman"/>
        <w:w w:val="120"/>
        <w:sz w:val="21"/>
        <w:szCs w:val="21"/>
      </w:rPr>
      <w:t>－</w:t>
    </w:r>
    <w:r>
      <w:rPr>
        <w:rFonts w:hint="eastAsia" w:ascii="黑体" w:hAnsi="黑体" w:eastAsia="黑体" w:cs="Times New Roman"/>
        <w:w w:val="120"/>
        <w:sz w:val="21"/>
        <w:szCs w:val="21"/>
      </w:rPr>
      <w:t>XXXX</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VmMDBiOWVkYmRkYzJhMDE4NjlhNDBmOGNkZGJjNDIifQ=="/>
  </w:docVars>
  <w:rsids>
    <w:rsidRoot w:val="0092706E"/>
    <w:rsid w:val="000018D1"/>
    <w:rsid w:val="000064C1"/>
    <w:rsid w:val="00006BF8"/>
    <w:rsid w:val="000070A1"/>
    <w:rsid w:val="00007CD1"/>
    <w:rsid w:val="00014304"/>
    <w:rsid w:val="00015520"/>
    <w:rsid w:val="00015769"/>
    <w:rsid w:val="00016DD5"/>
    <w:rsid w:val="000207BD"/>
    <w:rsid w:val="00020A7D"/>
    <w:rsid w:val="00025C23"/>
    <w:rsid w:val="0002635D"/>
    <w:rsid w:val="000267F7"/>
    <w:rsid w:val="00026A68"/>
    <w:rsid w:val="00030484"/>
    <w:rsid w:val="00032ABD"/>
    <w:rsid w:val="00036BFE"/>
    <w:rsid w:val="00037F15"/>
    <w:rsid w:val="000430E1"/>
    <w:rsid w:val="00045077"/>
    <w:rsid w:val="00045E8A"/>
    <w:rsid w:val="00045FCB"/>
    <w:rsid w:val="00053F26"/>
    <w:rsid w:val="00056C05"/>
    <w:rsid w:val="00056E3B"/>
    <w:rsid w:val="000611F1"/>
    <w:rsid w:val="0006298A"/>
    <w:rsid w:val="000637AC"/>
    <w:rsid w:val="00067307"/>
    <w:rsid w:val="000677CF"/>
    <w:rsid w:val="00067894"/>
    <w:rsid w:val="00071410"/>
    <w:rsid w:val="00071B5C"/>
    <w:rsid w:val="00073C6C"/>
    <w:rsid w:val="00081994"/>
    <w:rsid w:val="0008370B"/>
    <w:rsid w:val="00085DE9"/>
    <w:rsid w:val="000872A2"/>
    <w:rsid w:val="00090022"/>
    <w:rsid w:val="00090744"/>
    <w:rsid w:val="00090D1F"/>
    <w:rsid w:val="0009289C"/>
    <w:rsid w:val="00092FF9"/>
    <w:rsid w:val="000958A8"/>
    <w:rsid w:val="000968DE"/>
    <w:rsid w:val="000A22AD"/>
    <w:rsid w:val="000A2C4A"/>
    <w:rsid w:val="000A3071"/>
    <w:rsid w:val="000A74A1"/>
    <w:rsid w:val="000B431F"/>
    <w:rsid w:val="000B44A6"/>
    <w:rsid w:val="000B62E1"/>
    <w:rsid w:val="000C123B"/>
    <w:rsid w:val="000C5463"/>
    <w:rsid w:val="000D0CCB"/>
    <w:rsid w:val="000D0E77"/>
    <w:rsid w:val="000D716A"/>
    <w:rsid w:val="000E1558"/>
    <w:rsid w:val="000E3070"/>
    <w:rsid w:val="000E35E7"/>
    <w:rsid w:val="000E5729"/>
    <w:rsid w:val="000E5A03"/>
    <w:rsid w:val="000E5D4C"/>
    <w:rsid w:val="000E6E56"/>
    <w:rsid w:val="000E740C"/>
    <w:rsid w:val="000E7433"/>
    <w:rsid w:val="000E758F"/>
    <w:rsid w:val="000E7F24"/>
    <w:rsid w:val="000F4F41"/>
    <w:rsid w:val="000F56C9"/>
    <w:rsid w:val="000F5D24"/>
    <w:rsid w:val="000F6ADF"/>
    <w:rsid w:val="00100538"/>
    <w:rsid w:val="00101A67"/>
    <w:rsid w:val="00101DB5"/>
    <w:rsid w:val="00105705"/>
    <w:rsid w:val="00106920"/>
    <w:rsid w:val="00111C29"/>
    <w:rsid w:val="001156C7"/>
    <w:rsid w:val="00121BAF"/>
    <w:rsid w:val="00122145"/>
    <w:rsid w:val="00122267"/>
    <w:rsid w:val="00122694"/>
    <w:rsid w:val="0012435B"/>
    <w:rsid w:val="001243EE"/>
    <w:rsid w:val="00124B6F"/>
    <w:rsid w:val="00125C2D"/>
    <w:rsid w:val="00126861"/>
    <w:rsid w:val="001312FE"/>
    <w:rsid w:val="001328FF"/>
    <w:rsid w:val="00135AAE"/>
    <w:rsid w:val="00140C77"/>
    <w:rsid w:val="00143677"/>
    <w:rsid w:val="00146138"/>
    <w:rsid w:val="00146E16"/>
    <w:rsid w:val="00150EB7"/>
    <w:rsid w:val="0015255E"/>
    <w:rsid w:val="001526AC"/>
    <w:rsid w:val="00152DAB"/>
    <w:rsid w:val="0015437E"/>
    <w:rsid w:val="00154777"/>
    <w:rsid w:val="00154993"/>
    <w:rsid w:val="00156A11"/>
    <w:rsid w:val="00163690"/>
    <w:rsid w:val="00164FED"/>
    <w:rsid w:val="0016620E"/>
    <w:rsid w:val="00167979"/>
    <w:rsid w:val="00170692"/>
    <w:rsid w:val="001713A5"/>
    <w:rsid w:val="00171978"/>
    <w:rsid w:val="00172114"/>
    <w:rsid w:val="00176459"/>
    <w:rsid w:val="001814AE"/>
    <w:rsid w:val="0019471E"/>
    <w:rsid w:val="00195451"/>
    <w:rsid w:val="001955C6"/>
    <w:rsid w:val="00197517"/>
    <w:rsid w:val="001A03B5"/>
    <w:rsid w:val="001A0CD9"/>
    <w:rsid w:val="001A233C"/>
    <w:rsid w:val="001A4464"/>
    <w:rsid w:val="001A5677"/>
    <w:rsid w:val="001B253A"/>
    <w:rsid w:val="001B2BB9"/>
    <w:rsid w:val="001B2D47"/>
    <w:rsid w:val="001B3609"/>
    <w:rsid w:val="001B4789"/>
    <w:rsid w:val="001B6FBD"/>
    <w:rsid w:val="001C079D"/>
    <w:rsid w:val="001C2403"/>
    <w:rsid w:val="001C5067"/>
    <w:rsid w:val="001C6202"/>
    <w:rsid w:val="001C6622"/>
    <w:rsid w:val="001C6E40"/>
    <w:rsid w:val="001D19C7"/>
    <w:rsid w:val="001D2C91"/>
    <w:rsid w:val="001D4907"/>
    <w:rsid w:val="001D6DD8"/>
    <w:rsid w:val="001E118D"/>
    <w:rsid w:val="001E285B"/>
    <w:rsid w:val="001E3274"/>
    <w:rsid w:val="001E546F"/>
    <w:rsid w:val="001E6101"/>
    <w:rsid w:val="001E6207"/>
    <w:rsid w:val="001E666C"/>
    <w:rsid w:val="001F1826"/>
    <w:rsid w:val="001F2DB6"/>
    <w:rsid w:val="001F3529"/>
    <w:rsid w:val="001F4147"/>
    <w:rsid w:val="001F52C6"/>
    <w:rsid w:val="001F7EA4"/>
    <w:rsid w:val="00200420"/>
    <w:rsid w:val="00204C7A"/>
    <w:rsid w:val="00204FD9"/>
    <w:rsid w:val="00207D2C"/>
    <w:rsid w:val="0021093B"/>
    <w:rsid w:val="00212609"/>
    <w:rsid w:val="00216718"/>
    <w:rsid w:val="00217C1D"/>
    <w:rsid w:val="00217DD5"/>
    <w:rsid w:val="00220556"/>
    <w:rsid w:val="00220A7C"/>
    <w:rsid w:val="00224A14"/>
    <w:rsid w:val="0022634F"/>
    <w:rsid w:val="00227FDC"/>
    <w:rsid w:val="0023063C"/>
    <w:rsid w:val="00231CCC"/>
    <w:rsid w:val="00231E2F"/>
    <w:rsid w:val="00233AE3"/>
    <w:rsid w:val="00234045"/>
    <w:rsid w:val="002405A1"/>
    <w:rsid w:val="002414EC"/>
    <w:rsid w:val="00241DB6"/>
    <w:rsid w:val="00243F79"/>
    <w:rsid w:val="00246515"/>
    <w:rsid w:val="002478B2"/>
    <w:rsid w:val="00252544"/>
    <w:rsid w:val="00252C2A"/>
    <w:rsid w:val="002543B7"/>
    <w:rsid w:val="002561EE"/>
    <w:rsid w:val="00260551"/>
    <w:rsid w:val="0026225C"/>
    <w:rsid w:val="00264D04"/>
    <w:rsid w:val="002704E8"/>
    <w:rsid w:val="002708B8"/>
    <w:rsid w:val="00271096"/>
    <w:rsid w:val="002747C1"/>
    <w:rsid w:val="00275DCA"/>
    <w:rsid w:val="002776DD"/>
    <w:rsid w:val="00277E00"/>
    <w:rsid w:val="00282A52"/>
    <w:rsid w:val="0028354F"/>
    <w:rsid w:val="0028547D"/>
    <w:rsid w:val="002867F2"/>
    <w:rsid w:val="00291786"/>
    <w:rsid w:val="00293357"/>
    <w:rsid w:val="00293CC1"/>
    <w:rsid w:val="002944EB"/>
    <w:rsid w:val="002949CE"/>
    <w:rsid w:val="00294FBC"/>
    <w:rsid w:val="00296C8E"/>
    <w:rsid w:val="002A07EC"/>
    <w:rsid w:val="002A10FE"/>
    <w:rsid w:val="002A4041"/>
    <w:rsid w:val="002A42C1"/>
    <w:rsid w:val="002A5004"/>
    <w:rsid w:val="002A5F3C"/>
    <w:rsid w:val="002B0E3E"/>
    <w:rsid w:val="002B169B"/>
    <w:rsid w:val="002B318F"/>
    <w:rsid w:val="002B3E0F"/>
    <w:rsid w:val="002B536A"/>
    <w:rsid w:val="002B541E"/>
    <w:rsid w:val="002B5EB4"/>
    <w:rsid w:val="002C30F5"/>
    <w:rsid w:val="002C45B7"/>
    <w:rsid w:val="002C5261"/>
    <w:rsid w:val="002C55A6"/>
    <w:rsid w:val="002C6E5A"/>
    <w:rsid w:val="002C7EBF"/>
    <w:rsid w:val="002D0134"/>
    <w:rsid w:val="002D06B5"/>
    <w:rsid w:val="002D3408"/>
    <w:rsid w:val="002E02C8"/>
    <w:rsid w:val="002E0633"/>
    <w:rsid w:val="002E1390"/>
    <w:rsid w:val="002E3865"/>
    <w:rsid w:val="002E4609"/>
    <w:rsid w:val="002E56C5"/>
    <w:rsid w:val="002E7F5C"/>
    <w:rsid w:val="002F0363"/>
    <w:rsid w:val="002F362D"/>
    <w:rsid w:val="002F41D1"/>
    <w:rsid w:val="002F53E7"/>
    <w:rsid w:val="002F5433"/>
    <w:rsid w:val="002F584A"/>
    <w:rsid w:val="002F596E"/>
    <w:rsid w:val="002F62D8"/>
    <w:rsid w:val="002F63E6"/>
    <w:rsid w:val="002F67CB"/>
    <w:rsid w:val="002F7E72"/>
    <w:rsid w:val="00301BFD"/>
    <w:rsid w:val="00301F63"/>
    <w:rsid w:val="00302385"/>
    <w:rsid w:val="00306972"/>
    <w:rsid w:val="0031189D"/>
    <w:rsid w:val="00311AD8"/>
    <w:rsid w:val="003120E4"/>
    <w:rsid w:val="0031282B"/>
    <w:rsid w:val="0031299F"/>
    <w:rsid w:val="00313037"/>
    <w:rsid w:val="00313A01"/>
    <w:rsid w:val="00314AC1"/>
    <w:rsid w:val="00315A11"/>
    <w:rsid w:val="00316B0F"/>
    <w:rsid w:val="003177A8"/>
    <w:rsid w:val="00317C58"/>
    <w:rsid w:val="003207F4"/>
    <w:rsid w:val="00320B90"/>
    <w:rsid w:val="00323F03"/>
    <w:rsid w:val="00326ECC"/>
    <w:rsid w:val="00327586"/>
    <w:rsid w:val="003331E1"/>
    <w:rsid w:val="00333BCC"/>
    <w:rsid w:val="00334E06"/>
    <w:rsid w:val="0033680E"/>
    <w:rsid w:val="00337A27"/>
    <w:rsid w:val="003406B7"/>
    <w:rsid w:val="00341398"/>
    <w:rsid w:val="00341E69"/>
    <w:rsid w:val="00341F8E"/>
    <w:rsid w:val="00345596"/>
    <w:rsid w:val="00345898"/>
    <w:rsid w:val="00345BE7"/>
    <w:rsid w:val="0035314C"/>
    <w:rsid w:val="00354228"/>
    <w:rsid w:val="00356D24"/>
    <w:rsid w:val="003622A0"/>
    <w:rsid w:val="00362AD3"/>
    <w:rsid w:val="00362F48"/>
    <w:rsid w:val="0036323A"/>
    <w:rsid w:val="00363EFF"/>
    <w:rsid w:val="00364D9B"/>
    <w:rsid w:val="00367C39"/>
    <w:rsid w:val="00373BE6"/>
    <w:rsid w:val="00376DB3"/>
    <w:rsid w:val="00376F6F"/>
    <w:rsid w:val="003770FE"/>
    <w:rsid w:val="00380A93"/>
    <w:rsid w:val="00380DEE"/>
    <w:rsid w:val="00381AC5"/>
    <w:rsid w:val="00381C0A"/>
    <w:rsid w:val="00383CD1"/>
    <w:rsid w:val="0038456B"/>
    <w:rsid w:val="003855FA"/>
    <w:rsid w:val="003858A5"/>
    <w:rsid w:val="003864B4"/>
    <w:rsid w:val="0039141D"/>
    <w:rsid w:val="00391BF0"/>
    <w:rsid w:val="00393B30"/>
    <w:rsid w:val="00393EEE"/>
    <w:rsid w:val="003942B7"/>
    <w:rsid w:val="00395B70"/>
    <w:rsid w:val="003975DE"/>
    <w:rsid w:val="003A0AD0"/>
    <w:rsid w:val="003A1E9D"/>
    <w:rsid w:val="003A6377"/>
    <w:rsid w:val="003A6C63"/>
    <w:rsid w:val="003B31F9"/>
    <w:rsid w:val="003B32BF"/>
    <w:rsid w:val="003B432C"/>
    <w:rsid w:val="003C0618"/>
    <w:rsid w:val="003C2C9B"/>
    <w:rsid w:val="003C41C0"/>
    <w:rsid w:val="003D1608"/>
    <w:rsid w:val="003D209D"/>
    <w:rsid w:val="003D24DF"/>
    <w:rsid w:val="003D4E14"/>
    <w:rsid w:val="003D5E45"/>
    <w:rsid w:val="003E0303"/>
    <w:rsid w:val="003E1D35"/>
    <w:rsid w:val="003E5B51"/>
    <w:rsid w:val="003E7EBA"/>
    <w:rsid w:val="003E7FD1"/>
    <w:rsid w:val="003F2C6C"/>
    <w:rsid w:val="0040165B"/>
    <w:rsid w:val="00401868"/>
    <w:rsid w:val="00402567"/>
    <w:rsid w:val="0040257F"/>
    <w:rsid w:val="00403D20"/>
    <w:rsid w:val="00412FA5"/>
    <w:rsid w:val="0041591E"/>
    <w:rsid w:val="0041748E"/>
    <w:rsid w:val="004210CA"/>
    <w:rsid w:val="00421C81"/>
    <w:rsid w:val="004239B3"/>
    <w:rsid w:val="00425606"/>
    <w:rsid w:val="00426273"/>
    <w:rsid w:val="00426499"/>
    <w:rsid w:val="00433405"/>
    <w:rsid w:val="00434AB1"/>
    <w:rsid w:val="00435431"/>
    <w:rsid w:val="004355B6"/>
    <w:rsid w:val="004367B9"/>
    <w:rsid w:val="0043781E"/>
    <w:rsid w:val="004379C2"/>
    <w:rsid w:val="004405AF"/>
    <w:rsid w:val="00442F20"/>
    <w:rsid w:val="0044369C"/>
    <w:rsid w:val="00447548"/>
    <w:rsid w:val="00447DDC"/>
    <w:rsid w:val="00450DE7"/>
    <w:rsid w:val="00451A9F"/>
    <w:rsid w:val="00453946"/>
    <w:rsid w:val="00456832"/>
    <w:rsid w:val="004569F2"/>
    <w:rsid w:val="00457B46"/>
    <w:rsid w:val="00460597"/>
    <w:rsid w:val="00462D15"/>
    <w:rsid w:val="004640FF"/>
    <w:rsid w:val="00465D41"/>
    <w:rsid w:val="0047098F"/>
    <w:rsid w:val="00471DEB"/>
    <w:rsid w:val="00472151"/>
    <w:rsid w:val="00473631"/>
    <w:rsid w:val="00474102"/>
    <w:rsid w:val="004742FD"/>
    <w:rsid w:val="004755FE"/>
    <w:rsid w:val="00483ED9"/>
    <w:rsid w:val="00487FE7"/>
    <w:rsid w:val="0049194D"/>
    <w:rsid w:val="00491A34"/>
    <w:rsid w:val="00492E61"/>
    <w:rsid w:val="004949CF"/>
    <w:rsid w:val="00496111"/>
    <w:rsid w:val="004966D2"/>
    <w:rsid w:val="00496EEB"/>
    <w:rsid w:val="004970E7"/>
    <w:rsid w:val="004975AE"/>
    <w:rsid w:val="00497F36"/>
    <w:rsid w:val="004A00D3"/>
    <w:rsid w:val="004A3496"/>
    <w:rsid w:val="004A38B9"/>
    <w:rsid w:val="004A3DF0"/>
    <w:rsid w:val="004A7B0D"/>
    <w:rsid w:val="004A7D7D"/>
    <w:rsid w:val="004A7E19"/>
    <w:rsid w:val="004B0017"/>
    <w:rsid w:val="004B0D08"/>
    <w:rsid w:val="004B101D"/>
    <w:rsid w:val="004B178D"/>
    <w:rsid w:val="004B7914"/>
    <w:rsid w:val="004C2EF1"/>
    <w:rsid w:val="004C6D6B"/>
    <w:rsid w:val="004C6EBA"/>
    <w:rsid w:val="004C7AC7"/>
    <w:rsid w:val="004C7FBF"/>
    <w:rsid w:val="004D0391"/>
    <w:rsid w:val="004D0D72"/>
    <w:rsid w:val="004D1E4D"/>
    <w:rsid w:val="004D3E8C"/>
    <w:rsid w:val="004D3FDB"/>
    <w:rsid w:val="004D4116"/>
    <w:rsid w:val="004D53EB"/>
    <w:rsid w:val="004E0B7A"/>
    <w:rsid w:val="004E0BC1"/>
    <w:rsid w:val="004E2999"/>
    <w:rsid w:val="004E694C"/>
    <w:rsid w:val="004E7332"/>
    <w:rsid w:val="004E7CF6"/>
    <w:rsid w:val="004F0FA1"/>
    <w:rsid w:val="004F18AF"/>
    <w:rsid w:val="004F1F7B"/>
    <w:rsid w:val="0050196B"/>
    <w:rsid w:val="00502546"/>
    <w:rsid w:val="0050287C"/>
    <w:rsid w:val="00503AFC"/>
    <w:rsid w:val="00503FC6"/>
    <w:rsid w:val="005042F6"/>
    <w:rsid w:val="00505429"/>
    <w:rsid w:val="00507239"/>
    <w:rsid w:val="00513293"/>
    <w:rsid w:val="00514E42"/>
    <w:rsid w:val="005166A5"/>
    <w:rsid w:val="0051798D"/>
    <w:rsid w:val="0052031B"/>
    <w:rsid w:val="00520E04"/>
    <w:rsid w:val="00521EFE"/>
    <w:rsid w:val="0052321E"/>
    <w:rsid w:val="0052724F"/>
    <w:rsid w:val="00527AE6"/>
    <w:rsid w:val="00531CE3"/>
    <w:rsid w:val="00533F2C"/>
    <w:rsid w:val="00534065"/>
    <w:rsid w:val="005341B2"/>
    <w:rsid w:val="005352FF"/>
    <w:rsid w:val="005361DD"/>
    <w:rsid w:val="0053637D"/>
    <w:rsid w:val="0053762C"/>
    <w:rsid w:val="00541D46"/>
    <w:rsid w:val="00543DAF"/>
    <w:rsid w:val="00544294"/>
    <w:rsid w:val="005447BE"/>
    <w:rsid w:val="00545315"/>
    <w:rsid w:val="00547BC2"/>
    <w:rsid w:val="00551211"/>
    <w:rsid w:val="005516D4"/>
    <w:rsid w:val="00552B68"/>
    <w:rsid w:val="0055402B"/>
    <w:rsid w:val="0055575E"/>
    <w:rsid w:val="005564AA"/>
    <w:rsid w:val="00561598"/>
    <w:rsid w:val="0056196C"/>
    <w:rsid w:val="00561CA2"/>
    <w:rsid w:val="0056359D"/>
    <w:rsid w:val="00563DD1"/>
    <w:rsid w:val="005642BE"/>
    <w:rsid w:val="00564984"/>
    <w:rsid w:val="00564EA0"/>
    <w:rsid w:val="00564EFC"/>
    <w:rsid w:val="00564FE9"/>
    <w:rsid w:val="00565854"/>
    <w:rsid w:val="00566333"/>
    <w:rsid w:val="00566423"/>
    <w:rsid w:val="0056768F"/>
    <w:rsid w:val="005741A0"/>
    <w:rsid w:val="00574627"/>
    <w:rsid w:val="005746B6"/>
    <w:rsid w:val="005749E7"/>
    <w:rsid w:val="0058196F"/>
    <w:rsid w:val="005830AA"/>
    <w:rsid w:val="00585FC6"/>
    <w:rsid w:val="00586069"/>
    <w:rsid w:val="005915B4"/>
    <w:rsid w:val="005940A6"/>
    <w:rsid w:val="005949B9"/>
    <w:rsid w:val="00594B27"/>
    <w:rsid w:val="00594E8C"/>
    <w:rsid w:val="005962CF"/>
    <w:rsid w:val="00597BF8"/>
    <w:rsid w:val="005A0A1E"/>
    <w:rsid w:val="005A0A49"/>
    <w:rsid w:val="005A11F4"/>
    <w:rsid w:val="005A55CA"/>
    <w:rsid w:val="005B0462"/>
    <w:rsid w:val="005B0F2F"/>
    <w:rsid w:val="005B3CF6"/>
    <w:rsid w:val="005B4F3C"/>
    <w:rsid w:val="005C2726"/>
    <w:rsid w:val="005C4516"/>
    <w:rsid w:val="005C4608"/>
    <w:rsid w:val="005C698D"/>
    <w:rsid w:val="005C7A00"/>
    <w:rsid w:val="005D1388"/>
    <w:rsid w:val="005D1DFD"/>
    <w:rsid w:val="005D3DA3"/>
    <w:rsid w:val="005D4DB2"/>
    <w:rsid w:val="005D692D"/>
    <w:rsid w:val="005D7CCD"/>
    <w:rsid w:val="005E058F"/>
    <w:rsid w:val="005E0612"/>
    <w:rsid w:val="005E1A6C"/>
    <w:rsid w:val="005E40A4"/>
    <w:rsid w:val="005E5A50"/>
    <w:rsid w:val="005E72B7"/>
    <w:rsid w:val="005F0E3F"/>
    <w:rsid w:val="005F2856"/>
    <w:rsid w:val="005F2B55"/>
    <w:rsid w:val="005F410A"/>
    <w:rsid w:val="005F56E9"/>
    <w:rsid w:val="005F5CCB"/>
    <w:rsid w:val="005F6812"/>
    <w:rsid w:val="00601BB2"/>
    <w:rsid w:val="006024E7"/>
    <w:rsid w:val="006035B2"/>
    <w:rsid w:val="006041EB"/>
    <w:rsid w:val="006063D6"/>
    <w:rsid w:val="00616D7F"/>
    <w:rsid w:val="00623F0F"/>
    <w:rsid w:val="006247F5"/>
    <w:rsid w:val="00626DFD"/>
    <w:rsid w:val="00633BC4"/>
    <w:rsid w:val="006346C8"/>
    <w:rsid w:val="006353B9"/>
    <w:rsid w:val="006357F8"/>
    <w:rsid w:val="00636386"/>
    <w:rsid w:val="00637E70"/>
    <w:rsid w:val="006400A8"/>
    <w:rsid w:val="00640EF5"/>
    <w:rsid w:val="00642564"/>
    <w:rsid w:val="00647BE4"/>
    <w:rsid w:val="00651C0C"/>
    <w:rsid w:val="00653168"/>
    <w:rsid w:val="00656D14"/>
    <w:rsid w:val="00661884"/>
    <w:rsid w:val="00662B38"/>
    <w:rsid w:val="00667213"/>
    <w:rsid w:val="00670110"/>
    <w:rsid w:val="006705BE"/>
    <w:rsid w:val="006732F7"/>
    <w:rsid w:val="00673580"/>
    <w:rsid w:val="0067387B"/>
    <w:rsid w:val="00674AD0"/>
    <w:rsid w:val="0067589D"/>
    <w:rsid w:val="00675DC4"/>
    <w:rsid w:val="006801DC"/>
    <w:rsid w:val="00680C88"/>
    <w:rsid w:val="006822F5"/>
    <w:rsid w:val="0068398D"/>
    <w:rsid w:val="00692861"/>
    <w:rsid w:val="00693CFB"/>
    <w:rsid w:val="00694BAD"/>
    <w:rsid w:val="006967C9"/>
    <w:rsid w:val="006A0AF2"/>
    <w:rsid w:val="006A1068"/>
    <w:rsid w:val="006A2AE7"/>
    <w:rsid w:val="006A3DD0"/>
    <w:rsid w:val="006A3FA7"/>
    <w:rsid w:val="006A4E7B"/>
    <w:rsid w:val="006A57BD"/>
    <w:rsid w:val="006A5AD3"/>
    <w:rsid w:val="006A6770"/>
    <w:rsid w:val="006B0D56"/>
    <w:rsid w:val="006B2474"/>
    <w:rsid w:val="006B7C6D"/>
    <w:rsid w:val="006C006D"/>
    <w:rsid w:val="006C0F58"/>
    <w:rsid w:val="006C5D82"/>
    <w:rsid w:val="006C6973"/>
    <w:rsid w:val="006D0E64"/>
    <w:rsid w:val="006D1154"/>
    <w:rsid w:val="006D28B2"/>
    <w:rsid w:val="006D3272"/>
    <w:rsid w:val="006D3B00"/>
    <w:rsid w:val="006D505C"/>
    <w:rsid w:val="006D5367"/>
    <w:rsid w:val="006D5717"/>
    <w:rsid w:val="006D5F34"/>
    <w:rsid w:val="006E0F83"/>
    <w:rsid w:val="006E296B"/>
    <w:rsid w:val="006E416A"/>
    <w:rsid w:val="006E4558"/>
    <w:rsid w:val="006E664C"/>
    <w:rsid w:val="006E6A1D"/>
    <w:rsid w:val="006F0D07"/>
    <w:rsid w:val="006F196F"/>
    <w:rsid w:val="006F1D1A"/>
    <w:rsid w:val="006F2222"/>
    <w:rsid w:val="006F2BCE"/>
    <w:rsid w:val="006F2C17"/>
    <w:rsid w:val="006F3E7B"/>
    <w:rsid w:val="006F4EF3"/>
    <w:rsid w:val="006F6BAD"/>
    <w:rsid w:val="007009A3"/>
    <w:rsid w:val="00701B97"/>
    <w:rsid w:val="007108BC"/>
    <w:rsid w:val="00713E39"/>
    <w:rsid w:val="00715EAE"/>
    <w:rsid w:val="00720BB4"/>
    <w:rsid w:val="0073199E"/>
    <w:rsid w:val="00731CE2"/>
    <w:rsid w:val="00732456"/>
    <w:rsid w:val="0073650B"/>
    <w:rsid w:val="007368D8"/>
    <w:rsid w:val="007376C8"/>
    <w:rsid w:val="007403F3"/>
    <w:rsid w:val="00741E16"/>
    <w:rsid w:val="007466E0"/>
    <w:rsid w:val="00746A27"/>
    <w:rsid w:val="00747AD1"/>
    <w:rsid w:val="0075036F"/>
    <w:rsid w:val="00750E14"/>
    <w:rsid w:val="0075136B"/>
    <w:rsid w:val="00751954"/>
    <w:rsid w:val="00752CE3"/>
    <w:rsid w:val="00756293"/>
    <w:rsid w:val="00756A39"/>
    <w:rsid w:val="00756B04"/>
    <w:rsid w:val="00757D86"/>
    <w:rsid w:val="00761EB5"/>
    <w:rsid w:val="00762389"/>
    <w:rsid w:val="00762B3E"/>
    <w:rsid w:val="00764A45"/>
    <w:rsid w:val="007655FB"/>
    <w:rsid w:val="00765AF1"/>
    <w:rsid w:val="007726F1"/>
    <w:rsid w:val="007744C1"/>
    <w:rsid w:val="00777030"/>
    <w:rsid w:val="0078205D"/>
    <w:rsid w:val="00783DBE"/>
    <w:rsid w:val="00784C41"/>
    <w:rsid w:val="00785965"/>
    <w:rsid w:val="0078605D"/>
    <w:rsid w:val="00786B48"/>
    <w:rsid w:val="00786D78"/>
    <w:rsid w:val="00787808"/>
    <w:rsid w:val="00792B26"/>
    <w:rsid w:val="0079356B"/>
    <w:rsid w:val="00793AAE"/>
    <w:rsid w:val="007A002D"/>
    <w:rsid w:val="007A082C"/>
    <w:rsid w:val="007A0B32"/>
    <w:rsid w:val="007A0F1A"/>
    <w:rsid w:val="007A15BC"/>
    <w:rsid w:val="007A20DF"/>
    <w:rsid w:val="007A6AAB"/>
    <w:rsid w:val="007A7589"/>
    <w:rsid w:val="007A7E84"/>
    <w:rsid w:val="007B004D"/>
    <w:rsid w:val="007B06F6"/>
    <w:rsid w:val="007B0CD7"/>
    <w:rsid w:val="007B2416"/>
    <w:rsid w:val="007B2615"/>
    <w:rsid w:val="007B2643"/>
    <w:rsid w:val="007B2A0C"/>
    <w:rsid w:val="007B2C59"/>
    <w:rsid w:val="007B3257"/>
    <w:rsid w:val="007B4404"/>
    <w:rsid w:val="007B46C2"/>
    <w:rsid w:val="007B6429"/>
    <w:rsid w:val="007C2B33"/>
    <w:rsid w:val="007C67D6"/>
    <w:rsid w:val="007C7552"/>
    <w:rsid w:val="007C76C8"/>
    <w:rsid w:val="007D1383"/>
    <w:rsid w:val="007D2C94"/>
    <w:rsid w:val="007D3B0A"/>
    <w:rsid w:val="007D3E50"/>
    <w:rsid w:val="007E4691"/>
    <w:rsid w:val="007E470D"/>
    <w:rsid w:val="007F0EE7"/>
    <w:rsid w:val="007F1096"/>
    <w:rsid w:val="007F43A8"/>
    <w:rsid w:val="007F5D23"/>
    <w:rsid w:val="007F7372"/>
    <w:rsid w:val="00800BC5"/>
    <w:rsid w:val="008011B6"/>
    <w:rsid w:val="008012A4"/>
    <w:rsid w:val="00801B59"/>
    <w:rsid w:val="00802120"/>
    <w:rsid w:val="0080214D"/>
    <w:rsid w:val="00803112"/>
    <w:rsid w:val="0081104E"/>
    <w:rsid w:val="00813B53"/>
    <w:rsid w:val="008149D4"/>
    <w:rsid w:val="0082422D"/>
    <w:rsid w:val="008247BE"/>
    <w:rsid w:val="00825CB8"/>
    <w:rsid w:val="0082709B"/>
    <w:rsid w:val="00830374"/>
    <w:rsid w:val="0083053A"/>
    <w:rsid w:val="008319E3"/>
    <w:rsid w:val="00831E89"/>
    <w:rsid w:val="008326BA"/>
    <w:rsid w:val="00832CE6"/>
    <w:rsid w:val="00833138"/>
    <w:rsid w:val="00833E5A"/>
    <w:rsid w:val="00840334"/>
    <w:rsid w:val="00841EFD"/>
    <w:rsid w:val="008428EE"/>
    <w:rsid w:val="008447E9"/>
    <w:rsid w:val="00844EC8"/>
    <w:rsid w:val="008506D6"/>
    <w:rsid w:val="00857259"/>
    <w:rsid w:val="008573E6"/>
    <w:rsid w:val="00860844"/>
    <w:rsid w:val="00861153"/>
    <w:rsid w:val="00861988"/>
    <w:rsid w:val="008645FE"/>
    <w:rsid w:val="0086461F"/>
    <w:rsid w:val="008666FF"/>
    <w:rsid w:val="00866C86"/>
    <w:rsid w:val="00867F3B"/>
    <w:rsid w:val="00873E7A"/>
    <w:rsid w:val="008754E9"/>
    <w:rsid w:val="00876D1E"/>
    <w:rsid w:val="0088309B"/>
    <w:rsid w:val="00883C45"/>
    <w:rsid w:val="0088464B"/>
    <w:rsid w:val="00892EE5"/>
    <w:rsid w:val="0089600A"/>
    <w:rsid w:val="008A121C"/>
    <w:rsid w:val="008A2293"/>
    <w:rsid w:val="008A2326"/>
    <w:rsid w:val="008A321B"/>
    <w:rsid w:val="008B1442"/>
    <w:rsid w:val="008B174F"/>
    <w:rsid w:val="008B21C7"/>
    <w:rsid w:val="008B5822"/>
    <w:rsid w:val="008B60C9"/>
    <w:rsid w:val="008C0320"/>
    <w:rsid w:val="008C07D3"/>
    <w:rsid w:val="008C0DF4"/>
    <w:rsid w:val="008C21B5"/>
    <w:rsid w:val="008C32CB"/>
    <w:rsid w:val="008D0021"/>
    <w:rsid w:val="008D1E73"/>
    <w:rsid w:val="008D3D31"/>
    <w:rsid w:val="008D3DB0"/>
    <w:rsid w:val="008D4FFD"/>
    <w:rsid w:val="008D5011"/>
    <w:rsid w:val="008E1DDC"/>
    <w:rsid w:val="008F4036"/>
    <w:rsid w:val="008F46CD"/>
    <w:rsid w:val="008F5F86"/>
    <w:rsid w:val="008F66D3"/>
    <w:rsid w:val="008F734A"/>
    <w:rsid w:val="008F766F"/>
    <w:rsid w:val="009008E0"/>
    <w:rsid w:val="00904695"/>
    <w:rsid w:val="009107B6"/>
    <w:rsid w:val="00910CC4"/>
    <w:rsid w:val="00912141"/>
    <w:rsid w:val="00912A68"/>
    <w:rsid w:val="009135D9"/>
    <w:rsid w:val="00915E39"/>
    <w:rsid w:val="0091697A"/>
    <w:rsid w:val="00917D24"/>
    <w:rsid w:val="009202BE"/>
    <w:rsid w:val="0092590D"/>
    <w:rsid w:val="0092706E"/>
    <w:rsid w:val="00930D7F"/>
    <w:rsid w:val="00931ED5"/>
    <w:rsid w:val="00932DEE"/>
    <w:rsid w:val="00933193"/>
    <w:rsid w:val="00934B17"/>
    <w:rsid w:val="00935115"/>
    <w:rsid w:val="009358AE"/>
    <w:rsid w:val="00936B8E"/>
    <w:rsid w:val="00937921"/>
    <w:rsid w:val="00941534"/>
    <w:rsid w:val="00941732"/>
    <w:rsid w:val="0094197E"/>
    <w:rsid w:val="00942A1F"/>
    <w:rsid w:val="00942B4B"/>
    <w:rsid w:val="00943411"/>
    <w:rsid w:val="00944318"/>
    <w:rsid w:val="0094570E"/>
    <w:rsid w:val="00952BFF"/>
    <w:rsid w:val="00953714"/>
    <w:rsid w:val="00955BA6"/>
    <w:rsid w:val="00955CF2"/>
    <w:rsid w:val="00956597"/>
    <w:rsid w:val="00960E5A"/>
    <w:rsid w:val="0096372B"/>
    <w:rsid w:val="00964C94"/>
    <w:rsid w:val="0096688B"/>
    <w:rsid w:val="00966E0E"/>
    <w:rsid w:val="00971E98"/>
    <w:rsid w:val="009720C8"/>
    <w:rsid w:val="00973DC0"/>
    <w:rsid w:val="00975B9B"/>
    <w:rsid w:val="00980D43"/>
    <w:rsid w:val="00981030"/>
    <w:rsid w:val="0098150B"/>
    <w:rsid w:val="009828E7"/>
    <w:rsid w:val="00985103"/>
    <w:rsid w:val="0098593C"/>
    <w:rsid w:val="0098777D"/>
    <w:rsid w:val="00991A3F"/>
    <w:rsid w:val="00991ABD"/>
    <w:rsid w:val="009A30BC"/>
    <w:rsid w:val="009A3A8B"/>
    <w:rsid w:val="009A737A"/>
    <w:rsid w:val="009A7AD1"/>
    <w:rsid w:val="009B6994"/>
    <w:rsid w:val="009C4864"/>
    <w:rsid w:val="009C5C03"/>
    <w:rsid w:val="009C7688"/>
    <w:rsid w:val="009C7B60"/>
    <w:rsid w:val="009D0601"/>
    <w:rsid w:val="009D0E32"/>
    <w:rsid w:val="009D4317"/>
    <w:rsid w:val="009D49C8"/>
    <w:rsid w:val="009D66A9"/>
    <w:rsid w:val="009D6822"/>
    <w:rsid w:val="009E06CC"/>
    <w:rsid w:val="009E0AF6"/>
    <w:rsid w:val="009E23B1"/>
    <w:rsid w:val="009E3128"/>
    <w:rsid w:val="009E592A"/>
    <w:rsid w:val="009E599E"/>
    <w:rsid w:val="009E5A5D"/>
    <w:rsid w:val="009F2AB7"/>
    <w:rsid w:val="00A002C5"/>
    <w:rsid w:val="00A024C4"/>
    <w:rsid w:val="00A03B42"/>
    <w:rsid w:val="00A04DDE"/>
    <w:rsid w:val="00A05083"/>
    <w:rsid w:val="00A07BDD"/>
    <w:rsid w:val="00A103E8"/>
    <w:rsid w:val="00A103FC"/>
    <w:rsid w:val="00A113BE"/>
    <w:rsid w:val="00A121CE"/>
    <w:rsid w:val="00A1269E"/>
    <w:rsid w:val="00A13B2F"/>
    <w:rsid w:val="00A1597D"/>
    <w:rsid w:val="00A15D1F"/>
    <w:rsid w:val="00A16C65"/>
    <w:rsid w:val="00A1786E"/>
    <w:rsid w:val="00A213D2"/>
    <w:rsid w:val="00A2311F"/>
    <w:rsid w:val="00A24B73"/>
    <w:rsid w:val="00A250AA"/>
    <w:rsid w:val="00A25D7B"/>
    <w:rsid w:val="00A262BD"/>
    <w:rsid w:val="00A2780E"/>
    <w:rsid w:val="00A32E80"/>
    <w:rsid w:val="00A35732"/>
    <w:rsid w:val="00A360EC"/>
    <w:rsid w:val="00A36BF9"/>
    <w:rsid w:val="00A3742A"/>
    <w:rsid w:val="00A37D02"/>
    <w:rsid w:val="00A4032D"/>
    <w:rsid w:val="00A407FD"/>
    <w:rsid w:val="00A41454"/>
    <w:rsid w:val="00A421D2"/>
    <w:rsid w:val="00A431AB"/>
    <w:rsid w:val="00A4416A"/>
    <w:rsid w:val="00A46F32"/>
    <w:rsid w:val="00A51333"/>
    <w:rsid w:val="00A53A63"/>
    <w:rsid w:val="00A53C17"/>
    <w:rsid w:val="00A5664C"/>
    <w:rsid w:val="00A57F43"/>
    <w:rsid w:val="00A6253B"/>
    <w:rsid w:val="00A62856"/>
    <w:rsid w:val="00A639DC"/>
    <w:rsid w:val="00A63B47"/>
    <w:rsid w:val="00A63DD2"/>
    <w:rsid w:val="00A6448D"/>
    <w:rsid w:val="00A64A4D"/>
    <w:rsid w:val="00A65609"/>
    <w:rsid w:val="00A676D1"/>
    <w:rsid w:val="00A71A1F"/>
    <w:rsid w:val="00A72A17"/>
    <w:rsid w:val="00A732BC"/>
    <w:rsid w:val="00A75572"/>
    <w:rsid w:val="00A765B2"/>
    <w:rsid w:val="00A80FFB"/>
    <w:rsid w:val="00A8345D"/>
    <w:rsid w:val="00A85C17"/>
    <w:rsid w:val="00A87BBC"/>
    <w:rsid w:val="00A91E07"/>
    <w:rsid w:val="00A92C95"/>
    <w:rsid w:val="00A958C4"/>
    <w:rsid w:val="00A95B51"/>
    <w:rsid w:val="00A96700"/>
    <w:rsid w:val="00A97035"/>
    <w:rsid w:val="00AA3EF4"/>
    <w:rsid w:val="00AB1590"/>
    <w:rsid w:val="00AB71E0"/>
    <w:rsid w:val="00AC0BC5"/>
    <w:rsid w:val="00AC2B5E"/>
    <w:rsid w:val="00AC3238"/>
    <w:rsid w:val="00AC35A8"/>
    <w:rsid w:val="00AC4826"/>
    <w:rsid w:val="00AC4973"/>
    <w:rsid w:val="00AC4AEA"/>
    <w:rsid w:val="00AD1944"/>
    <w:rsid w:val="00AD61A9"/>
    <w:rsid w:val="00AD61FA"/>
    <w:rsid w:val="00AE0435"/>
    <w:rsid w:val="00AE111B"/>
    <w:rsid w:val="00AE17C7"/>
    <w:rsid w:val="00AE3A53"/>
    <w:rsid w:val="00AE3E7E"/>
    <w:rsid w:val="00AE614C"/>
    <w:rsid w:val="00AE641B"/>
    <w:rsid w:val="00AF0244"/>
    <w:rsid w:val="00AF2F97"/>
    <w:rsid w:val="00B00CAA"/>
    <w:rsid w:val="00B039B6"/>
    <w:rsid w:val="00B04637"/>
    <w:rsid w:val="00B0511B"/>
    <w:rsid w:val="00B052E9"/>
    <w:rsid w:val="00B07796"/>
    <w:rsid w:val="00B11ACE"/>
    <w:rsid w:val="00B1733A"/>
    <w:rsid w:val="00B23A7C"/>
    <w:rsid w:val="00B24EC3"/>
    <w:rsid w:val="00B269BA"/>
    <w:rsid w:val="00B26CAE"/>
    <w:rsid w:val="00B30648"/>
    <w:rsid w:val="00B309EA"/>
    <w:rsid w:val="00B321A1"/>
    <w:rsid w:val="00B34394"/>
    <w:rsid w:val="00B3485B"/>
    <w:rsid w:val="00B36791"/>
    <w:rsid w:val="00B40F24"/>
    <w:rsid w:val="00B426BF"/>
    <w:rsid w:val="00B4315C"/>
    <w:rsid w:val="00B43966"/>
    <w:rsid w:val="00B43A75"/>
    <w:rsid w:val="00B43B4A"/>
    <w:rsid w:val="00B442BA"/>
    <w:rsid w:val="00B44E98"/>
    <w:rsid w:val="00B51CD4"/>
    <w:rsid w:val="00B520BC"/>
    <w:rsid w:val="00B527FA"/>
    <w:rsid w:val="00B55D42"/>
    <w:rsid w:val="00B61168"/>
    <w:rsid w:val="00B625F9"/>
    <w:rsid w:val="00B63AAA"/>
    <w:rsid w:val="00B63EE3"/>
    <w:rsid w:val="00B63EEF"/>
    <w:rsid w:val="00B6543E"/>
    <w:rsid w:val="00B6568A"/>
    <w:rsid w:val="00B65E7B"/>
    <w:rsid w:val="00B66FA1"/>
    <w:rsid w:val="00B7080E"/>
    <w:rsid w:val="00B710EE"/>
    <w:rsid w:val="00B71671"/>
    <w:rsid w:val="00B73B97"/>
    <w:rsid w:val="00B76DCD"/>
    <w:rsid w:val="00B76E20"/>
    <w:rsid w:val="00B77815"/>
    <w:rsid w:val="00B77CEB"/>
    <w:rsid w:val="00B84096"/>
    <w:rsid w:val="00B847F0"/>
    <w:rsid w:val="00B90E07"/>
    <w:rsid w:val="00B97EA4"/>
    <w:rsid w:val="00BA726B"/>
    <w:rsid w:val="00BA7EB3"/>
    <w:rsid w:val="00BB3055"/>
    <w:rsid w:val="00BB6FA6"/>
    <w:rsid w:val="00BC0353"/>
    <w:rsid w:val="00BC22A7"/>
    <w:rsid w:val="00BC2D79"/>
    <w:rsid w:val="00BC3C36"/>
    <w:rsid w:val="00BC5092"/>
    <w:rsid w:val="00BC53D5"/>
    <w:rsid w:val="00BC6D4D"/>
    <w:rsid w:val="00BD2D0A"/>
    <w:rsid w:val="00BD4A31"/>
    <w:rsid w:val="00BD5EBB"/>
    <w:rsid w:val="00BD6774"/>
    <w:rsid w:val="00BE1468"/>
    <w:rsid w:val="00BE2564"/>
    <w:rsid w:val="00BE2A79"/>
    <w:rsid w:val="00BE3084"/>
    <w:rsid w:val="00BE3833"/>
    <w:rsid w:val="00BE609B"/>
    <w:rsid w:val="00BE6736"/>
    <w:rsid w:val="00BE7FA9"/>
    <w:rsid w:val="00BF02EC"/>
    <w:rsid w:val="00BF0337"/>
    <w:rsid w:val="00BF2D70"/>
    <w:rsid w:val="00BF3FD7"/>
    <w:rsid w:val="00C03933"/>
    <w:rsid w:val="00C04F0E"/>
    <w:rsid w:val="00C06EFB"/>
    <w:rsid w:val="00C1295B"/>
    <w:rsid w:val="00C1395C"/>
    <w:rsid w:val="00C1648B"/>
    <w:rsid w:val="00C16819"/>
    <w:rsid w:val="00C2179C"/>
    <w:rsid w:val="00C21C22"/>
    <w:rsid w:val="00C24771"/>
    <w:rsid w:val="00C24D0C"/>
    <w:rsid w:val="00C30C60"/>
    <w:rsid w:val="00C32B08"/>
    <w:rsid w:val="00C34F81"/>
    <w:rsid w:val="00C3519E"/>
    <w:rsid w:val="00C35B5F"/>
    <w:rsid w:val="00C3621A"/>
    <w:rsid w:val="00C36E2F"/>
    <w:rsid w:val="00C409B9"/>
    <w:rsid w:val="00C40AB0"/>
    <w:rsid w:val="00C41BF1"/>
    <w:rsid w:val="00C427EF"/>
    <w:rsid w:val="00C43FEB"/>
    <w:rsid w:val="00C45134"/>
    <w:rsid w:val="00C45641"/>
    <w:rsid w:val="00C466E2"/>
    <w:rsid w:val="00C5003C"/>
    <w:rsid w:val="00C524C1"/>
    <w:rsid w:val="00C5265B"/>
    <w:rsid w:val="00C55184"/>
    <w:rsid w:val="00C5525B"/>
    <w:rsid w:val="00C572D3"/>
    <w:rsid w:val="00C60E10"/>
    <w:rsid w:val="00C6132C"/>
    <w:rsid w:val="00C61406"/>
    <w:rsid w:val="00C639DD"/>
    <w:rsid w:val="00C648B4"/>
    <w:rsid w:val="00C66672"/>
    <w:rsid w:val="00C67A71"/>
    <w:rsid w:val="00C70E15"/>
    <w:rsid w:val="00C71266"/>
    <w:rsid w:val="00C73134"/>
    <w:rsid w:val="00C74EEE"/>
    <w:rsid w:val="00C8168E"/>
    <w:rsid w:val="00C83AAB"/>
    <w:rsid w:val="00C83F19"/>
    <w:rsid w:val="00C85661"/>
    <w:rsid w:val="00C8567E"/>
    <w:rsid w:val="00C87891"/>
    <w:rsid w:val="00C9162F"/>
    <w:rsid w:val="00C936BC"/>
    <w:rsid w:val="00C94303"/>
    <w:rsid w:val="00C965F8"/>
    <w:rsid w:val="00C9696E"/>
    <w:rsid w:val="00C97183"/>
    <w:rsid w:val="00C971B3"/>
    <w:rsid w:val="00C9752A"/>
    <w:rsid w:val="00C9754A"/>
    <w:rsid w:val="00C97D9C"/>
    <w:rsid w:val="00CA0C0F"/>
    <w:rsid w:val="00CA140C"/>
    <w:rsid w:val="00CA3021"/>
    <w:rsid w:val="00CA33DA"/>
    <w:rsid w:val="00CB23EB"/>
    <w:rsid w:val="00CB41C0"/>
    <w:rsid w:val="00CB481B"/>
    <w:rsid w:val="00CB61E5"/>
    <w:rsid w:val="00CB7484"/>
    <w:rsid w:val="00CC0C59"/>
    <w:rsid w:val="00CC3FE5"/>
    <w:rsid w:val="00CC68AB"/>
    <w:rsid w:val="00CC72F1"/>
    <w:rsid w:val="00CC7D81"/>
    <w:rsid w:val="00CC7F29"/>
    <w:rsid w:val="00CD0BEA"/>
    <w:rsid w:val="00CD19EF"/>
    <w:rsid w:val="00CD3861"/>
    <w:rsid w:val="00CD66D0"/>
    <w:rsid w:val="00CD717A"/>
    <w:rsid w:val="00CE6BD2"/>
    <w:rsid w:val="00CE7B50"/>
    <w:rsid w:val="00CF1270"/>
    <w:rsid w:val="00CF43A5"/>
    <w:rsid w:val="00CF57DF"/>
    <w:rsid w:val="00CF772E"/>
    <w:rsid w:val="00CF7CA0"/>
    <w:rsid w:val="00D0171C"/>
    <w:rsid w:val="00D03222"/>
    <w:rsid w:val="00D04568"/>
    <w:rsid w:val="00D07057"/>
    <w:rsid w:val="00D10862"/>
    <w:rsid w:val="00D10A30"/>
    <w:rsid w:val="00D119DE"/>
    <w:rsid w:val="00D14544"/>
    <w:rsid w:val="00D149CC"/>
    <w:rsid w:val="00D1545D"/>
    <w:rsid w:val="00D15CF6"/>
    <w:rsid w:val="00D166E8"/>
    <w:rsid w:val="00D21DE8"/>
    <w:rsid w:val="00D277E6"/>
    <w:rsid w:val="00D3037F"/>
    <w:rsid w:val="00D325C0"/>
    <w:rsid w:val="00D35F44"/>
    <w:rsid w:val="00D42425"/>
    <w:rsid w:val="00D4475C"/>
    <w:rsid w:val="00D44922"/>
    <w:rsid w:val="00D512D2"/>
    <w:rsid w:val="00D52DAE"/>
    <w:rsid w:val="00D53716"/>
    <w:rsid w:val="00D53EA1"/>
    <w:rsid w:val="00D543BE"/>
    <w:rsid w:val="00D544E5"/>
    <w:rsid w:val="00D550DB"/>
    <w:rsid w:val="00D6398C"/>
    <w:rsid w:val="00D661F7"/>
    <w:rsid w:val="00D67043"/>
    <w:rsid w:val="00D70D1C"/>
    <w:rsid w:val="00D7135D"/>
    <w:rsid w:val="00D75427"/>
    <w:rsid w:val="00D835AB"/>
    <w:rsid w:val="00D84BA4"/>
    <w:rsid w:val="00D84D9D"/>
    <w:rsid w:val="00D873B5"/>
    <w:rsid w:val="00D91E30"/>
    <w:rsid w:val="00D93922"/>
    <w:rsid w:val="00D93E89"/>
    <w:rsid w:val="00D947A5"/>
    <w:rsid w:val="00D96B0F"/>
    <w:rsid w:val="00DA271C"/>
    <w:rsid w:val="00DA3F7C"/>
    <w:rsid w:val="00DA4933"/>
    <w:rsid w:val="00DA666C"/>
    <w:rsid w:val="00DB0D5E"/>
    <w:rsid w:val="00DB204C"/>
    <w:rsid w:val="00DB22E2"/>
    <w:rsid w:val="00DB32FB"/>
    <w:rsid w:val="00DB4370"/>
    <w:rsid w:val="00DB4458"/>
    <w:rsid w:val="00DB4F2A"/>
    <w:rsid w:val="00DB79DB"/>
    <w:rsid w:val="00DC077B"/>
    <w:rsid w:val="00DC1546"/>
    <w:rsid w:val="00DC359C"/>
    <w:rsid w:val="00DC61B6"/>
    <w:rsid w:val="00DD02A8"/>
    <w:rsid w:val="00DD159A"/>
    <w:rsid w:val="00DD1EF1"/>
    <w:rsid w:val="00DD3524"/>
    <w:rsid w:val="00DD5108"/>
    <w:rsid w:val="00DD528E"/>
    <w:rsid w:val="00DD55C3"/>
    <w:rsid w:val="00DD65C4"/>
    <w:rsid w:val="00DE79FC"/>
    <w:rsid w:val="00DF01D1"/>
    <w:rsid w:val="00DF04E0"/>
    <w:rsid w:val="00DF0541"/>
    <w:rsid w:val="00DF1EED"/>
    <w:rsid w:val="00DF2FB1"/>
    <w:rsid w:val="00DF40C7"/>
    <w:rsid w:val="00DF53E9"/>
    <w:rsid w:val="00DF5426"/>
    <w:rsid w:val="00DF70A5"/>
    <w:rsid w:val="00E003E8"/>
    <w:rsid w:val="00E011B9"/>
    <w:rsid w:val="00E10286"/>
    <w:rsid w:val="00E10868"/>
    <w:rsid w:val="00E11871"/>
    <w:rsid w:val="00E13318"/>
    <w:rsid w:val="00E178E2"/>
    <w:rsid w:val="00E21A6A"/>
    <w:rsid w:val="00E25AF3"/>
    <w:rsid w:val="00E2625B"/>
    <w:rsid w:val="00E266D3"/>
    <w:rsid w:val="00E30E0A"/>
    <w:rsid w:val="00E3397E"/>
    <w:rsid w:val="00E33E39"/>
    <w:rsid w:val="00E3559E"/>
    <w:rsid w:val="00E441B2"/>
    <w:rsid w:val="00E46946"/>
    <w:rsid w:val="00E53D9F"/>
    <w:rsid w:val="00E54B12"/>
    <w:rsid w:val="00E54C91"/>
    <w:rsid w:val="00E55FE4"/>
    <w:rsid w:val="00E5669F"/>
    <w:rsid w:val="00E6052C"/>
    <w:rsid w:val="00E624F9"/>
    <w:rsid w:val="00E65F55"/>
    <w:rsid w:val="00E74FB4"/>
    <w:rsid w:val="00E768EC"/>
    <w:rsid w:val="00E76AAF"/>
    <w:rsid w:val="00E76D86"/>
    <w:rsid w:val="00E7732E"/>
    <w:rsid w:val="00E8241E"/>
    <w:rsid w:val="00E82495"/>
    <w:rsid w:val="00E83E1A"/>
    <w:rsid w:val="00E87265"/>
    <w:rsid w:val="00E87776"/>
    <w:rsid w:val="00E9287D"/>
    <w:rsid w:val="00EA7921"/>
    <w:rsid w:val="00EB2155"/>
    <w:rsid w:val="00EB5A62"/>
    <w:rsid w:val="00EB5CE0"/>
    <w:rsid w:val="00EB7FB9"/>
    <w:rsid w:val="00EC1B42"/>
    <w:rsid w:val="00EC2453"/>
    <w:rsid w:val="00EC3932"/>
    <w:rsid w:val="00EC713B"/>
    <w:rsid w:val="00EC7A08"/>
    <w:rsid w:val="00ED23D6"/>
    <w:rsid w:val="00ED2520"/>
    <w:rsid w:val="00EE0DA6"/>
    <w:rsid w:val="00EE2E1E"/>
    <w:rsid w:val="00EE3407"/>
    <w:rsid w:val="00EE349C"/>
    <w:rsid w:val="00EE3D3E"/>
    <w:rsid w:val="00EE4622"/>
    <w:rsid w:val="00EE4BC8"/>
    <w:rsid w:val="00EE4E41"/>
    <w:rsid w:val="00EE5DB2"/>
    <w:rsid w:val="00EF2472"/>
    <w:rsid w:val="00EF2CF8"/>
    <w:rsid w:val="00EF2F47"/>
    <w:rsid w:val="00EF51B3"/>
    <w:rsid w:val="00EF5657"/>
    <w:rsid w:val="00EF7E27"/>
    <w:rsid w:val="00F01BC8"/>
    <w:rsid w:val="00F03486"/>
    <w:rsid w:val="00F035E6"/>
    <w:rsid w:val="00F03D69"/>
    <w:rsid w:val="00F043EC"/>
    <w:rsid w:val="00F047BD"/>
    <w:rsid w:val="00F07337"/>
    <w:rsid w:val="00F076AA"/>
    <w:rsid w:val="00F10DF6"/>
    <w:rsid w:val="00F11401"/>
    <w:rsid w:val="00F121BB"/>
    <w:rsid w:val="00F121EB"/>
    <w:rsid w:val="00F12586"/>
    <w:rsid w:val="00F129D8"/>
    <w:rsid w:val="00F137B6"/>
    <w:rsid w:val="00F140F2"/>
    <w:rsid w:val="00F148B7"/>
    <w:rsid w:val="00F14B40"/>
    <w:rsid w:val="00F215D0"/>
    <w:rsid w:val="00F22070"/>
    <w:rsid w:val="00F2369A"/>
    <w:rsid w:val="00F24ACA"/>
    <w:rsid w:val="00F254CE"/>
    <w:rsid w:val="00F26B3C"/>
    <w:rsid w:val="00F30579"/>
    <w:rsid w:val="00F33F69"/>
    <w:rsid w:val="00F40399"/>
    <w:rsid w:val="00F42079"/>
    <w:rsid w:val="00F44450"/>
    <w:rsid w:val="00F46F40"/>
    <w:rsid w:val="00F4791C"/>
    <w:rsid w:val="00F52245"/>
    <w:rsid w:val="00F523C7"/>
    <w:rsid w:val="00F52596"/>
    <w:rsid w:val="00F5485F"/>
    <w:rsid w:val="00F56ED1"/>
    <w:rsid w:val="00F56F23"/>
    <w:rsid w:val="00F632C7"/>
    <w:rsid w:val="00F634A7"/>
    <w:rsid w:val="00F66567"/>
    <w:rsid w:val="00F71392"/>
    <w:rsid w:val="00F7279C"/>
    <w:rsid w:val="00F74535"/>
    <w:rsid w:val="00F7598E"/>
    <w:rsid w:val="00F7740B"/>
    <w:rsid w:val="00F7759B"/>
    <w:rsid w:val="00F8190D"/>
    <w:rsid w:val="00F81E49"/>
    <w:rsid w:val="00F956D2"/>
    <w:rsid w:val="00F979DA"/>
    <w:rsid w:val="00F97E3D"/>
    <w:rsid w:val="00FA432B"/>
    <w:rsid w:val="00FA43FE"/>
    <w:rsid w:val="00FA4E7D"/>
    <w:rsid w:val="00FA5B2F"/>
    <w:rsid w:val="00FA65DF"/>
    <w:rsid w:val="00FB4197"/>
    <w:rsid w:val="00FB6B5D"/>
    <w:rsid w:val="00FC0B64"/>
    <w:rsid w:val="00FC1694"/>
    <w:rsid w:val="00FC2421"/>
    <w:rsid w:val="00FD0321"/>
    <w:rsid w:val="00FD5CE8"/>
    <w:rsid w:val="00FD7A67"/>
    <w:rsid w:val="00FE0A98"/>
    <w:rsid w:val="00FE1BA3"/>
    <w:rsid w:val="00FE1C2E"/>
    <w:rsid w:val="00FE4F30"/>
    <w:rsid w:val="00FE5711"/>
    <w:rsid w:val="00FF017D"/>
    <w:rsid w:val="00FF0865"/>
    <w:rsid w:val="00FF0E26"/>
    <w:rsid w:val="00FF112F"/>
    <w:rsid w:val="00FF2E80"/>
    <w:rsid w:val="00FF38DB"/>
    <w:rsid w:val="00FF3961"/>
    <w:rsid w:val="02FF7A34"/>
    <w:rsid w:val="064D4777"/>
    <w:rsid w:val="071A324D"/>
    <w:rsid w:val="0B04231A"/>
    <w:rsid w:val="0E7A2600"/>
    <w:rsid w:val="0E871CCA"/>
    <w:rsid w:val="0E925DBF"/>
    <w:rsid w:val="0FBD507D"/>
    <w:rsid w:val="0FD716B9"/>
    <w:rsid w:val="133973C4"/>
    <w:rsid w:val="15E4C193"/>
    <w:rsid w:val="16C65D2C"/>
    <w:rsid w:val="1774165D"/>
    <w:rsid w:val="1C17458C"/>
    <w:rsid w:val="1E6E56E5"/>
    <w:rsid w:val="207C6DBD"/>
    <w:rsid w:val="2194106F"/>
    <w:rsid w:val="2217240B"/>
    <w:rsid w:val="233A7822"/>
    <w:rsid w:val="240C2438"/>
    <w:rsid w:val="25FE6935"/>
    <w:rsid w:val="2770154B"/>
    <w:rsid w:val="2B7D78C8"/>
    <w:rsid w:val="2C401128"/>
    <w:rsid w:val="2DD750D3"/>
    <w:rsid w:val="2EF70D65"/>
    <w:rsid w:val="2F51059F"/>
    <w:rsid w:val="2FEE4280"/>
    <w:rsid w:val="31104D9E"/>
    <w:rsid w:val="317FE3BD"/>
    <w:rsid w:val="371B7D10"/>
    <w:rsid w:val="37DF532E"/>
    <w:rsid w:val="3ADBA864"/>
    <w:rsid w:val="3B8B1497"/>
    <w:rsid w:val="3BAA5C47"/>
    <w:rsid w:val="3BBA7213"/>
    <w:rsid w:val="3BFF5FDD"/>
    <w:rsid w:val="3BFFD26A"/>
    <w:rsid w:val="3E9B09D5"/>
    <w:rsid w:val="3FDDECAA"/>
    <w:rsid w:val="3FF47895"/>
    <w:rsid w:val="4163BE49"/>
    <w:rsid w:val="421B33FA"/>
    <w:rsid w:val="42D66F65"/>
    <w:rsid w:val="456E0582"/>
    <w:rsid w:val="45E6406E"/>
    <w:rsid w:val="46BB21FB"/>
    <w:rsid w:val="47BF6390"/>
    <w:rsid w:val="4B85715A"/>
    <w:rsid w:val="4BAF9EF3"/>
    <w:rsid w:val="4F9E862D"/>
    <w:rsid w:val="4FDEC89A"/>
    <w:rsid w:val="4FEB34A1"/>
    <w:rsid w:val="502B17BA"/>
    <w:rsid w:val="50405C7C"/>
    <w:rsid w:val="50502E09"/>
    <w:rsid w:val="51295BF6"/>
    <w:rsid w:val="52FD25CB"/>
    <w:rsid w:val="537A9554"/>
    <w:rsid w:val="5587167A"/>
    <w:rsid w:val="55D67EBA"/>
    <w:rsid w:val="55FF40EE"/>
    <w:rsid w:val="56A3393F"/>
    <w:rsid w:val="56FD5765"/>
    <w:rsid w:val="57FEB7ED"/>
    <w:rsid w:val="5867C124"/>
    <w:rsid w:val="5A8F5399"/>
    <w:rsid w:val="5CD3E234"/>
    <w:rsid w:val="5CF04F21"/>
    <w:rsid w:val="5D6D1354"/>
    <w:rsid w:val="5DB76369"/>
    <w:rsid w:val="5E397147"/>
    <w:rsid w:val="5E555FAD"/>
    <w:rsid w:val="5EFA15F8"/>
    <w:rsid w:val="5EFEA202"/>
    <w:rsid w:val="5F7FA612"/>
    <w:rsid w:val="5FD5E270"/>
    <w:rsid w:val="5FDE1683"/>
    <w:rsid w:val="5FEEB815"/>
    <w:rsid w:val="5FEF380C"/>
    <w:rsid w:val="617503D4"/>
    <w:rsid w:val="6317439C"/>
    <w:rsid w:val="635C32A6"/>
    <w:rsid w:val="63824598"/>
    <w:rsid w:val="65CA6E46"/>
    <w:rsid w:val="66BB64FD"/>
    <w:rsid w:val="6775AF09"/>
    <w:rsid w:val="67AB2219"/>
    <w:rsid w:val="67DD0727"/>
    <w:rsid w:val="67F96C38"/>
    <w:rsid w:val="68EF16C4"/>
    <w:rsid w:val="69E96C26"/>
    <w:rsid w:val="6A7A0D56"/>
    <w:rsid w:val="6B167EA0"/>
    <w:rsid w:val="6B693D5A"/>
    <w:rsid w:val="6B6E2081"/>
    <w:rsid w:val="6C7FDA0C"/>
    <w:rsid w:val="6EDDF709"/>
    <w:rsid w:val="6F8F8135"/>
    <w:rsid w:val="6FDFA111"/>
    <w:rsid w:val="6FEFB7C5"/>
    <w:rsid w:val="6FF43F8B"/>
    <w:rsid w:val="6FF4CD5B"/>
    <w:rsid w:val="6FFF94BB"/>
    <w:rsid w:val="6FFFCC1E"/>
    <w:rsid w:val="70E14D07"/>
    <w:rsid w:val="70F1462E"/>
    <w:rsid w:val="730A332B"/>
    <w:rsid w:val="7577503A"/>
    <w:rsid w:val="75E842F9"/>
    <w:rsid w:val="76CF636C"/>
    <w:rsid w:val="774DBC39"/>
    <w:rsid w:val="77BF7B67"/>
    <w:rsid w:val="77C5FF75"/>
    <w:rsid w:val="79BF8ABF"/>
    <w:rsid w:val="79E32474"/>
    <w:rsid w:val="7AB5499E"/>
    <w:rsid w:val="7AB5A3FF"/>
    <w:rsid w:val="7AFD4286"/>
    <w:rsid w:val="7B7D8779"/>
    <w:rsid w:val="7B7FF1E7"/>
    <w:rsid w:val="7BDD264A"/>
    <w:rsid w:val="7BE399C9"/>
    <w:rsid w:val="7BEFD9C8"/>
    <w:rsid w:val="7BFE4021"/>
    <w:rsid w:val="7D4FEC8C"/>
    <w:rsid w:val="7DD1E5E9"/>
    <w:rsid w:val="7DDBE633"/>
    <w:rsid w:val="7DFF7109"/>
    <w:rsid w:val="7E3C4A61"/>
    <w:rsid w:val="7E7E01FA"/>
    <w:rsid w:val="7EB2A56F"/>
    <w:rsid w:val="7EB9221A"/>
    <w:rsid w:val="7EEED757"/>
    <w:rsid w:val="7EF03CA3"/>
    <w:rsid w:val="7EF72860"/>
    <w:rsid w:val="7F435E3B"/>
    <w:rsid w:val="7F4FC653"/>
    <w:rsid w:val="7F53D81F"/>
    <w:rsid w:val="7F5FA40C"/>
    <w:rsid w:val="7F67D795"/>
    <w:rsid w:val="7FA77820"/>
    <w:rsid w:val="7FCBA64B"/>
    <w:rsid w:val="7FEB73DF"/>
    <w:rsid w:val="7FEBD325"/>
    <w:rsid w:val="7FEEACB9"/>
    <w:rsid w:val="7FFE4468"/>
    <w:rsid w:val="AAEDE0E1"/>
    <w:rsid w:val="B37F7EFC"/>
    <w:rsid w:val="BB5BD609"/>
    <w:rsid w:val="BB6B6E60"/>
    <w:rsid w:val="BBB7EFE7"/>
    <w:rsid w:val="BBBAEDD4"/>
    <w:rsid w:val="BCFFF2E0"/>
    <w:rsid w:val="BDBE78B0"/>
    <w:rsid w:val="BDFDE745"/>
    <w:rsid w:val="BDFE8046"/>
    <w:rsid w:val="BEFFE448"/>
    <w:rsid w:val="BFCFBC12"/>
    <w:rsid w:val="BFDFF87B"/>
    <w:rsid w:val="BFFD09D3"/>
    <w:rsid w:val="BFFF5556"/>
    <w:rsid w:val="C71F0D5C"/>
    <w:rsid w:val="CBFFD057"/>
    <w:rsid w:val="CDDF2C38"/>
    <w:rsid w:val="CED7A2F3"/>
    <w:rsid w:val="CF173A02"/>
    <w:rsid w:val="CFFFCD5E"/>
    <w:rsid w:val="D17E9FC7"/>
    <w:rsid w:val="D5EFABCC"/>
    <w:rsid w:val="D7B5521A"/>
    <w:rsid w:val="DBAF2083"/>
    <w:rsid w:val="DD9F932C"/>
    <w:rsid w:val="DDDFA77D"/>
    <w:rsid w:val="DEFF49CC"/>
    <w:rsid w:val="DF73B97A"/>
    <w:rsid w:val="DFE5CC45"/>
    <w:rsid w:val="DFFDF392"/>
    <w:rsid w:val="E2C80DE5"/>
    <w:rsid w:val="E3FFD1AF"/>
    <w:rsid w:val="E72FEC06"/>
    <w:rsid w:val="E9B5898A"/>
    <w:rsid w:val="EBEF3D93"/>
    <w:rsid w:val="ED774FCE"/>
    <w:rsid w:val="EE375015"/>
    <w:rsid w:val="EEBCE99C"/>
    <w:rsid w:val="EF0776D2"/>
    <w:rsid w:val="EF6F5500"/>
    <w:rsid w:val="EF7CFC9F"/>
    <w:rsid w:val="EF9EC6BB"/>
    <w:rsid w:val="EFE75422"/>
    <w:rsid w:val="F2F00B2D"/>
    <w:rsid w:val="F4FBE4D3"/>
    <w:rsid w:val="F5EFD5EF"/>
    <w:rsid w:val="F6E745B7"/>
    <w:rsid w:val="F77073FC"/>
    <w:rsid w:val="F7B7010F"/>
    <w:rsid w:val="F7F34BE3"/>
    <w:rsid w:val="F7F54DEA"/>
    <w:rsid w:val="FBDF262A"/>
    <w:rsid w:val="FC3BCE7D"/>
    <w:rsid w:val="FCFD24A7"/>
    <w:rsid w:val="FD7D7119"/>
    <w:rsid w:val="FDDB0A37"/>
    <w:rsid w:val="FEFB59A8"/>
    <w:rsid w:val="FF2A92B1"/>
    <w:rsid w:val="FF6B8CB3"/>
    <w:rsid w:val="FF7BEC5B"/>
    <w:rsid w:val="FF7DC829"/>
    <w:rsid w:val="FFAFD7D3"/>
    <w:rsid w:val="FFDAB50D"/>
    <w:rsid w:val="FFF5E634"/>
    <w:rsid w:val="FFF731AD"/>
    <w:rsid w:val="FFFB69C9"/>
    <w:rsid w:val="FFFF8162"/>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Calibri" w:eastAsia="宋体" w:cs="System"/>
      <w:color w:val="000000"/>
      <w:sz w:val="24"/>
      <w:szCs w:val="24"/>
      <w:lang w:val="en-US" w:eastAsia="zh-CN" w:bidi="ar-SA"/>
    </w:rPr>
  </w:style>
  <w:style w:type="paragraph" w:styleId="2">
    <w:name w:val="heading 2"/>
    <w:basedOn w:val="1"/>
    <w:next w:val="3"/>
    <w:unhideWhenUsed/>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semiHidden/>
    <w:unhideWhenUsed/>
    <w:qFormat/>
    <w:uiPriority w:val="9"/>
    <w:pPr>
      <w:spacing w:beforeAutospacing="1" w:afterAutospacing="1"/>
      <w:jc w:val="left"/>
      <w:outlineLvl w:val="2"/>
    </w:pPr>
    <w:rPr>
      <w:rFonts w:hint="eastAsia" w:hAnsi="宋体" w:cs="Times New Roman"/>
      <w:b/>
      <w:bCs/>
      <w:sz w:val="27"/>
      <w:szCs w:val="27"/>
    </w:rPr>
  </w:style>
  <w:style w:type="character" w:default="1" w:styleId="15">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3">
    <w:name w:val="Normal Indent"/>
    <w:basedOn w:val="1"/>
    <w:next w:val="1"/>
    <w:qFormat/>
    <w:uiPriority w:val="0"/>
    <w:pPr>
      <w:autoSpaceDE w:val="0"/>
      <w:autoSpaceDN w:val="0"/>
      <w:adjustRightInd w:val="0"/>
      <w:ind w:firstLine="420"/>
      <w:jc w:val="left"/>
    </w:pPr>
    <w:rPr>
      <w:rFonts w:hAnsi="Times New Roman"/>
    </w:rPr>
  </w:style>
  <w:style w:type="paragraph" w:styleId="5">
    <w:name w:val="annotation text"/>
    <w:basedOn w:val="1"/>
    <w:unhideWhenUsed/>
    <w:qFormat/>
    <w:uiPriority w:val="99"/>
    <w:pPr>
      <w:jc w:val="left"/>
    </w:pPr>
  </w:style>
  <w:style w:type="paragraph" w:styleId="6">
    <w:name w:val="Body Text"/>
    <w:basedOn w:val="1"/>
    <w:semiHidden/>
    <w:qFormat/>
    <w:uiPriority w:val="0"/>
    <w:pPr>
      <w:widowControl/>
      <w:kinsoku w:val="0"/>
      <w:autoSpaceDE w:val="0"/>
      <w:autoSpaceDN w:val="0"/>
      <w:adjustRightInd w:val="0"/>
      <w:snapToGrid w:val="0"/>
      <w:jc w:val="left"/>
      <w:textAlignment w:val="baseline"/>
    </w:pPr>
    <w:rPr>
      <w:rFonts w:ascii="微软雅黑" w:hAnsi="微软雅黑" w:eastAsia="微软雅黑" w:cs="微软雅黑"/>
      <w:snapToGrid w:val="0"/>
      <w:sz w:val="7"/>
      <w:szCs w:val="7"/>
      <w:lang w:eastAsia="en-US"/>
    </w:rPr>
  </w:style>
  <w:style w:type="paragraph" w:styleId="7">
    <w:name w:val="Date"/>
    <w:basedOn w:val="1"/>
    <w:next w:val="1"/>
    <w:link w:val="18"/>
    <w:unhideWhenUsed/>
    <w:qFormat/>
    <w:uiPriority w:val="99"/>
    <w:pPr>
      <w:ind w:left="100" w:leftChars="2500"/>
    </w:pPr>
  </w:style>
  <w:style w:type="paragraph" w:styleId="8">
    <w:name w:val="Balloon Text"/>
    <w:basedOn w:val="1"/>
    <w:link w:val="19"/>
    <w:unhideWhenUsed/>
    <w:qFormat/>
    <w:uiPriority w:val="99"/>
    <w:rPr>
      <w:sz w:val="18"/>
      <w:szCs w:val="18"/>
    </w:rPr>
  </w:style>
  <w:style w:type="paragraph" w:styleId="9">
    <w:name w:val="footer"/>
    <w:basedOn w:val="1"/>
    <w:link w:val="20"/>
    <w:unhideWhenUsed/>
    <w:qFormat/>
    <w:uiPriority w:val="99"/>
    <w:pPr>
      <w:tabs>
        <w:tab w:val="center" w:pos="4153"/>
        <w:tab w:val="right" w:pos="8306"/>
      </w:tabs>
      <w:snapToGrid w:val="0"/>
      <w:jc w:val="left"/>
    </w:pPr>
    <w:rPr>
      <w:sz w:val="18"/>
      <w:szCs w:val="18"/>
    </w:rPr>
  </w:style>
  <w:style w:type="paragraph" w:styleId="10">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1"/>
    <w:next w:val="1"/>
    <w:unhideWhenUsed/>
    <w:qFormat/>
    <w:uiPriority w:val="39"/>
  </w:style>
  <w:style w:type="paragraph" w:styleId="12">
    <w:name w:val="toc 2"/>
    <w:basedOn w:val="1"/>
    <w:next w:val="1"/>
    <w:unhideWhenUsed/>
    <w:qFormat/>
    <w:uiPriority w:val="39"/>
    <w:pPr>
      <w:ind w:left="420" w:leftChars="200"/>
    </w:pPr>
  </w:style>
  <w:style w:type="paragraph" w:styleId="13">
    <w:name w:val="Normal (Web)"/>
    <w:basedOn w:val="1"/>
    <w:qFormat/>
    <w:uiPriority w:val="0"/>
    <w:pPr>
      <w:spacing w:before="100" w:beforeAutospacing="1" w:after="100" w:afterAutospacing="1"/>
      <w:jc w:val="left"/>
    </w:pPr>
    <w:rPr>
      <w:rFonts w:cs="Times New Roman"/>
    </w:rPr>
  </w:style>
  <w:style w:type="character" w:styleId="16">
    <w:name w:val="Strong"/>
    <w:basedOn w:val="15"/>
    <w:qFormat/>
    <w:uiPriority w:val="22"/>
    <w:rPr>
      <w:b/>
    </w:rPr>
  </w:style>
  <w:style w:type="character" w:styleId="17">
    <w:name w:val="Hyperlink"/>
    <w:basedOn w:val="15"/>
    <w:semiHidden/>
    <w:unhideWhenUsed/>
    <w:qFormat/>
    <w:uiPriority w:val="99"/>
    <w:rPr>
      <w:color w:val="0000FF"/>
      <w:u w:val="single"/>
    </w:rPr>
  </w:style>
  <w:style w:type="character" w:customStyle="1" w:styleId="18">
    <w:name w:val="日期 Char"/>
    <w:basedOn w:val="15"/>
    <w:link w:val="7"/>
    <w:semiHidden/>
    <w:qFormat/>
    <w:uiPriority w:val="99"/>
  </w:style>
  <w:style w:type="character" w:customStyle="1" w:styleId="19">
    <w:name w:val="批注框文本 Char"/>
    <w:basedOn w:val="15"/>
    <w:link w:val="8"/>
    <w:semiHidden/>
    <w:qFormat/>
    <w:uiPriority w:val="99"/>
    <w:rPr>
      <w:sz w:val="18"/>
      <w:szCs w:val="18"/>
    </w:rPr>
  </w:style>
  <w:style w:type="character" w:customStyle="1" w:styleId="20">
    <w:name w:val="页脚 Char"/>
    <w:basedOn w:val="15"/>
    <w:link w:val="9"/>
    <w:semiHidden/>
    <w:qFormat/>
    <w:uiPriority w:val="99"/>
    <w:rPr>
      <w:sz w:val="18"/>
      <w:szCs w:val="18"/>
    </w:rPr>
  </w:style>
  <w:style w:type="character" w:customStyle="1" w:styleId="21">
    <w:name w:val="页眉 Char"/>
    <w:basedOn w:val="15"/>
    <w:link w:val="10"/>
    <w:semiHidden/>
    <w:qFormat/>
    <w:uiPriority w:val="99"/>
    <w:rPr>
      <w:sz w:val="18"/>
      <w:szCs w:val="18"/>
    </w:rPr>
  </w:style>
  <w:style w:type="paragraph" w:customStyle="1" w:styleId="22">
    <w:name w:val="前言、引言标题"/>
    <w:next w:val="23"/>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3">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4">
    <w:name w:val="WPSOffice手动目录 1"/>
    <w:qFormat/>
    <w:uiPriority w:val="0"/>
    <w:rPr>
      <w:rFonts w:ascii="宋体" w:hAnsi="Calibri" w:eastAsia="宋体" w:cs="System"/>
      <w:lang w:val="en-US" w:eastAsia="zh-CN" w:bidi="ar-SA"/>
    </w:rPr>
  </w:style>
  <w:style w:type="paragraph" w:customStyle="1" w:styleId="25">
    <w:name w:val="WPSOffice手动目录 2"/>
    <w:qFormat/>
    <w:uiPriority w:val="0"/>
    <w:pPr>
      <w:ind w:left="200" w:leftChars="200"/>
    </w:pPr>
    <w:rPr>
      <w:rFonts w:ascii="宋体" w:hAnsi="Calibri" w:eastAsia="宋体" w:cs="System"/>
      <w:lang w:val="en-US" w:eastAsia="zh-CN" w:bidi="ar-SA"/>
    </w:rPr>
  </w:style>
  <w:style w:type="paragraph" w:customStyle="1" w:styleId="26">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27">
    <w:name w:val="封面标准英文名称"/>
    <w:basedOn w:val="28"/>
    <w:qFormat/>
    <w:uiPriority w:val="0"/>
    <w:pPr>
      <w:spacing w:before="370" w:line="400" w:lineRule="exact"/>
    </w:pPr>
    <w:rPr>
      <w:rFonts w:ascii="Times New Roman"/>
      <w:sz w:val="28"/>
      <w:szCs w:val="28"/>
    </w:rPr>
  </w:style>
  <w:style w:type="paragraph" w:customStyle="1" w:styleId="28">
    <w:name w:val="封面标准名称"/>
    <w:qFormat/>
    <w:uiPriority w:val="0"/>
    <w:pPr>
      <w:widowControl w:val="0"/>
      <w:spacing w:line="680" w:lineRule="exact"/>
      <w:jc w:val="center"/>
      <w:textAlignment w:val="center"/>
    </w:pPr>
    <w:rPr>
      <w:rFonts w:ascii="黑体" w:hAnsi="Calibri" w:eastAsia="黑体" w:cs="Times New Roman"/>
      <w:sz w:val="5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theme" Target="theme/theme1.xml"/><Relationship Id="rId16" Type="http://schemas.openxmlformats.org/officeDocument/2006/relationships/footer" Target="footer8.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11953</Words>
  <Characters>13624</Characters>
  <Lines>114</Lines>
  <Paragraphs>32</Paragraphs>
  <TotalTime>18</TotalTime>
  <ScaleCrop>false</ScaleCrop>
  <LinksUpToDate>false</LinksUpToDate>
  <CharactersWithSpaces>14356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2024-12-09T02:45:00Z</dcterms:created>
  <dc:creator>Administrator</dc:creator>
  <cp:lastModifiedBy>李</cp:lastModifiedBy>
  <dcterms:modified xsi:type="dcterms:W3CDTF">2025-03-04T01:39:24Z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7A74F6C81A34453D9BD7BE15046A5BA4_13</vt:lpwstr>
  </property>
  <property fmtid="{D5CDD505-2E9C-101B-9397-08002B2CF9AE}" pid="4" name="KSOTemplateDocerSaveRecord">
    <vt:lpwstr>eyJoZGlkIjoiNjE1ZWVkZTc2MTJjYjY4Y2Y2OWVhNmZlNmRjOWQ0ODEiLCJ1c2VySWQiOiIyNTY2OTk1MzkifQ==</vt:lpwstr>
  </property>
</Properties>
</file>