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color w:val="auto"/>
        </w:rPr>
      </w:pPr>
      <w:r>
        <w:rPr>
          <w:rFonts w:ascii="Times New Roman"/>
          <w:color w:val="auto"/>
        </w:rPr>
        <w:t>ICS</w:t>
      </w:r>
      <w:r>
        <w:rPr>
          <w:rFonts w:hint="eastAsia" w:ascii="MS Mincho" w:hAnsi="MS Mincho" w:eastAsia="MS Mincho" w:cs="MS Mincho"/>
          <w:color w:val="auto"/>
        </w:rPr>
        <w:t> </w:t>
      </w:r>
      <w:bookmarkStart w:id="0" w:name="ICS"/>
      <w:r>
        <w:rPr>
          <w:color w:val="auto"/>
        </w:rPr>
        <w:fldChar w:fldCharType="begin">
          <w:ffData>
            <w:name w:val="ICS"/>
            <w:enabled/>
            <w:calcOnExit w:val="0"/>
            <w:helpText w:type="text" w:val="请输入正确的ICS号："/>
            <w:textInput>
              <w:default w:val="点击此处添加ICS号"/>
            </w:textInput>
          </w:ffData>
        </w:fldChar>
      </w:r>
      <w:r>
        <w:rPr>
          <w:color w:val="auto"/>
        </w:rPr>
        <w:instrText xml:space="preserve"> FORMTEXT </w:instrText>
      </w:r>
      <w:r>
        <w:rPr>
          <w:color w:val="auto"/>
        </w:rPr>
        <w:fldChar w:fldCharType="separate"/>
      </w:r>
      <w:r>
        <w:rPr>
          <w:rFonts w:hint="eastAsia"/>
          <w:color w:val="auto"/>
        </w:rPr>
        <w:t>点击此处添加ICS号</w:t>
      </w:r>
      <w:r>
        <w:rPr>
          <w:color w:val="auto"/>
        </w:rPr>
        <w:fldChar w:fldCharType="end"/>
      </w:r>
      <w:bookmarkEnd w:id="0"/>
    </w:p>
    <w:p>
      <w:pPr>
        <w:pStyle w:val="7"/>
        <w:rPr>
          <w:color w:val="auto"/>
        </w:rPr>
      </w:pPr>
      <w:bookmarkStart w:id="1" w:name="WXFLH"/>
      <w:r>
        <w:rPr>
          <w:color w:val="auto"/>
        </w:rPr>
        <w:fldChar w:fldCharType="begin">
          <w:ffData>
            <w:name w:val="WXFLH"/>
            <w:enabled/>
            <w:calcOnExit w:val="0"/>
            <w:helpText w:type="text" w:val="请输入中国标准文献分类号："/>
            <w:textInput>
              <w:default w:val="点击此处添加中国标准文献分类号"/>
            </w:textInput>
          </w:ffData>
        </w:fldChar>
      </w:r>
      <w:r>
        <w:rPr>
          <w:color w:val="auto"/>
        </w:rPr>
        <w:instrText xml:space="preserve"> FORMTEXT </w:instrText>
      </w:r>
      <w:r>
        <w:rPr>
          <w:color w:val="auto"/>
        </w:rPr>
        <w:fldChar w:fldCharType="separate"/>
      </w:r>
      <w:r>
        <w:rPr>
          <w:rFonts w:hint="eastAsia"/>
          <w:color w:val="auto"/>
        </w:rPr>
        <w:t>点击此处添加中国标准文献分类号</w:t>
      </w:r>
      <w:r>
        <w:rPr>
          <w:color w:val="auto"/>
        </w:rPr>
        <w:fldChar w:fldCharType="end"/>
      </w:r>
      <w:bookmarkEnd w:id="1"/>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7"/>
              <w:rPr>
                <w:color w:val="auto"/>
              </w:rPr>
            </w:pPr>
            <w:r>
              <w:rPr>
                <w:color w:val="auto"/>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6" name="矩形 6"/>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yK4v7NUAAAAHAQAADwAAAAAAAAABACAAAAAiAAAAZHJzL2Rvd25yZXYueG1sUEsB&#10;AhQAFAAAAAgAh07iQFhboJm/AQAAdQMAAA4AAAAAAAAAAQAgAAAAJAEAAGRycy9lMm9Eb2MueG1s&#10;UEsFBgAAAAAGAAYAWQEAAFUFAAAAAA==&#10;">
                      <v:fill on="t" focussize="0,0"/>
                      <v:stroke on="f"/>
                      <v:imagedata o:title=""/>
                      <o:lock v:ext="edit" aspectratio="f"/>
                    </v:rect>
                  </w:pict>
                </mc:Fallback>
              </mc:AlternateContent>
            </w:r>
            <w:r>
              <w:rPr>
                <w:color w:val="auto"/>
              </w:rPr>
              <w:fldChar w:fldCharType="begin">
                <w:ffData>
                  <w:name w:val="BAH"/>
                  <w:enabled/>
                  <w:calcOnExit w:val="0"/>
                  <w:textInput/>
                </w:ffData>
              </w:fldChar>
            </w:r>
            <w:bookmarkStart w:id="2" w:name="BAH"/>
            <w:r>
              <w:rPr>
                <w:color w:val="auto"/>
              </w:rPr>
              <w:instrText xml:space="preserve"> FORMTEXT </w:instrText>
            </w:r>
            <w:r>
              <w:rPr>
                <w:color w:val="auto"/>
              </w:rPr>
              <w:fldChar w:fldCharType="separate"/>
            </w:r>
            <w:r>
              <w:rPr>
                <w:color w:val="auto"/>
              </w:rPr>
              <w:t>     </w:t>
            </w:r>
            <w:r>
              <w:rPr>
                <w:color w:val="auto"/>
              </w:rPr>
              <w:fldChar w:fldCharType="end"/>
            </w:r>
            <w:bookmarkEnd w:id="2"/>
          </w:p>
        </w:tc>
      </w:tr>
    </w:tbl>
    <w:p>
      <w:pPr>
        <w:pStyle w:val="8"/>
        <w:rPr>
          <w:color w:val="auto"/>
        </w:rPr>
      </w:pPr>
      <w:r>
        <w:rPr>
          <w:color w:val="auto"/>
        </w:rPr>
        <w:t>DB</w:t>
      </w:r>
      <w:bookmarkStart w:id="3" w:name="c3"/>
      <w:r>
        <w:rPr>
          <w:color w:val="auto"/>
        </w:rPr>
        <w:fldChar w:fldCharType="begin">
          <w:ffData>
            <w:name w:val="c3"/>
            <w:enabled/>
            <w:calcOnExit w:val="0"/>
            <w:entryMacro w:val="ShowHelp16"/>
            <w:textInput>
              <w:maxLength w:val="2"/>
            </w:textInput>
          </w:ffData>
        </w:fldChar>
      </w:r>
      <w:r>
        <w:rPr>
          <w:color w:val="auto"/>
        </w:rPr>
        <w:instrText xml:space="preserve"> FORMTEXT </w:instrText>
      </w:r>
      <w:r>
        <w:rPr>
          <w:color w:val="auto"/>
        </w:rPr>
        <w:fldChar w:fldCharType="separate"/>
      </w:r>
      <w:r>
        <w:rPr>
          <w:rFonts w:hint="eastAsia"/>
          <w:color w:val="auto"/>
        </w:rPr>
        <w:t>34</w:t>
      </w:r>
      <w:r>
        <w:rPr>
          <w:color w:val="auto"/>
        </w:rPr>
        <w:fldChar w:fldCharType="end"/>
      </w:r>
      <w:bookmarkEnd w:id="3"/>
    </w:p>
    <w:p>
      <w:pPr>
        <w:pStyle w:val="10"/>
        <w:rPr>
          <w:color w:val="auto"/>
        </w:rPr>
      </w:pPr>
      <w:bookmarkStart w:id="4" w:name="c4"/>
      <w:r>
        <w:rPr>
          <w:color w:val="auto"/>
        </w:rPr>
        <w:fldChar w:fldCharType="begin">
          <w:ffData>
            <w:name w:val="c4"/>
            <w:enabled/>
            <w:calcOnExit w:val="0"/>
            <w:entryMacro w:val="showhelp12"/>
            <w:textInput/>
          </w:ffData>
        </w:fldChar>
      </w:r>
      <w:r>
        <w:rPr>
          <w:color w:val="auto"/>
        </w:rPr>
        <w:instrText xml:space="preserve"> FORMTEXT </w:instrText>
      </w:r>
      <w:r>
        <w:rPr>
          <w:color w:val="auto"/>
        </w:rPr>
        <w:fldChar w:fldCharType="separate"/>
      </w:r>
      <w:r>
        <w:rPr>
          <w:rFonts w:hint="eastAsia"/>
          <w:color w:val="auto"/>
        </w:rPr>
        <w:t>安徽省</w:t>
      </w:r>
      <w:r>
        <w:rPr>
          <w:color w:val="auto"/>
        </w:rPr>
        <w:fldChar w:fldCharType="end"/>
      </w:r>
      <w:bookmarkEnd w:id="4"/>
      <w:r>
        <w:rPr>
          <w:rFonts w:hint="eastAsia"/>
          <w:color w:val="auto"/>
        </w:rPr>
        <w:t>地方标准</w:t>
      </w:r>
    </w:p>
    <w:p>
      <w:pPr>
        <w:pStyle w:val="11"/>
        <w:outlineLvl w:val="0"/>
        <w:rPr>
          <w:rFonts w:hAnsi="黑体"/>
          <w:color w:val="auto"/>
        </w:rPr>
      </w:pPr>
      <w:bookmarkStart w:id="5" w:name="_Toc5556"/>
      <w:bookmarkStart w:id="6" w:name="_Toc7714"/>
      <w:r>
        <w:rPr>
          <w:rFonts w:ascii="Times New Roman"/>
          <w:color w:val="auto"/>
        </w:rPr>
        <w:t xml:space="preserve">DB </w:t>
      </w:r>
      <w:bookmarkStart w:id="7" w:name="StdNo0"/>
      <w:r>
        <w:rPr>
          <w:rFonts w:hAnsi="黑体"/>
          <w:color w:val="auto"/>
        </w:rPr>
        <w:fldChar w:fldCharType="begin">
          <w:ffData>
            <w:name w:val="StdNo0"/>
            <w:enabled/>
            <w:calcOnExit w:val="0"/>
            <w:textInput>
              <w:default w:val="XX"/>
              <w:maxLength w:val="2"/>
            </w:textInput>
          </w:ffData>
        </w:fldChar>
      </w:r>
      <w:r>
        <w:rPr>
          <w:rFonts w:hAnsi="黑体"/>
          <w:color w:val="auto"/>
        </w:rPr>
        <w:instrText xml:space="preserve"> FORMTEXT </w:instrText>
      </w:r>
      <w:r>
        <w:rPr>
          <w:rFonts w:hAnsi="黑体"/>
          <w:color w:val="auto"/>
        </w:rPr>
        <w:fldChar w:fldCharType="separate"/>
      </w:r>
      <w:r>
        <w:rPr>
          <w:rFonts w:hint="eastAsia" w:hAnsi="黑体"/>
          <w:color w:val="auto"/>
        </w:rPr>
        <w:t>34</w:t>
      </w:r>
      <w:r>
        <w:rPr>
          <w:rFonts w:hAnsi="黑体"/>
          <w:color w:val="auto"/>
        </w:rPr>
        <w:fldChar w:fldCharType="end"/>
      </w:r>
      <w:bookmarkEnd w:id="7"/>
      <w:r>
        <w:rPr>
          <w:rFonts w:hAnsi="黑体"/>
          <w:color w:val="auto"/>
        </w:rPr>
        <w:t xml:space="preserve">/ </w:t>
      </w:r>
      <w:bookmarkStart w:id="8" w:name="StdNo1"/>
      <w:r>
        <w:rPr>
          <w:rFonts w:hAnsi="黑体"/>
          <w:color w:val="auto"/>
        </w:rPr>
        <w:fldChar w:fldCharType="begin">
          <w:ffData>
            <w:name w:val="StdNo1"/>
            <w:enabled/>
            <w:calcOnExit w:val="0"/>
            <w:textInput>
              <w:default w:val="XXXXX"/>
            </w:textInput>
          </w:ffData>
        </w:fldChar>
      </w:r>
      <w:r>
        <w:rPr>
          <w:rFonts w:hAnsi="黑体"/>
          <w:color w:val="auto"/>
        </w:rPr>
        <w:instrText xml:space="preserve"> FORMTEXT </w:instrText>
      </w:r>
      <w:r>
        <w:rPr>
          <w:rFonts w:hAnsi="黑体"/>
          <w:color w:val="auto"/>
        </w:rPr>
        <w:fldChar w:fldCharType="separate"/>
      </w:r>
      <w:r>
        <w:rPr>
          <w:rFonts w:hAnsi="黑体"/>
          <w:color w:val="auto"/>
        </w:rPr>
        <w:t>XXXXX</w:t>
      </w:r>
      <w:r>
        <w:rPr>
          <w:rFonts w:hAnsi="黑体"/>
          <w:color w:val="auto"/>
        </w:rPr>
        <w:fldChar w:fldCharType="end"/>
      </w:r>
      <w:bookmarkEnd w:id="8"/>
      <w:r>
        <w:rPr>
          <w:rFonts w:hAnsi="黑体"/>
          <w:color w:val="auto"/>
        </w:rPr>
        <w:t>—</w:t>
      </w:r>
      <w:bookmarkStart w:id="9" w:name="StdNo2"/>
      <w:r>
        <w:rPr>
          <w:rFonts w:hAnsi="黑体"/>
          <w:color w:val="auto"/>
        </w:rPr>
        <w:fldChar w:fldCharType="begin">
          <w:ffData>
            <w:name w:val="StdNo2"/>
            <w:enabled/>
            <w:calcOnExit w:val="0"/>
            <w:textInput>
              <w:default w:val="XXXX"/>
              <w:maxLength w:val="4"/>
            </w:textInput>
          </w:ffData>
        </w:fldChar>
      </w:r>
      <w:r>
        <w:rPr>
          <w:rFonts w:hAnsi="黑体"/>
          <w:color w:val="auto"/>
        </w:rPr>
        <w:instrText xml:space="preserve"> FORMTEXT </w:instrText>
      </w:r>
      <w:r>
        <w:rPr>
          <w:rFonts w:hAnsi="黑体"/>
          <w:color w:val="auto"/>
        </w:rPr>
        <w:fldChar w:fldCharType="separate"/>
      </w:r>
      <w:r>
        <w:rPr>
          <w:rFonts w:hAnsi="黑体"/>
          <w:color w:val="auto"/>
        </w:rPr>
        <w:t>XXXX</w:t>
      </w:r>
      <w:r>
        <w:rPr>
          <w:rFonts w:hAnsi="黑体"/>
          <w:color w:val="auto"/>
        </w:rPr>
        <w:fldChar w:fldCharType="end"/>
      </w:r>
      <w:bookmarkEnd w:id="5"/>
      <w:bookmarkEnd w:id="6"/>
      <w:bookmarkEnd w:id="9"/>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2"/>
              <w:rPr>
                <w:color w:val="auto"/>
              </w:rPr>
            </w:pPr>
            <w:bookmarkStart w:id="10" w:name="DT"/>
            <w:r>
              <w:rPr>
                <w:color w:val="auto"/>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5g8svWAAAACAEAAA8AAAAAAAAAAQAgAAAAIgAAAGRycy9kb3ducmV2LnhtbFBLAQIU&#10;ABQAAAAIAIdO4kAoQtSFvAEAAHYDAAAOAAAAAAAAAAEAIAAAACUBAABkcnMvZTJvRG9jLnhtbFBL&#10;BQYAAAAABgAGAFkBAABTBQAAAAA=&#10;">
                      <v:fill on="t" focussize="0,0"/>
                      <v:stroke on="f"/>
                      <v:imagedata o:title=""/>
                      <o:lock v:ext="edit" aspectratio="f"/>
                    </v:rect>
                  </w:pict>
                </mc:Fallback>
              </mc:AlternateContent>
            </w:r>
            <w:r>
              <w:rPr>
                <w:color w:val="auto"/>
              </w:rPr>
              <w:fldChar w:fldCharType="begin">
                <w:ffData>
                  <w:name w:val="DT"/>
                  <w:enabled/>
                  <w:calcOnExit w:val="0"/>
                  <w:entryMacro w:val="ShowHelp4"/>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10"/>
          </w:p>
        </w:tc>
      </w:tr>
    </w:tbl>
    <w:p>
      <w:pPr>
        <w:pStyle w:val="11"/>
        <w:rPr>
          <w:rFonts w:hAnsi="黑体"/>
          <w:color w:val="auto"/>
        </w:rPr>
      </w:pPr>
    </w:p>
    <w:p>
      <w:pPr>
        <w:pStyle w:val="11"/>
        <w:rPr>
          <w:rFonts w:hAnsi="黑体"/>
          <w:color w:val="auto"/>
        </w:rPr>
      </w:pPr>
    </w:p>
    <w:p>
      <w:pPr>
        <w:pStyle w:val="13"/>
        <w:outlineLvl w:val="0"/>
        <w:rPr>
          <w:rFonts w:hint="default" w:eastAsia="黑体"/>
          <w:color w:val="auto"/>
          <w:lang w:val="en-US" w:eastAsia="zh-CN"/>
        </w:rPr>
      </w:pPr>
      <w:bookmarkStart w:id="11" w:name="_Toc8993"/>
      <w:bookmarkStart w:id="12" w:name="_Toc26784"/>
      <w:r>
        <w:rPr>
          <w:rFonts w:hint="eastAsia"/>
          <w:color w:val="auto"/>
          <w:lang w:val="en-US" w:eastAsia="zh-CN"/>
        </w:rPr>
        <w:t>曳引驱动简易升降机安装验收技术规范</w:t>
      </w:r>
      <w:bookmarkEnd w:id="11"/>
      <w:bookmarkEnd w:id="12"/>
    </w:p>
    <w:p>
      <w:pPr>
        <w:pStyle w:val="14"/>
        <w:rPr>
          <w:color w:val="auto"/>
        </w:rPr>
      </w:pPr>
      <w:bookmarkStart w:id="13" w:name="StdEnglishName"/>
      <w:r>
        <w:rPr>
          <w:rFonts w:hint="eastAsia" w:ascii="Times New Roman" w:hAnsi="Times New Roman" w:eastAsia="黑体" w:cs="Times New Roman"/>
          <w:color w:val="auto"/>
          <w:sz w:val="28"/>
          <w:szCs w:val="28"/>
          <w:lang w:val="en-US" w:eastAsia="zh-CN" w:bidi="ar-SA"/>
        </w:rPr>
        <w:fldChar w:fldCharType="begin">
          <w:ffData>
            <w:name w:val="StdEnglishName"/>
            <w:enabled/>
            <w:calcOnExit w:val="0"/>
            <w:textInput>
              <w:default w:val="Specification  for  Acceptance  of  Traction  Drive  Simple  Lifts  Installation"/>
            </w:textInput>
          </w:ffData>
        </w:fldChar>
      </w:r>
      <w:r>
        <w:rPr>
          <w:rFonts w:hint="eastAsia" w:ascii="Times New Roman" w:hAnsi="Times New Roman" w:eastAsia="黑体" w:cs="Times New Roman"/>
          <w:color w:val="auto"/>
          <w:sz w:val="28"/>
          <w:szCs w:val="28"/>
          <w:lang w:val="en-US" w:eastAsia="zh-CN" w:bidi="ar-SA"/>
        </w:rPr>
        <w:instrText xml:space="preserve">FORMTEXT</w:instrText>
      </w:r>
      <w:r>
        <w:rPr>
          <w:rFonts w:hint="eastAsia" w:ascii="Times New Roman" w:hAnsi="Times New Roman" w:eastAsia="黑体" w:cs="Times New Roman"/>
          <w:color w:val="auto"/>
          <w:sz w:val="28"/>
          <w:szCs w:val="28"/>
          <w:lang w:val="en-US" w:eastAsia="zh-CN" w:bidi="ar-SA"/>
        </w:rPr>
        <w:fldChar w:fldCharType="separate"/>
      </w:r>
      <w:r>
        <w:rPr>
          <w:rFonts w:hint="eastAsia" w:ascii="Times New Roman" w:hAnsi="Times New Roman" w:eastAsia="黑体" w:cs="Times New Roman"/>
          <w:color w:val="auto"/>
          <w:sz w:val="28"/>
          <w:szCs w:val="28"/>
          <w:lang w:val="en-US" w:eastAsia="zh-CN" w:bidi="ar-SA"/>
        </w:rPr>
        <w:t>Specification  for  Acceptance  of  Traction  Drive  Simple  Lifts  Installation</w:t>
      </w:r>
      <w:r>
        <w:rPr>
          <w:rFonts w:hint="eastAsia" w:ascii="Times New Roman" w:hAnsi="Times New Roman" w:eastAsia="黑体" w:cs="Times New Roman"/>
          <w:color w:val="auto"/>
          <w:sz w:val="28"/>
          <w:szCs w:val="28"/>
          <w:lang w:val="en-US" w:eastAsia="zh-CN" w:bidi="ar-SA"/>
        </w:rPr>
        <w:fldChar w:fldCharType="end"/>
      </w:r>
      <w:bookmarkEnd w:id="13"/>
    </w:p>
    <w:p>
      <w:pPr>
        <w:pStyle w:val="15"/>
        <w:outlineLvl w:val="0"/>
        <w:rPr>
          <w:color w:val="auto"/>
        </w:rPr>
      </w:pPr>
      <w:bookmarkStart w:id="14" w:name="_Toc22354"/>
      <w:bookmarkStart w:id="15" w:name="YZBS"/>
      <w:bookmarkStart w:id="16" w:name="_Toc29779"/>
      <w:r>
        <w:rPr>
          <w:color w:val="auto"/>
        </w:rPr>
        <w:fldChar w:fldCharType="begin">
          <w:ffData>
            <w:name w:val="YZBS"/>
            <w:enabled/>
            <w:calcOnExit w:val="0"/>
            <w:textInput>
              <w:default w:val="点击此处添加与国际标准一致性程度的标识"/>
            </w:textInput>
          </w:ffData>
        </w:fldChar>
      </w:r>
      <w:r>
        <w:rPr>
          <w:color w:val="auto"/>
        </w:rPr>
        <w:instrText xml:space="preserve"> FORMTEXT </w:instrText>
      </w:r>
      <w:r>
        <w:rPr>
          <w:color w:val="auto"/>
        </w:rPr>
        <w:fldChar w:fldCharType="separate"/>
      </w:r>
      <w:r>
        <w:rPr>
          <w:rFonts w:hint="eastAsia"/>
          <w:color w:val="auto"/>
        </w:rPr>
        <w:t>点击此处添加与国际标准一致性程度的标识</w:t>
      </w:r>
      <w:r>
        <w:rPr>
          <w:color w:val="auto"/>
        </w:rPr>
        <w:fldChar w:fldCharType="end"/>
      </w:r>
      <w:bookmarkEnd w:id="14"/>
      <w:bookmarkEnd w:id="15"/>
      <w:bookmarkEnd w:id="16"/>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6"/>
              <w:rPr>
                <w:color w:val="auto"/>
              </w:rPr>
            </w:pPr>
            <w:r>
              <w:rPr>
                <w:color w:val="auto"/>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5"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WJrpLVAAAACgEAAA8AAAAAAAAAAQAgAAAAIgAAAGRycy9kb3ducmV2LnhtbFBLAQIUABQA&#10;AAAIAIdO4kBY8a/8ugEAAHYDAAAOAAAAAAAAAAEAIAAAACQBAABkcnMvZTJvRG9jLnhtbFBLBQYA&#10;AAAABgAGAFkBAABQBQAAAAA=&#10;">
                      <v:fill on="t" focussize="0,0"/>
                      <v:stroke on="f"/>
                      <v:imagedata o:title=""/>
                      <o:lock v:ext="edit" aspectratio="f"/>
                      <w10:anchorlock/>
                    </v:rect>
                  </w:pict>
                </mc:Fallback>
              </mc:AlternateContent>
            </w:r>
            <w:r>
              <w:rPr>
                <w:color w:val="auto"/>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4" name="矩形 4"/>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A+GL5dYAAAAJAQAADwAAAAAAAAABACAAAAAiAAAAZHJzL2Rvd25yZXYueG1sUEsBAhQA&#10;FAAAAAgAh07iQCyMWgC7AQAAdgMAAA4AAAAAAAAAAQAgAAAAJQEAAGRycy9lMm9Eb2MueG1sUEsF&#10;BgAAAAAGAAYAWQEAAFIFAAAAAA==&#10;">
                      <v:fill on="t" focussize="0,0"/>
                      <v:stroke on="f"/>
                      <v:imagedata o:title=""/>
                      <o:lock v:ext="edit" aspectratio="f"/>
                    </v:rect>
                  </w:pict>
                </mc:Fallback>
              </mc:AlternateContent>
            </w:r>
            <w:r>
              <w:rPr>
                <w:color w:val="auto"/>
              </w:rP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7" w:name="LB"/>
            <w:r>
              <w:rPr>
                <w:color w:val="auto"/>
              </w:rPr>
              <w:instrText xml:space="preserve"> FORMDROPDOWN </w:instrText>
            </w:r>
            <w:r>
              <w:rPr>
                <w:color w:val="auto"/>
              </w:rPr>
              <w:fldChar w:fldCharType="separate"/>
            </w:r>
            <w:r>
              <w:rPr>
                <w:color w:val="auto"/>
              </w:rPr>
              <w:fldChar w:fldCharType="end"/>
            </w:r>
            <w:bookmarkEnd w:id="1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7"/>
              <w:rPr>
                <w:rFonts w:hint="eastAsia" w:ascii="宋体" w:hAnsi="宋体" w:eastAsia="宋体" w:cs="Times New Roman"/>
                <w:color w:val="auto"/>
                <w:kern w:val="2"/>
                <w:sz w:val="21"/>
                <w:szCs w:val="24"/>
                <w:lang w:val="en-US" w:eastAsia="zh-CN" w:bidi="ar-SA"/>
              </w:rPr>
            </w:pPr>
            <w:bookmarkStart w:id="18" w:name="WCRQ"/>
            <w:r>
              <w:rPr>
                <w:rFonts w:hint="eastAsia" w:ascii="宋体" w:hAnsi="宋体" w:eastAsia="宋体" w:cs="Times New Roman"/>
                <w:color w:val="auto"/>
                <w:kern w:val="2"/>
                <w:sz w:val="21"/>
                <w:szCs w:val="24"/>
                <w:lang w:val="en-US" w:eastAsia="zh-CN" w:bidi="ar-SA"/>
              </w:rPr>
              <w:fldChar w:fldCharType="begin">
                <w:ffData>
                  <w:name w:val="WCRQ"/>
                  <w:enabled/>
                  <w:calcOnExit w:val="0"/>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     </w:t>
            </w:r>
            <w:r>
              <w:rPr>
                <w:rFonts w:hint="eastAsia" w:ascii="宋体" w:hAnsi="宋体" w:eastAsia="宋体" w:cs="Times New Roman"/>
                <w:color w:val="auto"/>
                <w:kern w:val="2"/>
                <w:sz w:val="21"/>
                <w:szCs w:val="24"/>
                <w:lang w:val="en-US" w:eastAsia="zh-CN" w:bidi="ar-SA"/>
              </w:rPr>
              <w:fldChar w:fldCharType="end"/>
            </w:r>
            <w:bookmarkEnd w:id="18"/>
          </w:p>
        </w:tc>
      </w:tr>
    </w:tbl>
    <w:p>
      <w:pPr>
        <w:pStyle w:val="18"/>
        <w:framePr w:wrap="around" w:vAnchor="page" w:hAnchor="page" w:x="1837" w:y="14057"/>
        <w:rPr>
          <w:rFonts w:hint="eastAsia" w:ascii="宋体" w:hAnsi="宋体" w:eastAsia="宋体" w:cs="Times New Roman"/>
          <w:color w:val="auto"/>
          <w:kern w:val="2"/>
          <w:sz w:val="21"/>
          <w:szCs w:val="24"/>
          <w:lang w:val="en-US" w:eastAsia="zh-CN" w:bidi="ar-SA"/>
        </w:rPr>
      </w:pPr>
      <w:bookmarkStart w:id="19" w:name="FY"/>
      <w:r>
        <w:rPr>
          <w:rFonts w:hint="eastAsia" w:ascii="宋体" w:hAnsi="宋体" w:eastAsia="宋体" w:cs="Times New Roman"/>
          <w:color w:val="auto"/>
          <w:kern w:val="2"/>
          <w:sz w:val="21"/>
          <w:szCs w:val="24"/>
          <w:lang w:val="en-US" w:eastAsia="zh-CN" w:bidi="ar-SA"/>
        </w:rPr>
        <w:fldChar w:fldCharType="begin">
          <w:ffData>
            <w:name w:val="FY"/>
            <w:enabled/>
            <w:calcOnExit w:val="0"/>
            <w:entryMacro w:val="ShowHelp8"/>
            <w:textInput>
              <w:default w:val="XXXX"/>
              <w:maxLength w:val="4"/>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XXXX</w:t>
      </w:r>
      <w:r>
        <w:rPr>
          <w:rFonts w:hint="eastAsia" w:ascii="宋体" w:hAnsi="宋体" w:eastAsia="宋体" w:cs="Times New Roman"/>
          <w:color w:val="auto"/>
          <w:kern w:val="2"/>
          <w:sz w:val="21"/>
          <w:szCs w:val="24"/>
          <w:lang w:val="en-US" w:eastAsia="zh-CN" w:bidi="ar-SA"/>
        </w:rPr>
        <w:fldChar w:fldCharType="end"/>
      </w:r>
      <w:bookmarkEnd w:id="19"/>
      <w:r>
        <w:rPr>
          <w:rFonts w:hint="eastAsia" w:ascii="宋体" w:hAnsi="宋体" w:eastAsia="宋体" w:cs="Times New Roman"/>
          <w:color w:val="auto"/>
          <w:kern w:val="2"/>
          <w:sz w:val="21"/>
          <w:szCs w:val="24"/>
          <w:lang w:val="en-US" w:eastAsia="zh-CN" w:bidi="ar-SA"/>
        </w:rPr>
        <w:t xml:space="preserve"> - </w:t>
      </w:r>
      <w:r>
        <w:rPr>
          <w:rFonts w:hint="eastAsia" w:ascii="宋体" w:hAnsi="宋体" w:eastAsia="宋体" w:cs="Times New Roman"/>
          <w:color w:val="auto"/>
          <w:kern w:val="2"/>
          <w:sz w:val="21"/>
          <w:szCs w:val="24"/>
          <w:lang w:val="en-US" w:eastAsia="zh-CN" w:bidi="ar-SA"/>
        </w:rPr>
        <w:fldChar w:fldCharType="begin">
          <w:ffData>
            <w:name w:val="FM"/>
            <w:enabled/>
            <w:calcOnExit w:val="0"/>
            <w:entryMacro w:val="ShowHelp8"/>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r>
        <w:rPr>
          <w:rFonts w:hint="eastAsia" w:ascii="宋体" w:hAnsi="宋体" w:eastAsia="宋体" w:cs="Times New Roman"/>
          <w:color w:val="auto"/>
          <w:kern w:val="2"/>
          <w:sz w:val="21"/>
          <w:szCs w:val="24"/>
          <w:lang w:val="en-US" w:eastAsia="zh-CN" w:bidi="ar-SA"/>
        </w:rPr>
        <w:t xml:space="preserve"> - </w:t>
      </w:r>
      <w:bookmarkStart w:id="20" w:name="FD"/>
      <w:r>
        <w:rPr>
          <w:rFonts w:hint="eastAsia" w:ascii="宋体" w:hAnsi="宋体" w:eastAsia="宋体" w:cs="Times New Roman"/>
          <w:color w:val="auto"/>
          <w:kern w:val="2"/>
          <w:sz w:val="21"/>
          <w:szCs w:val="24"/>
          <w:lang w:val="en-US" w:eastAsia="zh-CN" w:bidi="ar-SA"/>
        </w:rPr>
        <w:fldChar w:fldCharType="begin">
          <w:ffData>
            <w:name w:val="FD"/>
            <w:enabled/>
            <w:calcOnExit w:val="0"/>
            <w:entryMacro w:val="ShowHelp8"/>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0"/>
      <w:r>
        <w:rPr>
          <w:rFonts w:hint="eastAsia" w:ascii="宋体" w:hAnsi="宋体" w:eastAsia="宋体" w:cs="Times New Roman"/>
          <w:color w:val="auto"/>
          <w:kern w:val="2"/>
          <w:sz w:val="21"/>
          <w:szCs w:val="24"/>
          <w:lang w:val="en-US" w:eastAsia="zh-CN" w:bidi="ar-SA"/>
        </w:rPr>
        <w:t>发布</w:t>
      </w:r>
      <w:r>
        <w:rPr>
          <w:rFonts w:hint="eastAsia" w:ascii="宋体" w:hAnsi="宋体" w:eastAsia="宋体" w:cs="Times New Roman"/>
          <w:color w:val="auto"/>
          <w:kern w:val="2"/>
          <w:sz w:val="21"/>
          <w:szCs w:val="24"/>
          <w:lang w:val="en-US" w:eastAsia="zh-CN" w:bidi="ar-SA"/>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WHazzWAAAACwEAAA8AAAAAAAAAAQAgAAAAIgAAAGRycy9kb3ducmV2LnhtbFBL&#10;AQIUABQAAAAIAIdO4kCugBV++AEAAPIDAAAOAAAAAAAAAAEAIAAAACUBAABkcnMvZTJvRG9jLnht&#10;bFBLBQYAAAAABgAGAFkBAACPBQAAAAA=&#10;">
                <v:fill on="f" focussize="0,0"/>
                <v:stroke color="#000000" joinstyle="round"/>
                <v:imagedata o:title=""/>
                <o:lock v:ext="edit" aspectratio="f"/>
                <w10:anchorlock/>
              </v:line>
            </w:pict>
          </mc:Fallback>
        </mc:AlternateContent>
      </w:r>
    </w:p>
    <w:p>
      <w:pPr>
        <w:pStyle w:val="20"/>
        <w:framePr w:wrap="around" w:vAnchor="page" w:hAnchor="page" w:x="6599" w:y="14057"/>
        <w:rPr>
          <w:rFonts w:hint="eastAsia" w:ascii="宋体" w:hAnsi="宋体" w:eastAsia="宋体" w:cs="Times New Roman"/>
          <w:color w:val="auto"/>
          <w:kern w:val="2"/>
          <w:sz w:val="21"/>
          <w:szCs w:val="24"/>
          <w:lang w:val="en-US" w:eastAsia="zh-CN" w:bidi="ar-SA"/>
        </w:rPr>
      </w:pPr>
      <w:bookmarkStart w:id="21" w:name="SY"/>
      <w:r>
        <w:rPr>
          <w:rFonts w:hint="eastAsia" w:ascii="宋体" w:hAnsi="宋体" w:eastAsia="宋体" w:cs="Times New Roman"/>
          <w:color w:val="auto"/>
          <w:kern w:val="2"/>
          <w:sz w:val="21"/>
          <w:szCs w:val="24"/>
          <w:lang w:val="en-US" w:eastAsia="zh-CN" w:bidi="ar-SA"/>
        </w:rPr>
        <w:fldChar w:fldCharType="begin">
          <w:ffData>
            <w:name w:val="SY"/>
            <w:enabled/>
            <w:calcOnExit w:val="0"/>
            <w:entryMacro w:val="ShowHelp9"/>
            <w:textInput>
              <w:default w:val="XXXX"/>
              <w:maxLength w:val="4"/>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XXXX</w:t>
      </w:r>
      <w:r>
        <w:rPr>
          <w:rFonts w:hint="eastAsia" w:ascii="宋体" w:hAnsi="宋体" w:eastAsia="宋体" w:cs="Times New Roman"/>
          <w:color w:val="auto"/>
          <w:kern w:val="2"/>
          <w:sz w:val="21"/>
          <w:szCs w:val="24"/>
          <w:lang w:val="en-US" w:eastAsia="zh-CN" w:bidi="ar-SA"/>
        </w:rPr>
        <w:fldChar w:fldCharType="end"/>
      </w:r>
      <w:bookmarkEnd w:id="21"/>
      <w:r>
        <w:rPr>
          <w:rFonts w:hint="eastAsia" w:ascii="宋体" w:hAnsi="宋体" w:eastAsia="宋体" w:cs="Times New Roman"/>
          <w:color w:val="auto"/>
          <w:kern w:val="2"/>
          <w:sz w:val="21"/>
          <w:szCs w:val="24"/>
          <w:lang w:val="en-US" w:eastAsia="zh-CN" w:bidi="ar-SA"/>
        </w:rPr>
        <w:t xml:space="preserve"> - </w:t>
      </w:r>
      <w:bookmarkStart w:id="22" w:name="SM"/>
      <w:r>
        <w:rPr>
          <w:rFonts w:hint="eastAsia" w:ascii="宋体" w:hAnsi="宋体" w:eastAsia="宋体" w:cs="Times New Roman"/>
          <w:color w:val="auto"/>
          <w:kern w:val="2"/>
          <w:sz w:val="21"/>
          <w:szCs w:val="24"/>
          <w:lang w:val="en-US" w:eastAsia="zh-CN" w:bidi="ar-SA"/>
        </w:rPr>
        <w:fldChar w:fldCharType="begin">
          <w:ffData>
            <w:name w:val="SM"/>
            <w:enabled/>
            <w:calcOnExit w:val="0"/>
            <w:entryMacro w:val="ShowHelp9"/>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2"/>
      <w:r>
        <w:rPr>
          <w:rFonts w:hint="eastAsia" w:ascii="宋体" w:hAnsi="宋体" w:eastAsia="宋体" w:cs="Times New Roman"/>
          <w:color w:val="auto"/>
          <w:kern w:val="2"/>
          <w:sz w:val="21"/>
          <w:szCs w:val="24"/>
          <w:lang w:val="en-US" w:eastAsia="zh-CN" w:bidi="ar-SA"/>
        </w:rPr>
        <w:t xml:space="preserve"> - </w:t>
      </w:r>
      <w:bookmarkStart w:id="23" w:name="SD"/>
      <w:r>
        <w:rPr>
          <w:rFonts w:hint="eastAsia" w:ascii="宋体" w:hAnsi="宋体" w:eastAsia="宋体" w:cs="Times New Roman"/>
          <w:color w:val="auto"/>
          <w:kern w:val="2"/>
          <w:sz w:val="21"/>
          <w:szCs w:val="24"/>
          <w:lang w:val="en-US" w:eastAsia="zh-CN" w:bidi="ar-SA"/>
        </w:rPr>
        <w:fldChar w:fldCharType="begin">
          <w:ffData>
            <w:name w:val="SD"/>
            <w:enabled/>
            <w:calcOnExit w:val="0"/>
            <w:entryMacro w:val="ShowHelp9"/>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3"/>
      <w:r>
        <w:rPr>
          <w:rFonts w:hint="eastAsia" w:ascii="宋体" w:hAnsi="宋体" w:eastAsia="宋体" w:cs="Times New Roman"/>
          <w:color w:val="auto"/>
          <w:kern w:val="2"/>
          <w:sz w:val="21"/>
          <w:szCs w:val="24"/>
          <w:lang w:val="en-US" w:eastAsia="zh-CN" w:bidi="ar-SA"/>
        </w:rPr>
        <w:t>实施</w:t>
      </w:r>
    </w:p>
    <w:p>
      <w:pPr>
        <w:pStyle w:val="22"/>
        <w:rPr>
          <w:rFonts w:hint="eastAsia" w:ascii="宋体" w:hAnsi="宋体" w:eastAsia="宋体" w:cs="Times New Roman"/>
          <w:color w:val="auto"/>
          <w:kern w:val="2"/>
          <w:sz w:val="21"/>
          <w:szCs w:val="24"/>
          <w:lang w:val="en-US" w:eastAsia="zh-CN" w:bidi="ar-SA"/>
        </w:rPr>
      </w:pPr>
      <w:bookmarkStart w:id="24" w:name="fm"/>
      <w:r>
        <w:rPr>
          <w:rFonts w:hint="eastAsia" w:ascii="宋体" w:hAnsi="宋体" w:eastAsia="宋体" w:cs="Times New Roman"/>
          <w:color w:val="auto"/>
          <w:kern w:val="2"/>
          <w:sz w:val="21"/>
          <w:szCs w:val="24"/>
          <w:lang w:val="en-US" w:eastAsia="zh-CN" w:bidi="ar-SA"/>
        </w:rPr>
        <w:fldChar w:fldCharType="begin">
          <w:ffData>
            <w:name w:val="fm"/>
            <w:enabled/>
            <w:calcOnExit w:val="0"/>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安徽省市场监督管理局</w:t>
      </w:r>
      <w:r>
        <w:rPr>
          <w:rFonts w:hint="eastAsia" w:ascii="宋体" w:hAnsi="宋体" w:eastAsia="宋体" w:cs="Times New Roman"/>
          <w:color w:val="auto"/>
          <w:kern w:val="2"/>
          <w:sz w:val="21"/>
          <w:szCs w:val="24"/>
          <w:lang w:val="en-US" w:eastAsia="zh-CN" w:bidi="ar-SA"/>
        </w:rPr>
        <w:fldChar w:fldCharType="end"/>
      </w:r>
      <w:bookmarkEnd w:id="24"/>
      <w:r>
        <w:rPr>
          <w:rFonts w:hint="eastAsia" w:ascii="宋体" w:hAnsi="宋体" w:eastAsia="宋体" w:cs="Times New Roman"/>
          <w:color w:val="auto"/>
          <w:kern w:val="2"/>
          <w:sz w:val="21"/>
          <w:szCs w:val="24"/>
          <w:lang w:val="en-US" w:eastAsia="zh-CN" w:bidi="ar-SA"/>
        </w:rPr>
        <w:t>   发布</w:t>
      </w: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jc w:val="left"/>
        <w:rPr>
          <w:rFonts w:hint="eastAsia" w:ascii="宋体" w:hAnsi="宋体" w:eastAsia="宋体" w:cs="Times New Roman"/>
          <w:color w:val="auto"/>
          <w:kern w:val="2"/>
          <w:sz w:val="21"/>
          <w:szCs w:val="24"/>
          <w:lang w:val="en-US" w:eastAsia="zh-CN" w:bidi="ar-SA"/>
        </w:rPr>
      </w:pPr>
    </w:p>
    <w:p>
      <w:pPr>
        <w:spacing w:line="247" w:lineRule="auto"/>
        <w:rPr>
          <w:rFonts w:hint="eastAsia" w:ascii="宋体" w:hAnsi="宋体" w:eastAsia="宋体" w:cs="Times New Roman"/>
          <w:color w:val="auto"/>
          <w:kern w:val="2"/>
          <w:sz w:val="21"/>
          <w:szCs w:val="24"/>
          <w:lang w:val="en-US" w:eastAsia="zh-CN" w:bidi="ar-SA"/>
        </w:rPr>
      </w:pPr>
    </w:p>
    <w:sdt>
      <w:sdtPr>
        <w:rPr>
          <w:rFonts w:ascii="宋体" w:hAnsi="宋体" w:eastAsia="宋体" w:cs="Times New Roman"/>
          <w:color w:val="auto"/>
          <w:kern w:val="2"/>
          <w:sz w:val="21"/>
          <w:szCs w:val="24"/>
          <w:lang w:val="en-US" w:eastAsia="zh-CN" w:bidi="ar-SA"/>
        </w:rPr>
        <w:id w:val="147461302"/>
        <w15:color w:val="DBDBDB"/>
        <w:docPartObj>
          <w:docPartGallery w:val="Table of Contents"/>
          <w:docPartUnique/>
        </w:docPartObj>
      </w:sdtPr>
      <w:sdtEndPr>
        <w:rPr>
          <w:rFonts w:hint="eastAsia" w:ascii="宋体" w:hAnsi="Times New Roman" w:eastAsia="宋体" w:cs="Times New Roman"/>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color w:val="auto"/>
            </w:rPr>
          </w:pPr>
          <w:r>
            <w:rPr>
              <w:rFonts w:ascii="宋体" w:hAnsi="宋体" w:eastAsia="宋体"/>
              <w:color w:val="auto"/>
              <w:sz w:val="21"/>
            </w:rPr>
            <w:t>目录</w:t>
          </w:r>
          <w:r>
            <w:rPr>
              <w:rFonts w:hint="eastAsia"/>
              <w:color w:val="auto"/>
              <w:sz w:val="32"/>
              <w:szCs w:val="32"/>
              <w:lang w:val="en-US" w:eastAsia="zh-CN"/>
            </w:rPr>
            <w:fldChar w:fldCharType="begin"/>
          </w:r>
          <w:r>
            <w:rPr>
              <w:rFonts w:hint="eastAsia"/>
              <w:color w:val="auto"/>
              <w:sz w:val="32"/>
              <w:szCs w:val="32"/>
              <w:lang w:val="en-US" w:eastAsia="zh-CN"/>
            </w:rPr>
            <w:instrText xml:space="preserve">TOC \o "1-1" \h \u </w:instrText>
          </w:r>
          <w:r>
            <w:rPr>
              <w:rFonts w:hint="eastAsia"/>
              <w:color w:val="auto"/>
              <w:sz w:val="32"/>
              <w:szCs w:val="32"/>
              <w:lang w:val="en-US" w:eastAsia="zh-CN"/>
            </w:rPr>
            <w:fldChar w:fldCharType="separate"/>
          </w:r>
        </w:p>
        <w:p>
          <w:pPr>
            <w:pStyle w:val="29"/>
            <w:tabs>
              <w:tab w:val="right" w:leader="dot" w:pos="8306"/>
            </w:tabs>
            <w:rPr>
              <w:rFonts w:hint="default"/>
              <w:color w:val="auto"/>
              <w:szCs w:val="32"/>
              <w:lang w:val="en-US" w:eastAsia="zh-CN"/>
            </w:rPr>
          </w:pPr>
          <w:r>
            <w:rPr>
              <w:rFonts w:hint="eastAsia"/>
              <w:color w:val="auto"/>
              <w:szCs w:val="32"/>
              <w:lang w:val="en-US" w:eastAsia="zh-CN"/>
            </w:rPr>
            <w:t>前言</w:t>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_Toc18373 </w:instrText>
          </w:r>
          <w:r>
            <w:rPr>
              <w:rFonts w:hint="eastAsia"/>
              <w:color w:val="auto"/>
              <w:szCs w:val="32"/>
              <w:lang w:val="en-US" w:eastAsia="zh-CN"/>
            </w:rPr>
            <w:fldChar w:fldCharType="separate"/>
          </w:r>
          <w:r>
            <w:rPr>
              <w:rFonts w:hint="eastAsia" w:ascii="黑体" w:hAnsi="Times New Roman" w:eastAsia="黑体" w:cs="Times New Roman"/>
              <w:i w:val="0"/>
              <w:color w:val="auto"/>
              <w:szCs w:val="21"/>
              <w:lang w:val="en-US" w:eastAsia="zh-CN" w:bidi="ar-SA"/>
            </w:rPr>
            <w:t>1  范 围</w:t>
          </w:r>
          <w:r>
            <w:rPr>
              <w:color w:val="auto"/>
            </w:rPr>
            <w:tab/>
          </w:r>
          <w:r>
            <w:rPr>
              <w:rFonts w:hint="eastAsia"/>
              <w:color w:val="auto"/>
              <w:lang w:val="en-US" w:eastAsia="zh-CN"/>
            </w:rPr>
            <w:t>5</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_Toc22406 </w:instrText>
          </w:r>
          <w:r>
            <w:rPr>
              <w:rFonts w:hint="eastAsia"/>
              <w:color w:val="auto"/>
              <w:szCs w:val="32"/>
              <w:lang w:val="en-US" w:eastAsia="zh-CN"/>
            </w:rPr>
            <w:fldChar w:fldCharType="separate"/>
          </w:r>
          <w:r>
            <w:rPr>
              <w:rFonts w:hint="eastAsia" w:ascii="黑体" w:hAnsi="Times New Roman" w:eastAsia="黑体" w:cs="Times New Roman"/>
              <w:i w:val="0"/>
              <w:color w:val="auto"/>
              <w:szCs w:val="21"/>
              <w:lang w:val="en-US" w:eastAsia="zh-CN" w:bidi="ar-SA"/>
            </w:rPr>
            <w:t>2  规范性引用文件</w:t>
          </w:r>
          <w:r>
            <w:rPr>
              <w:color w:val="auto"/>
            </w:rPr>
            <w:tab/>
          </w:r>
          <w:r>
            <w:rPr>
              <w:rFonts w:hint="eastAsia"/>
              <w:color w:val="auto"/>
              <w:lang w:val="en-US" w:eastAsia="zh-CN"/>
            </w:rPr>
            <w:t>5</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_Toc6729 </w:instrText>
          </w:r>
          <w:r>
            <w:rPr>
              <w:rFonts w:hint="eastAsia"/>
              <w:color w:val="auto"/>
              <w:szCs w:val="32"/>
              <w:lang w:val="en-US" w:eastAsia="zh-CN"/>
            </w:rPr>
            <w:fldChar w:fldCharType="separate"/>
          </w:r>
          <w:r>
            <w:rPr>
              <w:rFonts w:hint="eastAsia" w:ascii="黑体" w:hAnsi="Times New Roman" w:eastAsia="黑体" w:cs="Times New Roman"/>
              <w:i w:val="0"/>
              <w:color w:val="auto"/>
              <w:szCs w:val="21"/>
              <w:lang w:val="en-US" w:eastAsia="zh-CN" w:bidi="ar-SA"/>
            </w:rPr>
            <w:t>3  术语和定义</w:t>
          </w:r>
          <w:r>
            <w:rPr>
              <w:color w:val="auto"/>
            </w:rPr>
            <w:tab/>
          </w:r>
          <w:r>
            <w:rPr>
              <w:rFonts w:hint="eastAsia"/>
              <w:color w:val="auto"/>
              <w:lang w:val="en-US" w:eastAsia="zh-CN"/>
            </w:rPr>
            <w:t>5</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_Toc27866 </w:instrText>
          </w:r>
          <w:r>
            <w:rPr>
              <w:rFonts w:hint="eastAsia"/>
              <w:color w:val="auto"/>
              <w:szCs w:val="32"/>
              <w:lang w:val="en-US" w:eastAsia="zh-CN"/>
            </w:rPr>
            <w:fldChar w:fldCharType="separate"/>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4　验收条件</w:t>
          </w:r>
          <w:r>
            <w:rPr>
              <w:color w:val="auto"/>
            </w:rPr>
            <w:tab/>
          </w:r>
          <w:r>
            <w:rPr>
              <w:rFonts w:hint="eastAsia"/>
              <w:color w:val="auto"/>
              <w:lang w:val="en-US" w:eastAsia="zh-CN"/>
            </w:rPr>
            <w:t>6</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_Toc4555 </w:instrText>
          </w:r>
          <w:r>
            <w:rPr>
              <w:rFonts w:hint="eastAsia"/>
              <w:color w:val="auto"/>
              <w:szCs w:val="32"/>
              <w:lang w:val="en-US" w:eastAsia="zh-CN"/>
            </w:rPr>
            <w:fldChar w:fldCharType="separate"/>
          </w:r>
          <w:r>
            <w:rPr>
              <w:rFonts w:hint="eastAsia" w:hAnsi="Times New Roman" w:cs="Times New Roman"/>
              <w:i w:val="0"/>
              <w:color w:val="auto"/>
              <w:szCs w:val="21"/>
              <w:shd w:val="clear" w:color="auto" w:fill="auto"/>
              <w:lang w:val="en-US" w:eastAsia="zh-CN" w:bidi="ar-SA"/>
            </w:rPr>
            <w:t xml:space="preserve">5  </w:t>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井道</w:t>
          </w:r>
          <w:r>
            <w:rPr>
              <w:color w:val="auto"/>
            </w:rPr>
            <w:tab/>
          </w:r>
          <w:r>
            <w:rPr>
              <w:rFonts w:hint="eastAsia"/>
              <w:color w:val="auto"/>
              <w:lang w:val="en-US" w:eastAsia="zh-CN"/>
            </w:rPr>
            <w:t>7</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_Toc17789 </w:instrText>
          </w:r>
          <w:r>
            <w:rPr>
              <w:rFonts w:hint="eastAsia"/>
              <w:color w:val="auto"/>
              <w:szCs w:val="32"/>
              <w:lang w:val="en-US" w:eastAsia="zh-CN"/>
            </w:rPr>
            <w:fldChar w:fldCharType="separate"/>
          </w:r>
          <w:r>
            <w:rPr>
              <w:rFonts w:hint="eastAsia" w:hAnsi="Times New Roman" w:cs="Times New Roman"/>
              <w:i w:val="0"/>
              <w:color w:val="auto"/>
              <w:szCs w:val="21"/>
              <w:lang w:val="en-US" w:eastAsia="zh-CN" w:bidi="ar-SA"/>
            </w:rPr>
            <w:t>6</w:t>
          </w:r>
          <w:r>
            <w:rPr>
              <w:rFonts w:hint="eastAsia" w:ascii="黑体" w:hAnsi="Times New Roman" w:eastAsia="黑体" w:cs="Times New Roman"/>
              <w:i w:val="0"/>
              <w:color w:val="auto"/>
              <w:szCs w:val="21"/>
              <w:lang w:val="en-US" w:eastAsia="zh-CN" w:bidi="ar-SA"/>
            </w:rPr>
            <w:t xml:space="preserve">  </w:t>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机房和检修平台</w:t>
          </w:r>
          <w:r>
            <w:rPr>
              <w:color w:val="auto"/>
            </w:rPr>
            <w:tab/>
          </w:r>
          <w:r>
            <w:rPr>
              <w:rFonts w:hint="eastAsia"/>
              <w:color w:val="auto"/>
              <w:lang w:val="en-US" w:eastAsia="zh-CN"/>
            </w:rPr>
            <w:t>8</w:t>
          </w:r>
          <w:r>
            <w:rPr>
              <w:rFonts w:hint="eastAsia"/>
              <w:color w:val="auto"/>
              <w:szCs w:val="32"/>
              <w:lang w:val="en-US" w:eastAsia="zh-CN"/>
            </w:rPr>
            <w:fldChar w:fldCharType="end"/>
          </w:r>
        </w:p>
        <w:p>
          <w:pPr>
            <w:pStyle w:val="29"/>
            <w:tabs>
              <w:tab w:val="right" w:leader="dot" w:pos="8306"/>
            </w:tabs>
            <w:rPr>
              <w:color w:val="auto"/>
            </w:rPr>
          </w:pPr>
          <w:r>
            <w:rPr>
              <w:rFonts w:hint="eastAsia"/>
              <w:color w:val="auto"/>
              <w:szCs w:val="32"/>
              <w:lang w:val="en-US" w:eastAsia="zh-CN"/>
            </w:rPr>
            <w:fldChar w:fldCharType="begin"/>
          </w:r>
          <w:r>
            <w:rPr>
              <w:rFonts w:hint="eastAsia"/>
              <w:color w:val="auto"/>
              <w:szCs w:val="32"/>
              <w:lang w:val="en-US" w:eastAsia="zh-CN"/>
            </w:rPr>
            <w:instrText xml:space="preserve"> HYPERLINK \l _Toc6533 </w:instrText>
          </w:r>
          <w:r>
            <w:rPr>
              <w:rFonts w:hint="eastAsia"/>
              <w:color w:val="auto"/>
              <w:szCs w:val="32"/>
              <w:lang w:val="en-US" w:eastAsia="zh-CN"/>
            </w:rPr>
            <w:fldChar w:fldCharType="separate"/>
          </w:r>
          <w:r>
            <w:rPr>
              <w:rFonts w:hint="eastAsia" w:hAnsi="Times New Roman" w:cs="Times New Roman"/>
              <w:bCs w:val="0"/>
              <w:i w:val="0"/>
              <w:iCs w:val="0"/>
              <w:caps w:val="0"/>
              <w:strike w:val="0"/>
              <w:dstrike w:val="0"/>
              <w:vanish w:val="0"/>
              <w:color w:val="auto"/>
              <w:spacing w:val="0"/>
              <w:kern w:val="0"/>
              <w:position w:val="0"/>
              <w:szCs w:val="21"/>
              <w:vertAlign w:val="baseline"/>
              <w:lang w:val="en-US" w:eastAsia="zh-CN" w:bidi="ar-SA"/>
            </w:rPr>
            <w:t xml:space="preserve">7  </w:t>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金属结构</w:t>
          </w:r>
          <w:r>
            <w:rPr>
              <w:color w:val="auto"/>
            </w:rPr>
            <w:tab/>
          </w:r>
          <w:r>
            <w:rPr>
              <w:rFonts w:hint="eastAsia"/>
              <w:color w:val="auto"/>
              <w:lang w:val="en-US" w:eastAsia="zh-CN"/>
            </w:rPr>
            <w:t>9</w:t>
          </w:r>
          <w:r>
            <w:rPr>
              <w:rFonts w:hint="eastAsia"/>
              <w:color w:val="auto"/>
              <w:szCs w:val="32"/>
              <w:lang w:val="en-US" w:eastAsia="zh-CN"/>
            </w:rPr>
            <w:fldChar w:fldCharType="end"/>
          </w:r>
        </w:p>
        <w:p>
          <w:pPr>
            <w:pStyle w:val="29"/>
            <w:tabs>
              <w:tab w:val="right" w:leader="dot" w:pos="8306"/>
            </w:tabs>
            <w:rPr>
              <w:rFonts w:hint="default"/>
              <w:color w:val="auto"/>
              <w:lang w:val="en-US"/>
            </w:rPr>
          </w:pPr>
          <w:r>
            <w:rPr>
              <w:rFonts w:hint="eastAsia"/>
              <w:color w:val="auto"/>
              <w:szCs w:val="32"/>
              <w:lang w:val="en-US" w:eastAsia="zh-CN"/>
            </w:rPr>
            <w:fldChar w:fldCharType="begin"/>
          </w:r>
          <w:r>
            <w:rPr>
              <w:rFonts w:hint="eastAsia"/>
              <w:color w:val="auto"/>
              <w:szCs w:val="32"/>
              <w:lang w:val="en-US" w:eastAsia="zh-CN"/>
            </w:rPr>
            <w:instrText xml:space="preserve"> HYPERLINK \l _Toc15457 </w:instrText>
          </w:r>
          <w:r>
            <w:rPr>
              <w:rFonts w:hint="eastAsia"/>
              <w:color w:val="auto"/>
              <w:szCs w:val="32"/>
              <w:lang w:val="en-US" w:eastAsia="zh-CN"/>
            </w:rPr>
            <w:fldChar w:fldCharType="separate"/>
          </w:r>
          <w:r>
            <w:rPr>
              <w:rFonts w:hint="eastAsia" w:hAnsi="Times New Roman" w:cs="Times New Roman"/>
              <w:bCs w:val="0"/>
              <w:i w:val="0"/>
              <w:iCs w:val="0"/>
              <w:caps w:val="0"/>
              <w:strike w:val="0"/>
              <w:dstrike w:val="0"/>
              <w:vanish w:val="0"/>
              <w:color w:val="auto"/>
              <w:spacing w:val="0"/>
              <w:kern w:val="0"/>
              <w:position w:val="0"/>
              <w:szCs w:val="21"/>
              <w:vertAlign w:val="baseline"/>
              <w:lang w:val="en-US" w:eastAsia="zh-CN" w:bidi="ar-SA"/>
            </w:rPr>
            <w:t xml:space="preserve">8  </w:t>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主要零部件</w:t>
          </w:r>
          <w:r>
            <w:rPr>
              <w:color w:val="auto"/>
            </w:rPr>
            <w:tab/>
          </w:r>
          <w:r>
            <w:rPr>
              <w:rFonts w:hint="eastAsia"/>
              <w:color w:val="auto"/>
              <w:lang w:val="en-US" w:eastAsia="zh-CN"/>
            </w:rPr>
            <w:t>1</w:t>
          </w:r>
          <w:r>
            <w:rPr>
              <w:rFonts w:hint="eastAsia"/>
              <w:color w:val="auto"/>
              <w:szCs w:val="32"/>
              <w:lang w:val="en-US" w:eastAsia="zh-CN"/>
            </w:rPr>
            <w:fldChar w:fldCharType="end"/>
          </w:r>
          <w:r>
            <w:rPr>
              <w:rFonts w:hint="eastAsia"/>
              <w:color w:val="auto"/>
              <w:szCs w:val="32"/>
              <w:lang w:val="en-US" w:eastAsia="zh-CN"/>
            </w:rPr>
            <w:t>3</w:t>
          </w:r>
        </w:p>
        <w:p>
          <w:pPr>
            <w:pStyle w:val="29"/>
            <w:tabs>
              <w:tab w:val="right" w:leader="dot" w:pos="8306"/>
            </w:tabs>
            <w:rPr>
              <w:rFonts w:hint="default"/>
              <w:color w:val="auto"/>
              <w:lang w:val="en-US"/>
            </w:rPr>
          </w:pPr>
          <w:r>
            <w:rPr>
              <w:rFonts w:hint="eastAsia"/>
              <w:color w:val="auto"/>
              <w:szCs w:val="32"/>
              <w:lang w:val="en-US" w:eastAsia="zh-CN"/>
            </w:rPr>
            <w:fldChar w:fldCharType="begin"/>
          </w:r>
          <w:r>
            <w:rPr>
              <w:rFonts w:hint="eastAsia"/>
              <w:color w:val="auto"/>
              <w:szCs w:val="32"/>
              <w:lang w:val="en-US" w:eastAsia="zh-CN"/>
            </w:rPr>
            <w:instrText xml:space="preserve"> HYPERLINK \l _Toc30029 </w:instrText>
          </w:r>
          <w:r>
            <w:rPr>
              <w:rFonts w:hint="eastAsia"/>
              <w:color w:val="auto"/>
              <w:szCs w:val="32"/>
              <w:lang w:val="en-US" w:eastAsia="zh-CN"/>
            </w:rPr>
            <w:fldChar w:fldCharType="separate"/>
          </w:r>
          <w:r>
            <w:rPr>
              <w:rFonts w:hint="eastAsia" w:hAnsi="Times New Roman" w:cs="Times New Roman"/>
              <w:i w:val="0"/>
              <w:color w:val="auto"/>
              <w:szCs w:val="21"/>
              <w:lang w:val="en-US" w:eastAsia="zh-CN" w:bidi="ar-SA"/>
            </w:rPr>
            <w:t>9</w:t>
          </w:r>
          <w:r>
            <w:rPr>
              <w:rFonts w:hint="eastAsia" w:ascii="黑体" w:hAnsi="Times New Roman" w:eastAsia="黑体" w:cs="Times New Roman"/>
              <w:i w:val="0"/>
              <w:color w:val="auto"/>
              <w:szCs w:val="21"/>
              <w:lang w:val="en-US" w:eastAsia="zh-CN" w:bidi="ar-SA"/>
            </w:rPr>
            <w:t xml:space="preserve">  电气设备</w:t>
          </w:r>
          <w:r>
            <w:rPr>
              <w:color w:val="auto"/>
            </w:rPr>
            <w:tab/>
          </w:r>
          <w:r>
            <w:rPr>
              <w:rFonts w:hint="eastAsia"/>
              <w:color w:val="auto"/>
              <w:lang w:val="en-US" w:eastAsia="zh-CN"/>
            </w:rPr>
            <w:t>1</w:t>
          </w:r>
          <w:r>
            <w:rPr>
              <w:rFonts w:hint="eastAsia"/>
              <w:color w:val="auto"/>
              <w:szCs w:val="32"/>
              <w:lang w:val="en-US" w:eastAsia="zh-CN"/>
            </w:rPr>
            <w:fldChar w:fldCharType="end"/>
          </w:r>
          <w:r>
            <w:rPr>
              <w:rFonts w:hint="eastAsia"/>
              <w:color w:val="auto"/>
              <w:szCs w:val="32"/>
              <w:lang w:val="en-US" w:eastAsia="zh-CN"/>
            </w:rPr>
            <w:t>4</w:t>
          </w:r>
        </w:p>
        <w:p>
          <w:pPr>
            <w:pStyle w:val="29"/>
            <w:tabs>
              <w:tab w:val="right" w:leader="dot" w:pos="8306"/>
            </w:tabs>
            <w:rPr>
              <w:rFonts w:hint="default"/>
              <w:color w:val="auto"/>
              <w:lang w:val="en-US"/>
            </w:rPr>
          </w:pPr>
          <w:r>
            <w:rPr>
              <w:rFonts w:hint="eastAsia"/>
              <w:color w:val="auto"/>
              <w:szCs w:val="32"/>
              <w:lang w:val="en-US" w:eastAsia="zh-CN"/>
            </w:rPr>
            <w:fldChar w:fldCharType="begin"/>
          </w:r>
          <w:r>
            <w:rPr>
              <w:rFonts w:hint="eastAsia"/>
              <w:color w:val="auto"/>
              <w:szCs w:val="32"/>
              <w:lang w:val="en-US" w:eastAsia="zh-CN"/>
            </w:rPr>
            <w:instrText xml:space="preserve"> HYPERLINK \l _Toc8829 </w:instrText>
          </w:r>
          <w:r>
            <w:rPr>
              <w:rFonts w:hint="eastAsia"/>
              <w:color w:val="auto"/>
              <w:szCs w:val="32"/>
              <w:lang w:val="en-US" w:eastAsia="zh-CN"/>
            </w:rPr>
            <w:fldChar w:fldCharType="separate"/>
          </w:r>
          <w:r>
            <w:rPr>
              <w:rFonts w:hint="eastAsia" w:hAnsi="Times New Roman" w:cs="Times New Roman"/>
              <w:i w:val="0"/>
              <w:color w:val="auto"/>
              <w:szCs w:val="21"/>
              <w:lang w:val="en-US" w:eastAsia="zh-CN" w:bidi="ar-SA"/>
            </w:rPr>
            <w:t xml:space="preserve">10 </w:t>
          </w:r>
          <w:r>
            <w:rPr>
              <w:rFonts w:hint="eastAsia" w:ascii="黑体" w:hAnsi="Times New Roman" w:eastAsia="黑体" w:cs="Times New Roman"/>
              <w:i w:val="0"/>
              <w:color w:val="auto"/>
              <w:szCs w:val="21"/>
              <w:lang w:val="en-US" w:eastAsia="zh-CN" w:bidi="ar-SA"/>
            </w:rPr>
            <w:t>安全保护装置</w:t>
          </w:r>
          <w:r>
            <w:rPr>
              <w:color w:val="auto"/>
            </w:rPr>
            <w:tab/>
          </w:r>
          <w:r>
            <w:rPr>
              <w:rFonts w:hint="eastAsia"/>
              <w:color w:val="auto"/>
              <w:lang w:val="en-US" w:eastAsia="zh-CN"/>
            </w:rPr>
            <w:t>1</w:t>
          </w:r>
          <w:r>
            <w:rPr>
              <w:rFonts w:hint="eastAsia"/>
              <w:color w:val="auto"/>
              <w:szCs w:val="32"/>
              <w:lang w:val="en-US" w:eastAsia="zh-CN"/>
            </w:rPr>
            <w:fldChar w:fldCharType="end"/>
          </w:r>
          <w:r>
            <w:rPr>
              <w:rFonts w:hint="eastAsia"/>
              <w:color w:val="auto"/>
              <w:szCs w:val="32"/>
              <w:lang w:val="en-US" w:eastAsia="zh-CN"/>
            </w:rPr>
            <w:t>5</w:t>
          </w:r>
        </w:p>
        <w:p>
          <w:pPr>
            <w:pStyle w:val="29"/>
            <w:tabs>
              <w:tab w:val="right" w:leader="dot" w:pos="8306"/>
            </w:tabs>
            <w:rPr>
              <w:rFonts w:hint="default"/>
              <w:color w:val="auto"/>
              <w:lang w:val="en-US"/>
            </w:rPr>
          </w:pPr>
          <w:r>
            <w:rPr>
              <w:rFonts w:hint="eastAsia"/>
              <w:color w:val="auto"/>
              <w:szCs w:val="32"/>
              <w:lang w:val="en-US" w:eastAsia="zh-CN"/>
            </w:rPr>
            <w:fldChar w:fldCharType="begin"/>
          </w:r>
          <w:r>
            <w:rPr>
              <w:rFonts w:hint="eastAsia"/>
              <w:color w:val="auto"/>
              <w:szCs w:val="32"/>
              <w:lang w:val="en-US" w:eastAsia="zh-CN"/>
            </w:rPr>
            <w:instrText xml:space="preserve"> HYPERLINK \l _Toc32449 </w:instrText>
          </w:r>
          <w:r>
            <w:rPr>
              <w:rFonts w:hint="eastAsia"/>
              <w:color w:val="auto"/>
              <w:szCs w:val="32"/>
              <w:lang w:val="en-US" w:eastAsia="zh-CN"/>
            </w:rPr>
            <w:fldChar w:fldCharType="separate"/>
          </w:r>
          <w:r>
            <w:rPr>
              <w:rFonts w:hint="eastAsia" w:hAnsi="Times New Roman" w:cs="Times New Roman"/>
              <w:bCs w:val="0"/>
              <w:i w:val="0"/>
              <w:iCs w:val="0"/>
              <w:caps w:val="0"/>
              <w:strike w:val="0"/>
              <w:dstrike w:val="0"/>
              <w:vanish w:val="0"/>
              <w:color w:val="auto"/>
              <w:spacing w:val="0"/>
              <w:kern w:val="0"/>
              <w:position w:val="0"/>
              <w:szCs w:val="21"/>
              <w:vertAlign w:val="baseline"/>
              <w:lang w:val="en-US" w:eastAsia="zh-CN" w:bidi="ar-SA"/>
            </w:rPr>
            <w:t>11</w:t>
          </w:r>
          <w:r>
            <w:rPr>
              <w:rFonts w:hint="eastAsia" w:ascii="黑体" w:hAnsi="Times New Roman" w:eastAsia="黑体" w:cs="Times New Roman"/>
              <w:bCs w:val="0"/>
              <w:i w:val="0"/>
              <w:iCs w:val="0"/>
              <w:caps w:val="0"/>
              <w:strike w:val="0"/>
              <w:dstrike w:val="0"/>
              <w:vanish w:val="0"/>
              <w:color w:val="auto"/>
              <w:spacing w:val="0"/>
              <w:kern w:val="0"/>
              <w:position w:val="0"/>
              <w:szCs w:val="21"/>
              <w:vertAlign w:val="baseline"/>
              <w:lang w:val="en-US" w:eastAsia="zh-CN" w:bidi="ar-SA"/>
            </w:rPr>
            <w:t xml:space="preserve"> 试验要求</w:t>
          </w:r>
          <w:r>
            <w:rPr>
              <w:color w:val="auto"/>
            </w:rPr>
            <w:tab/>
          </w:r>
          <w:r>
            <w:rPr>
              <w:rFonts w:hint="eastAsia"/>
              <w:color w:val="auto"/>
              <w:lang w:val="en-US" w:eastAsia="zh-CN"/>
            </w:rPr>
            <w:t>1</w:t>
          </w:r>
          <w:r>
            <w:rPr>
              <w:rFonts w:hint="eastAsia"/>
              <w:color w:val="auto"/>
              <w:szCs w:val="32"/>
              <w:lang w:val="en-US" w:eastAsia="zh-CN"/>
            </w:rPr>
            <w:fldChar w:fldCharType="end"/>
          </w:r>
          <w:r>
            <w:rPr>
              <w:rFonts w:hint="eastAsia"/>
              <w:color w:val="auto"/>
              <w:szCs w:val="32"/>
              <w:lang w:val="en-US" w:eastAsia="zh-CN"/>
            </w:rPr>
            <w:t>6</w:t>
          </w:r>
        </w:p>
        <w:p>
          <w:pPr>
            <w:pStyle w:val="28"/>
            <w:ind w:firstLine="630" w:firstLineChars="300"/>
            <w:jc w:val="center"/>
            <w:outlineLvl w:val="9"/>
            <w:rPr>
              <w:rFonts w:hint="eastAsia" w:ascii="宋体" w:hAnsi="Times New Roman" w:eastAsia="宋体" w:cs="Times New Roman"/>
              <w:color w:val="auto"/>
              <w:sz w:val="21"/>
              <w:szCs w:val="32"/>
              <w:lang w:val="en-US" w:eastAsia="zh-CN" w:bidi="ar-SA"/>
            </w:rPr>
          </w:pPr>
          <w:r>
            <w:rPr>
              <w:rFonts w:hint="eastAsia"/>
              <w:color w:val="auto"/>
              <w:szCs w:val="32"/>
              <w:lang w:val="en-US" w:eastAsia="zh-CN"/>
            </w:rPr>
            <w:fldChar w:fldCharType="end"/>
          </w:r>
        </w:p>
      </w:sdtContent>
    </w:sdt>
    <w:p>
      <w:pPr>
        <w:pStyle w:val="28"/>
        <w:ind w:firstLine="630" w:firstLineChars="300"/>
        <w:jc w:val="center"/>
        <w:outlineLvl w:val="9"/>
        <w:rPr>
          <w:rFonts w:hint="eastAsia" w:ascii="宋体" w:hAnsi="Times New Roman" w:eastAsia="宋体" w:cs="Times New Roman"/>
          <w:color w:val="auto"/>
          <w:sz w:val="21"/>
          <w:szCs w:val="32"/>
          <w:lang w:val="en-US" w:eastAsia="zh-CN" w:bidi="ar-SA"/>
        </w:rPr>
      </w:pPr>
    </w:p>
    <w:p>
      <w:pPr>
        <w:pStyle w:val="28"/>
        <w:ind w:firstLine="960" w:firstLineChars="300"/>
        <w:jc w:val="center"/>
        <w:outlineLvl w:val="9"/>
        <w:rPr>
          <w:rFonts w:hint="eastAsia"/>
          <w:color w:val="auto"/>
          <w:sz w:val="32"/>
          <w:szCs w:val="32"/>
          <w:lang w:val="en-US" w:eastAsia="zh-CN"/>
        </w:rPr>
      </w:pPr>
    </w:p>
    <w:p>
      <w:pPr>
        <w:pStyle w:val="28"/>
        <w:ind w:firstLine="960" w:firstLineChars="300"/>
        <w:jc w:val="center"/>
        <w:outlineLvl w:val="9"/>
        <w:rPr>
          <w:rFonts w:hint="eastAsia"/>
          <w:color w:val="auto"/>
          <w:sz w:val="32"/>
          <w:szCs w:val="32"/>
          <w:lang w:val="en-US" w:eastAsia="zh-CN"/>
        </w:rPr>
      </w:pPr>
    </w:p>
    <w:p>
      <w:pPr>
        <w:pStyle w:val="28"/>
        <w:ind w:firstLine="960" w:firstLineChars="300"/>
        <w:jc w:val="center"/>
        <w:outlineLvl w:val="9"/>
        <w:rPr>
          <w:rFonts w:hint="eastAsia"/>
          <w:color w:val="auto"/>
          <w:sz w:val="32"/>
          <w:szCs w:val="32"/>
          <w:lang w:val="en-US" w:eastAsia="zh-CN"/>
        </w:rPr>
      </w:pPr>
    </w:p>
    <w:p>
      <w:pPr>
        <w:pStyle w:val="28"/>
        <w:ind w:firstLine="960" w:firstLineChars="300"/>
        <w:jc w:val="center"/>
        <w:outlineLvl w:val="9"/>
        <w:rPr>
          <w:rFonts w:hint="eastAsia"/>
          <w:color w:val="auto"/>
          <w:sz w:val="32"/>
          <w:szCs w:val="32"/>
          <w:lang w:val="en-US" w:eastAsia="zh-CN"/>
        </w:rPr>
      </w:pPr>
    </w:p>
    <w:p>
      <w:pPr>
        <w:pStyle w:val="28"/>
        <w:ind w:firstLine="960" w:firstLineChars="300"/>
        <w:jc w:val="center"/>
        <w:outlineLvl w:val="9"/>
        <w:rPr>
          <w:rFonts w:hint="eastAsia"/>
          <w:color w:val="auto"/>
          <w:sz w:val="32"/>
          <w:szCs w:val="32"/>
          <w:lang w:val="en-US" w:eastAsia="zh-CN"/>
        </w:rPr>
      </w:pPr>
    </w:p>
    <w:p>
      <w:pPr>
        <w:pStyle w:val="28"/>
        <w:ind w:firstLine="960" w:firstLineChars="300"/>
        <w:jc w:val="center"/>
        <w:outlineLvl w:val="9"/>
        <w:rPr>
          <w:rFonts w:hint="eastAsia"/>
          <w:color w:val="auto"/>
          <w:sz w:val="32"/>
          <w:szCs w:val="32"/>
          <w:lang w:val="en-US" w:eastAsia="zh-CN"/>
        </w:rPr>
      </w:pPr>
    </w:p>
    <w:p>
      <w:pPr>
        <w:pStyle w:val="28"/>
        <w:ind w:left="0" w:leftChars="0" w:firstLine="0" w:firstLineChars="0"/>
        <w:jc w:val="both"/>
        <w:outlineLvl w:val="9"/>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bookmarkStart w:id="25" w:name="_Toc31880"/>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color w:val="auto"/>
          <w:sz w:val="32"/>
          <w:szCs w:val="32"/>
          <w:lang w:val="en-US" w:eastAsia="zh-CN"/>
        </w:rPr>
      </w:pPr>
    </w:p>
    <w:p>
      <w:pPr>
        <w:pStyle w:val="28"/>
        <w:ind w:firstLine="960" w:firstLineChars="300"/>
        <w:jc w:val="center"/>
        <w:outlineLvl w:val="0"/>
        <w:rPr>
          <w:rFonts w:hint="eastAsia" w:eastAsia="宋体"/>
          <w:color w:val="auto"/>
          <w:sz w:val="32"/>
          <w:szCs w:val="32"/>
          <w:lang w:val="en-US" w:eastAsia="zh-CN"/>
        </w:rPr>
      </w:pPr>
      <w:r>
        <w:rPr>
          <w:rFonts w:hint="eastAsia"/>
          <w:color w:val="auto"/>
          <w:sz w:val="32"/>
          <w:szCs w:val="32"/>
          <w:lang w:val="en-US" w:eastAsia="zh-CN"/>
        </w:rPr>
        <w:t>前 言</w:t>
      </w:r>
      <w:bookmarkEnd w:id="25"/>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jc w:val="both"/>
        <w:rPr>
          <w:rFonts w:hint="eastAsia" w:ascii="宋体" w:hAnsi="宋体" w:eastAsia="宋体" w:cs="Times New Roman"/>
          <w:color w:val="auto"/>
          <w:kern w:val="2"/>
          <w:sz w:val="21"/>
          <w:szCs w:val="24"/>
          <w:lang w:val="en-US" w:eastAsia="zh-CN" w:bidi="ar-SA"/>
        </w:rPr>
      </w:pPr>
    </w:p>
    <w:p>
      <w:pPr>
        <w:pStyle w:val="28"/>
        <w:ind w:firstLine="630" w:firstLineChars="300"/>
        <w:rPr>
          <w:rFonts w:hint="eastAsia"/>
          <w:color w:val="auto"/>
        </w:rPr>
      </w:pPr>
      <w:r>
        <w:rPr>
          <w:rFonts w:hint="eastAsia"/>
          <w:color w:val="auto"/>
        </w:rPr>
        <w:t>本文件按照GB/T 1.1—2020《标准化工作导则  第1部分：标准化文件的结构和起草规则》的规定起草。</w:t>
      </w:r>
    </w:p>
    <w:p>
      <w:pPr>
        <w:pStyle w:val="28"/>
        <w:ind w:firstLine="630" w:firstLineChars="300"/>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本文件代替DB34/850-2015。</w:t>
      </w:r>
    </w:p>
    <w:p>
      <w:pPr>
        <w:pStyle w:val="28"/>
        <w:ind w:firstLine="630" w:firstLineChars="300"/>
        <w:rPr>
          <w:rFonts w:hint="default" w:eastAsia="宋体"/>
          <w:color w:val="auto"/>
          <w:lang w:val="en-US" w:eastAsia="zh-CN"/>
        </w:rPr>
      </w:pPr>
      <w:r>
        <w:rPr>
          <w:rFonts w:hint="eastAsia"/>
          <w:color w:val="auto"/>
          <w:lang w:val="en-US" w:eastAsia="zh-CN"/>
        </w:rPr>
        <w:t>本文件第二次修订</w:t>
      </w:r>
    </w:p>
    <w:p>
      <w:pPr>
        <w:pStyle w:val="28"/>
        <w:ind w:firstLine="630" w:firstLineChars="300"/>
        <w:rPr>
          <w:color w:val="auto"/>
          <w:szCs w:val="21"/>
        </w:rPr>
      </w:pPr>
      <w:r>
        <w:rPr>
          <w:rFonts w:hAnsi="宋体" w:cs="宋体"/>
          <w:color w:val="auto"/>
          <w:szCs w:val="21"/>
        </w:rPr>
        <w:t>请注意本文件的某些内容可能涉及专利。本文件的发布机构不承担识别专利的责任。</w:t>
      </w:r>
    </w:p>
    <w:p>
      <w:pPr>
        <w:pStyle w:val="28"/>
        <w:ind w:firstLine="630" w:firstLineChars="300"/>
        <w:rPr>
          <w:color w:val="auto"/>
        </w:rPr>
      </w:pPr>
      <w:r>
        <w:rPr>
          <w:rFonts w:hint="eastAsia"/>
          <w:color w:val="auto"/>
        </w:rPr>
        <w:t>本文件由安徽省特种设备检测院提出。</w:t>
      </w:r>
    </w:p>
    <w:p>
      <w:pPr>
        <w:pStyle w:val="28"/>
        <w:ind w:firstLine="630" w:firstLineChars="300"/>
        <w:rPr>
          <w:color w:val="auto"/>
        </w:rPr>
      </w:pPr>
      <w:r>
        <w:rPr>
          <w:rFonts w:hint="eastAsia"/>
          <w:color w:val="auto"/>
        </w:rPr>
        <w:t>本文件由安徽省市场监督管理局归口。</w:t>
      </w:r>
    </w:p>
    <w:p>
      <w:pPr>
        <w:pStyle w:val="28"/>
        <w:ind w:firstLine="630" w:firstLineChars="300"/>
        <w:rPr>
          <w:color w:val="auto"/>
        </w:rPr>
      </w:pPr>
      <w:r>
        <w:rPr>
          <w:rFonts w:hint="eastAsia"/>
          <w:color w:val="auto"/>
        </w:rPr>
        <w:t>本文件起草单位：安徽省特种设备检测院</w:t>
      </w:r>
      <w:r>
        <w:rPr>
          <w:rFonts w:hint="eastAsia" w:hAnsi="宋体"/>
          <w:color w:val="auto"/>
        </w:rPr>
        <w:t>、</w:t>
      </w:r>
    </w:p>
    <w:p>
      <w:pPr>
        <w:pStyle w:val="28"/>
        <w:ind w:firstLine="630" w:firstLineChars="300"/>
        <w:rPr>
          <w:rFonts w:hint="eastAsia" w:eastAsia="宋体"/>
          <w:color w:val="auto"/>
          <w:lang w:val="en-US" w:eastAsia="zh-CN"/>
        </w:rPr>
      </w:pPr>
      <w:r>
        <w:rPr>
          <w:rFonts w:hint="eastAsia"/>
          <w:color w:val="auto"/>
        </w:rPr>
        <w:t>本文件主要起草人：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本文件与DB34/850-2015相比作如下修改：</w:t>
      </w:r>
    </w:p>
    <w:p>
      <w:pPr>
        <w:pStyle w:val="24"/>
        <w:rPr>
          <w:rFonts w:hint="eastAsia" w:ascii="宋体" w:hAnsi="宋体" w:eastAsia="宋体" w:cs="Times New Roman"/>
          <w:color w:val="auto"/>
          <w:kern w:val="2"/>
          <w:sz w:val="21"/>
          <w:szCs w:val="24"/>
          <w:lang w:val="en-US" w:eastAsia="zh-CN" w:bidi="ar-SA"/>
        </w:rPr>
      </w:pPr>
    </w:p>
    <w:p>
      <w:pPr>
        <w:pStyle w:val="24"/>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w:t>
      </w:r>
      <w:r>
        <w:rPr>
          <w:rFonts w:hint="eastAsia" w:ascii="宋体" w:hAnsi="宋体" w:cs="Times New Roman"/>
          <w:color w:val="auto"/>
          <w:kern w:val="2"/>
          <w:sz w:val="21"/>
          <w:szCs w:val="24"/>
          <w:lang w:val="en-US" w:eastAsia="zh-CN" w:bidi="ar-SA"/>
        </w:rPr>
        <w:t xml:space="preserve"> </w:t>
      </w:r>
      <w:r>
        <w:rPr>
          <w:rFonts w:hint="eastAsia" w:ascii="宋体" w:hAnsi="宋体" w:eastAsia="宋体" w:cs="Times New Roman"/>
          <w:color w:val="auto"/>
          <w:kern w:val="2"/>
          <w:sz w:val="21"/>
          <w:szCs w:val="24"/>
          <w:lang w:val="en-US" w:eastAsia="zh-CN" w:bidi="ar-SA"/>
        </w:rPr>
        <w:t>增加了规范性引用文件</w:t>
      </w:r>
      <w:r>
        <w:rPr>
          <w:rFonts w:hint="eastAsia"/>
          <w:color w:val="auto"/>
          <w:lang w:val="en-US" w:eastAsia="zh-CN"/>
        </w:rPr>
        <w:t>GB/T 699  优质碳素结构钢</w:t>
      </w:r>
      <w:r>
        <w:rPr>
          <w:rFonts w:hint="eastAsia" w:ascii="宋体" w:hAnsi="宋体" w:eastAsia="宋体" w:cs="Times New Roman"/>
          <w:color w:val="auto"/>
          <w:kern w:val="2"/>
          <w:sz w:val="21"/>
          <w:szCs w:val="24"/>
          <w:lang w:val="en-US" w:eastAsia="zh-CN" w:bidi="ar-SA"/>
        </w:rPr>
        <w:t>；</w:t>
      </w:r>
    </w:p>
    <w:p>
      <w:pPr>
        <w:pStyle w:val="24"/>
        <w:rPr>
          <w:rFonts w:hint="eastAsia" w:ascii="宋体" w:hAnsi="宋体" w:eastAsia="宋体" w:cs="Times New Roman"/>
          <w:color w:val="auto"/>
          <w:kern w:val="2"/>
          <w:sz w:val="21"/>
          <w:szCs w:val="24"/>
          <w:lang w:val="en-US" w:eastAsia="zh-CN" w:bidi="ar-SA"/>
        </w:rPr>
      </w:pPr>
    </w:p>
    <w:p>
      <w:pPr>
        <w:pStyle w:val="24"/>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w:t>
      </w:r>
      <w:r>
        <w:rPr>
          <w:rFonts w:hint="eastAsia" w:ascii="宋体" w:hAnsi="宋体" w:cs="Times New Roman"/>
          <w:color w:val="auto"/>
          <w:kern w:val="2"/>
          <w:sz w:val="21"/>
          <w:szCs w:val="24"/>
          <w:lang w:val="en-US" w:eastAsia="zh-CN" w:bidi="ar-SA"/>
        </w:rPr>
        <w:t xml:space="preserve"> </w:t>
      </w:r>
      <w:r>
        <w:rPr>
          <w:rFonts w:hint="eastAsia" w:ascii="宋体" w:hAnsi="宋体" w:eastAsia="宋体" w:cs="Times New Roman"/>
          <w:color w:val="auto"/>
          <w:kern w:val="2"/>
          <w:sz w:val="21"/>
          <w:szCs w:val="24"/>
          <w:lang w:val="en-US" w:eastAsia="zh-CN" w:bidi="ar-SA"/>
        </w:rPr>
        <w:t>增加了规范性引用文件</w:t>
      </w:r>
      <w:r>
        <w:rPr>
          <w:rFonts w:hint="eastAsia"/>
          <w:color w:val="auto"/>
          <w:lang w:val="en-US" w:eastAsia="zh-CN"/>
        </w:rPr>
        <w:t>GB/T 700  碳素结构钢</w:t>
      </w:r>
      <w:r>
        <w:rPr>
          <w:rFonts w:hint="eastAsia" w:ascii="宋体" w:hAnsi="宋体" w:eastAsia="宋体" w:cs="Times New Roman"/>
          <w:color w:val="auto"/>
          <w:kern w:val="2"/>
          <w:sz w:val="21"/>
          <w:szCs w:val="24"/>
          <w:lang w:val="en-US" w:eastAsia="zh-CN" w:bidi="ar-SA"/>
        </w:rPr>
        <w:t>；</w:t>
      </w:r>
    </w:p>
    <w:p>
      <w:pPr>
        <w:pStyle w:val="24"/>
        <w:ind w:left="0" w:leftChars="0" w:firstLine="0" w:firstLineChars="0"/>
        <w:rPr>
          <w:rFonts w:hint="eastAsia" w:ascii="宋体" w:hAnsi="宋体" w:eastAsia="宋体" w:cs="Times New Roman"/>
          <w:color w:val="auto"/>
          <w:kern w:val="2"/>
          <w:sz w:val="21"/>
          <w:szCs w:val="24"/>
          <w:lang w:val="en-US" w:eastAsia="zh-CN" w:bidi="ar-SA"/>
        </w:rPr>
      </w:pPr>
    </w:p>
    <w:p>
      <w:pPr>
        <w:pStyle w:val="24"/>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w:t>
      </w:r>
      <w:r>
        <w:rPr>
          <w:rFonts w:hint="eastAsia" w:ascii="宋体" w:hAnsi="宋体" w:cs="Times New Roman"/>
          <w:color w:val="auto"/>
          <w:kern w:val="2"/>
          <w:sz w:val="21"/>
          <w:szCs w:val="24"/>
          <w:lang w:val="en-US" w:eastAsia="zh-CN" w:bidi="ar-SA"/>
        </w:rPr>
        <w:t xml:space="preserve"> </w:t>
      </w:r>
      <w:r>
        <w:rPr>
          <w:rFonts w:hint="eastAsia" w:ascii="宋体" w:hAnsi="宋体" w:eastAsia="宋体" w:cs="Times New Roman"/>
          <w:color w:val="auto"/>
          <w:kern w:val="2"/>
          <w:sz w:val="21"/>
          <w:szCs w:val="24"/>
          <w:lang w:val="en-US" w:eastAsia="zh-CN" w:bidi="ar-SA"/>
        </w:rPr>
        <w:t>增加了规范性引用文件</w:t>
      </w:r>
      <w:r>
        <w:rPr>
          <w:rFonts w:hint="eastAsia"/>
          <w:color w:val="auto"/>
          <w:lang w:val="en-US" w:eastAsia="zh-CN"/>
        </w:rPr>
        <w:t>GB/T 5313  厚度方向性能钢板</w:t>
      </w:r>
      <w:r>
        <w:rPr>
          <w:rFonts w:hint="eastAsia" w:ascii="宋体" w:hAnsi="宋体" w:eastAsia="宋体" w:cs="Times New Roman"/>
          <w:color w:val="auto"/>
          <w:kern w:val="2"/>
          <w:sz w:val="21"/>
          <w:szCs w:val="24"/>
          <w:lang w:val="en-US" w:eastAsia="zh-CN" w:bidi="ar-SA"/>
        </w:rPr>
        <w:t>；</w:t>
      </w:r>
    </w:p>
    <w:p>
      <w:pPr>
        <w:pStyle w:val="24"/>
        <w:rPr>
          <w:rFonts w:hint="eastAsia" w:ascii="宋体" w:hAnsi="宋体" w:eastAsia="宋体" w:cs="Times New Roman"/>
          <w:color w:val="auto"/>
          <w:kern w:val="2"/>
          <w:sz w:val="21"/>
          <w:szCs w:val="24"/>
          <w:lang w:val="en-US" w:eastAsia="zh-CN" w:bidi="ar-SA"/>
        </w:rPr>
      </w:pPr>
    </w:p>
    <w:p>
      <w:pPr>
        <w:pStyle w:val="24"/>
        <w:rPr>
          <w:rFonts w:hint="eastAsia"/>
          <w:color w:val="auto"/>
          <w:lang w:val="en-US" w:eastAsia="zh-CN"/>
        </w:rPr>
      </w:pPr>
      <w:r>
        <w:rPr>
          <w:rFonts w:hint="eastAsia" w:ascii="宋体" w:hAnsi="宋体" w:eastAsia="宋体" w:cs="Times New Roman"/>
          <w:color w:val="auto"/>
          <w:kern w:val="2"/>
          <w:sz w:val="21"/>
          <w:szCs w:val="24"/>
          <w:lang w:val="en-US" w:eastAsia="zh-CN" w:bidi="ar-SA"/>
        </w:rPr>
        <w:t>——</w:t>
      </w:r>
      <w:r>
        <w:rPr>
          <w:rFonts w:hint="eastAsia" w:hAnsi="宋体" w:cs="Times New Roman"/>
          <w:color w:val="auto"/>
          <w:kern w:val="2"/>
          <w:sz w:val="21"/>
          <w:szCs w:val="24"/>
          <w:lang w:val="en-US" w:eastAsia="zh-CN" w:bidi="ar-SA"/>
        </w:rPr>
        <w:t xml:space="preserve"> </w:t>
      </w:r>
      <w:r>
        <w:rPr>
          <w:rFonts w:hint="eastAsia" w:ascii="宋体" w:hAnsi="宋体" w:eastAsia="宋体" w:cs="Times New Roman"/>
          <w:color w:val="auto"/>
          <w:kern w:val="2"/>
          <w:sz w:val="21"/>
          <w:szCs w:val="24"/>
          <w:lang w:val="en-US" w:eastAsia="zh-CN" w:bidi="ar-SA"/>
        </w:rPr>
        <w:t>增加了规范性引</w:t>
      </w:r>
      <w:r>
        <w:rPr>
          <w:rFonts w:hint="eastAsia" w:ascii="宋体" w:hAnsi="Times New Roman" w:eastAsia="宋体" w:cs="Times New Roman"/>
          <w:color w:val="auto"/>
          <w:kern w:val="0"/>
          <w:sz w:val="21"/>
          <w:szCs w:val="20"/>
          <w:lang w:val="en-US" w:eastAsia="zh-CN" w:bidi="ar-SA"/>
        </w:rPr>
        <w:t>用文件</w:t>
      </w:r>
      <w:r>
        <w:rPr>
          <w:rFonts w:hint="eastAsia"/>
          <w:color w:val="auto"/>
          <w:lang w:val="en-US" w:eastAsia="zh-CN"/>
        </w:rPr>
        <w:t>GB/T 23821 机械安全 防止上下肢触及危险区的安全距离；</w:t>
      </w:r>
    </w:p>
    <w:p>
      <w:pPr>
        <w:pStyle w:val="24"/>
        <w:rPr>
          <w:rFonts w:hint="eastAsia" w:ascii="宋体" w:hAnsi="宋体" w:eastAsia="宋体" w:cs="Times New Roman"/>
          <w:color w:val="auto"/>
          <w:kern w:val="2"/>
          <w:sz w:val="21"/>
          <w:szCs w:val="24"/>
          <w:lang w:val="en-US" w:eastAsia="zh-CN" w:bidi="ar-SA"/>
        </w:rPr>
      </w:pPr>
    </w:p>
    <w:p>
      <w:pPr>
        <w:pStyle w:val="24"/>
        <w:rPr>
          <w:rFonts w:hint="eastAsia" w:ascii="宋体" w:hAnsi="Times New Roman" w:eastAsia="宋体" w:cs="Times New Roman"/>
          <w:color w:val="auto"/>
          <w:kern w:val="0"/>
          <w:sz w:val="21"/>
          <w:szCs w:val="20"/>
          <w:lang w:val="en-US" w:eastAsia="zh-CN" w:bidi="ar-SA"/>
        </w:rPr>
      </w:pPr>
      <w:r>
        <w:rPr>
          <w:rFonts w:hint="eastAsia" w:ascii="宋体" w:hAnsi="宋体" w:eastAsia="宋体" w:cs="Times New Roman"/>
          <w:color w:val="auto"/>
          <w:kern w:val="2"/>
          <w:sz w:val="21"/>
          <w:szCs w:val="24"/>
          <w:lang w:val="en-US" w:eastAsia="zh-CN" w:bidi="ar-SA"/>
        </w:rPr>
        <w:t>—— 增加了规范性引</w:t>
      </w:r>
      <w:r>
        <w:rPr>
          <w:rFonts w:hint="eastAsia" w:ascii="宋体" w:hAnsi="Times New Roman" w:eastAsia="宋体" w:cs="Times New Roman"/>
          <w:color w:val="auto"/>
          <w:kern w:val="0"/>
          <w:sz w:val="21"/>
          <w:szCs w:val="20"/>
          <w:lang w:val="en-US" w:eastAsia="zh-CN" w:bidi="ar-SA"/>
        </w:rPr>
        <w:t>用文件TSG 51-2023 起重机械安全技术规程；</w:t>
      </w:r>
    </w:p>
    <w:p>
      <w:pPr>
        <w:pStyle w:val="24"/>
        <w:rPr>
          <w:rFonts w:hint="eastAsia" w:ascii="宋体" w:hAnsi="宋体" w:eastAsia="宋体" w:cs="Times New Roman"/>
          <w:color w:val="auto"/>
          <w:kern w:val="2"/>
          <w:sz w:val="21"/>
          <w:szCs w:val="24"/>
          <w:lang w:val="en-US" w:eastAsia="zh-CN" w:bidi="ar-SA"/>
        </w:rPr>
      </w:pPr>
    </w:p>
    <w:p>
      <w:pPr>
        <w:pStyle w:val="24"/>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增加了术语和定义；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更改了验收条件的要求；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更改了使用维护保养说明书的要求；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增加了井道的一般要求。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增加了不完全封闭井道的要求。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增加了货箱材料的要求。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增加了货厢高度的要求。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增加了货厢与面对货厢入口的井道壁的间距的要求。</w:t>
      </w:r>
    </w:p>
    <w:p>
      <w:pPr>
        <w:spacing w:before="214" w:line="222" w:lineRule="auto"/>
        <w:ind w:left="3" w:firstLine="420" w:firstLineChars="200"/>
        <w:outlineLvl w:val="0"/>
        <w:rPr>
          <w:rFonts w:hint="default"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增加了货厢门关闭方式的要求。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增加了层门的要求。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default"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增加了高强度螺栓副的强度要求。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xml:space="preserve"> ——增加了滑轮的要求。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增加了电气设备电击防护的要求；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增加了停层保护试验的要求。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增加了下行超速保护试验的要求。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删除了液压装置的要求。</w:t>
      </w:r>
    </w:p>
    <w:p>
      <w:pPr>
        <w:pStyle w:val="2"/>
        <w:spacing w:before="97" w:line="222" w:lineRule="auto"/>
        <w:ind w:firstLine="327" w:firstLineChars="100"/>
        <w:jc w:val="center"/>
        <w:outlineLvl w:val="0"/>
        <w:rPr>
          <w:rFonts w:hint="eastAsia"/>
          <w:b/>
          <w:bCs/>
          <w:color w:val="auto"/>
          <w:spacing w:val="13"/>
          <w:sz w:val="30"/>
          <w:szCs w:val="30"/>
          <w:lang w:val="en-US" w:eastAsia="zh-CN"/>
        </w:rPr>
      </w:pPr>
      <w:bookmarkStart w:id="26" w:name="_Toc30706"/>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rFonts w:hint="eastAsia"/>
          <w:b/>
          <w:bCs/>
          <w:color w:val="auto"/>
          <w:spacing w:val="13"/>
          <w:sz w:val="30"/>
          <w:szCs w:val="30"/>
          <w:lang w:val="en-US" w:eastAsia="zh-CN"/>
        </w:rPr>
      </w:pPr>
    </w:p>
    <w:p>
      <w:pPr>
        <w:pStyle w:val="2"/>
        <w:spacing w:before="97" w:line="222" w:lineRule="auto"/>
        <w:ind w:firstLine="327" w:firstLineChars="100"/>
        <w:jc w:val="center"/>
        <w:outlineLvl w:val="0"/>
        <w:rPr>
          <w:color w:val="auto"/>
          <w:sz w:val="30"/>
          <w:szCs w:val="30"/>
        </w:rPr>
      </w:pPr>
      <w:r>
        <w:rPr>
          <w:rFonts w:hint="eastAsia"/>
          <w:b/>
          <w:bCs/>
          <w:color w:val="auto"/>
          <w:spacing w:val="13"/>
          <w:sz w:val="30"/>
          <w:szCs w:val="30"/>
          <w:lang w:val="en-US" w:eastAsia="zh-CN"/>
        </w:rPr>
        <w:t>曳引</w:t>
      </w:r>
      <w:r>
        <w:rPr>
          <w:b/>
          <w:bCs/>
          <w:color w:val="auto"/>
          <w:spacing w:val="13"/>
          <w:sz w:val="30"/>
          <w:szCs w:val="30"/>
        </w:rPr>
        <w:t>驱动简易升降机安装验收技术规范</w:t>
      </w:r>
      <w:bookmarkEnd w:id="26"/>
    </w:p>
    <w:p>
      <w:pPr>
        <w:spacing w:line="288" w:lineRule="auto"/>
        <w:rPr>
          <w:rFonts w:ascii="Arial"/>
          <w:color w:val="auto"/>
          <w:sz w:val="21"/>
        </w:rPr>
      </w:pPr>
    </w:p>
    <w:p>
      <w:pPr>
        <w:pStyle w:val="25"/>
        <w:numPr>
          <w:ilvl w:val="0"/>
          <w:numId w:val="0"/>
        </w:numPr>
        <w:spacing w:before="240" w:after="240"/>
        <w:ind w:left="0" w:leftChars="0" w:firstLine="0" w:firstLineChars="0"/>
        <w:outlineLvl w:val="0"/>
        <w:rPr>
          <w:rFonts w:hint="eastAsia" w:ascii="黑体" w:hAnsi="Times New Roman" w:eastAsia="黑体" w:cs="Times New Roman"/>
          <w:b w:val="0"/>
          <w:i w:val="0"/>
          <w:color w:val="auto"/>
          <w:sz w:val="21"/>
          <w:szCs w:val="21"/>
          <w:lang w:val="en-US" w:eastAsia="zh-CN" w:bidi="ar-SA"/>
        </w:rPr>
      </w:pPr>
      <w:bookmarkStart w:id="27" w:name="_Toc18373"/>
      <w:r>
        <w:rPr>
          <w:rFonts w:hint="eastAsia" w:ascii="黑体" w:hAnsi="Times New Roman" w:eastAsia="黑体" w:cs="Times New Roman"/>
          <w:b w:val="0"/>
          <w:i w:val="0"/>
          <w:color w:val="auto"/>
          <w:sz w:val="21"/>
          <w:szCs w:val="21"/>
          <w:lang w:val="en-US" w:eastAsia="zh-CN" w:bidi="ar-SA"/>
        </w:rPr>
        <w:t>1  范 围</w:t>
      </w:r>
      <w:bookmarkEnd w:id="27"/>
    </w:p>
    <w:p>
      <w:pPr>
        <w:pStyle w:val="24"/>
        <w:rPr>
          <w:rFonts w:hint="eastAsia"/>
          <w:color w:val="auto"/>
        </w:rPr>
      </w:pPr>
      <w:r>
        <w:rPr>
          <w:rFonts w:hint="eastAsia"/>
          <w:color w:val="auto"/>
        </w:rPr>
        <w:t>本</w:t>
      </w:r>
      <w:r>
        <w:rPr>
          <w:rFonts w:hint="eastAsia"/>
          <w:color w:val="auto"/>
          <w:lang w:val="en-US" w:eastAsia="zh-CN"/>
        </w:rPr>
        <w:t>文件</w:t>
      </w:r>
      <w:r>
        <w:rPr>
          <w:rFonts w:hint="eastAsia"/>
          <w:color w:val="auto"/>
        </w:rPr>
        <w:t>规定了</w:t>
      </w:r>
      <w:r>
        <w:rPr>
          <w:rFonts w:hint="eastAsia"/>
          <w:color w:val="auto"/>
          <w:lang w:val="en-US" w:eastAsia="zh-CN"/>
        </w:rPr>
        <w:t>曳引</w:t>
      </w:r>
      <w:r>
        <w:rPr>
          <w:rFonts w:hint="eastAsia"/>
          <w:color w:val="auto"/>
        </w:rPr>
        <w:t>驱动简易升降机安装验收应遵守的安全准则。</w:t>
      </w:r>
    </w:p>
    <w:p>
      <w:pPr>
        <w:pStyle w:val="24"/>
        <w:rPr>
          <w:rFonts w:hint="eastAsia"/>
          <w:color w:val="auto"/>
        </w:rPr>
      </w:pPr>
      <w:r>
        <w:rPr>
          <w:rFonts w:hint="eastAsia"/>
          <w:color w:val="auto"/>
        </w:rPr>
        <w:t>本</w:t>
      </w:r>
      <w:r>
        <w:rPr>
          <w:rFonts w:hint="eastAsia"/>
          <w:color w:val="auto"/>
          <w:lang w:val="en-US" w:eastAsia="zh-CN"/>
        </w:rPr>
        <w:t>文件</w:t>
      </w:r>
      <w:r>
        <w:rPr>
          <w:rFonts w:hint="eastAsia"/>
          <w:color w:val="auto"/>
        </w:rPr>
        <w:t>适用于额定起重量≤</w:t>
      </w:r>
      <w:r>
        <w:rPr>
          <w:rFonts w:hint="eastAsia"/>
          <w:color w:val="auto"/>
          <w:lang w:val="en-US" w:eastAsia="zh-CN"/>
        </w:rPr>
        <w:t>30</w:t>
      </w:r>
      <w:r>
        <w:rPr>
          <w:rFonts w:hint="eastAsia"/>
          <w:color w:val="auto"/>
        </w:rPr>
        <w:t>00kg,额定速度≤0.3 m/s, 层站≤</w:t>
      </w:r>
      <w:r>
        <w:rPr>
          <w:rFonts w:hint="eastAsia"/>
          <w:color w:val="auto"/>
          <w:lang w:val="en-US" w:eastAsia="zh-CN"/>
        </w:rPr>
        <w:t>6</w:t>
      </w:r>
      <w:r>
        <w:rPr>
          <w:rFonts w:hint="eastAsia"/>
          <w:color w:val="auto"/>
        </w:rPr>
        <w:t>层，提升高度≤</w:t>
      </w:r>
      <w:r>
        <w:rPr>
          <w:rFonts w:hint="eastAsia"/>
          <w:color w:val="auto"/>
          <w:lang w:val="en-US" w:eastAsia="zh-CN"/>
        </w:rPr>
        <w:t>20</w:t>
      </w:r>
      <w:r>
        <w:rPr>
          <w:rFonts w:hint="eastAsia"/>
          <w:color w:val="auto"/>
        </w:rPr>
        <w:t xml:space="preserve"> m的</w:t>
      </w:r>
      <w:r>
        <w:rPr>
          <w:rFonts w:hint="eastAsia"/>
          <w:color w:val="auto"/>
          <w:lang w:val="en-US" w:eastAsia="zh-CN"/>
        </w:rPr>
        <w:t>曳引驱动</w:t>
      </w:r>
      <w:r>
        <w:rPr>
          <w:rFonts w:hint="eastAsia"/>
          <w:color w:val="auto"/>
        </w:rPr>
        <w:t>简易升降机。</w:t>
      </w:r>
    </w:p>
    <w:p>
      <w:pPr>
        <w:pStyle w:val="25"/>
        <w:numPr>
          <w:ilvl w:val="0"/>
          <w:numId w:val="0"/>
        </w:numPr>
        <w:spacing w:before="240" w:after="240"/>
        <w:ind w:left="0" w:leftChars="0" w:firstLine="0" w:firstLineChars="0"/>
        <w:outlineLvl w:val="0"/>
        <w:rPr>
          <w:rFonts w:hint="default" w:ascii="黑体" w:hAnsi="Times New Roman" w:eastAsia="黑体" w:cs="Times New Roman"/>
          <w:b w:val="0"/>
          <w:i w:val="0"/>
          <w:color w:val="auto"/>
          <w:sz w:val="21"/>
          <w:szCs w:val="21"/>
          <w:lang w:val="en-US" w:eastAsia="zh-CN" w:bidi="ar-SA"/>
        </w:rPr>
      </w:pPr>
      <w:bookmarkStart w:id="28" w:name="_Toc22406"/>
      <w:r>
        <w:rPr>
          <w:rFonts w:hint="eastAsia" w:ascii="黑体" w:hAnsi="Times New Roman" w:eastAsia="黑体" w:cs="Times New Roman"/>
          <w:b w:val="0"/>
          <w:i w:val="0"/>
          <w:color w:val="auto"/>
          <w:sz w:val="21"/>
          <w:szCs w:val="21"/>
          <w:lang w:val="en-US" w:eastAsia="zh-CN" w:bidi="ar-SA"/>
        </w:rPr>
        <w:t>2  规范性引用文件</w:t>
      </w:r>
      <w:bookmarkEnd w:id="28"/>
      <w:r>
        <w:rPr>
          <w:rFonts w:hint="eastAsia" w:cs="Times New Roman"/>
          <w:b w:val="0"/>
          <w:i w:val="0"/>
          <w:color w:val="auto"/>
          <w:sz w:val="21"/>
          <w:szCs w:val="21"/>
          <w:lang w:val="en-US" w:eastAsia="zh-CN" w:bidi="ar-SA"/>
        </w:rPr>
        <w:t xml:space="preserve">   </w:t>
      </w:r>
    </w:p>
    <w:p>
      <w:pPr>
        <w:pStyle w:val="24"/>
        <w:rPr>
          <w:rFonts w:hint="eastAsia"/>
          <w:color w:val="auto"/>
        </w:rPr>
      </w:pPr>
      <w:r>
        <w:rPr>
          <w:rFonts w:hint="eastAsia"/>
          <w:color w:val="auto"/>
        </w:rPr>
        <w:t>下列文件对于本文件的应用是必不可少的。凡是注日期的引用文件，仅所注日期的版本适用于本文件。凡是不注日期的引用文件，其最新版本(包括所有的修改单)适用于本文件。</w:t>
      </w:r>
    </w:p>
    <w:p>
      <w:pPr>
        <w:pStyle w:val="24"/>
        <w:rPr>
          <w:rFonts w:hint="eastAsia"/>
          <w:color w:val="auto"/>
          <w:lang w:val="en-US" w:eastAsia="zh-CN"/>
        </w:rPr>
      </w:pPr>
    </w:p>
    <w:p>
      <w:pPr>
        <w:pStyle w:val="24"/>
        <w:rPr>
          <w:rFonts w:hint="eastAsia"/>
          <w:color w:val="auto"/>
          <w:lang w:val="en-US" w:eastAsia="zh-CN"/>
        </w:rPr>
      </w:pPr>
      <w:r>
        <w:rPr>
          <w:rFonts w:hint="eastAsia"/>
          <w:color w:val="auto"/>
          <w:lang w:val="en-US" w:eastAsia="zh-CN"/>
        </w:rPr>
        <w:t>GB/T 699    优质碳素结构钢</w:t>
      </w:r>
    </w:p>
    <w:p>
      <w:pPr>
        <w:pStyle w:val="24"/>
        <w:rPr>
          <w:rFonts w:hint="eastAsia"/>
          <w:color w:val="auto"/>
          <w:lang w:val="en-US" w:eastAsia="zh-CN"/>
        </w:rPr>
      </w:pPr>
      <w:r>
        <w:rPr>
          <w:rFonts w:hint="eastAsia"/>
          <w:color w:val="auto"/>
          <w:lang w:val="en-US" w:eastAsia="zh-CN"/>
        </w:rPr>
        <w:t>GB/T 700    碳素结构钢</w:t>
      </w:r>
    </w:p>
    <w:p>
      <w:pPr>
        <w:pStyle w:val="24"/>
        <w:rPr>
          <w:rFonts w:hint="eastAsia"/>
          <w:color w:val="auto"/>
          <w:lang w:val="en-US" w:eastAsia="zh-CN"/>
        </w:rPr>
      </w:pPr>
      <w:r>
        <w:rPr>
          <w:rFonts w:hint="eastAsia"/>
          <w:color w:val="auto"/>
          <w:lang w:val="en-US" w:eastAsia="zh-CN"/>
        </w:rPr>
        <w:t>GB/T 5313   厚度方向性能钢板</w:t>
      </w:r>
    </w:p>
    <w:p>
      <w:pPr>
        <w:pStyle w:val="24"/>
        <w:rPr>
          <w:rFonts w:hint="eastAsia"/>
          <w:color w:val="auto"/>
          <w:lang w:val="en-US" w:eastAsia="zh-CN"/>
        </w:rPr>
      </w:pPr>
      <w:r>
        <w:rPr>
          <w:rFonts w:hint="eastAsia"/>
          <w:color w:val="auto"/>
        </w:rPr>
        <w:t xml:space="preserve">GB/T 5972 </w:t>
      </w:r>
      <w:r>
        <w:rPr>
          <w:rFonts w:hint="eastAsia"/>
          <w:color w:val="auto"/>
          <w:lang w:val="en-US" w:eastAsia="zh-CN"/>
        </w:rPr>
        <w:t xml:space="preserve">  </w:t>
      </w:r>
      <w:r>
        <w:rPr>
          <w:rFonts w:hint="eastAsia"/>
          <w:color w:val="auto"/>
        </w:rPr>
        <w:t>起重机钢丝绳保养、维护、安装、检验和报废</w:t>
      </w:r>
    </w:p>
    <w:p>
      <w:pPr>
        <w:pStyle w:val="24"/>
        <w:rPr>
          <w:rFonts w:hint="eastAsia"/>
          <w:color w:val="auto"/>
          <w:lang w:val="en-US" w:eastAsia="zh-CN"/>
        </w:rPr>
      </w:pPr>
      <w:r>
        <w:rPr>
          <w:rFonts w:hint="eastAsia"/>
          <w:color w:val="auto"/>
        </w:rPr>
        <w:t xml:space="preserve">GB 6067.1 </w:t>
      </w:r>
      <w:r>
        <w:rPr>
          <w:rFonts w:hint="eastAsia"/>
          <w:color w:val="auto"/>
          <w:lang w:val="en-US" w:eastAsia="zh-CN"/>
        </w:rPr>
        <w:t xml:space="preserve">  </w:t>
      </w:r>
      <w:r>
        <w:rPr>
          <w:rFonts w:hint="eastAsia"/>
          <w:color w:val="auto"/>
        </w:rPr>
        <w:t>起重机械安全规程第1部分：总则</w:t>
      </w:r>
    </w:p>
    <w:p>
      <w:pPr>
        <w:pStyle w:val="24"/>
        <w:rPr>
          <w:rFonts w:hint="eastAsia"/>
          <w:color w:val="auto"/>
        </w:rPr>
      </w:pPr>
      <w:r>
        <w:rPr>
          <w:rFonts w:hint="eastAsia"/>
          <w:color w:val="auto"/>
        </w:rPr>
        <w:t>GB 89</w:t>
      </w:r>
      <w:r>
        <w:rPr>
          <w:rFonts w:hint="eastAsia"/>
          <w:color w:val="auto"/>
          <w:lang w:val="en-US" w:eastAsia="zh-CN"/>
        </w:rPr>
        <w:t>03</w:t>
      </w:r>
      <w:r>
        <w:rPr>
          <w:rFonts w:hint="eastAsia"/>
          <w:color w:val="auto"/>
        </w:rPr>
        <w:t xml:space="preserve"> </w:t>
      </w:r>
      <w:r>
        <w:rPr>
          <w:rFonts w:hint="eastAsia"/>
          <w:color w:val="auto"/>
          <w:lang w:val="en-US" w:eastAsia="zh-CN"/>
        </w:rPr>
        <w:t xml:space="preserve">    电梯</w:t>
      </w:r>
      <w:r>
        <w:rPr>
          <w:rFonts w:hint="eastAsia"/>
          <w:color w:val="auto"/>
        </w:rPr>
        <w:t>用钢丝绳</w:t>
      </w:r>
    </w:p>
    <w:p>
      <w:pPr>
        <w:pStyle w:val="24"/>
        <w:rPr>
          <w:rFonts w:hint="eastAsia"/>
          <w:color w:val="auto"/>
        </w:rPr>
      </w:pPr>
      <w:r>
        <w:rPr>
          <w:rFonts w:hint="eastAsia"/>
          <w:color w:val="auto"/>
          <w:lang w:val="en-US" w:eastAsia="zh-CN"/>
        </w:rPr>
        <w:t>GB/T 23821  机械安全 防止上下肢触及危险区的安全距离</w:t>
      </w:r>
    </w:p>
    <w:p>
      <w:pPr>
        <w:pStyle w:val="24"/>
        <w:rPr>
          <w:rFonts w:hint="eastAsia"/>
          <w:color w:val="auto"/>
          <w:lang w:val="en-US" w:eastAsia="zh-CN"/>
        </w:rPr>
      </w:pPr>
      <w:r>
        <w:rPr>
          <w:rFonts w:hint="eastAsia"/>
          <w:color w:val="auto"/>
        </w:rPr>
        <w:t>GB</w:t>
      </w:r>
      <w:r>
        <w:rPr>
          <w:rFonts w:hint="eastAsia"/>
          <w:color w:val="auto"/>
          <w:lang w:val="en-US" w:eastAsia="zh-CN"/>
        </w:rPr>
        <w:t xml:space="preserve"> </w:t>
      </w:r>
      <w:r>
        <w:rPr>
          <w:rFonts w:hint="eastAsia"/>
          <w:color w:val="auto"/>
        </w:rPr>
        <w:t>28755</w:t>
      </w:r>
      <w:r>
        <w:rPr>
          <w:rFonts w:hint="eastAsia"/>
          <w:color w:val="auto"/>
          <w:lang w:val="en-US" w:eastAsia="zh-CN"/>
        </w:rPr>
        <w:t xml:space="preserve">    </w:t>
      </w:r>
      <w:bookmarkStart w:id="37" w:name="_GoBack"/>
      <w:bookmarkEnd w:id="37"/>
      <w:r>
        <w:rPr>
          <w:rFonts w:hint="eastAsia"/>
          <w:color w:val="auto"/>
        </w:rPr>
        <w:t>简易升降机安全规程</w:t>
      </w:r>
    </w:p>
    <w:p>
      <w:pPr>
        <w:pStyle w:val="24"/>
        <w:rPr>
          <w:rFonts w:hint="eastAsia"/>
          <w:color w:val="auto"/>
          <w:lang w:val="en-US" w:eastAsia="zh-CN"/>
        </w:rPr>
      </w:pPr>
      <w:r>
        <w:rPr>
          <w:rFonts w:hint="eastAsia"/>
          <w:color w:val="auto"/>
          <w:lang w:val="en-US" w:eastAsia="zh-CN"/>
        </w:rPr>
        <w:t>TSG 51-2023 起重机械安全技术规程</w:t>
      </w:r>
    </w:p>
    <w:p>
      <w:pPr>
        <w:pStyle w:val="25"/>
        <w:numPr>
          <w:ilvl w:val="0"/>
          <w:numId w:val="0"/>
        </w:numPr>
        <w:spacing w:before="240" w:after="240"/>
        <w:ind w:left="0" w:leftChars="0" w:firstLine="0" w:firstLineChars="0"/>
        <w:outlineLvl w:val="0"/>
        <w:rPr>
          <w:rFonts w:hint="eastAsia" w:cs="Times New Roman"/>
          <w:b w:val="0"/>
          <w:i w:val="0"/>
          <w:color w:val="auto"/>
          <w:sz w:val="21"/>
          <w:szCs w:val="21"/>
          <w:lang w:val="en-US" w:eastAsia="zh-CN" w:bidi="ar-SA"/>
        </w:rPr>
      </w:pPr>
      <w:bookmarkStart w:id="29" w:name="_Toc6729"/>
      <w:r>
        <w:rPr>
          <w:rFonts w:hint="eastAsia" w:ascii="黑体" w:hAnsi="Times New Roman" w:eastAsia="黑体" w:cs="Times New Roman"/>
          <w:b w:val="0"/>
          <w:i w:val="0"/>
          <w:color w:val="auto"/>
          <w:sz w:val="21"/>
          <w:szCs w:val="21"/>
          <w:lang w:val="en-US" w:eastAsia="zh-CN" w:bidi="ar-SA"/>
        </w:rPr>
        <w:t>3  术语和定义</w:t>
      </w:r>
      <w:bookmarkEnd w:id="29"/>
      <w:r>
        <w:rPr>
          <w:rFonts w:hint="eastAsia" w:cs="Times New Roman"/>
          <w:b w:val="0"/>
          <w:i w:val="0"/>
          <w:color w:val="auto"/>
          <w:sz w:val="21"/>
          <w:szCs w:val="21"/>
          <w:lang w:val="en-US" w:eastAsia="zh-CN" w:bidi="ar-SA"/>
        </w:rPr>
        <w:t xml:space="preserve"> </w:t>
      </w:r>
    </w:p>
    <w:p>
      <w:pPr>
        <w:pStyle w:val="24"/>
        <w:rPr>
          <w:rFonts w:hint="default" w:ascii="黑体" w:hAnsi="Times New Roman" w:eastAsia="黑体" w:cs="Times New Roman"/>
          <w:b w:val="0"/>
          <w:i w:val="0"/>
          <w:color w:val="auto"/>
          <w:sz w:val="21"/>
          <w:szCs w:val="21"/>
          <w:lang w:val="en-US" w:eastAsia="zh-CN" w:bidi="ar-SA"/>
        </w:rPr>
      </w:pPr>
      <w:r>
        <w:rPr>
          <w:rFonts w:hint="eastAsia"/>
          <w:color w:val="auto"/>
        </w:rPr>
        <w:t>下列术语和定义适用于本文件。</w:t>
      </w:r>
      <w:r>
        <w:rPr>
          <w:rFonts w:hint="eastAsia" w:cs="Times New Roman"/>
          <w:b w:val="0"/>
          <w:i w:val="0"/>
          <w:color w:val="auto"/>
          <w:sz w:val="21"/>
          <w:szCs w:val="21"/>
          <w:lang w:val="en-US" w:eastAsia="zh-CN" w:bidi="ar-SA"/>
        </w:rPr>
        <w:t xml:space="preserve">   </w:t>
      </w:r>
    </w:p>
    <w:p>
      <w:pPr>
        <w:pStyle w:val="25"/>
        <w:numPr>
          <w:ilvl w:val="0"/>
          <w:numId w:val="0"/>
        </w:numPr>
        <w:spacing w:before="240" w:after="240"/>
        <w:ind w:left="0" w:leftChars="0" w:firstLine="0" w:firstLineChars="0"/>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3.1简易升降机</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Times New Roman" w:hAnsi="Times New Roman" w:eastAsia="Times New Roman" w:cs="Times New Roman"/>
          <w:color w:val="auto"/>
          <w:spacing w:val="-2"/>
          <w:kern w:val="0"/>
          <w:sz w:val="21"/>
          <w:szCs w:val="21"/>
          <w:lang w:val="en-US" w:eastAsia="zh-CN" w:bidi="ar-SA"/>
        </w:rPr>
        <w:t>simple  lift</w:t>
      </w:r>
    </w:p>
    <w:p>
      <w:pPr>
        <w:spacing w:line="240" w:lineRule="auto"/>
        <w:ind w:left="0" w:right="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以曳引机、卷扬机、电动葫芦、液压泵站等作为驱动装置，通过钢丝绳、齿轮齿条、链条或液压油缸等部件带动货厢，在井道内沿垂直或与垂直方向倾斜角小于15°的刚性导向装置运行的仅用于运载货物的起重机械。</w:t>
      </w:r>
    </w:p>
    <w:p>
      <w:pPr>
        <w:spacing w:before="20" w:line="397" w:lineRule="exact"/>
        <w:rPr>
          <w:rFonts w:ascii="宋体" w:hAnsi="宋体" w:eastAsia="宋体" w:cs="宋体"/>
          <w:snapToGrid w:val="0"/>
          <w:color w:val="auto"/>
          <w:spacing w:val="-13"/>
          <w:kern w:val="0"/>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3.2曳引驱动简易升降机  </w:t>
      </w:r>
      <w:r>
        <w:rPr>
          <w:rFonts w:hint="eastAsia" w:ascii="Times New Roman" w:hAnsi="Times New Roman" w:eastAsia="Times New Roman" w:cs="Times New Roman"/>
          <w:color w:val="auto"/>
          <w:spacing w:val="-2"/>
          <w:kern w:val="0"/>
          <w:sz w:val="21"/>
          <w:szCs w:val="21"/>
          <w:lang w:val="en-US" w:eastAsia="zh-CN" w:bidi="ar-SA"/>
        </w:rPr>
        <w:t>traction drive simple lift</w:t>
      </w:r>
    </w:p>
    <w:p>
      <w:pPr>
        <w:pStyle w:val="24"/>
        <w:rPr>
          <w:rFonts w:hint="eastAsia"/>
          <w:color w:val="auto"/>
          <w:lang w:val="en-US" w:eastAsia="zh-CN"/>
        </w:rPr>
      </w:pPr>
      <w:r>
        <w:rPr>
          <w:rFonts w:hint="eastAsia"/>
          <w:color w:val="auto"/>
          <w:lang w:val="en-US" w:eastAsia="zh-CN"/>
        </w:rPr>
        <w:t>依靠摩擦力驱动的简易升降机。</w:t>
      </w:r>
    </w:p>
    <w:p>
      <w:pPr>
        <w:pStyle w:val="26"/>
        <w:numPr>
          <w:ilvl w:val="1"/>
          <w:numId w:val="0"/>
        </w:numPr>
        <w:bidi w:val="0"/>
        <w:ind w:left="0" w:leftChars="0" w:firstLine="0" w:firstLineChars="0"/>
        <w:outlineLvl w:val="1"/>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货厢</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color w:val="auto"/>
          <w:spacing w:val="-8"/>
          <w:sz w:val="21"/>
          <w:szCs w:val="21"/>
        </w:rPr>
        <w:t>cage</w:t>
      </w:r>
    </w:p>
    <w:p>
      <w:pPr>
        <w:pStyle w:val="2"/>
        <w:widowControl/>
        <w:kinsoku w:val="0"/>
        <w:autoSpaceDE w:val="0"/>
        <w:autoSpaceDN w:val="0"/>
        <w:adjustRightInd w:val="0"/>
        <w:snapToGrid w:val="0"/>
        <w:spacing w:before="82" w:line="266" w:lineRule="auto"/>
        <w:ind w:right="20" w:firstLine="439"/>
        <w:jc w:val="both"/>
        <w:textAlignment w:val="baseline"/>
        <w:rPr>
          <w:rFonts w:hint="eastAsia" w:hAnsi="Times New Roman" w:eastAsia="宋体" w:cs="Times New Roman"/>
          <w:color w:val="auto"/>
        </w:rPr>
      </w:pPr>
      <w:r>
        <w:rPr>
          <w:rFonts w:ascii="宋体" w:hAnsi="宋体" w:eastAsia="宋体" w:cs="宋体"/>
          <w:snapToGrid w:val="0"/>
          <w:color w:val="auto"/>
          <w:spacing w:val="-13"/>
          <w:kern w:val="0"/>
          <w:sz w:val="21"/>
          <w:szCs w:val="21"/>
        </w:rPr>
        <w:t>简易升降机中用于承载货物的部件。</w:t>
      </w:r>
    </w:p>
    <w:p>
      <w:pPr>
        <w:pStyle w:val="26"/>
        <w:numPr>
          <w:ilvl w:val="1"/>
          <w:numId w:val="0"/>
        </w:numPr>
        <w:bidi w:val="0"/>
        <w:ind w:left="0" w:leftChars="0" w:firstLine="0" w:firstLine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3.4　额定起重量  </w:t>
      </w:r>
      <w:r>
        <w:rPr>
          <w:rFonts w:ascii="Times New Roman" w:hAnsi="Times New Roman" w:eastAsia="Times New Roman" w:cs="Times New Roman"/>
          <w:color w:val="auto"/>
          <w:spacing w:val="-2"/>
          <w:sz w:val="21"/>
          <w:szCs w:val="21"/>
        </w:rPr>
        <w:t>rated capacity</w:t>
      </w:r>
    </w:p>
    <w:p>
      <w:pPr>
        <w:pStyle w:val="24"/>
        <w:rPr>
          <w:rFonts w:hint="eastAsia" w:hAnsi="Times New Roman" w:eastAsia="宋体" w:cs="Times New Roman"/>
          <w:color w:val="auto"/>
        </w:rPr>
      </w:pPr>
      <w:r>
        <w:rPr>
          <w:rFonts w:hint="eastAsia" w:hAnsi="Times New Roman" w:eastAsia="宋体" w:cs="Times New Roman"/>
          <w:color w:val="auto"/>
        </w:rPr>
        <w:t>设计所规定的正常工作条件下货厢内允许承受的最大质量。</w:t>
      </w:r>
    </w:p>
    <w:p>
      <w:pPr>
        <w:pStyle w:val="26"/>
        <w:numPr>
          <w:ilvl w:val="0"/>
          <w:numId w:val="0"/>
        </w:numPr>
        <w:ind w:left="0" w:leftChars="0" w:firstLine="0" w:firstLineChars="0"/>
        <w:outlineLvl w:val="1"/>
        <w:rPr>
          <w:rFonts w:ascii="Times New Roman" w:hAnsi="Times New Roman" w:eastAsia="Times New Roman" w:cs="Times New Roman"/>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5</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 xml:space="preserve">额定速度 </w:t>
      </w:r>
      <w:r>
        <w:rPr>
          <w:rFonts w:ascii="Times New Roman" w:hAnsi="Times New Roman" w:eastAsia="Times New Roman" w:cs="Times New Roman"/>
          <w:color w:val="auto"/>
          <w:spacing w:val="-2"/>
          <w:sz w:val="21"/>
          <w:szCs w:val="21"/>
        </w:rPr>
        <w:t xml:space="preserve"> rated speed</w:t>
      </w:r>
    </w:p>
    <w:p>
      <w:pPr>
        <w:pStyle w:val="24"/>
        <w:rPr>
          <w:rFonts w:hint="eastAsia" w:hAnsi="Times New Roman" w:eastAsia="宋体" w:cs="Times New Roman"/>
          <w:color w:val="auto"/>
        </w:rPr>
      </w:pPr>
      <w:r>
        <w:rPr>
          <w:rFonts w:hint="eastAsia" w:hAnsi="Times New Roman" w:eastAsia="宋体" w:cs="Times New Roman"/>
          <w:color w:val="auto"/>
        </w:rPr>
        <w:t>设计所规定的货厢速度。</w:t>
      </w:r>
    </w:p>
    <w:p>
      <w:pPr>
        <w:pStyle w:val="26"/>
        <w:numPr>
          <w:ilvl w:val="0"/>
          <w:numId w:val="0"/>
        </w:numPr>
        <w:ind w:left="0" w:leftChars="0" w:firstLine="0" w:firstLineChars="0"/>
        <w:outlineLvl w:val="1"/>
        <w:rPr>
          <w:rFonts w:ascii="Times New Roman" w:hAnsi="Times New Roman" w:eastAsia="Times New Roman" w:cs="Times New Roman"/>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货厢有效面积</w:t>
      </w:r>
      <w:r>
        <w:rPr>
          <w:rFonts w:ascii="黑体" w:hAnsi="黑体" w:eastAsia="黑体" w:cs="黑体"/>
          <w:color w:val="auto"/>
          <w:spacing w:val="-1"/>
          <w:sz w:val="21"/>
          <w:szCs w:val="21"/>
        </w:rPr>
        <w:t xml:space="preserve">  </w:t>
      </w:r>
      <w:r>
        <w:rPr>
          <w:rFonts w:ascii="Times New Roman" w:hAnsi="Times New Roman" w:eastAsia="Times New Roman" w:cs="Times New Roman"/>
          <w:color w:val="auto"/>
          <w:spacing w:val="-2"/>
          <w:sz w:val="21"/>
          <w:szCs w:val="21"/>
        </w:rPr>
        <w:t xml:space="preserve"> available</w:t>
      </w:r>
      <w:r>
        <w:rPr>
          <w:rFonts w:hint="eastAsia" w:ascii="Times New Roman" w:eastAsia="宋体" w:cs="Times New Roman"/>
          <w:color w:val="auto"/>
          <w:spacing w:val="-2"/>
          <w:sz w:val="21"/>
          <w:szCs w:val="21"/>
          <w:lang w:val="en-US" w:eastAsia="zh-CN"/>
        </w:rPr>
        <w:t xml:space="preserve"> </w:t>
      </w:r>
      <w:r>
        <w:rPr>
          <w:rFonts w:ascii="Times New Roman" w:hAnsi="Times New Roman" w:eastAsia="Times New Roman" w:cs="Times New Roman"/>
          <w:color w:val="auto"/>
          <w:spacing w:val="-2"/>
          <w:sz w:val="21"/>
          <w:szCs w:val="21"/>
        </w:rPr>
        <w:t xml:space="preserve"> cage area</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货厢门关闭时，在货厢</w:t>
      </w:r>
      <w:r>
        <w:rPr>
          <w:rFonts w:hint="eastAsia" w:cs="Times New Roman"/>
          <w:color w:val="auto"/>
          <w:lang w:val="en-US" w:eastAsia="zh-CN"/>
        </w:rPr>
        <w:t>地板</w:t>
      </w:r>
      <w:r>
        <w:rPr>
          <w:rFonts w:hint="eastAsia" w:hAnsi="Times New Roman" w:eastAsia="宋体" w:cs="Times New Roman"/>
          <w:color w:val="auto"/>
          <w:lang w:val="en-US" w:eastAsia="zh-CN"/>
        </w:rPr>
        <w:t>处测量的平面面积。</w:t>
      </w:r>
    </w:p>
    <w:p>
      <w:pPr>
        <w:pStyle w:val="26"/>
        <w:numPr>
          <w:ilvl w:val="0"/>
          <w:numId w:val="0"/>
        </w:numPr>
        <w:ind w:left="0" w:leftChars="0" w:firstLine="0" w:firstLineChars="0"/>
        <w:outlineLvl w:val="1"/>
        <w:rPr>
          <w:rFonts w:ascii="Times New Roman" w:hAnsi="Times New Roman" w:eastAsia="Times New Roman" w:cs="Times New Roman"/>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提升高度</w:t>
      </w:r>
      <w:r>
        <w:rPr>
          <w:rFonts w:hint="eastAsia"/>
          <w:b/>
          <w:bCs/>
          <w:color w:val="auto"/>
          <w:spacing w:val="13"/>
          <w:sz w:val="19"/>
          <w:szCs w:val="19"/>
          <w:lang w:val="en-US" w:eastAsia="zh-CN"/>
        </w:rPr>
        <w:t xml:space="preserve"> </w:t>
      </w:r>
      <w:r>
        <w:rPr>
          <w:rFonts w:ascii="黑体" w:hAnsi="黑体" w:eastAsia="黑体" w:cs="黑体"/>
          <w:color w:val="auto"/>
          <w:spacing w:val="15"/>
          <w:sz w:val="21"/>
          <w:szCs w:val="21"/>
        </w:rPr>
        <w:t xml:space="preserve"> </w:t>
      </w:r>
      <w:r>
        <w:rPr>
          <w:rFonts w:ascii="Times New Roman" w:hAnsi="Times New Roman" w:eastAsia="Times New Roman" w:cs="Times New Roman"/>
          <w:color w:val="auto"/>
          <w:spacing w:val="-2"/>
          <w:sz w:val="21"/>
          <w:szCs w:val="21"/>
        </w:rPr>
        <w:t xml:space="preserve">lifting </w:t>
      </w:r>
      <w:r>
        <w:rPr>
          <w:rFonts w:hint="eastAsia" w:ascii="Times New Roman" w:eastAsia="宋体" w:cs="Times New Roman"/>
          <w:color w:val="auto"/>
          <w:spacing w:val="-2"/>
          <w:sz w:val="21"/>
          <w:szCs w:val="21"/>
          <w:lang w:val="en-US" w:eastAsia="zh-CN"/>
        </w:rPr>
        <w:t xml:space="preserve"> </w:t>
      </w:r>
      <w:r>
        <w:rPr>
          <w:rFonts w:ascii="Times New Roman" w:hAnsi="Times New Roman" w:eastAsia="Times New Roman" w:cs="Times New Roman"/>
          <w:color w:val="auto"/>
          <w:spacing w:val="-2"/>
          <w:sz w:val="21"/>
          <w:szCs w:val="21"/>
        </w:rPr>
        <w:t>feight</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从底层端站地坎上表面至顶层端站地坎上表面之间的垂直距离。</w:t>
      </w:r>
    </w:p>
    <w:p>
      <w:pPr>
        <w:pStyle w:val="26"/>
        <w:numPr>
          <w:ilvl w:val="0"/>
          <w:numId w:val="0"/>
        </w:numPr>
        <w:ind w:left="0" w:leftChars="0" w:firstLine="0" w:firstLineChars="0"/>
        <w:outlineLvl w:val="1"/>
        <w:rPr>
          <w:rFonts w:ascii="Times New Roman" w:hAnsi="Times New Roman" w:eastAsia="Times New Roman" w:cs="Times New Roman"/>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8</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停层保护装置</w:t>
      </w:r>
      <w:r>
        <w:rPr>
          <w:rFonts w:ascii="黑体" w:hAnsi="黑体" w:eastAsia="黑体" w:cs="黑体"/>
          <w:color w:val="auto"/>
          <w:spacing w:val="1"/>
          <w:sz w:val="21"/>
          <w:szCs w:val="21"/>
        </w:rPr>
        <w:t xml:space="preserve">  </w:t>
      </w:r>
      <w:r>
        <w:rPr>
          <w:rFonts w:ascii="Times New Roman" w:hAnsi="Times New Roman" w:eastAsia="Times New Roman" w:cs="Times New Roman"/>
          <w:color w:val="auto"/>
          <w:spacing w:val="-2"/>
          <w:sz w:val="21"/>
          <w:szCs w:val="21"/>
        </w:rPr>
        <w:t xml:space="preserve"> perking  protection device</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简易升降机在停层装卸货物时，防止货厢发生非正常滑移、坠落的安全装置。</w:t>
      </w:r>
    </w:p>
    <w:p>
      <w:pPr>
        <w:pStyle w:val="26"/>
        <w:numPr>
          <w:ilvl w:val="0"/>
          <w:numId w:val="0"/>
        </w:numPr>
        <w:ind w:left="0" w:leftChars="0" w:firstLine="0" w:firstLineChars="0"/>
        <w:outlineLvl w:val="1"/>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9</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 xml:space="preserve">下行超速保护装置 </w:t>
      </w:r>
      <w:r>
        <w:rPr>
          <w:rFonts w:hint="eastAsia" w:cs="Times New Roman"/>
          <w:color w:val="auto"/>
          <w:sz w:val="21"/>
          <w:szCs w:val="20"/>
          <w:lang w:val="en-US" w:eastAsia="zh-CN" w:bidi="ar-SA"/>
        </w:rPr>
        <w:t xml:space="preserve">  </w:t>
      </w:r>
      <w:r>
        <w:rPr>
          <w:rFonts w:ascii="Times New Roman" w:hAnsi="Times New Roman" w:eastAsia="Times New Roman" w:cs="Times New Roman"/>
          <w:color w:val="auto"/>
          <w:spacing w:val="-2"/>
          <w:sz w:val="21"/>
          <w:szCs w:val="21"/>
        </w:rPr>
        <w:t xml:space="preserve">descending </w:t>
      </w:r>
      <w:r>
        <w:rPr>
          <w:rFonts w:hint="eastAsia" w:ascii="Times New Roman" w:eastAsia="宋体" w:cs="Times New Roman"/>
          <w:color w:val="auto"/>
          <w:spacing w:val="-2"/>
          <w:sz w:val="21"/>
          <w:szCs w:val="21"/>
          <w:lang w:val="en-US" w:eastAsia="zh-CN"/>
        </w:rPr>
        <w:t xml:space="preserve"> </w:t>
      </w:r>
      <w:r>
        <w:rPr>
          <w:rFonts w:ascii="Times New Roman" w:hAnsi="Times New Roman" w:eastAsia="Times New Roman" w:cs="Times New Roman"/>
          <w:color w:val="auto"/>
          <w:spacing w:val="-2"/>
          <w:sz w:val="21"/>
          <w:szCs w:val="21"/>
        </w:rPr>
        <w:t>over-speed</w:t>
      </w:r>
      <w:r>
        <w:rPr>
          <w:rFonts w:hint="eastAsia" w:ascii="Times New Roman" w:eastAsia="宋体" w:cs="Times New Roman"/>
          <w:color w:val="auto"/>
          <w:spacing w:val="-2"/>
          <w:sz w:val="21"/>
          <w:szCs w:val="21"/>
          <w:lang w:val="en-US" w:eastAsia="zh-CN"/>
        </w:rPr>
        <w:t xml:space="preserve"> </w:t>
      </w:r>
      <w:r>
        <w:rPr>
          <w:rFonts w:ascii="Times New Roman" w:hAnsi="Times New Roman" w:eastAsia="Times New Roman" w:cs="Times New Roman"/>
          <w:color w:val="auto"/>
          <w:spacing w:val="-2"/>
          <w:sz w:val="21"/>
          <w:szCs w:val="21"/>
        </w:rPr>
        <w:t xml:space="preserve"> protection</w:t>
      </w:r>
      <w:r>
        <w:rPr>
          <w:rFonts w:hint="eastAsia" w:ascii="Times New Roman" w:eastAsia="宋体" w:cs="Times New Roman"/>
          <w:color w:val="auto"/>
          <w:spacing w:val="-2"/>
          <w:sz w:val="21"/>
          <w:szCs w:val="21"/>
          <w:lang w:val="en-US" w:eastAsia="zh-CN"/>
        </w:rPr>
        <w:t xml:space="preserve"> </w:t>
      </w:r>
      <w:r>
        <w:rPr>
          <w:rFonts w:ascii="Times New Roman" w:hAnsi="Times New Roman" w:eastAsia="Times New Roman" w:cs="Times New Roman"/>
          <w:color w:val="auto"/>
          <w:spacing w:val="-2"/>
          <w:sz w:val="21"/>
          <w:szCs w:val="21"/>
        </w:rPr>
        <w:t xml:space="preserve"> device</w:t>
      </w:r>
      <w:r>
        <w:rPr>
          <w:rFonts w:ascii="黑体" w:hAnsi="黑体" w:eastAsia="黑体" w:cs="黑体"/>
          <w:color w:val="auto"/>
          <w:spacing w:val="22"/>
          <w:sz w:val="21"/>
          <w:szCs w:val="21"/>
        </w:rPr>
        <w:t xml:space="preserve"> </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当货厢向下运行速度超过额定速度一定值时，能直接使货厢减速直至停止的安全装置。</w:t>
      </w:r>
    </w:p>
    <w:p>
      <w:pPr>
        <w:pStyle w:val="26"/>
        <w:numPr>
          <w:ilvl w:val="0"/>
          <w:numId w:val="0"/>
        </w:numPr>
        <w:ind w:left="0" w:leftChars="0" w:firstLine="0" w:firstLineChars="0"/>
        <w:outlineLvl w:val="1"/>
        <w:rPr>
          <w:rFonts w:ascii="Times New Roman" w:hAnsi="Times New Roman" w:eastAsia="Times New Roman" w:cs="Times New Roman"/>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3.1</w:t>
      </w:r>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w:t>
      </w:r>
      <w:r>
        <w:rPr>
          <w:rFonts w:hint="eastAsia" w:ascii="黑体" w:hAnsi="Times New Roman" w:eastAsia="黑体" w:cs="Times New Roman"/>
          <w:color w:val="auto"/>
          <w:sz w:val="21"/>
          <w:szCs w:val="20"/>
          <w:lang w:val="en-US" w:eastAsia="zh-CN" w:bidi="ar-SA"/>
        </w:rPr>
        <w:t>对重</w:t>
      </w:r>
      <w:r>
        <w:rPr>
          <w:color w:val="auto"/>
          <w:spacing w:val="106"/>
          <w:sz w:val="21"/>
          <w:szCs w:val="21"/>
        </w:rPr>
        <w:t xml:space="preserve"> </w:t>
      </w:r>
      <w:r>
        <w:rPr>
          <w:rFonts w:ascii="Times New Roman" w:hAnsi="Times New Roman" w:eastAsia="Times New Roman" w:cs="Times New Roman"/>
          <w:color w:val="auto"/>
          <w:spacing w:val="-2"/>
          <w:sz w:val="21"/>
          <w:szCs w:val="21"/>
        </w:rPr>
        <w:t>counterveight</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 xml:space="preserve">由曳引绳经曳引轮与货厢相连接，在曳引式简易升隆机运行过程中保持曳引能力的装置。 </w:t>
      </w:r>
    </w:p>
    <w:p>
      <w:pPr>
        <w:pStyle w:val="26"/>
        <w:numPr>
          <w:ilvl w:val="1"/>
          <w:numId w:val="0"/>
        </w:numPr>
        <w:bidi w:val="0"/>
        <w:ind w:left="0" w:leftChars="0" w:firstLine="0" w:firstLineChars="0"/>
        <w:outlineLvl w:val="0"/>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bookmarkStart w:id="30" w:name="_Toc27866"/>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　验收条件</w:t>
      </w:r>
      <w:bookmarkEnd w:id="30"/>
      <w:r>
        <w:rPr>
          <w:rFonts w:hint="eastAsia"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p>
    <w:p>
      <w:pPr>
        <w:pStyle w:val="2"/>
        <w:spacing w:before="62" w:line="222" w:lineRule="auto"/>
        <w:ind w:left="2"/>
        <w:outlineLvl w:val="1"/>
        <w:rPr>
          <w:rFonts w:hint="eastAsia" w:eastAsia="黑体"/>
          <w:b/>
          <w:bCs/>
          <w:color w:val="auto"/>
          <w:spacing w:val="5"/>
          <w:sz w:val="19"/>
          <w:szCs w:val="19"/>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4.1　 一般要求</w:t>
      </w:r>
    </w:p>
    <w:p>
      <w:pPr>
        <w:pStyle w:val="24"/>
        <w:rPr>
          <w:rFonts w:hint="eastAsia" w:hAnsi="Times New Roman" w:eastAsia="宋体" w:cs="Times New Roman"/>
          <w:color w:val="auto"/>
          <w:lang w:val="en-US" w:eastAsia="zh-CN"/>
        </w:rPr>
      </w:pPr>
      <w:r>
        <w:rPr>
          <w:rFonts w:hint="eastAsia" w:cs="Times New Roman"/>
          <w:color w:val="auto"/>
          <w:lang w:val="en-US" w:eastAsia="zh-CN"/>
        </w:rPr>
        <w:t>a</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在起重机械安装前应当向设备安装所在地的特种设备安全监督管理部门办理安装告知手续(当设备安装所在地与设备产权所在地不一致时，安装单位还应当将安装告知的信息报送产权所在地的特种设备安全监督管理部门)；</w:t>
      </w:r>
    </w:p>
    <w:p>
      <w:pPr>
        <w:pStyle w:val="24"/>
        <w:rPr>
          <w:rFonts w:hint="eastAsia" w:hAnsi="Times New Roman" w:eastAsia="宋体" w:cs="Times New Roman"/>
          <w:color w:val="auto"/>
          <w:lang w:val="en-US" w:eastAsia="zh-CN"/>
        </w:rPr>
      </w:pPr>
      <w:r>
        <w:rPr>
          <w:rFonts w:hint="eastAsia" w:cs="Times New Roman"/>
          <w:color w:val="auto"/>
          <w:lang w:val="en-US" w:eastAsia="zh-CN"/>
        </w:rPr>
        <w:t>b</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安装单位在安装前应当制定安装方案，内容至少包括工程概况、责任部门和职责权限、人员配备和分工、安装程序、控制环节和控制点、具体措施和要求、危险源辨识、风险评估等；</w:t>
      </w:r>
    </w:p>
    <w:p>
      <w:pPr>
        <w:pStyle w:val="24"/>
        <w:rPr>
          <w:rFonts w:hint="eastAsia" w:hAnsi="Times New Roman" w:eastAsia="宋体" w:cs="Times New Roman"/>
          <w:color w:val="auto"/>
          <w:lang w:val="en-US" w:eastAsia="zh-CN"/>
        </w:rPr>
      </w:pPr>
      <w:r>
        <w:rPr>
          <w:rFonts w:hint="eastAsia" w:cs="Times New Roman"/>
          <w:color w:val="auto"/>
          <w:lang w:val="en-US" w:eastAsia="zh-CN"/>
        </w:rPr>
        <w:t>c</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安装单位应当编制安装检验作业指导书，检验项目和要求不得少于本规程规定的监督检验的项目和要求；</w:t>
      </w:r>
    </w:p>
    <w:p>
      <w:pPr>
        <w:pStyle w:val="24"/>
        <w:rPr>
          <w:rFonts w:hint="eastAsia" w:hAnsi="Times New Roman" w:eastAsia="宋体" w:cs="Times New Roman"/>
          <w:color w:val="auto"/>
          <w:lang w:val="en-US" w:eastAsia="zh-CN"/>
        </w:rPr>
      </w:pPr>
      <w:r>
        <w:rPr>
          <w:rFonts w:hint="eastAsia" w:cs="Times New Roman"/>
          <w:color w:val="auto"/>
          <w:lang w:val="en-US" w:eastAsia="zh-CN"/>
        </w:rPr>
        <w:t>d</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使用单位在安装前应当向安装单位提供使用单位对安装基础(包括导轨等)的验收合格证明。</w:t>
      </w:r>
    </w:p>
    <w:p>
      <w:pPr>
        <w:pStyle w:val="2"/>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4.2　自行检验</w:t>
      </w:r>
    </w:p>
    <w:p>
      <w:pPr>
        <w:pStyle w:val="24"/>
        <w:rPr>
          <w:rFonts w:hint="eastAsia" w:hAnsi="Times New Roman" w:eastAsia="宋体" w:cs="Times New Roman"/>
          <w:color w:val="auto"/>
          <w:lang w:val="en-US" w:eastAsia="zh-CN"/>
        </w:rPr>
      </w:pPr>
      <w:r>
        <w:rPr>
          <w:rFonts w:hint="eastAsia" w:hAnsi="Times New Roman" w:eastAsia="宋体" w:cs="Times New Roman"/>
          <w:color w:val="auto"/>
          <w:lang w:val="en-US" w:eastAsia="zh-CN"/>
        </w:rPr>
        <w:t>安装单位应当按照4.1中所规定的安装检验作业指导书进行自行检验，并且记录。</w:t>
      </w:r>
    </w:p>
    <w:p>
      <w:pPr>
        <w:pStyle w:val="2"/>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4.3  安装档案</w:t>
      </w:r>
    </w:p>
    <w:p>
      <w:pPr>
        <w:pStyle w:val="24"/>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安装档案至少应当包括以下资料：</w:t>
      </w:r>
    </w:p>
    <w:p>
      <w:pPr>
        <w:pStyle w:val="24"/>
        <w:numPr>
          <w:ilvl w:val="0"/>
          <w:numId w:val="0"/>
        </w:numPr>
        <w:ind w:firstLine="420" w:firstLineChars="200"/>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a)</w:t>
      </w:r>
      <w:r>
        <w:rPr>
          <w:rFonts w:hint="eastAsia" w:ascii="宋体" w:hAnsi="Times New Roman" w:eastAsia="宋体" w:cs="Times New Roman"/>
          <w:color w:val="auto"/>
          <w:kern w:val="0"/>
          <w:sz w:val="21"/>
          <w:szCs w:val="20"/>
          <w:lang w:val="en-US" w:eastAsia="zh-CN" w:bidi="ar-SA"/>
        </w:rPr>
        <w:t>特种设备生产许可证(盖章的复印件)；</w:t>
      </w:r>
    </w:p>
    <w:p>
      <w:pPr>
        <w:pStyle w:val="24"/>
        <w:numPr>
          <w:ilvl w:val="0"/>
          <w:numId w:val="0"/>
        </w:numPr>
        <w:ind w:leftChars="200"/>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b</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安装及使用维护保养说明；</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c</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安装方案；</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d</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安装的自行检验记录；</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 xml:space="preserve">e) </w:t>
      </w:r>
      <w:r>
        <w:rPr>
          <w:rFonts w:hint="eastAsia" w:ascii="宋体" w:hAnsi="Times New Roman" w:eastAsia="宋体" w:cs="Times New Roman"/>
          <w:color w:val="auto"/>
          <w:kern w:val="0"/>
          <w:sz w:val="21"/>
          <w:szCs w:val="20"/>
          <w:lang w:val="en-US" w:eastAsia="zh-CN" w:bidi="ar-SA"/>
        </w:rPr>
        <w:t>安装监督检验证明；</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f</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使用单位交付的与起重机械安装基础有关的证明材料。</w:t>
      </w:r>
    </w:p>
    <w:p>
      <w:pPr>
        <w:pStyle w:val="2"/>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4.4  验收现场工作条件</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a</w:t>
      </w:r>
      <w:r>
        <w:rPr>
          <w:rFonts w:hint="eastAsia" w:ascii="宋体" w:hAnsi="Times New Roman" w:eastAsia="宋体" w:cs="Times New Roman"/>
          <w:color w:val="auto"/>
          <w:kern w:val="0"/>
          <w:sz w:val="21"/>
          <w:szCs w:val="20"/>
          <w:lang w:val="en-US" w:eastAsia="zh-CN" w:bidi="ar-SA"/>
        </w:rPr>
        <w:t>) 安装地点的海拔高度不超过1000 m；</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b</w:t>
      </w:r>
      <w:r>
        <w:rPr>
          <w:rFonts w:hint="eastAsia" w:ascii="宋体" w:hAnsi="Times New Roman" w:eastAsia="宋体" w:cs="Times New Roman"/>
          <w:color w:val="auto"/>
          <w:kern w:val="0"/>
          <w:sz w:val="21"/>
          <w:szCs w:val="20"/>
          <w:lang w:val="en-US" w:eastAsia="zh-CN" w:bidi="ar-SA"/>
        </w:rPr>
        <w:t>) 机房内的空气温度保持在</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+5℃</w:t>
      </w:r>
      <w:r>
        <w:rPr>
          <w:rFonts w:hint="eastAsia" w:ascii="微软雅黑" w:hAnsi="微软雅黑" w:eastAsia="微软雅黑" w:cs="微软雅黑"/>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+40℃</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之间；</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c</w:t>
      </w:r>
      <w:r>
        <w:rPr>
          <w:rFonts w:hint="eastAsia" w:ascii="宋体" w:hAnsi="Times New Roman" w:eastAsia="宋体" w:cs="Times New Roman"/>
          <w:color w:val="auto"/>
          <w:kern w:val="0"/>
          <w:sz w:val="21"/>
          <w:szCs w:val="20"/>
          <w:lang w:val="en-US" w:eastAsia="zh-CN" w:bidi="ar-SA"/>
        </w:rPr>
        <w:t>) 运行地点的最湿月平均最大相对湿度不超过90%,同时该月平均最低温度不高于+25℃；</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d</w:t>
      </w:r>
      <w:r>
        <w:rPr>
          <w:rFonts w:hint="eastAsia" w:ascii="宋体" w:hAnsi="Times New Roman" w:eastAsia="宋体" w:cs="Times New Roman"/>
          <w:color w:val="auto"/>
          <w:kern w:val="0"/>
          <w:sz w:val="21"/>
          <w:szCs w:val="20"/>
          <w:lang w:val="en-US" w:eastAsia="zh-CN" w:bidi="ar-SA"/>
        </w:rPr>
        <w:t>) 供电电压相对额定电压的波动在±10%的范围内；</w:t>
      </w:r>
    </w:p>
    <w:p>
      <w:pPr>
        <w:pStyle w:val="24"/>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e</w:t>
      </w:r>
      <w:r>
        <w:rPr>
          <w:rFonts w:hint="eastAsia" w:ascii="宋体" w:hAnsi="Times New Roman" w:eastAsia="宋体" w:cs="Times New Roman"/>
          <w:color w:val="auto"/>
          <w:kern w:val="0"/>
          <w:sz w:val="21"/>
          <w:szCs w:val="20"/>
          <w:lang w:val="en-US" w:eastAsia="zh-CN" w:bidi="ar-SA"/>
        </w:rPr>
        <w:t>) 环境空气中不应含有爆炸性气体、易燃性气体、腐蚀性气体、可燃性粉尘和导电性尘埃。</w:t>
      </w:r>
    </w:p>
    <w:p>
      <w:pPr>
        <w:pStyle w:val="24"/>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ascii="宋体" w:hAnsi="Times New Roman" w:eastAsia="宋体" w:cs="Times New Roman"/>
          <w:color w:val="auto"/>
          <w:kern w:val="0"/>
          <w:sz w:val="21"/>
          <w:szCs w:val="20"/>
          <w:lang w:val="en-US" w:eastAsia="zh-CN" w:bidi="ar-SA"/>
        </w:rPr>
        <w:t>注：超出上述范围时，由制造商与用户协商解决。</w:t>
      </w:r>
    </w:p>
    <w:p>
      <w:pPr>
        <w:pStyle w:val="2"/>
        <w:spacing w:before="62" w:line="222" w:lineRule="auto"/>
        <w:ind w:left="2"/>
        <w:outlineLvl w:val="0"/>
        <w:rPr>
          <w:rFonts w:hint="eastAsia" w:ascii="黑体" w:hAnsi="Times New Roman" w:eastAsia="黑体"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 </w:t>
      </w:r>
      <w:r>
        <w:rPr>
          <w:rFonts w:hint="eastAsia" w:ascii="黑体" w:hAnsi="Times New Roman" w:eastAsia="黑体" w:cs="Times New Roman"/>
          <w:b w:val="0"/>
          <w:i w:val="0"/>
          <w:color w:val="auto"/>
          <w:sz w:val="21"/>
          <w:szCs w:val="21"/>
          <w:shd w:val="clear" w:color="auto" w:fill="auto"/>
          <w:lang w:val="en-US" w:eastAsia="zh-CN" w:bidi="ar-SA"/>
        </w:rPr>
        <w:t>井道</w:t>
      </w:r>
    </w:p>
    <w:p>
      <w:pPr>
        <w:pStyle w:val="2"/>
        <w:spacing w:before="62" w:line="222" w:lineRule="auto"/>
        <w:ind w:left="2"/>
        <w:outlineLvl w:val="0"/>
        <w:rPr>
          <w:rFonts w:hint="default"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5.1 一般要求                            </w:t>
      </w:r>
    </w:p>
    <w:p>
      <w:pPr>
        <w:pStyle w:val="2"/>
        <w:spacing w:before="222"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fldChar w:fldCharType="begin"/>
      </w:r>
      <w:r>
        <w:rPr>
          <w:rFonts w:hint="eastAsia" w:hAnsi="Times New Roman" w:cs="Times New Roman"/>
          <w:b w:val="0"/>
          <w:i w:val="0"/>
          <w:color w:val="auto"/>
          <w:sz w:val="21"/>
          <w:szCs w:val="21"/>
          <w:shd w:val="clear" w:color="auto" w:fill="auto"/>
          <w:lang w:val="en-US" w:eastAsia="zh-CN" w:bidi="ar-SA"/>
        </w:rPr>
        <w:instrText xml:space="preserve"> HYPERLINK "5.1.1.1" </w:instrText>
      </w:r>
      <w:r>
        <w:rPr>
          <w:rFonts w:hint="eastAsia" w:hAnsi="Times New Roman" w:cs="Times New Roman"/>
          <w:b w:val="0"/>
          <w:i w:val="0"/>
          <w:color w:val="auto"/>
          <w:sz w:val="21"/>
          <w:szCs w:val="21"/>
          <w:shd w:val="clear" w:color="auto" w:fill="auto"/>
          <w:lang w:val="en-US" w:eastAsia="zh-CN" w:bidi="ar-SA"/>
        </w:rPr>
        <w:fldChar w:fldCharType="separate"/>
      </w:r>
      <w:r>
        <w:rPr>
          <w:rFonts w:hint="eastAsia" w:hAnsi="Times New Roman" w:cs="Times New Roman"/>
          <w:b w:val="0"/>
          <w:i w:val="0"/>
          <w:color w:val="auto"/>
          <w:sz w:val="21"/>
          <w:szCs w:val="21"/>
          <w:shd w:val="clear" w:color="auto" w:fill="auto"/>
          <w:lang w:val="en-US" w:eastAsia="zh-CN" w:bidi="ar-SA"/>
        </w:rPr>
        <w:t>5.1.1</w:t>
      </w:r>
      <w:r>
        <w:rPr>
          <w:rFonts w:hint="eastAsia" w:hAnsi="Times New Roman" w:cs="Times New Roman"/>
          <w:b w:val="0"/>
          <w:i w:val="0"/>
          <w:color w:val="auto"/>
          <w:sz w:val="21"/>
          <w:szCs w:val="21"/>
          <w:shd w:val="clear" w:color="auto" w:fill="auto"/>
          <w:lang w:val="en-US" w:eastAsia="zh-CN" w:bidi="ar-SA"/>
        </w:rPr>
        <w:fldChar w:fldCharType="end"/>
      </w:r>
      <w:r>
        <w:rPr>
          <w:rFonts w:hint="eastAsia" w:hAnsi="Times New Roman" w:cs="Times New Roman"/>
          <w:b w:val="0"/>
          <w:i w:val="0"/>
          <w:color w:val="auto"/>
          <w:sz w:val="21"/>
          <w:szCs w:val="21"/>
          <w:shd w:val="clear" w:color="auto" w:fill="auto"/>
          <w:lang w:val="en-US" w:eastAsia="zh-CN" w:bidi="ar-SA"/>
        </w:rPr>
        <w:t xml:space="preserve">  </w:t>
      </w:r>
      <w:r>
        <w:rPr>
          <w:rFonts w:hint="eastAsia" w:ascii="宋体" w:hAnsi="Times New Roman" w:eastAsia="宋体" w:cs="Times New Roman"/>
          <w:color w:val="auto"/>
          <w:kern w:val="0"/>
          <w:sz w:val="21"/>
          <w:szCs w:val="20"/>
          <w:lang w:val="en-US" w:eastAsia="zh-CN" w:bidi="ar-SA"/>
        </w:rPr>
        <w:t>简易升降机的对重应与货厢安装在同一个井道内。</w:t>
      </w:r>
    </w:p>
    <w:p>
      <w:pPr>
        <w:pStyle w:val="2"/>
        <w:spacing w:before="22" w:line="259" w:lineRule="auto"/>
        <w:ind w:right="80" w:firstLine="3"/>
        <w:rPr>
          <w:color w:val="auto"/>
          <w:sz w:val="21"/>
          <w:szCs w:val="21"/>
        </w:rPr>
      </w:pPr>
      <w:r>
        <w:rPr>
          <w:rFonts w:hint="eastAsia" w:hAnsi="Times New Roman" w:cs="Times New Roman"/>
          <w:b w:val="0"/>
          <w:i w:val="0"/>
          <w:color w:val="auto"/>
          <w:sz w:val="21"/>
          <w:szCs w:val="21"/>
          <w:shd w:val="clear" w:color="auto" w:fill="auto"/>
          <w:lang w:val="en-US" w:eastAsia="zh-CN" w:bidi="ar-SA"/>
        </w:rPr>
        <w:fldChar w:fldCharType="begin"/>
      </w:r>
      <w:r>
        <w:rPr>
          <w:rFonts w:hint="eastAsia" w:hAnsi="Times New Roman" w:cs="Times New Roman"/>
          <w:b w:val="0"/>
          <w:i w:val="0"/>
          <w:color w:val="auto"/>
          <w:sz w:val="21"/>
          <w:szCs w:val="21"/>
          <w:shd w:val="clear" w:color="auto" w:fill="auto"/>
          <w:lang w:val="en-US" w:eastAsia="zh-CN" w:bidi="ar-SA"/>
        </w:rPr>
        <w:instrText xml:space="preserve"> HYPERLINK "5.1.1.2" </w:instrText>
      </w:r>
      <w:r>
        <w:rPr>
          <w:rFonts w:hint="eastAsia" w:hAnsi="Times New Roman" w:cs="Times New Roman"/>
          <w:b w:val="0"/>
          <w:i w:val="0"/>
          <w:color w:val="auto"/>
          <w:sz w:val="21"/>
          <w:szCs w:val="21"/>
          <w:shd w:val="clear" w:color="auto" w:fill="auto"/>
          <w:lang w:val="en-US" w:eastAsia="zh-CN" w:bidi="ar-SA"/>
        </w:rPr>
        <w:fldChar w:fldCharType="separate"/>
      </w:r>
      <w:r>
        <w:rPr>
          <w:rFonts w:hint="eastAsia" w:hAnsi="Times New Roman" w:cs="Times New Roman"/>
          <w:b w:val="0"/>
          <w:i w:val="0"/>
          <w:color w:val="auto"/>
          <w:sz w:val="21"/>
          <w:szCs w:val="21"/>
          <w:shd w:val="clear" w:color="auto" w:fill="auto"/>
          <w:lang w:val="en-US" w:eastAsia="zh-CN" w:bidi="ar-SA"/>
        </w:rPr>
        <w:t>5.1.2</w:t>
      </w:r>
      <w:r>
        <w:rPr>
          <w:rFonts w:hint="eastAsia" w:hAnsi="Times New Roman" w:cs="Times New Roman"/>
          <w:b w:val="0"/>
          <w:i w:val="0"/>
          <w:color w:val="auto"/>
          <w:sz w:val="21"/>
          <w:szCs w:val="21"/>
          <w:shd w:val="clear" w:color="auto" w:fill="auto"/>
          <w:lang w:val="en-US" w:eastAsia="zh-CN" w:bidi="ar-SA"/>
        </w:rPr>
        <w:fldChar w:fldCharType="end"/>
      </w:r>
      <w:r>
        <w:rPr>
          <w:rFonts w:hint="eastAsia" w:hAnsi="Times New Roman" w:cs="Times New Roman"/>
          <w:b w:val="0"/>
          <w:i w:val="0"/>
          <w:color w:val="auto"/>
          <w:sz w:val="21"/>
          <w:szCs w:val="21"/>
          <w:shd w:val="clear" w:color="auto" w:fill="auto"/>
          <w:lang w:val="en-US" w:eastAsia="zh-CN" w:bidi="ar-SA"/>
        </w:rPr>
        <w:t xml:space="preserve"> </w:t>
      </w:r>
      <w:r>
        <w:rPr>
          <w:color w:val="auto"/>
          <w:spacing w:val="32"/>
          <w:sz w:val="21"/>
          <w:szCs w:val="21"/>
        </w:rPr>
        <w:t xml:space="preserve"> </w:t>
      </w:r>
      <w:r>
        <w:rPr>
          <w:rFonts w:hint="eastAsia" w:ascii="宋体" w:hAnsi="Times New Roman" w:eastAsia="宋体" w:cs="Times New Roman"/>
          <w:color w:val="auto"/>
          <w:kern w:val="0"/>
          <w:sz w:val="21"/>
          <w:szCs w:val="20"/>
          <w:lang w:val="en-US" w:eastAsia="zh-CN" w:bidi="ar-SA"/>
        </w:rPr>
        <w:t>井道应是简易升降机专用的，井道内不得装设与简易升降机无关的设施。如果井道设置在人员能到达空间的上面，井道底坑的底面至少应按5000 N/m²载荷设计，且：</w:t>
      </w:r>
    </w:p>
    <w:p>
      <w:pPr>
        <w:pStyle w:val="2"/>
        <w:spacing w:before="22" w:line="259" w:lineRule="auto"/>
        <w:ind w:right="80"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a）对重缓冲器安装于一直延伸到坚固地面上的实心桩墩上；或 </w:t>
      </w:r>
    </w:p>
    <w:p>
      <w:pPr>
        <w:pStyle w:val="2"/>
        <w:spacing w:before="22" w:line="259" w:lineRule="auto"/>
        <w:ind w:right="80"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b）对重上装设符合GB 28755第9.3条规定的下行超速保护装置。</w:t>
      </w:r>
    </w:p>
    <w:p>
      <w:pPr>
        <w:pStyle w:val="2"/>
        <w:spacing w:before="62" w:line="222" w:lineRule="auto"/>
        <w:ind w:left="2"/>
        <w:outlineLvl w:val="0"/>
        <w:rPr>
          <w:rFonts w:hint="default"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5.2  井道的封闭   </w:t>
      </w:r>
    </w:p>
    <w:p>
      <w:pPr>
        <w:pStyle w:val="2"/>
        <w:spacing w:before="22" w:line="259" w:lineRule="auto"/>
        <w:ind w:right="8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井道应当为建筑物的井道或者由构筑物构成。井道顶部和底坑(如果有)应当具有安全空间。井道应当有层门、检修门和活板门开口以及通往机房的必要功能性开口，封闭的井道还应当设置火灾气体和烟雾排气孔。</w:t>
      </w:r>
    </w:p>
    <w:p>
      <w:pPr>
        <w:pStyle w:val="2"/>
        <w:spacing w:before="22" w:line="259" w:lineRule="auto"/>
        <w:ind w:right="8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不完全封闭的井道，其在层站处的通孔与简易升降机运动件之间的安全距离应当符合 GB/T 23821—2022《机械安全 防止上下肢触及危险区的安全距离》的规定；</w:t>
      </w:r>
    </w:p>
    <w:p>
      <w:pPr>
        <w:pStyle w:val="2"/>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5.3 检修门、活板门</w:t>
      </w:r>
    </w:p>
    <w:p>
      <w:pPr>
        <w:pStyle w:val="2"/>
        <w:spacing w:before="233"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t xml:space="preserve">5.3.1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检修门和活板门应是无孔的，其机械强度不应低于层门。</w:t>
      </w:r>
    </w:p>
    <w:p>
      <w:pPr>
        <w:pStyle w:val="2"/>
        <w:spacing w:before="61"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t>5.3.2</w:t>
      </w:r>
      <w:r>
        <w:rPr>
          <w:color w:val="auto"/>
          <w:spacing w:val="50"/>
          <w:sz w:val="21"/>
          <w:szCs w:val="21"/>
        </w:rPr>
        <w:t xml:space="preserve"> </w:t>
      </w:r>
      <w:r>
        <w:rPr>
          <w:rFonts w:hint="eastAsia" w:ascii="宋体" w:hAnsi="Times New Roman" w:eastAsia="宋体" w:cs="Times New Roman"/>
          <w:color w:val="auto"/>
          <w:kern w:val="0"/>
          <w:sz w:val="21"/>
          <w:szCs w:val="20"/>
          <w:lang w:val="en-US" w:eastAsia="zh-CN" w:bidi="ar-SA"/>
        </w:rPr>
        <w:t>检修门、活板门均不得向井道的内部方向开启。</w:t>
      </w:r>
    </w:p>
    <w:p>
      <w:pPr>
        <w:pStyle w:val="2"/>
        <w:spacing w:before="40" w:line="251" w:lineRule="auto"/>
        <w:ind w:firstLine="3"/>
        <w:rPr>
          <w:color w:val="auto"/>
          <w:sz w:val="21"/>
          <w:szCs w:val="21"/>
        </w:rPr>
      </w:pPr>
      <w:r>
        <w:rPr>
          <w:rFonts w:hint="eastAsia" w:hAnsi="Times New Roman" w:cs="Times New Roman"/>
          <w:b w:val="0"/>
          <w:i w:val="0"/>
          <w:color w:val="auto"/>
          <w:sz w:val="21"/>
          <w:szCs w:val="21"/>
          <w:shd w:val="clear" w:color="auto" w:fill="auto"/>
          <w:lang w:val="en-US" w:eastAsia="zh-CN" w:bidi="ar-SA"/>
        </w:rPr>
        <w:t>5.3.3</w:t>
      </w:r>
      <w:r>
        <w:rPr>
          <w:color w:val="auto"/>
          <w:spacing w:val="52"/>
          <w:sz w:val="21"/>
          <w:szCs w:val="21"/>
        </w:rPr>
        <w:t xml:space="preserve"> </w:t>
      </w:r>
      <w:r>
        <w:rPr>
          <w:rFonts w:hint="eastAsia" w:ascii="宋体" w:hAnsi="Times New Roman" w:eastAsia="宋体" w:cs="Times New Roman"/>
          <w:color w:val="auto"/>
          <w:kern w:val="0"/>
          <w:sz w:val="21"/>
          <w:szCs w:val="20"/>
          <w:lang w:val="en-US" w:eastAsia="zh-CN" w:bidi="ar-SA"/>
        </w:rPr>
        <w:t>检修门、活板门均应装有一个用钥匙开启的锁，当检修门和活板门开启后，不用钥匙也能将其关闭并锁住。检修门即使在锁住情况下，也应能不使用钥匙从井道内部将门打开。</w:t>
      </w:r>
    </w:p>
    <w:p>
      <w:pPr>
        <w:pStyle w:val="2"/>
        <w:spacing w:before="51" w:line="254" w:lineRule="auto"/>
        <w:ind w:right="81" w:firstLine="3"/>
        <w:rPr>
          <w:rFonts w:hint="default"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shd w:val="clear" w:color="auto" w:fill="auto"/>
          <w:lang w:val="en-US" w:eastAsia="zh-CN" w:bidi="ar-SA"/>
        </w:rPr>
        <w:t xml:space="preserve">5.3.4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 xml:space="preserve">所有的检修门、活板门均应装有一个电气联锁装置，以确保简易升降机只有在所有的检修门、活板门均关闭时才能启动。电气联锁装置应采用符合GB 28755中8.5规定的安全触点形式。 </w:t>
      </w:r>
    </w:p>
    <w:p>
      <w:pPr>
        <w:pStyle w:val="2"/>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5.4  井道的顶部空间</w:t>
      </w:r>
    </w:p>
    <w:p>
      <w:pPr>
        <w:pStyle w:val="2"/>
        <w:spacing w:before="40" w:line="251" w:lineRule="auto"/>
        <w:ind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shd w:val="clear" w:color="auto" w:fill="auto"/>
          <w:lang w:val="en-US" w:eastAsia="zh-CN" w:bidi="ar-SA"/>
        </w:rPr>
        <w:t xml:space="preserve">5.4.1  </w:t>
      </w:r>
      <w:r>
        <w:rPr>
          <w:rFonts w:hint="eastAsia" w:ascii="宋体" w:hAnsi="Times New Roman" w:eastAsia="宋体" w:cs="Times New Roman"/>
          <w:color w:val="auto"/>
          <w:kern w:val="0"/>
          <w:sz w:val="21"/>
          <w:szCs w:val="20"/>
          <w:lang w:val="en-US" w:eastAsia="zh-CN" w:bidi="ar-SA"/>
        </w:rPr>
        <w:t>当对重完全压在其缓冲器上时，应同时满足下面四个条件：</w:t>
      </w:r>
    </w:p>
    <w:p>
      <w:pPr>
        <w:pStyle w:val="2"/>
        <w:spacing w:before="40" w:line="251" w:lineRule="auto"/>
        <w:ind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货厢导向装置长度应能提供不小于0.1 m的进一步制导行程；</w:t>
      </w:r>
    </w:p>
    <w:p>
      <w:pPr>
        <w:pStyle w:val="2"/>
        <w:spacing w:before="40" w:line="251" w:lineRule="auto"/>
        <w:ind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货厢顶部站人平面与井道顶的对应位置之间的距离不应小于1.0 m；</w:t>
      </w:r>
    </w:p>
    <w:p>
      <w:pPr>
        <w:pStyle w:val="2"/>
        <w:spacing w:before="40" w:line="251" w:lineRule="auto"/>
        <w:ind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井道顶的最低部件与固定在货厢顶的设备的最高部件之间的自由垂直距离不应小于0.1 m；</w:t>
      </w:r>
    </w:p>
    <w:p>
      <w:pPr>
        <w:pStyle w:val="2"/>
        <w:spacing w:before="40" w:line="251" w:lineRule="auto"/>
        <w:ind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d) 货厢上方应有足够的空间，该空间的大小以能容纳一个0.5m×0.6m×0.8m的长方体为准，任一平面朝下放置即可。</w:t>
      </w:r>
    </w:p>
    <w:p>
      <w:pPr>
        <w:pStyle w:val="2"/>
        <w:spacing w:before="52" w:line="263" w:lineRule="auto"/>
        <w:ind w:right="4" w:firstLine="2"/>
        <w:rPr>
          <w:color w:val="auto"/>
          <w:sz w:val="20"/>
          <w:szCs w:val="20"/>
        </w:rPr>
      </w:pPr>
      <w:r>
        <w:rPr>
          <w:rFonts w:hint="eastAsia" w:hAnsi="Times New Roman" w:cs="Times New Roman"/>
          <w:b w:val="0"/>
          <w:i w:val="0"/>
          <w:color w:val="auto"/>
          <w:sz w:val="21"/>
          <w:szCs w:val="21"/>
          <w:shd w:val="clear" w:color="auto" w:fill="auto"/>
          <w:lang w:val="en-US" w:eastAsia="zh-CN" w:bidi="ar-SA"/>
        </w:rPr>
        <w:t xml:space="preserve">5.4.2  </w:t>
      </w:r>
      <w:r>
        <w:rPr>
          <w:rFonts w:hint="eastAsia" w:ascii="宋体" w:hAnsi="Times New Roman" w:eastAsia="宋体" w:cs="Times New Roman"/>
          <w:color w:val="auto"/>
          <w:kern w:val="0"/>
          <w:sz w:val="21"/>
          <w:szCs w:val="20"/>
          <w:lang w:val="en-US" w:eastAsia="zh-CN" w:bidi="ar-SA"/>
        </w:rPr>
        <w:t>当货厢完全压在其缓冲器上时，对重导向装置长度应能提供不小于0.1m的进一步制导行程。</w:t>
      </w:r>
    </w:p>
    <w:p>
      <w:pPr>
        <w:pStyle w:val="2"/>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5.5 井道底坑设施及底坑空间</w:t>
      </w:r>
    </w:p>
    <w:p>
      <w:pPr>
        <w:spacing w:before="1" w:line="221" w:lineRule="auto"/>
        <w:ind w:left="2"/>
        <w:rPr>
          <w:rFonts w:ascii="黑体" w:hAnsi="黑体" w:eastAsia="黑体" w:cs="黑体"/>
          <w:color w:val="auto"/>
          <w:sz w:val="20"/>
          <w:szCs w:val="20"/>
        </w:rPr>
      </w:pPr>
      <w:r>
        <w:rPr>
          <w:rFonts w:hint="eastAsia" w:ascii="黑体" w:hAnsi="Times New Roman" w:eastAsia="黑体" w:cs="Times New Roman"/>
          <w:b w:val="0"/>
          <w:i w:val="0"/>
          <w:color w:val="auto"/>
          <w:kern w:val="2"/>
          <w:sz w:val="21"/>
          <w:szCs w:val="21"/>
          <w:shd w:val="clear" w:color="auto" w:fill="auto"/>
          <w:lang w:val="en-US" w:eastAsia="zh-CN" w:bidi="ar-SA"/>
        </w:rPr>
        <w:fldChar w:fldCharType="begin"/>
      </w:r>
      <w:r>
        <w:rPr>
          <w:rFonts w:hint="eastAsia" w:ascii="黑体" w:hAnsi="Times New Roman" w:eastAsia="黑体" w:cs="Times New Roman"/>
          <w:b w:val="0"/>
          <w:i w:val="0"/>
          <w:color w:val="auto"/>
          <w:kern w:val="2"/>
          <w:sz w:val="21"/>
          <w:szCs w:val="21"/>
          <w:shd w:val="clear" w:color="auto" w:fill="auto"/>
          <w:lang w:val="en-US" w:eastAsia="zh-CN" w:bidi="ar-SA"/>
        </w:rPr>
        <w:instrText xml:space="preserve"> HYPERLINK "5.1.5.1" </w:instrText>
      </w:r>
      <w:r>
        <w:rPr>
          <w:rFonts w:hint="eastAsia" w:ascii="黑体" w:hAnsi="Times New Roman" w:eastAsia="黑体" w:cs="Times New Roman"/>
          <w:b w:val="0"/>
          <w:i w:val="0"/>
          <w:color w:val="auto"/>
          <w:kern w:val="2"/>
          <w:sz w:val="21"/>
          <w:szCs w:val="21"/>
          <w:shd w:val="clear" w:color="auto" w:fill="auto"/>
          <w:lang w:val="en-US" w:eastAsia="zh-CN" w:bidi="ar-SA"/>
        </w:rPr>
        <w:fldChar w:fldCharType="separate"/>
      </w:r>
      <w:r>
        <w:rPr>
          <w:rFonts w:hint="eastAsia" w:ascii="黑体" w:hAnsi="Times New Roman" w:eastAsia="黑体" w:cs="Times New Roman"/>
          <w:b w:val="0"/>
          <w:i w:val="0"/>
          <w:color w:val="auto"/>
          <w:kern w:val="2"/>
          <w:sz w:val="21"/>
          <w:szCs w:val="21"/>
          <w:shd w:val="clear" w:color="auto" w:fill="auto"/>
          <w:lang w:val="en-US" w:eastAsia="zh-CN" w:bidi="ar-SA"/>
        </w:rPr>
        <w:t>5.5.1</w:t>
      </w:r>
      <w:r>
        <w:rPr>
          <w:rFonts w:hint="eastAsia" w:ascii="黑体" w:hAnsi="Times New Roman" w:eastAsia="黑体" w:cs="Times New Roman"/>
          <w:b w:val="0"/>
          <w:i w:val="0"/>
          <w:color w:val="auto"/>
          <w:kern w:val="2"/>
          <w:sz w:val="21"/>
          <w:szCs w:val="21"/>
          <w:shd w:val="clear" w:color="auto" w:fill="auto"/>
          <w:lang w:val="en-US" w:eastAsia="zh-CN" w:bidi="ar-SA"/>
        </w:rPr>
        <w:fldChar w:fldCharType="end"/>
      </w:r>
      <w:r>
        <w:rPr>
          <w:rFonts w:hint="eastAsia" w:ascii="黑体" w:hAnsi="Times New Roman" w:eastAsia="黑体" w:cs="Times New Roman"/>
          <w:b w:val="0"/>
          <w:i w:val="0"/>
          <w:color w:val="auto"/>
          <w:kern w:val="2"/>
          <w:sz w:val="21"/>
          <w:szCs w:val="21"/>
          <w:shd w:val="clear" w:color="auto" w:fill="auto"/>
          <w:lang w:val="en-US" w:eastAsia="zh-CN" w:bidi="ar-SA"/>
        </w:rPr>
        <w:t xml:space="preserve"> 底坑设施</w:t>
      </w:r>
    </w:p>
    <w:p>
      <w:pPr>
        <w:pStyle w:val="2"/>
        <w:spacing w:before="51" w:line="254" w:lineRule="auto"/>
        <w:ind w:right="81" w:firstLine="3"/>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5.5.1.1 </w:t>
      </w:r>
      <w:r>
        <w:rPr>
          <w:rFonts w:hint="eastAsia" w:ascii="宋体" w:hAnsi="Times New Roman" w:eastAsia="宋体" w:cs="Times New Roman"/>
          <w:color w:val="auto"/>
          <w:kern w:val="0"/>
          <w:sz w:val="21"/>
          <w:szCs w:val="20"/>
          <w:lang w:val="en-US" w:eastAsia="zh-CN" w:bidi="ar-SA"/>
        </w:rPr>
        <w:t>井道下部应设置底坑，底坑应保持清洁。除了缓冲器和导向装置的底座以及排水装置以外，底坑的底部应光滑平整，不得渗水。排水装置应采取防止水倒流底坑的措施。</w:t>
      </w:r>
    </w:p>
    <w:p>
      <w:pPr>
        <w:pStyle w:val="2"/>
        <w:spacing w:before="84" w:line="219" w:lineRule="auto"/>
        <w:ind w:left="2"/>
        <w:rPr>
          <w:color w:val="auto"/>
          <w:sz w:val="20"/>
          <w:szCs w:val="20"/>
        </w:rPr>
      </w:pPr>
      <w:r>
        <w:rPr>
          <w:rFonts w:hint="eastAsia" w:ascii="黑体" w:hAnsi="Times New Roman" w:eastAsia="黑体" w:cs="Times New Roman"/>
          <w:b w:val="0"/>
          <w:i w:val="0"/>
          <w:color w:val="auto"/>
          <w:kern w:val="2"/>
          <w:sz w:val="21"/>
          <w:szCs w:val="21"/>
          <w:shd w:val="clear" w:color="auto" w:fill="auto"/>
          <w:lang w:val="en-US" w:eastAsia="zh-CN" w:bidi="ar-SA"/>
        </w:rPr>
        <w:t>5.</w:t>
      </w:r>
      <w:r>
        <w:rPr>
          <w:rFonts w:hint="eastAsia" w:hAnsi="Times New Roman" w:cs="Times New Roman"/>
          <w:b w:val="0"/>
          <w:i w:val="0"/>
          <w:color w:val="auto"/>
          <w:kern w:val="2"/>
          <w:sz w:val="21"/>
          <w:szCs w:val="21"/>
          <w:shd w:val="clear" w:color="auto" w:fill="auto"/>
          <w:lang w:val="en-US" w:eastAsia="zh-CN" w:bidi="ar-SA"/>
        </w:rPr>
        <w:t>5</w:t>
      </w:r>
      <w:r>
        <w:rPr>
          <w:rFonts w:hint="eastAsia" w:ascii="黑体" w:hAnsi="Times New Roman" w:eastAsia="黑体" w:cs="Times New Roman"/>
          <w:b w:val="0"/>
          <w:i w:val="0"/>
          <w:color w:val="auto"/>
          <w:kern w:val="2"/>
          <w:sz w:val="21"/>
          <w:szCs w:val="21"/>
          <w:shd w:val="clear" w:color="auto" w:fill="auto"/>
          <w:lang w:val="en-US" w:eastAsia="zh-CN" w:bidi="ar-SA"/>
        </w:rPr>
        <w:t>.</w:t>
      </w:r>
      <w:r>
        <w:rPr>
          <w:rFonts w:hint="eastAsia" w:hAnsi="Times New Roman" w:cs="Times New Roman"/>
          <w:b w:val="0"/>
          <w:i w:val="0"/>
          <w:color w:val="auto"/>
          <w:kern w:val="2"/>
          <w:sz w:val="21"/>
          <w:szCs w:val="21"/>
          <w:shd w:val="clear" w:color="auto" w:fill="auto"/>
          <w:lang w:val="en-US" w:eastAsia="zh-CN" w:bidi="ar-SA"/>
        </w:rPr>
        <w:t>1.2</w:t>
      </w:r>
      <w:r>
        <w:rPr>
          <w:color w:val="auto"/>
          <w:spacing w:val="25"/>
          <w:sz w:val="20"/>
          <w:szCs w:val="20"/>
        </w:rPr>
        <w:t xml:space="preserve"> </w:t>
      </w:r>
      <w:r>
        <w:rPr>
          <w:rFonts w:hint="eastAsia" w:ascii="宋体" w:hAnsi="Times New Roman" w:eastAsia="宋体" w:cs="Times New Roman"/>
          <w:color w:val="auto"/>
          <w:kern w:val="0"/>
          <w:sz w:val="21"/>
          <w:szCs w:val="20"/>
          <w:lang w:val="en-US" w:eastAsia="zh-CN" w:bidi="ar-SA"/>
        </w:rPr>
        <w:t>底坑内应设置：</w:t>
      </w:r>
    </w:p>
    <w:p>
      <w:pPr>
        <w:pStyle w:val="2"/>
        <w:spacing w:before="51" w:line="254" w:lineRule="auto"/>
        <w:ind w:right="81"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a) 停止装置，该装置在打开层门去底坑时和在底坑地面上均容易接近，且符合GB 28755中第9.8.2的要求； </w:t>
      </w:r>
    </w:p>
    <w:p>
      <w:pPr>
        <w:pStyle w:val="2"/>
        <w:spacing w:before="51" w:line="254" w:lineRule="auto"/>
        <w:ind w:right="81" w:firstLine="420" w:firstLineChars="200"/>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固定照明装置及其开关、独立的电源插座；</w:t>
      </w:r>
    </w:p>
    <w:p>
      <w:pPr>
        <w:pStyle w:val="2"/>
        <w:spacing w:before="51" w:line="254" w:lineRule="auto"/>
        <w:ind w:right="81"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不突入简易升降机运行空间的固定爬梯，底坑深度不超过1.2m的除外。</w:t>
      </w:r>
    </w:p>
    <w:p>
      <w:pPr>
        <w:spacing w:before="231" w:line="222" w:lineRule="auto"/>
        <w:ind w:left="2"/>
        <w:outlineLvl w:val="0"/>
        <w:rPr>
          <w:rFonts w:ascii="黑体" w:hAnsi="黑体" w:eastAsia="黑体" w:cs="黑体"/>
          <w:color w:val="auto"/>
          <w:sz w:val="20"/>
          <w:szCs w:val="20"/>
        </w:rPr>
      </w:pPr>
      <w:r>
        <w:rPr>
          <w:rFonts w:hint="eastAsia" w:ascii="黑体" w:eastAsia="黑体" w:cs="Times New Roman"/>
          <w:b w:val="0"/>
          <w:i w:val="0"/>
          <w:color w:val="auto"/>
          <w:kern w:val="2"/>
          <w:sz w:val="21"/>
          <w:szCs w:val="21"/>
          <w:shd w:val="clear" w:color="auto" w:fill="auto"/>
          <w:lang w:val="en-US" w:eastAsia="zh-CN" w:bidi="ar-SA"/>
        </w:rPr>
        <w:t>5.5.2</w:t>
      </w:r>
      <w:r>
        <w:rPr>
          <w:rFonts w:hint="eastAsia" w:ascii="黑体" w:hAnsi="Times New Roman" w:eastAsia="黑体" w:cs="Times New Roman"/>
          <w:b w:val="0"/>
          <w:i w:val="0"/>
          <w:color w:val="auto"/>
          <w:kern w:val="2"/>
          <w:sz w:val="21"/>
          <w:szCs w:val="21"/>
          <w:shd w:val="clear" w:color="auto" w:fill="auto"/>
          <w:lang w:val="en-US" w:eastAsia="zh-CN" w:bidi="ar-SA"/>
        </w:rPr>
        <w:t xml:space="preserve"> 底坑空间</w:t>
      </w:r>
    </w:p>
    <w:p>
      <w:pPr>
        <w:pStyle w:val="2"/>
        <w:spacing w:before="51" w:line="254" w:lineRule="auto"/>
        <w:ind w:right="81"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当货厢完全压在其缓冲器上时，应同时满足如下条件：</w:t>
      </w:r>
    </w:p>
    <w:p>
      <w:pPr>
        <w:pStyle w:val="2"/>
        <w:numPr>
          <w:ilvl w:val="0"/>
          <w:numId w:val="2"/>
        </w:numPr>
        <w:spacing w:before="51" w:line="254" w:lineRule="auto"/>
        <w:ind w:right="81"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货厢底部最低部件与底坑垂直对应位置之间的距离不小于0.1m；</w:t>
      </w:r>
    </w:p>
    <w:p>
      <w:pPr>
        <w:pStyle w:val="2"/>
        <w:numPr>
          <w:ilvl w:val="0"/>
          <w:numId w:val="0"/>
        </w:numPr>
        <w:spacing w:before="51" w:line="254" w:lineRule="auto"/>
        <w:ind w:right="81" w:rightChars="0" w:firstLine="420" w:firstLineChars="200"/>
        <w:rPr>
          <w:rFonts w:hint="eastAsia" w:hAnsi="Times New Roman" w:cs="Times New Roman"/>
          <w:b w:val="0"/>
          <w:i w:val="0"/>
          <w:color w:val="auto"/>
          <w:sz w:val="21"/>
          <w:szCs w:val="21"/>
          <w:shd w:val="clear" w:color="auto" w:fill="auto"/>
          <w:lang w:val="en-US" w:eastAsia="zh-CN" w:bidi="ar-SA"/>
        </w:rPr>
      </w:pPr>
      <w:r>
        <w:rPr>
          <w:rFonts w:hint="eastAsia" w:ascii="宋体" w:hAnsi="Times New Roman" w:eastAsia="宋体" w:cs="Times New Roman"/>
          <w:color w:val="auto"/>
          <w:kern w:val="0"/>
          <w:sz w:val="21"/>
          <w:szCs w:val="20"/>
          <w:lang w:val="en-US" w:eastAsia="zh-CN" w:bidi="ar-SA"/>
        </w:rPr>
        <w:t>b)底坑中具有足够的空间，该空间的大小以能容纳一个不小于0.5m×0.6m×1.0m 的长方体为准，任一平面朝下放置即可。当底坑空间无法容纳该长方体时，简易升降机应设置机械装置，以防止人员在底坑时货厢向下运行或坠落；该机械装置应设置有效的电气联锁装置，使其能在作用时切断简易升降机的电气安全回路。</w:t>
      </w:r>
    </w:p>
    <w:p>
      <w:pPr>
        <w:pStyle w:val="2"/>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5.6  随行电缆的安装</w:t>
      </w:r>
    </w:p>
    <w:p>
      <w:pPr>
        <w:spacing w:line="244" w:lineRule="auto"/>
        <w:ind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在其全程运行中应自由拖行不受阻碍。</w:t>
      </w:r>
    </w:p>
    <w:p>
      <w:pPr>
        <w:pStyle w:val="2"/>
        <w:spacing w:before="62" w:line="222" w:lineRule="auto"/>
        <w:ind w:left="2"/>
        <w:outlineLvl w:val="0"/>
        <w:rPr>
          <w:rFonts w:hint="eastAsia" w:ascii="黑体" w:hAnsi="Times New Roman" w:eastAsia="黑体" w:cs="Times New Roman"/>
          <w:b w:val="0"/>
          <w:i w:val="0"/>
          <w:color w:val="auto"/>
          <w:sz w:val="21"/>
          <w:szCs w:val="21"/>
          <w:lang w:val="en-US" w:eastAsia="zh-CN" w:bidi="ar-SA"/>
        </w:rPr>
      </w:pPr>
      <w:bookmarkStart w:id="31" w:name="_Toc9120"/>
      <w:bookmarkStart w:id="32" w:name="_Toc6533"/>
      <w:r>
        <w:rPr>
          <w:rFonts w:hint="eastAsia" w:hAnsi="Times New Roman"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 xml:space="preserve"> 机房和检修平台</w:t>
      </w:r>
      <w:bookmarkEnd w:id="31"/>
    </w:p>
    <w:p>
      <w:pPr>
        <w:pStyle w:val="2"/>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6.1 一般要求</w:t>
      </w:r>
    </w:p>
    <w:p>
      <w:pPr>
        <w:pStyle w:val="2"/>
        <w:spacing w:before="202" w:line="256" w:lineRule="auto"/>
        <w:ind w:right="16" w:firstLine="3"/>
        <w:rPr>
          <w:color w:val="auto"/>
          <w:sz w:val="21"/>
          <w:szCs w:val="21"/>
        </w:rPr>
      </w:pPr>
      <w:r>
        <w:rPr>
          <w:rFonts w:hint="eastAsia" w:hAnsi="Times New Roman" w:cs="Times New Roman"/>
          <w:b w:val="0"/>
          <w:i w:val="0"/>
          <w:color w:val="auto"/>
          <w:sz w:val="21"/>
          <w:szCs w:val="21"/>
          <w:lang w:val="en-US" w:eastAsia="zh-CN" w:bidi="ar-SA"/>
        </w:rPr>
        <w:t xml:space="preserve">6.1.1 </w:t>
      </w:r>
      <w:r>
        <w:rPr>
          <w:rFonts w:hint="eastAsia" w:ascii="宋体" w:hAnsi="Times New Roman" w:eastAsia="宋体" w:cs="Times New Roman"/>
          <w:color w:val="auto"/>
          <w:kern w:val="0"/>
          <w:sz w:val="21"/>
          <w:szCs w:val="20"/>
          <w:lang w:val="en-US" w:eastAsia="zh-CN" w:bidi="ar-SA"/>
        </w:rPr>
        <w:t>简易升降机驱动装置及其附属设备应放在专用的机房内或检修平台上，机房或检修平台仅允许经批准的人员进入。</w:t>
      </w:r>
    </w:p>
    <w:p>
      <w:pPr>
        <w:pStyle w:val="2"/>
        <w:spacing w:before="57" w:line="219" w:lineRule="auto"/>
        <w:ind w:left="3"/>
        <w:rPr>
          <w:color w:val="auto"/>
          <w:sz w:val="21"/>
          <w:szCs w:val="21"/>
        </w:rPr>
      </w:pPr>
      <w:r>
        <w:rPr>
          <w:rFonts w:hint="eastAsia" w:hAnsi="Times New Roman" w:cs="Times New Roman"/>
          <w:b w:val="0"/>
          <w:i w:val="0"/>
          <w:color w:val="auto"/>
          <w:sz w:val="21"/>
          <w:szCs w:val="21"/>
          <w:lang w:val="en-US" w:eastAsia="zh-CN" w:bidi="ar-SA"/>
        </w:rPr>
        <w:t>6.1.2</w:t>
      </w:r>
      <w:r>
        <w:rPr>
          <w:color w:val="auto"/>
          <w:sz w:val="21"/>
          <w:szCs w:val="21"/>
        </w:rPr>
        <w:t xml:space="preserve"> </w:t>
      </w:r>
      <w:r>
        <w:rPr>
          <w:rFonts w:hint="eastAsia" w:ascii="宋体" w:hAnsi="Times New Roman" w:eastAsia="宋体" w:cs="Times New Roman"/>
          <w:color w:val="auto"/>
          <w:kern w:val="0"/>
          <w:sz w:val="21"/>
          <w:szCs w:val="20"/>
          <w:lang w:val="en-US" w:eastAsia="zh-CN" w:bidi="ar-SA"/>
        </w:rPr>
        <w:t>机房或检修平台不得用来作为简易升降机以外的其他用途。</w:t>
      </w:r>
    </w:p>
    <w:p>
      <w:pPr>
        <w:pStyle w:val="2"/>
        <w:spacing w:before="57"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6.1.3</w:t>
      </w:r>
      <w:r>
        <w:rPr>
          <w:color w:val="auto"/>
          <w:spacing w:val="8"/>
          <w:sz w:val="21"/>
          <w:szCs w:val="21"/>
        </w:rPr>
        <w:t xml:space="preserve"> </w:t>
      </w:r>
      <w:r>
        <w:rPr>
          <w:rFonts w:hint="eastAsia" w:ascii="宋体" w:hAnsi="Times New Roman" w:eastAsia="宋体" w:cs="Times New Roman"/>
          <w:color w:val="auto"/>
          <w:kern w:val="0"/>
          <w:sz w:val="21"/>
          <w:szCs w:val="20"/>
          <w:lang w:val="en-US" w:eastAsia="zh-CN" w:bidi="ar-SA"/>
        </w:rPr>
        <w:t>应提供人员进出机房或检修平台的安全通道，特殊情况下允许通过货厢检修窗进入检修平台。</w:t>
      </w:r>
    </w:p>
    <w:p>
      <w:pPr>
        <w:pStyle w:val="2"/>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6.1.4</w:t>
      </w:r>
      <w:r>
        <w:rPr>
          <w:color w:val="auto"/>
          <w:spacing w:val="-2"/>
          <w:sz w:val="21"/>
          <w:szCs w:val="21"/>
        </w:rPr>
        <w:t xml:space="preserve"> </w:t>
      </w:r>
      <w:r>
        <w:rPr>
          <w:rFonts w:hint="eastAsia" w:ascii="宋体" w:hAnsi="Times New Roman" w:eastAsia="宋体" w:cs="Times New Roman"/>
          <w:color w:val="auto"/>
          <w:kern w:val="0"/>
          <w:sz w:val="21"/>
          <w:szCs w:val="20"/>
          <w:lang w:val="en-US" w:eastAsia="zh-CN" w:bidi="ar-SA"/>
        </w:rPr>
        <w:t>通往机房或检修平台的通道应设永久性电气照明装置，以获得适当的照度。</w:t>
      </w:r>
    </w:p>
    <w:p>
      <w:pPr>
        <w:pStyle w:val="2"/>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 xml:space="preserve">6.1.5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机房或检修平台应设置：</w:t>
      </w:r>
    </w:p>
    <w:p>
      <w:pPr>
        <w:pStyle w:val="2"/>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停止装置(仅对于检修平台),该装置设在检修平台的入口附近，且符合GB 28755中9.8.2的要求；</w:t>
      </w:r>
    </w:p>
    <w:p>
      <w:pPr>
        <w:pStyle w:val="2"/>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固定照明装置及其开关、独立的电源插座；</w:t>
      </w:r>
    </w:p>
    <w:p>
      <w:pPr>
        <w:pStyle w:val="2"/>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消防设施(仅对于机房)。</w:t>
      </w:r>
    </w:p>
    <w:p>
      <w:pPr>
        <w:spacing w:before="247" w:line="220"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6.2  机房</w:t>
      </w:r>
    </w:p>
    <w:p>
      <w:pPr>
        <w:pStyle w:val="2"/>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 xml:space="preserve">6.2.1 </w:t>
      </w:r>
      <w:r>
        <w:rPr>
          <w:rFonts w:hint="eastAsia" w:ascii="宋体" w:hAnsi="Times New Roman" w:eastAsia="宋体" w:cs="Times New Roman"/>
          <w:color w:val="auto"/>
          <w:kern w:val="0"/>
          <w:sz w:val="21"/>
          <w:szCs w:val="20"/>
          <w:lang w:val="en-US" w:eastAsia="zh-CN" w:bidi="ar-SA"/>
        </w:rPr>
        <w:t>机房应采用经久耐用和不易产生灰尘的材料建造，应具有坚固的结构，能承受预定的载荷，并能适应各种天气条件，通风良好。</w:t>
      </w:r>
    </w:p>
    <w:p>
      <w:pPr>
        <w:pStyle w:val="2"/>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 xml:space="preserve">6.2.2 </w:t>
      </w:r>
      <w:r>
        <w:rPr>
          <w:rFonts w:hint="eastAsia" w:ascii="宋体" w:hAnsi="Times New Roman" w:eastAsia="宋体" w:cs="Times New Roman"/>
          <w:color w:val="auto"/>
          <w:kern w:val="0"/>
          <w:sz w:val="21"/>
          <w:szCs w:val="20"/>
          <w:lang w:val="en-US" w:eastAsia="zh-CN" w:bidi="ar-SA"/>
        </w:rPr>
        <w:t>机房应有足够的尺寸，以确保人员安全和方便地对有关设备进行作业，尤其是对电气设备的作业。</w:t>
      </w:r>
    </w:p>
    <w:p>
      <w:pPr>
        <w:pStyle w:val="2"/>
        <w:spacing w:before="48" w:line="219" w:lineRule="auto"/>
        <w:rPr>
          <w:color w:val="auto"/>
          <w:sz w:val="21"/>
          <w:szCs w:val="21"/>
        </w:rPr>
      </w:pPr>
      <w:r>
        <w:rPr>
          <w:rFonts w:hint="eastAsia" w:ascii="黑体" w:hAnsi="Times New Roman" w:eastAsia="黑体" w:cs="Times New Roman"/>
          <w:b w:val="0"/>
          <w:i w:val="0"/>
          <w:color w:val="auto"/>
          <w:kern w:val="2"/>
          <w:sz w:val="21"/>
          <w:szCs w:val="21"/>
          <w:lang w:val="en-US" w:eastAsia="zh-CN" w:bidi="ar-SA"/>
        </w:rPr>
        <w:t xml:space="preserve">6.2.3 </w:t>
      </w:r>
      <w:r>
        <w:rPr>
          <w:rFonts w:hint="eastAsia" w:ascii="宋体" w:hAnsi="Times New Roman" w:eastAsia="宋体" w:cs="Times New Roman"/>
          <w:color w:val="auto"/>
          <w:kern w:val="0"/>
          <w:sz w:val="21"/>
          <w:szCs w:val="20"/>
          <w:lang w:val="en-US" w:eastAsia="zh-CN" w:bidi="ar-SA"/>
        </w:rPr>
        <w:t>机房门窗应防风雨，机房门应有锁。</w:t>
      </w:r>
    </w:p>
    <w:p>
      <w:pPr>
        <w:pStyle w:val="2"/>
        <w:spacing w:before="41" w:line="259" w:lineRule="auto"/>
        <w:ind w:firstLine="3"/>
        <w:rPr>
          <w:color w:val="auto"/>
          <w:sz w:val="21"/>
          <w:szCs w:val="21"/>
        </w:rPr>
      </w:pPr>
      <w:r>
        <w:rPr>
          <w:rFonts w:hint="eastAsia" w:ascii="黑体" w:hAnsi="Times New Roman" w:eastAsia="黑体" w:cs="Times New Roman"/>
          <w:b w:val="0"/>
          <w:i w:val="0"/>
          <w:color w:val="auto"/>
          <w:kern w:val="2"/>
          <w:sz w:val="21"/>
          <w:szCs w:val="21"/>
          <w:lang w:val="en-US" w:eastAsia="zh-CN" w:bidi="ar-SA"/>
        </w:rPr>
        <w:t xml:space="preserve">6.2.4 </w:t>
      </w:r>
      <w:r>
        <w:rPr>
          <w:rFonts w:hint="eastAsia" w:ascii="宋体" w:hAnsi="Times New Roman" w:eastAsia="宋体" w:cs="Times New Roman"/>
          <w:color w:val="auto"/>
          <w:kern w:val="0"/>
          <w:sz w:val="21"/>
          <w:szCs w:val="20"/>
          <w:lang w:val="en-US" w:eastAsia="zh-CN" w:bidi="ar-SA"/>
        </w:rPr>
        <w:t>机房地板上的开孔尺寸，在满足使用条件下应减到最小。为防止物体通过位于井道上方的开口，包括通过电缆用的开孔坠落的危险，应采用圈框，此圈框应凸出地面至少50 mm。</w:t>
      </w:r>
    </w:p>
    <w:p>
      <w:pPr>
        <w:spacing w:before="208" w:line="222"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6.3 检修平台</w:t>
      </w:r>
    </w:p>
    <w:p>
      <w:pPr>
        <w:pStyle w:val="2"/>
        <w:spacing w:before="219" w:line="255" w:lineRule="auto"/>
        <w:ind w:right="10" w:firstLine="3"/>
        <w:jc w:val="both"/>
        <w:rPr>
          <w:color w:val="auto"/>
          <w:sz w:val="21"/>
          <w:szCs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6.3.1</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当驱动装置设在底坑区域内时，允许以底坑地面作为检修平台，并在适合检修位置设置机械装置，以防止人员在底坑时货厢运行或坠落；该机械装置应设置有效的电气联锁装置，使其能在作用时 切断简易升降机的电气安全回路。</w:t>
      </w:r>
    </w:p>
    <w:p>
      <w:pPr>
        <w:pStyle w:val="2"/>
        <w:spacing w:before="43" w:line="260" w:lineRule="auto"/>
        <w:ind w:right="19" w:firstLine="3"/>
        <w:rPr>
          <w:color w:val="auto"/>
          <w:sz w:val="21"/>
          <w:szCs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"5.2.3.2"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6.3.2</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驱动装置设在井道上部时，允许以货厢顶部作为检修平台，并在适合检修位置设置机械装置，以防止人员在货厢顶部检修时货厢向下运行或坠落；该机械装置应设置有效的电气联锁装置，使其能在作用时切断简易升降机的电气安全回路。</w:t>
      </w:r>
    </w:p>
    <w:p>
      <w:pPr>
        <w:pStyle w:val="2"/>
        <w:numPr>
          <w:ilvl w:val="0"/>
          <w:numId w:val="0"/>
        </w:numPr>
        <w:spacing w:before="62" w:line="222" w:lineRule="auto"/>
        <w:ind w:left="2" w:leftChars="0"/>
        <w:outlineLvl w:val="0"/>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"5.2.3.3"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6.3.3</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当井道顶部装设专用的检修平台时，应设置符合GB 28755中</w:t>
      </w: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"5.1.2.2"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5.1.2.2</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规定的检修门。检修平台应设置必要的护栏。</w:t>
      </w:r>
    </w:p>
    <w:p>
      <w:pPr>
        <w:pStyle w:val="2"/>
        <w:numPr>
          <w:ilvl w:val="0"/>
          <w:numId w:val="0"/>
        </w:numPr>
        <w:spacing w:before="62" w:line="222" w:lineRule="auto"/>
        <w:ind w:left="2" w:leftChars="0"/>
        <w:outlineLvl w:val="0"/>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7 金属结构</w:t>
      </w:r>
      <w:bookmarkEnd w:id="32"/>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p>
    <w:p>
      <w:pPr>
        <w:pStyle w:val="2"/>
        <w:numPr>
          <w:ilvl w:val="0"/>
          <w:numId w:val="0"/>
        </w:numPr>
        <w:spacing w:before="62" w:line="222" w:lineRule="auto"/>
        <w:ind w:leftChars="0"/>
        <w:outlineLvl w:val="1"/>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7.1 货箱</w:t>
      </w:r>
    </w:p>
    <w:p>
      <w:pPr>
        <w:pStyle w:val="2"/>
        <w:spacing w:before="62" w:line="222" w:lineRule="auto"/>
        <w:ind w:left="2"/>
        <w:outlineLvl w:val="1"/>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7.1.1货箱材料</w:t>
      </w:r>
    </w:p>
    <w:p>
      <w:pPr>
        <w:pStyle w:val="2"/>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7.1.1.1 主要结构件的材料选择应当考虑在预定工作环境下结构的重要性、载荷特征、应力状态、连接方式、工作环境温度、腐蚀、磨损、冲击、疲劳、脆性老化、焊接性能及钢材厚度等因素。</w:t>
      </w:r>
    </w:p>
    <w:p>
      <w:pPr>
        <w:pStyle w:val="2"/>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7.1.1.2主要结构件应当采用镇静钢，力学性能不低于 GB/T 700—2006《碳素结构钢》要求的 Q235 或者 GB/T 699—2015《优质碳素结构钢》要求的 20 钢；</w:t>
      </w:r>
    </w:p>
    <w:p>
      <w:pPr>
        <w:pStyle w:val="2"/>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7.1.1.3 在 T 形、十字形和角形焊接的连接节点中，当板件钢材厚度大于 40mm，并且沿板厚方向有较高撕裂拉力(包括较高约束拉应力)作用时，该部位板件钢材宜具有厚度方向抗撕裂(Z 向)性能的合格保证，其沿板厚方向断面收缩率应当不小于 GB/T 5313 —2010《厚度方向性能钢板》规定的 Z15 级允许限值；钢板厚度方向承载性能等级，应当根据节点形式、板厚、熔深或者焊缝尺寸、焊接时节点拘束度以及预热、后热情况等综合确定；</w:t>
      </w:r>
    </w:p>
    <w:p>
      <w:pPr>
        <w:pStyle w:val="2"/>
        <w:numPr>
          <w:ilvl w:val="0"/>
          <w:numId w:val="0"/>
        </w:numPr>
        <w:spacing w:before="62" w:line="222" w:lineRule="auto"/>
        <w:ind w:leftChars="0"/>
        <w:outlineLvl w:val="1"/>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宋体" w:hAnsi="宋体" w:eastAsia="宋体" w:cs="宋体"/>
          <w:b w:val="0"/>
          <w:i w:val="0"/>
          <w:color w:val="auto"/>
          <w:sz w:val="21"/>
          <w:szCs w:val="21"/>
          <w:lang w:val="en-US" w:eastAsia="zh-CN" w:bidi="ar-SA"/>
        </w:rPr>
        <w:t>7.1.1.4 厚度大于 50mm 的钢板用于焊接承载构件并且作拉伸、弯曲等受力构件时，需要增加横向取样的拉伸和冲击韧性的检验，并且符合设计要求。</w:t>
      </w:r>
    </w:p>
    <w:p>
      <w:pPr>
        <w:pStyle w:val="2"/>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7.1.2  货厢结构</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"6.1.1.1"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7.1.2.1</w:t>
      </w:r>
      <w:r>
        <w:rPr>
          <w:rFonts w:hint="eastAsia" w:hAnsi="Times New Roman" w:cs="Times New Roman"/>
          <w:b w:val="0"/>
          <w:i w:val="0"/>
          <w:color w:val="auto"/>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简易升降机的货厢应是刚性结构，除了货厢门、通风口以及必要的检修窗外，货厢其他表面应封闭。货厢不得采用平板、平台等形式。</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"6.1.1.2"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7.1.2.2</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当需要从货厢进入检修平台时，货厢上应设置尺寸不小于0.5m×0.35m,且装有电气联锁装置的检修窗。</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"6.1.1.3"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7.1.2.3</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至少应装设两对导轮或导靴，导轮或导靴应固定可靠且便于更换。</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"6.1.1.4"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7.1.2.4</w:t>
      </w:r>
      <w:r>
        <w:rPr>
          <w:rFonts w:hint="eastAsia" w:hAnsi="Times New Roman" w:cs="Times New Roman"/>
          <w:b w:val="0"/>
          <w:i w:val="0"/>
          <w:color w:val="auto"/>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货厢壁、货厢底板和货厢顶以及货厢结构件均应有足够的机械强度，以承受简易升降机正常运行时，或货厢撞击到缓冲器上时，或下行超速保护装置以及停层保护装置等起作用时的载荷。</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"6.1.1.5"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7.1.2.5</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当货厢顶外侧边缘离井道壁的自由距离超过300mm时，货厢顶部应加设高度不小于700mm、中间间隔不大于350mm、下部踢脚板高度不小于100mm的护栏。</w:t>
      </w:r>
    </w:p>
    <w:p>
      <w:pPr>
        <w:pStyle w:val="2"/>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7.1.3  货厢最大有效面积和额定起重量关系</w:t>
      </w:r>
    </w:p>
    <w:p>
      <w:pPr>
        <w:pStyle w:val="2"/>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货厢最大有效面积和额定起重量关系应符合表1的规定。对无法明确额定起重量的简易升降机，其额定起重量应按表1中货厢最大有效面积所对应的额定起重量确定。</w:t>
      </w:r>
    </w:p>
    <w:p>
      <w:pPr>
        <w:spacing w:before="227" w:line="221" w:lineRule="auto"/>
        <w:ind w:left="2702"/>
        <w:rPr>
          <w:rFonts w:ascii="黑体" w:hAnsi="黑体" w:eastAsia="黑体" w:cs="黑体"/>
          <w:color w:val="auto"/>
          <w:sz w:val="21"/>
          <w:szCs w:val="21"/>
        </w:rPr>
      </w:pPr>
      <w:r>
        <w:rPr>
          <w:rFonts w:ascii="黑体" w:hAnsi="黑体" w:eastAsia="黑体" w:cs="黑体"/>
          <w:b/>
          <w:bCs/>
          <w:color w:val="auto"/>
          <w:spacing w:val="-5"/>
          <w:sz w:val="21"/>
          <w:szCs w:val="21"/>
        </w:rPr>
        <w:t>表</w:t>
      </w:r>
      <w:r>
        <w:rPr>
          <w:rFonts w:ascii="黑体" w:hAnsi="黑体" w:eastAsia="黑体" w:cs="黑体"/>
          <w:color w:val="auto"/>
          <w:spacing w:val="-5"/>
          <w:sz w:val="21"/>
          <w:szCs w:val="21"/>
        </w:rPr>
        <w:t xml:space="preserve"> </w:t>
      </w:r>
      <w:r>
        <w:rPr>
          <w:rFonts w:ascii="黑体" w:hAnsi="黑体" w:eastAsia="黑体" w:cs="黑体"/>
          <w:b/>
          <w:bCs/>
          <w:color w:val="auto"/>
          <w:spacing w:val="-5"/>
          <w:sz w:val="21"/>
          <w:szCs w:val="21"/>
        </w:rPr>
        <w:t>1</w:t>
      </w:r>
      <w:r>
        <w:rPr>
          <w:rFonts w:ascii="黑体" w:hAnsi="黑体" w:eastAsia="黑体" w:cs="黑体"/>
          <w:color w:val="auto"/>
          <w:spacing w:val="89"/>
          <w:sz w:val="21"/>
          <w:szCs w:val="21"/>
        </w:rPr>
        <w:t xml:space="preserve"> </w:t>
      </w:r>
      <w:r>
        <w:rPr>
          <w:rFonts w:ascii="黑体" w:hAnsi="黑体" w:eastAsia="黑体" w:cs="黑体"/>
          <w:b/>
          <w:bCs/>
          <w:color w:val="auto"/>
          <w:spacing w:val="-5"/>
          <w:sz w:val="21"/>
          <w:szCs w:val="21"/>
        </w:rPr>
        <w:t>货厢最大有效面积和额定起重量关系</w:t>
      </w:r>
    </w:p>
    <w:p>
      <w:pPr>
        <w:spacing w:line="240" w:lineRule="exact"/>
        <w:rPr>
          <w:color w:val="auto"/>
        </w:rPr>
      </w:pPr>
    </w:p>
    <w:tbl>
      <w:tblPr>
        <w:tblStyle w:val="27"/>
        <w:tblW w:w="9266" w:type="dxa"/>
        <w:tblInd w:w="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2"/>
        <w:gridCol w:w="2357"/>
        <w:gridCol w:w="2267"/>
        <w:gridCol w:w="2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362" w:type="dxa"/>
            <w:vAlign w:val="top"/>
          </w:tcPr>
          <w:p>
            <w:pPr>
              <w:pStyle w:val="31"/>
              <w:spacing w:before="92" w:line="274" w:lineRule="exact"/>
              <w:ind w:left="724"/>
              <w:rPr>
                <w:color w:val="auto"/>
              </w:rPr>
            </w:pPr>
            <w:r>
              <w:rPr>
                <w:color w:val="auto"/>
                <w:spacing w:val="-2"/>
                <w:position w:val="6"/>
              </w:rPr>
              <w:t>额定起重量</w:t>
            </w:r>
          </w:p>
          <w:p>
            <w:pPr>
              <w:pStyle w:val="31"/>
              <w:spacing w:line="213" w:lineRule="auto"/>
              <w:ind w:left="1084"/>
              <w:rPr>
                <w:color w:val="auto"/>
              </w:rPr>
            </w:pPr>
            <w:r>
              <w:rPr>
                <w:color w:val="auto"/>
                <w:spacing w:val="-2"/>
              </w:rPr>
              <w:t>kg</w:t>
            </w:r>
          </w:p>
        </w:tc>
        <w:tc>
          <w:tcPr>
            <w:tcW w:w="2357" w:type="dxa"/>
            <w:vAlign w:val="top"/>
          </w:tcPr>
          <w:p>
            <w:pPr>
              <w:pStyle w:val="31"/>
              <w:spacing w:before="82" w:line="264" w:lineRule="auto"/>
              <w:ind w:left="968" w:right="372" w:hanging="580"/>
              <w:rPr>
                <w:color w:val="auto"/>
                <w:spacing w:val="1"/>
              </w:rPr>
            </w:pPr>
            <w:r>
              <w:rPr>
                <w:color w:val="auto"/>
                <w:spacing w:val="1"/>
              </w:rPr>
              <w:t>货厢最大有效面积</w:t>
            </w:r>
          </w:p>
          <w:p>
            <w:pPr>
              <w:pStyle w:val="31"/>
              <w:spacing w:before="85" w:line="194" w:lineRule="auto"/>
              <w:ind w:left="1032"/>
              <w:rPr>
                <w:color w:val="auto"/>
              </w:rPr>
            </w:pPr>
            <w:r>
              <w:rPr>
                <w:color w:val="auto"/>
                <w:spacing w:val="-1"/>
              </w:rPr>
              <w:t>m²</w:t>
            </w:r>
          </w:p>
        </w:tc>
        <w:tc>
          <w:tcPr>
            <w:tcW w:w="2267" w:type="dxa"/>
            <w:vAlign w:val="top"/>
          </w:tcPr>
          <w:p>
            <w:pPr>
              <w:pStyle w:val="31"/>
              <w:spacing w:before="82" w:line="264" w:lineRule="auto"/>
              <w:ind w:left="1049" w:leftChars="347" w:right="372" w:hanging="320" w:hangingChars="176"/>
              <w:rPr>
                <w:color w:val="auto"/>
                <w:spacing w:val="1"/>
              </w:rPr>
            </w:pPr>
            <w:r>
              <w:rPr>
                <w:color w:val="auto"/>
                <w:spacing w:val="1"/>
              </w:rPr>
              <w:t>额定起重量</w:t>
            </w:r>
          </w:p>
          <w:p>
            <w:pPr>
              <w:pStyle w:val="31"/>
              <w:spacing w:before="62" w:line="214" w:lineRule="auto"/>
              <w:ind w:left="1085"/>
              <w:rPr>
                <w:color w:val="auto"/>
              </w:rPr>
            </w:pPr>
            <w:r>
              <w:rPr>
                <w:color w:val="auto"/>
                <w:spacing w:val="-2"/>
              </w:rPr>
              <w:t>kg</w:t>
            </w:r>
          </w:p>
        </w:tc>
        <w:tc>
          <w:tcPr>
            <w:tcW w:w="2280" w:type="dxa"/>
            <w:vAlign w:val="top"/>
          </w:tcPr>
          <w:p>
            <w:pPr>
              <w:pStyle w:val="31"/>
              <w:spacing w:before="82" w:line="264" w:lineRule="auto"/>
              <w:ind w:left="968" w:right="372" w:hanging="580"/>
              <w:rPr>
                <w:color w:val="auto"/>
              </w:rPr>
            </w:pPr>
            <w:r>
              <w:rPr>
                <w:color w:val="auto"/>
                <w:spacing w:val="1"/>
              </w:rPr>
              <w:t>货厢最大有效面积</w:t>
            </w:r>
            <w:r>
              <w:rPr>
                <w:color w:val="auto"/>
                <w:spacing w:val="2"/>
              </w:rPr>
              <w:t xml:space="preserve"> </w:t>
            </w:r>
            <w:r>
              <w:rPr>
                <w:color w:val="auto"/>
                <w:spacing w:val="-1"/>
              </w:rPr>
              <w:t>m²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1"/>
              <w:spacing w:before="74" w:line="220" w:lineRule="auto"/>
              <w:ind w:left="944"/>
              <w:rPr>
                <w:color w:val="auto"/>
              </w:rPr>
            </w:pPr>
            <w:r>
              <w:rPr>
                <w:color w:val="auto"/>
                <w:spacing w:val="-4"/>
              </w:rPr>
              <w:t>≤200</w:t>
            </w:r>
          </w:p>
        </w:tc>
        <w:tc>
          <w:tcPr>
            <w:tcW w:w="2357" w:type="dxa"/>
            <w:vAlign w:val="top"/>
          </w:tcPr>
          <w:p>
            <w:pPr>
              <w:pStyle w:val="31"/>
              <w:spacing w:before="103" w:line="184" w:lineRule="auto"/>
              <w:ind w:left="993"/>
              <w:rPr>
                <w:color w:val="auto"/>
              </w:rPr>
            </w:pPr>
            <w:r>
              <w:rPr>
                <w:color w:val="auto"/>
                <w:spacing w:val="-4"/>
              </w:rPr>
              <w:t>1.00</w:t>
            </w:r>
          </w:p>
        </w:tc>
        <w:tc>
          <w:tcPr>
            <w:tcW w:w="2267" w:type="dxa"/>
            <w:vAlign w:val="top"/>
          </w:tcPr>
          <w:p>
            <w:pPr>
              <w:pStyle w:val="31"/>
              <w:spacing w:before="103" w:line="184" w:lineRule="auto"/>
              <w:ind w:left="995"/>
              <w:rPr>
                <w:color w:val="auto"/>
              </w:rPr>
            </w:pPr>
            <w:r>
              <w:rPr>
                <w:color w:val="auto"/>
                <w:spacing w:val="-4"/>
              </w:rPr>
              <w:t>1000</w:t>
            </w:r>
          </w:p>
        </w:tc>
        <w:tc>
          <w:tcPr>
            <w:tcW w:w="2280" w:type="dxa"/>
            <w:vAlign w:val="top"/>
          </w:tcPr>
          <w:p>
            <w:pPr>
              <w:pStyle w:val="31"/>
              <w:spacing w:before="104" w:line="183" w:lineRule="auto"/>
              <w:ind w:left="928"/>
              <w:rPr>
                <w:color w:val="auto"/>
              </w:rPr>
            </w:pPr>
            <w:r>
              <w:rPr>
                <w:color w:val="auto"/>
                <w:spacing w:val="-2"/>
              </w:rPr>
              <w:t>3.60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1"/>
              <w:spacing w:before="115" w:line="183" w:lineRule="auto"/>
              <w:ind w:left="1034"/>
              <w:rPr>
                <w:color w:val="auto"/>
              </w:rPr>
            </w:pPr>
            <w:r>
              <w:rPr>
                <w:color w:val="auto"/>
                <w:spacing w:val="-3"/>
              </w:rPr>
              <w:t>300</w:t>
            </w:r>
          </w:p>
        </w:tc>
        <w:tc>
          <w:tcPr>
            <w:tcW w:w="2357" w:type="dxa"/>
            <w:vAlign w:val="top"/>
          </w:tcPr>
          <w:p>
            <w:pPr>
              <w:pStyle w:val="31"/>
              <w:spacing w:before="114" w:line="184" w:lineRule="auto"/>
              <w:ind w:left="993"/>
              <w:rPr>
                <w:color w:val="auto"/>
              </w:rPr>
            </w:pPr>
            <w:r>
              <w:rPr>
                <w:color w:val="auto"/>
                <w:spacing w:val="-4"/>
              </w:rPr>
              <w:t>1.35</w:t>
            </w:r>
          </w:p>
        </w:tc>
        <w:tc>
          <w:tcPr>
            <w:tcW w:w="2267" w:type="dxa"/>
            <w:vAlign w:val="top"/>
          </w:tcPr>
          <w:p>
            <w:pPr>
              <w:pStyle w:val="31"/>
              <w:spacing w:before="114" w:line="184" w:lineRule="auto"/>
              <w:ind w:left="995"/>
              <w:rPr>
                <w:color w:val="auto"/>
              </w:rPr>
            </w:pPr>
            <w:r>
              <w:rPr>
                <w:color w:val="auto"/>
                <w:spacing w:val="-4"/>
              </w:rPr>
              <w:t>1200</w:t>
            </w:r>
          </w:p>
        </w:tc>
        <w:tc>
          <w:tcPr>
            <w:tcW w:w="2280" w:type="dxa"/>
            <w:vAlign w:val="top"/>
          </w:tcPr>
          <w:p>
            <w:pPr>
              <w:pStyle w:val="31"/>
              <w:spacing w:before="115" w:line="183" w:lineRule="auto"/>
              <w:ind w:left="928"/>
              <w:rPr>
                <w:color w:val="auto"/>
              </w:rPr>
            </w:pPr>
            <w:r>
              <w:rPr>
                <w:color w:val="auto"/>
                <w:spacing w:val="-2"/>
              </w:rPr>
              <w:t>4.20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1"/>
              <w:spacing w:before="116" w:line="183" w:lineRule="auto"/>
              <w:ind w:left="1034"/>
              <w:rPr>
                <w:color w:val="auto"/>
              </w:rPr>
            </w:pPr>
            <w:r>
              <w:rPr>
                <w:color w:val="auto"/>
                <w:spacing w:val="-2"/>
              </w:rPr>
              <w:t>400</w:t>
            </w:r>
          </w:p>
        </w:tc>
        <w:tc>
          <w:tcPr>
            <w:tcW w:w="2357" w:type="dxa"/>
            <w:vAlign w:val="top"/>
          </w:tcPr>
          <w:p>
            <w:pPr>
              <w:pStyle w:val="31"/>
              <w:spacing w:before="115" w:line="184" w:lineRule="auto"/>
              <w:ind w:left="993"/>
              <w:rPr>
                <w:color w:val="auto"/>
              </w:rPr>
            </w:pPr>
            <w:r>
              <w:rPr>
                <w:color w:val="auto"/>
                <w:spacing w:val="-4"/>
              </w:rPr>
              <w:t>1.76</w:t>
            </w:r>
          </w:p>
        </w:tc>
        <w:tc>
          <w:tcPr>
            <w:tcW w:w="2267" w:type="dxa"/>
            <w:vAlign w:val="top"/>
          </w:tcPr>
          <w:p>
            <w:pPr>
              <w:pStyle w:val="31"/>
              <w:spacing w:before="115" w:line="184" w:lineRule="auto"/>
              <w:ind w:left="995"/>
              <w:rPr>
                <w:color w:val="auto"/>
              </w:rPr>
            </w:pPr>
            <w:r>
              <w:rPr>
                <w:color w:val="auto"/>
                <w:spacing w:val="-4"/>
              </w:rPr>
              <w:t>1500</w:t>
            </w:r>
          </w:p>
        </w:tc>
        <w:tc>
          <w:tcPr>
            <w:tcW w:w="2280" w:type="dxa"/>
            <w:vAlign w:val="top"/>
          </w:tcPr>
          <w:p>
            <w:pPr>
              <w:pStyle w:val="31"/>
              <w:spacing w:before="115" w:line="184" w:lineRule="auto"/>
              <w:ind w:left="928"/>
              <w:rPr>
                <w:color w:val="auto"/>
              </w:rPr>
            </w:pPr>
            <w:r>
              <w:rPr>
                <w:color w:val="auto"/>
                <w:spacing w:val="-2"/>
              </w:rPr>
              <w:t>5.10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1"/>
              <w:spacing w:before="117" w:line="183" w:lineRule="auto"/>
              <w:ind w:left="1034"/>
              <w:rPr>
                <w:color w:val="auto"/>
              </w:rPr>
            </w:pPr>
            <w:r>
              <w:rPr>
                <w:color w:val="auto"/>
                <w:spacing w:val="-3"/>
              </w:rPr>
              <w:t>500</w:t>
            </w:r>
          </w:p>
        </w:tc>
        <w:tc>
          <w:tcPr>
            <w:tcW w:w="2357" w:type="dxa"/>
            <w:vAlign w:val="top"/>
          </w:tcPr>
          <w:p>
            <w:pPr>
              <w:pStyle w:val="31"/>
              <w:spacing w:before="116" w:line="184" w:lineRule="auto"/>
              <w:ind w:left="993"/>
              <w:rPr>
                <w:color w:val="auto"/>
              </w:rPr>
            </w:pPr>
            <w:r>
              <w:rPr>
                <w:color w:val="auto"/>
                <w:spacing w:val="-2"/>
              </w:rPr>
              <w:t>2.10</w:t>
            </w:r>
          </w:p>
        </w:tc>
        <w:tc>
          <w:tcPr>
            <w:tcW w:w="2267" w:type="dxa"/>
            <w:vAlign w:val="top"/>
          </w:tcPr>
          <w:p>
            <w:pPr>
              <w:pStyle w:val="31"/>
              <w:spacing w:before="116" w:line="184" w:lineRule="auto"/>
              <w:ind w:left="995"/>
              <w:rPr>
                <w:color w:val="auto"/>
              </w:rPr>
            </w:pPr>
            <w:r>
              <w:rPr>
                <w:color w:val="auto"/>
                <w:spacing w:val="-4"/>
              </w:rPr>
              <w:t>1600</w:t>
            </w:r>
          </w:p>
        </w:tc>
        <w:tc>
          <w:tcPr>
            <w:tcW w:w="2280" w:type="dxa"/>
            <w:vAlign w:val="top"/>
          </w:tcPr>
          <w:p>
            <w:pPr>
              <w:pStyle w:val="31"/>
              <w:spacing w:before="117" w:line="183" w:lineRule="auto"/>
              <w:ind w:left="928"/>
              <w:rPr>
                <w:color w:val="auto"/>
              </w:rPr>
            </w:pPr>
            <w:r>
              <w:rPr>
                <w:color w:val="auto"/>
                <w:spacing w:val="-2"/>
              </w:rPr>
              <w:t>5.35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1"/>
              <w:spacing w:before="108" w:line="183" w:lineRule="auto"/>
              <w:ind w:left="1034"/>
              <w:rPr>
                <w:color w:val="auto"/>
              </w:rPr>
            </w:pPr>
            <w:r>
              <w:rPr>
                <w:color w:val="auto"/>
                <w:spacing w:val="-2"/>
              </w:rPr>
              <w:t>600</w:t>
            </w:r>
          </w:p>
        </w:tc>
        <w:tc>
          <w:tcPr>
            <w:tcW w:w="2357" w:type="dxa"/>
            <w:vAlign w:val="top"/>
          </w:tcPr>
          <w:p>
            <w:pPr>
              <w:pStyle w:val="31"/>
              <w:spacing w:before="108" w:line="183" w:lineRule="auto"/>
              <w:ind w:left="993"/>
              <w:rPr>
                <w:color w:val="auto"/>
              </w:rPr>
            </w:pPr>
            <w:r>
              <w:rPr>
                <w:color w:val="auto"/>
                <w:spacing w:val="-2"/>
              </w:rPr>
              <w:t>2.40</w:t>
            </w:r>
          </w:p>
        </w:tc>
        <w:tc>
          <w:tcPr>
            <w:tcW w:w="2267" w:type="dxa"/>
            <w:vAlign w:val="top"/>
          </w:tcPr>
          <w:p>
            <w:pPr>
              <w:pStyle w:val="31"/>
              <w:spacing w:before="107" w:line="184" w:lineRule="auto"/>
              <w:ind w:left="995"/>
              <w:rPr>
                <w:color w:val="auto"/>
              </w:rPr>
            </w:pPr>
            <w:r>
              <w:rPr>
                <w:color w:val="auto"/>
                <w:spacing w:val="-4"/>
              </w:rPr>
              <w:t>1800</w:t>
            </w:r>
          </w:p>
        </w:tc>
        <w:tc>
          <w:tcPr>
            <w:tcW w:w="2280" w:type="dxa"/>
            <w:vAlign w:val="top"/>
          </w:tcPr>
          <w:p>
            <w:pPr>
              <w:pStyle w:val="31"/>
              <w:spacing w:before="108" w:line="183" w:lineRule="auto"/>
              <w:ind w:left="928"/>
              <w:rPr>
                <w:color w:val="auto"/>
              </w:rPr>
            </w:pPr>
            <w:r>
              <w:rPr>
                <w:color w:val="auto"/>
                <w:spacing w:val="-2"/>
              </w:rPr>
              <w:t>5.82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1"/>
              <w:spacing w:before="109" w:line="183" w:lineRule="auto"/>
              <w:ind w:left="1034"/>
              <w:rPr>
                <w:color w:val="auto"/>
              </w:rPr>
            </w:pPr>
            <w:r>
              <w:rPr>
                <w:color w:val="auto"/>
                <w:spacing w:val="-3"/>
              </w:rPr>
              <w:t>700</w:t>
            </w:r>
          </w:p>
        </w:tc>
        <w:tc>
          <w:tcPr>
            <w:tcW w:w="2357" w:type="dxa"/>
            <w:vAlign w:val="top"/>
          </w:tcPr>
          <w:p>
            <w:pPr>
              <w:pStyle w:val="31"/>
              <w:spacing w:before="109" w:line="183" w:lineRule="auto"/>
              <w:ind w:left="993"/>
              <w:rPr>
                <w:color w:val="auto"/>
              </w:rPr>
            </w:pPr>
            <w:r>
              <w:rPr>
                <w:color w:val="auto"/>
                <w:spacing w:val="-2"/>
              </w:rPr>
              <w:t>2.70</w:t>
            </w:r>
          </w:p>
        </w:tc>
        <w:tc>
          <w:tcPr>
            <w:tcW w:w="2267" w:type="dxa"/>
            <w:vAlign w:val="top"/>
          </w:tcPr>
          <w:p>
            <w:pPr>
              <w:pStyle w:val="31"/>
              <w:spacing w:before="109" w:line="183" w:lineRule="auto"/>
              <w:ind w:left="995"/>
              <w:rPr>
                <w:color w:val="auto"/>
              </w:rPr>
            </w:pPr>
            <w:r>
              <w:rPr>
                <w:color w:val="auto"/>
                <w:spacing w:val="-2"/>
              </w:rPr>
              <w:t>2000</w:t>
            </w:r>
          </w:p>
        </w:tc>
        <w:tc>
          <w:tcPr>
            <w:tcW w:w="2280" w:type="dxa"/>
            <w:vAlign w:val="top"/>
          </w:tcPr>
          <w:p>
            <w:pPr>
              <w:pStyle w:val="31"/>
              <w:spacing w:before="109" w:line="183" w:lineRule="auto"/>
              <w:ind w:left="928"/>
              <w:rPr>
                <w:color w:val="auto"/>
              </w:rPr>
            </w:pPr>
            <w:r>
              <w:rPr>
                <w:color w:val="auto"/>
                <w:spacing w:val="-2"/>
              </w:rPr>
              <w:t>6.30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1"/>
              <w:spacing w:before="120" w:line="183" w:lineRule="auto"/>
              <w:ind w:left="1034"/>
              <w:rPr>
                <w:color w:val="auto"/>
              </w:rPr>
            </w:pPr>
            <w:r>
              <w:rPr>
                <w:color w:val="auto"/>
                <w:spacing w:val="-2"/>
              </w:rPr>
              <w:t>800</w:t>
            </w:r>
          </w:p>
        </w:tc>
        <w:tc>
          <w:tcPr>
            <w:tcW w:w="2357" w:type="dxa"/>
            <w:vAlign w:val="top"/>
          </w:tcPr>
          <w:p>
            <w:pPr>
              <w:pStyle w:val="31"/>
              <w:spacing w:before="120" w:line="183" w:lineRule="auto"/>
              <w:ind w:left="993"/>
              <w:rPr>
                <w:color w:val="auto"/>
              </w:rPr>
            </w:pPr>
            <w:r>
              <w:rPr>
                <w:color w:val="auto"/>
                <w:spacing w:val="-2"/>
              </w:rPr>
              <w:t>3.00</w:t>
            </w:r>
          </w:p>
        </w:tc>
        <w:tc>
          <w:tcPr>
            <w:tcW w:w="2267" w:type="dxa"/>
            <w:vAlign w:val="top"/>
          </w:tcPr>
          <w:p>
            <w:pPr>
              <w:pStyle w:val="31"/>
              <w:spacing w:before="120" w:line="183" w:lineRule="auto"/>
              <w:ind w:left="995"/>
              <w:rPr>
                <w:color w:val="auto"/>
              </w:rPr>
            </w:pPr>
            <w:r>
              <w:rPr>
                <w:color w:val="auto"/>
                <w:spacing w:val="-2"/>
              </w:rPr>
              <w:t>2500</w:t>
            </w:r>
          </w:p>
        </w:tc>
        <w:tc>
          <w:tcPr>
            <w:tcW w:w="2280" w:type="dxa"/>
            <w:vAlign w:val="top"/>
          </w:tcPr>
          <w:p>
            <w:pPr>
              <w:pStyle w:val="31"/>
              <w:spacing w:before="120" w:line="183" w:lineRule="auto"/>
              <w:ind w:left="928"/>
              <w:rPr>
                <w:color w:val="auto"/>
              </w:rPr>
            </w:pPr>
            <w:r>
              <w:rPr>
                <w:color w:val="auto"/>
                <w:spacing w:val="-3"/>
              </w:rPr>
              <w:t>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1"/>
              <w:spacing w:before="111" w:line="182" w:lineRule="auto"/>
              <w:ind w:left="1034"/>
              <w:rPr>
                <w:color w:val="auto"/>
              </w:rPr>
            </w:pPr>
            <w:r>
              <w:rPr>
                <w:color w:val="auto"/>
                <w:spacing w:val="-2"/>
              </w:rPr>
              <w:t>900</w:t>
            </w:r>
          </w:p>
        </w:tc>
        <w:tc>
          <w:tcPr>
            <w:tcW w:w="2357" w:type="dxa"/>
            <w:vAlign w:val="top"/>
          </w:tcPr>
          <w:p>
            <w:pPr>
              <w:pStyle w:val="31"/>
              <w:spacing w:before="111" w:line="182" w:lineRule="auto"/>
              <w:ind w:left="993"/>
              <w:rPr>
                <w:color w:val="auto"/>
              </w:rPr>
            </w:pPr>
            <w:r>
              <w:rPr>
                <w:color w:val="auto"/>
                <w:spacing w:val="-2"/>
              </w:rPr>
              <w:t>3.30</w:t>
            </w:r>
          </w:p>
        </w:tc>
        <w:tc>
          <w:tcPr>
            <w:tcW w:w="2267" w:type="dxa"/>
            <w:vAlign w:val="top"/>
          </w:tcPr>
          <w:p>
            <w:pPr>
              <w:pStyle w:val="31"/>
              <w:spacing w:before="111" w:line="182" w:lineRule="auto"/>
              <w:ind w:left="995"/>
              <w:rPr>
                <w:color w:val="auto"/>
              </w:rPr>
            </w:pPr>
            <w:r>
              <w:rPr>
                <w:color w:val="auto"/>
                <w:spacing w:val="-2"/>
              </w:rPr>
              <w:t>3000</w:t>
            </w:r>
          </w:p>
        </w:tc>
        <w:tc>
          <w:tcPr>
            <w:tcW w:w="2280" w:type="dxa"/>
            <w:vAlign w:val="top"/>
          </w:tcPr>
          <w:p>
            <w:pPr>
              <w:pStyle w:val="31"/>
              <w:spacing w:before="111" w:line="182" w:lineRule="auto"/>
              <w:ind w:left="928"/>
              <w:rPr>
                <w:color w:val="auto"/>
              </w:rPr>
            </w:pPr>
            <w:r>
              <w:rPr>
                <w:color w:val="auto"/>
                <w:spacing w:val="-2"/>
              </w:rPr>
              <w:t>8.70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9266" w:type="dxa"/>
            <w:gridSpan w:val="4"/>
            <w:vAlign w:val="top"/>
          </w:tcPr>
          <w:p>
            <w:pPr>
              <w:pStyle w:val="31"/>
              <w:spacing w:before="97" w:line="220" w:lineRule="auto"/>
              <w:ind w:left="484"/>
              <w:rPr>
                <w:color w:val="auto"/>
              </w:rPr>
            </w:pPr>
            <w:r>
              <w:rPr>
                <w:color w:val="auto"/>
                <w:spacing w:val="-1"/>
              </w:rPr>
              <w:t>注：对中间起重量其面积由线性插入法确定。</w:t>
            </w:r>
          </w:p>
        </w:tc>
      </w:tr>
    </w:tbl>
    <w:p>
      <w:pPr>
        <w:pStyle w:val="2"/>
        <w:spacing w:before="62" w:line="222" w:lineRule="auto"/>
        <w:ind w:left="2"/>
        <w:outlineLvl w:val="1"/>
        <w:rPr>
          <w:rFonts w:hint="default"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 xml:space="preserve">7.1.4  货厢高度                  </w:t>
      </w:r>
    </w:p>
    <w:p>
      <w:pPr>
        <w:pStyle w:val="2"/>
        <w:spacing w:before="62" w:line="222" w:lineRule="auto"/>
        <w:ind w:firstLine="420" w:firstLineChars="200"/>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货厢净高不应小于1800mm。</w:t>
      </w:r>
    </w:p>
    <w:p>
      <w:pPr>
        <w:pStyle w:val="2"/>
        <w:spacing w:before="62" w:line="222" w:lineRule="auto"/>
        <w:ind w:left="2"/>
        <w:outlineLvl w:val="1"/>
        <w:rPr>
          <w:rFonts w:ascii="黑体" w:hAnsi="黑体" w:eastAsia="黑体" w:cs="黑体"/>
          <w:color w:val="auto"/>
          <w:sz w:val="21"/>
          <w:szCs w:val="21"/>
        </w:rPr>
      </w:pPr>
      <w:r>
        <w:rPr>
          <w:rFonts w:hint="eastAsia" w:hAnsi="Times New Roman" w:cs="Times New Roman"/>
          <w:b w:val="0"/>
          <w:i w:val="0"/>
          <w:color w:val="auto"/>
          <w:sz w:val="21"/>
          <w:szCs w:val="21"/>
          <w:lang w:val="en-US" w:eastAsia="zh-CN" w:bidi="ar-SA"/>
        </w:rPr>
        <w:t>7.1.5  货厢入口</w:t>
      </w:r>
    </w:p>
    <w:p>
      <w:pPr>
        <w:pStyle w:val="2"/>
        <w:spacing w:before="232" w:line="219" w:lineRule="auto"/>
        <w:ind w:left="3"/>
        <w:rPr>
          <w:color w:val="auto"/>
          <w:sz w:val="21"/>
          <w:szCs w:val="21"/>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.1  </w:t>
      </w:r>
      <w:r>
        <w:rPr>
          <w:rFonts w:hint="eastAsia" w:ascii="宋体" w:hAnsi="Times New Roman" w:eastAsia="宋体" w:cs="Times New Roman"/>
          <w:color w:val="auto"/>
          <w:kern w:val="0"/>
          <w:sz w:val="21"/>
          <w:szCs w:val="20"/>
          <w:lang w:val="en-US" w:eastAsia="zh-CN" w:bidi="ar-SA"/>
        </w:rPr>
        <w:t>货厢的入口应装设水平滑动的无孔货厢门。</w:t>
      </w:r>
    </w:p>
    <w:p>
      <w:pPr>
        <w:pStyle w:val="2"/>
        <w:spacing w:before="71"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.2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货厢门关闭后，门扇之间及门扇与立柱、门楣和地坎之间的间隙不应大于10mm。</w:t>
      </w:r>
    </w:p>
    <w:p>
      <w:pPr>
        <w:pStyle w:val="2"/>
        <w:spacing w:before="71" w:line="250" w:lineRule="auto"/>
        <w:ind w:right="81" w:firstLine="3"/>
        <w:rPr>
          <w:color w:val="auto"/>
          <w:sz w:val="21"/>
          <w:szCs w:val="21"/>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.3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货厢门应设电气联锁装置，在正常操作的情况下，如果有一个货厢门或多个门扇的货厢门中的任何一个门扇开着，则货厢应不能启动或继续运行。</w:t>
      </w:r>
    </w:p>
    <w:p>
      <w:pPr>
        <w:pStyle w:val="2"/>
        <w:spacing w:before="71" w:line="219" w:lineRule="auto"/>
        <w:ind w:left="3"/>
        <w:rPr>
          <w:color w:val="auto"/>
          <w:sz w:val="21"/>
          <w:szCs w:val="21"/>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.4</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货厢门的电气联锁装置应采用符合GB 28755中8.5规定的安全触点形式。</w:t>
      </w:r>
    </w:p>
    <w:p>
      <w:pPr>
        <w:pStyle w:val="2"/>
        <w:spacing w:before="69" w:line="257" w:lineRule="auto"/>
        <w:ind w:right="45"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.5 </w:t>
      </w:r>
      <w:r>
        <w:rPr>
          <w:color w:val="auto"/>
          <w:spacing w:val="2"/>
          <w:sz w:val="21"/>
          <w:szCs w:val="21"/>
        </w:rPr>
        <w:t xml:space="preserve"> </w:t>
      </w:r>
      <w:r>
        <w:rPr>
          <w:rFonts w:hint="eastAsia" w:ascii="宋体" w:hAnsi="Times New Roman" w:eastAsia="宋体" w:cs="Times New Roman"/>
          <w:color w:val="auto"/>
          <w:kern w:val="0"/>
          <w:sz w:val="21"/>
          <w:szCs w:val="20"/>
          <w:lang w:val="en-US" w:eastAsia="zh-CN" w:bidi="ar-SA"/>
        </w:rPr>
        <w:t>货厢地坎上应装护脚板，护脚板垂直高度不应小于300mm, 其宽度不应小于相应层站入口的净宽度。</w:t>
      </w:r>
    </w:p>
    <w:p>
      <w:pPr>
        <w:pStyle w:val="2"/>
        <w:spacing w:before="62" w:line="222" w:lineRule="auto"/>
        <w:ind w:left="2"/>
        <w:outlineLvl w:val="1"/>
        <w:rPr>
          <w:rFonts w:hint="default"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7.1.6  货厢平层准确度</w:t>
      </w:r>
    </w:p>
    <w:p>
      <w:pPr>
        <w:pStyle w:val="2"/>
        <w:spacing w:before="69" w:line="257" w:lineRule="auto"/>
        <w:ind w:right="45" w:firstLine="3"/>
        <w:rPr>
          <w:rFonts w:hint="default"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货厢的自动平层准确度应当不超过±15mm。</w:t>
      </w:r>
    </w:p>
    <w:p>
      <w:pPr>
        <w:spacing w:before="214" w:line="222" w:lineRule="auto"/>
        <w:ind w:left="3"/>
        <w:outlineLvl w:val="0"/>
        <w:rPr>
          <w:rFonts w:hint="default" w:ascii="黑体" w:hAnsi="黑体" w:eastAsia="黑体" w:cs="黑体"/>
          <w:color w:val="auto"/>
          <w:sz w:val="21"/>
          <w:szCs w:val="21"/>
          <w:lang w:val="en-US"/>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"6.1.4.2"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.1.7</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货厢与面对货厢入口的井道壁的间距   </w:t>
      </w:r>
    </w:p>
    <w:p>
      <w:pPr>
        <w:pStyle w:val="2"/>
        <w:spacing w:before="69" w:line="257" w:lineRule="auto"/>
        <w:ind w:right="45"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未设层门一侧的相应货厢门在简易升降机停靠层站时若能被开启，则此货厢门地坎、框架或滑动门的最近门口边缘与各相关层站相面对的井道内表面，在层门开锁区域的垂直范围内不应大于0.15m。 如果采用在井道内表面设置凸台的方法来满足此要求，则凸台的有效宽度不应小于被防护货厢门的宽度，加上每边各0.10m, 且凸台上表面应筑有使人无法站立的封闭坡度(≥60°),并应贴有“危险，严禁站人”的安全警示标志。如果货厢装有机械锁紧装置，且能防止人员从货厢内部打开货厢门，则上述间距不受限制。</w:t>
      </w:r>
    </w:p>
    <w:p>
      <w:pPr>
        <w:spacing w:before="214" w:line="222" w:lineRule="auto"/>
        <w:ind w:left="3"/>
        <w:outlineLvl w:val="0"/>
        <w:rPr>
          <w:rFonts w:hint="default" w:ascii="黑体" w:hAnsi="黑体" w:eastAsia="黑体" w:cs="黑体"/>
          <w:color w:val="auto"/>
          <w:sz w:val="21"/>
          <w:szCs w:val="21"/>
          <w:lang w:val="en-US"/>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"6.1.4.3"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.1.8</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货厢门关闭方式       </w:t>
      </w:r>
    </w:p>
    <w:p>
      <w:pPr>
        <w:pStyle w:val="2"/>
        <w:spacing w:before="69" w:line="257" w:lineRule="auto"/>
        <w:ind w:right="45"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货厢门可采用动力驱动和手动两种关闭方式。</w:t>
      </w:r>
    </w:p>
    <w:p>
      <w:pPr>
        <w:spacing w:before="197" w:line="222" w:lineRule="auto"/>
        <w:ind w:left="3"/>
        <w:outlineLvl w:val="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a)动力驱动货厢门</w:t>
      </w:r>
    </w:p>
    <w:p>
      <w:pPr>
        <w:pStyle w:val="2"/>
        <w:spacing w:before="69" w:line="257" w:lineRule="auto"/>
        <w:ind w:right="45"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动力驱动门，其关闭应在使用人员连续控制和监视下，通过持续撤压按钮或类似方法(持续操作运行控制)来实现，且最快门扇的平均关闭速度不应大于0.3m/s。对有贯通门的货厢，当简易升降机停靠在层站时，未设层门一侧的相应货厢门不应被自动开启。</w:t>
      </w:r>
    </w:p>
    <w:p>
      <w:pPr>
        <w:spacing w:before="197" w:line="222" w:lineRule="auto"/>
        <w:ind w:left="3"/>
        <w:outlineLvl w:val="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手动货厢门</w:t>
      </w:r>
    </w:p>
    <w:p>
      <w:pPr>
        <w:pStyle w:val="2"/>
        <w:spacing w:before="62" w:line="222" w:lineRule="auto"/>
        <w:ind w:left="2" w:firstLine="420" w:firstLineChars="200"/>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手动开闭的货厢门应设有机械锁定装置，以保证运行时不会自动开启。</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7.2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对</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重</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 xml:space="preserve">7.2.1 </w:t>
      </w:r>
      <w:r>
        <w:rPr>
          <w:rFonts w:hint="eastAsia" w:ascii="宋体" w:hAnsi="Times New Roman" w:eastAsia="宋体" w:cs="Times New Roman"/>
          <w:color w:val="auto"/>
          <w:kern w:val="0"/>
          <w:sz w:val="21"/>
          <w:szCs w:val="20"/>
          <w:lang w:val="en-US" w:eastAsia="zh-CN" w:bidi="ar-SA"/>
        </w:rPr>
        <w:t>如果</w:t>
      </w:r>
      <w:r>
        <w:rPr>
          <w:rFonts w:hint="eastAsia" w:cs="Times New Roman"/>
          <w:color w:val="auto"/>
          <w:kern w:val="0"/>
          <w:sz w:val="21"/>
          <w:szCs w:val="20"/>
          <w:lang w:val="en-US" w:eastAsia="zh-CN" w:bidi="ar-SA"/>
        </w:rPr>
        <w:t>对</w:t>
      </w:r>
      <w:r>
        <w:rPr>
          <w:rFonts w:hint="eastAsia" w:ascii="宋体" w:hAnsi="Times New Roman" w:eastAsia="宋体" w:cs="Times New Roman"/>
          <w:color w:val="auto"/>
          <w:kern w:val="0"/>
          <w:sz w:val="21"/>
          <w:szCs w:val="20"/>
          <w:lang w:val="en-US" w:eastAsia="zh-CN" w:bidi="ar-SA"/>
        </w:rPr>
        <w:t>重</w:t>
      </w:r>
      <w:r>
        <w:rPr>
          <w:rFonts w:hint="eastAsia" w:cs="Times New Roman"/>
          <w:color w:val="auto"/>
          <w:kern w:val="0"/>
          <w:sz w:val="21"/>
          <w:szCs w:val="20"/>
          <w:lang w:val="en-US" w:eastAsia="zh-CN" w:bidi="ar-SA"/>
        </w:rPr>
        <w:t>由对</w:t>
      </w:r>
      <w:r>
        <w:rPr>
          <w:rFonts w:hint="eastAsia" w:ascii="宋体" w:hAnsi="Times New Roman" w:eastAsia="宋体" w:cs="Times New Roman"/>
          <w:color w:val="auto"/>
          <w:kern w:val="0"/>
          <w:sz w:val="21"/>
          <w:szCs w:val="20"/>
          <w:lang w:val="en-US" w:eastAsia="zh-CN" w:bidi="ar-SA"/>
        </w:rPr>
        <w:t>重块组成，</w:t>
      </w:r>
      <w:r>
        <w:rPr>
          <w:rFonts w:hint="eastAsia" w:cs="Times New Roman"/>
          <w:color w:val="auto"/>
          <w:kern w:val="0"/>
          <w:sz w:val="21"/>
          <w:szCs w:val="20"/>
          <w:lang w:val="en-US" w:eastAsia="zh-CN" w:bidi="ar-SA"/>
        </w:rPr>
        <w:t>对</w:t>
      </w:r>
      <w:r>
        <w:rPr>
          <w:rFonts w:hint="eastAsia" w:ascii="宋体" w:hAnsi="Times New Roman" w:eastAsia="宋体" w:cs="Times New Roman"/>
          <w:color w:val="auto"/>
          <w:kern w:val="0"/>
          <w:sz w:val="21"/>
          <w:szCs w:val="20"/>
          <w:lang w:val="en-US" w:eastAsia="zh-CN" w:bidi="ar-SA"/>
        </w:rPr>
        <w:t>重块应当固定在金属框架内或者至少用两根拉杆固定；</w:t>
      </w:r>
    </w:p>
    <w:p>
      <w:pPr>
        <w:pStyle w:val="2"/>
        <w:numPr>
          <w:ilvl w:val="0"/>
          <w:numId w:val="0"/>
        </w:numPr>
        <w:spacing w:before="62" w:line="222" w:lineRule="auto"/>
        <w:outlineLvl w:val="0"/>
        <w:rPr>
          <w:rFonts w:hint="eastAsia" w:ascii="宋体" w:hAnsi="Times New Roman" w:eastAsia="宋体" w:cs="Times New Roman"/>
          <w:color w:val="auto"/>
          <w:kern w:val="0"/>
          <w:sz w:val="21"/>
          <w:szCs w:val="20"/>
          <w:lang w:val="en-US" w:eastAsia="en-US" w:bidi="ar-SA"/>
        </w:rPr>
      </w:pPr>
      <w:bookmarkStart w:id="33" w:name="_Toc29941"/>
      <w:r>
        <w:rPr>
          <w:rFonts w:hint="eastAsia" w:ascii="宋体" w:hAnsi="Times New Roman" w:eastAsia="宋体" w:cs="Times New Roman"/>
          <w:color w:val="auto"/>
          <w:kern w:val="0"/>
          <w:sz w:val="21"/>
          <w:szCs w:val="20"/>
          <w:lang w:val="en-US" w:eastAsia="zh-CN" w:bidi="ar-SA"/>
        </w:rPr>
        <w:t>7.2.2 对</w:t>
      </w:r>
      <w:r>
        <w:rPr>
          <w:rFonts w:hint="eastAsia" w:ascii="宋体" w:hAnsi="Times New Roman" w:eastAsia="宋体" w:cs="Times New Roman"/>
          <w:color w:val="auto"/>
          <w:kern w:val="0"/>
          <w:sz w:val="21"/>
          <w:szCs w:val="20"/>
          <w:lang w:val="en-US" w:eastAsia="en-US" w:bidi="ar-SA"/>
        </w:rPr>
        <w:t>重块材料应采用铸铁、铸钢或其他坚固不易破损的材料。若采用水泥块等容易破损的材料时，则只能填充在钢板等坚固不易破损的材料制成的容器内，防止使用中</w:t>
      </w:r>
      <w:r>
        <w:rPr>
          <w:rFonts w:hint="eastAsia" w:ascii="宋体" w:hAnsi="Times New Roman" w:eastAsia="宋体" w:cs="Times New Roman"/>
          <w:color w:val="auto"/>
          <w:kern w:val="0"/>
          <w:sz w:val="21"/>
          <w:szCs w:val="20"/>
          <w:lang w:val="en-US" w:eastAsia="zh-CN" w:bidi="ar-SA"/>
        </w:rPr>
        <w:t>对重</w:t>
      </w:r>
      <w:r>
        <w:rPr>
          <w:rFonts w:hint="eastAsia" w:ascii="宋体" w:hAnsi="Times New Roman" w:eastAsia="宋体" w:cs="Times New Roman"/>
          <w:color w:val="auto"/>
          <w:kern w:val="0"/>
          <w:sz w:val="21"/>
          <w:szCs w:val="20"/>
          <w:lang w:val="en-US" w:eastAsia="en-US" w:bidi="ar-SA"/>
        </w:rPr>
        <w:t>块破损。钢板、铸铁、铸钢等材料应采取适当的防腐措施。</w:t>
      </w:r>
      <w:bookmarkEnd w:id="33"/>
    </w:p>
    <w:p>
      <w:pPr>
        <w:pStyle w:val="2"/>
        <w:numPr>
          <w:ilvl w:val="0"/>
          <w:numId w:val="0"/>
        </w:numPr>
        <w:spacing w:before="62" w:line="222" w:lineRule="auto"/>
        <w:outlineLvl w:val="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7.2.3 货箱与对重的平衡系数应在0.4-0.5范围内。</w:t>
      </w:r>
    </w:p>
    <w:p>
      <w:pPr>
        <w:pStyle w:val="2"/>
        <w:numPr>
          <w:ilvl w:val="0"/>
          <w:numId w:val="0"/>
        </w:numPr>
        <w:spacing w:before="62" w:line="222" w:lineRule="auto"/>
        <w:ind w:leftChars="0" w:firstLine="420" w:firstLineChars="200"/>
        <w:outlineLvl w:val="0"/>
        <w:rPr>
          <w:rFonts w:hint="eastAsia" w:ascii="宋体" w:hAnsi="Times New Roman" w:eastAsia="宋体" w:cs="Times New Roman"/>
          <w:color w:val="auto"/>
          <w:kern w:val="0"/>
          <w:sz w:val="21"/>
          <w:szCs w:val="20"/>
          <w:lang w:val="en-US" w:eastAsia="en-US" w:bidi="ar-SA"/>
        </w:rPr>
      </w:pPr>
    </w:p>
    <w:p>
      <w:pPr>
        <w:pStyle w:val="2"/>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7.3 导向装置</w:t>
      </w:r>
    </w:p>
    <w:p>
      <w:pPr>
        <w:pStyle w:val="2"/>
        <w:spacing w:before="229" w:line="219" w:lineRule="auto"/>
        <w:ind w:left="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7.3.1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货厢和对重应由各自的刚性导向装置导向。</w:t>
      </w:r>
    </w:p>
    <w:p>
      <w:pPr>
        <w:pStyle w:val="2"/>
        <w:spacing w:before="62" w:line="241" w:lineRule="auto"/>
        <w:ind w:right="56" w:firstLine="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7.3.2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导向装置及其附件和接头应有足够的强度，能承受下行超速保护装置动作时所产生的力和由于货厢不均匀载荷引起的挠曲。此挠曲应予以限制，不得影响简易升降机的正常工作。</w:t>
      </w:r>
    </w:p>
    <w:p>
      <w:pPr>
        <w:pStyle w:val="2"/>
        <w:spacing w:before="62" w:line="241" w:lineRule="auto"/>
        <w:ind w:right="56"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7.3.3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每段导向装置至少应有2个固定的支架，其间距不大于2.5m。当最上端导向装置的长度无法满足2个支架的安装要求时，允许只装设1个支架，但其弯曲强度应满足设计要求。货厢导向装置的下端应支承在坚实的地面上。</w:t>
      </w:r>
    </w:p>
    <w:p>
      <w:pPr>
        <w:pStyle w:val="2"/>
        <w:spacing w:before="60" w:line="247" w:lineRule="auto"/>
        <w:ind w:right="36" w:firstLine="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7.3.4 </w:t>
      </w:r>
      <w:r>
        <w:rPr>
          <w:rFonts w:hint="eastAsia" w:ascii="宋体" w:hAnsi="Times New Roman" w:eastAsia="宋体" w:cs="Times New Roman"/>
          <w:color w:val="auto"/>
          <w:kern w:val="0"/>
          <w:sz w:val="21"/>
          <w:szCs w:val="20"/>
          <w:lang w:val="en-US" w:eastAsia="zh-CN" w:bidi="ar-SA"/>
        </w:rPr>
        <w:t xml:space="preserve"> 导向装置工作面接头处应平整光滑，接头台阶不大于0.5mm 。两导向装置顶面间的距离偏差不应大于3mm。</w:t>
      </w:r>
    </w:p>
    <w:p>
      <w:pPr>
        <w:pStyle w:val="2"/>
        <w:spacing w:before="59" w:line="219" w:lineRule="auto"/>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7.3.5 </w:t>
      </w:r>
      <w:r>
        <w:rPr>
          <w:rFonts w:ascii="Times New Roman" w:hAnsi="Times New Roman" w:eastAsia="Times New Roman" w:cs="Times New Roman"/>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导向装置顶面与导靴(或导轮)工作面之间的水平间隙不应大于5mm。</w:t>
      </w:r>
    </w:p>
    <w:p>
      <w:pPr>
        <w:pStyle w:val="2"/>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7.4 层门                  </w:t>
      </w:r>
    </w:p>
    <w:p>
      <w:pPr>
        <w:spacing w:before="206" w:line="221" w:lineRule="auto"/>
        <w:ind w:left="3"/>
        <w:outlineLvl w:val="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7.4.1  层门的设置</w:t>
      </w:r>
    </w:p>
    <w:p>
      <w:pPr>
        <w:pStyle w:val="2"/>
        <w:spacing w:before="29" w:line="184" w:lineRule="auto"/>
        <w:ind w:left="3"/>
        <w:rPr>
          <w:rFonts w:ascii="Arial"/>
          <w:color w:val="auto"/>
          <w:sz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面对货厢入口的井道开口处应装设水平滑动或铰链式无孔层门，层门可采用由货厢门驱动和手动两种型式。</w:t>
      </w:r>
    </w:p>
    <w:p>
      <w:pPr>
        <w:pStyle w:val="2"/>
        <w:spacing w:before="69" w:line="219" w:lineRule="auto"/>
        <w:ind w:left="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层门净高不应小于1800mm。</w:t>
      </w:r>
    </w:p>
    <w:p>
      <w:pPr>
        <w:pStyle w:val="2"/>
        <w:spacing w:before="49" w:line="237" w:lineRule="auto"/>
        <w:ind w:right="34"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"7.1.1.3"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层门门扇和框架应有足够的机械强度，当层门在其门锁锁住时，用300N的力垂直作用于门 扇的任一面上的任何位置，且均匀地分布在5cm² 的圆形或方形面积上时，应：</w:t>
      </w:r>
    </w:p>
    <w:p>
      <w:pPr>
        <w:pStyle w:val="2"/>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无永久变形；</w:t>
      </w:r>
    </w:p>
    <w:p>
      <w:pPr>
        <w:pStyle w:val="2"/>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弹性变形不大于15mm;</w:t>
      </w:r>
    </w:p>
    <w:p>
      <w:pPr>
        <w:pStyle w:val="2"/>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试验期间和试验后，门的安全性能不受影响。</w:t>
      </w:r>
    </w:p>
    <w:p>
      <w:pPr>
        <w:spacing w:before="206" w:line="221" w:lineRule="auto"/>
        <w:ind w:left="3"/>
        <w:outlineLvl w:val="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7.4.2 层门门扇与门扇、门套的边缘间隙</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层门关闭时，门扇之间、门扇与立柱或地坎之间的间隙不应大于10mm。</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7.4.3  层门、货厢地坎间隙</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每个层门应设有足够强度的地坎，且与货厢入口边缘的间隙不应大于35mm。</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7.4.4  层门门缝间隙</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在层门的开启方向上，以150N 的人力施加在一个最不利的点上，7.1.2（7.4.2）规定的间隙可以大于 10mm,但不得大于下列值：</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对旁开门，30mm；</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对中分门，总和为45mm。</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7.4.5  层门电气联锁</w:t>
      </w:r>
    </w:p>
    <w:p>
      <w:pPr>
        <w:pStyle w:val="2"/>
        <w:spacing w:before="49" w:line="237" w:lineRule="auto"/>
        <w:ind w:right="34"/>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"7.1.5.1"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7.4.5.1</w:t>
      </w:r>
      <w:r>
        <w:rPr>
          <w:rFonts w:hint="eastAsia" w:hAnsi="Times New Roman" w:cs="Times New Roman"/>
          <w:b w:val="0"/>
          <w:i w:val="0"/>
          <w:color w:val="auto"/>
          <w:kern w:val="2"/>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每个层门应设电气联锁装置，在正常操作的情况下，如果有一个层门或多扇层门中的任何一扇门开着，则货厢应不能启动或继续运行。</w:t>
      </w:r>
    </w:p>
    <w:p>
      <w:pPr>
        <w:pStyle w:val="2"/>
        <w:spacing w:before="49" w:line="237" w:lineRule="auto"/>
        <w:ind w:right="34"/>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"7.1.5.2"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7.4.5.2</w:t>
      </w:r>
      <w:r>
        <w:rPr>
          <w:rFonts w:hint="eastAsia" w:hAnsi="Times New Roman" w:cs="Times New Roman"/>
          <w:b w:val="0"/>
          <w:i w:val="0"/>
          <w:color w:val="auto"/>
          <w:kern w:val="2"/>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层门电气联锁装置应采用符合GB 28755中8.5规定的安全触点形式。</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7.4.6  层门机械联锁</w:t>
      </w:r>
    </w:p>
    <w:p>
      <w:pPr>
        <w:pStyle w:val="2"/>
        <w:spacing w:before="200" w:line="261" w:lineRule="auto"/>
        <w:ind w:right="22"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层门应设机械联锁装置，在正常运行时，应不能打开层门(或多扇层门中的任意一扇),除非货 厢在该层门的开锁区域内停止或停站。开锁区域不应大于层站地平面以上或以下75mm, 采用货厢门驱动层门的，该尺寸允许增加到200mm。</w:t>
      </w:r>
    </w:p>
    <w:p>
      <w:pPr>
        <w:pStyle w:val="2"/>
        <w:spacing w:before="42" w:line="254" w:lineRule="auto"/>
        <w:ind w:right="21"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锁紧元件及其附件应是耐冲击的，应用金属制造或加固；锁紧元件应用重力或弹簧来产生和 保持锁紧状态，即使弹簧失效，重力也不应导致开锁。</w:t>
      </w:r>
    </w:p>
    <w:p>
      <w:pPr>
        <w:pStyle w:val="2"/>
        <w:spacing w:before="59" w:line="243" w:lineRule="auto"/>
        <w:ind w:right="37"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"7.1.6.3"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color w:val="auto"/>
          <w:spacing w:val="4"/>
          <w:sz w:val="21"/>
          <w:szCs w:val="21"/>
        </w:rPr>
        <w:t xml:space="preserve">  </w:t>
      </w:r>
      <w:r>
        <w:rPr>
          <w:rFonts w:hint="eastAsia" w:ascii="宋体" w:hAnsi="Times New Roman" w:eastAsia="宋体" w:cs="Times New Roman"/>
          <w:color w:val="auto"/>
          <w:kern w:val="0"/>
          <w:sz w:val="21"/>
          <w:szCs w:val="20"/>
          <w:lang w:val="en-US" w:eastAsia="zh-CN" w:bidi="ar-SA"/>
        </w:rPr>
        <w:t>货厢运动前应将层门有效地锁紧在闭合位置上，锁紧元件的啮合尺寸不应小于7mm, 其锁紧必须由一个符合GB 28755中7.1.5要求的电气联锁装置来证实。</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7.4.7  机械连接的多扇滑动门</w:t>
      </w:r>
    </w:p>
    <w:p>
      <w:pPr>
        <w:pStyle w:val="2"/>
        <w:spacing w:before="241" w:line="291" w:lineRule="exact"/>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"7.1.7.1"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如果滑动门是由数个直接机械连接的门扇组成，允许：</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7.5.5要求的装置装在一个门扇上；</w:t>
      </w:r>
    </w:p>
    <w:p>
      <w:pPr>
        <w:pStyle w:val="2"/>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若只锁紧一扇门，则应采用钩住重叠式门的其他闭合门扇的方法，使如此单一门扇的锁紧能防止其他门扇的打开。</w:t>
      </w:r>
    </w:p>
    <w:p>
      <w:pPr>
        <w:pStyle w:val="2"/>
        <w:spacing w:before="49" w:line="237" w:lineRule="auto"/>
        <w:ind w:right="34"/>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"7.1.7.2"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如果滑动门是由数个间接机械连接(如用钢丝绳、皮带或链条)的门扇组成，允许只锁紧一扇门，其条件是：这个门扇的单一锁紧能防止其他门扇的打开，且这些门扇均未装设手柄。未被锁住的其他门扇的闭合位置应由一个符合GB 28755中8.5 规定的安全触点来证实。</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7.4.8 层门的紧急开锁装置</w:t>
      </w:r>
    </w:p>
    <w:p>
      <w:pPr>
        <w:pStyle w:val="2"/>
        <w:spacing w:before="43" w:line="184" w:lineRule="auto"/>
        <w:ind w:right="3"/>
        <w:jc w:val="both"/>
        <w:rPr>
          <w:color w:val="auto"/>
          <w:sz w:val="21"/>
          <w:szCs w:val="21"/>
        </w:rPr>
      </w:pPr>
      <w:r>
        <w:rPr>
          <w:rFonts w:hint="eastAsia" w:hAnsi="Times New Roman" w:cs="Times New Roman"/>
          <w:b w:val="0"/>
          <w:i w:val="0"/>
          <w:color w:val="auto"/>
          <w:kern w:val="2"/>
          <w:sz w:val="21"/>
          <w:szCs w:val="21"/>
          <w:lang w:val="en-US" w:eastAsia="zh-CN" w:bidi="ar-SA"/>
        </w:rPr>
        <w:t>7.4.8.1</w:t>
      </w:r>
      <w:r>
        <w:rPr>
          <w:rFonts w:hint="eastAsia" w:ascii="宋体" w:hAnsi="Times New Roman" w:eastAsia="宋体" w:cs="Times New Roman"/>
          <w:color w:val="auto"/>
          <w:kern w:val="0"/>
          <w:sz w:val="21"/>
          <w:szCs w:val="20"/>
          <w:lang w:val="en-US" w:eastAsia="zh-CN" w:bidi="ar-SA"/>
        </w:rPr>
        <w:t>各层门上均应设自动复位的紧急开锁装置。</w:t>
      </w:r>
    </w:p>
    <w:p>
      <w:pPr>
        <w:pStyle w:val="2"/>
        <w:spacing w:before="43" w:line="184" w:lineRule="auto"/>
        <w:ind w:right="3"/>
        <w:jc w:val="both"/>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7.4.8.2</w:t>
      </w:r>
      <w:r>
        <w:rPr>
          <w:rFonts w:hint="eastAsia" w:ascii="宋体" w:hAnsi="Times New Roman" w:eastAsia="宋体" w:cs="Times New Roman"/>
          <w:color w:val="auto"/>
          <w:kern w:val="0"/>
          <w:sz w:val="21"/>
          <w:szCs w:val="20"/>
          <w:lang w:val="en-US" w:eastAsia="zh-CN" w:bidi="ar-SA"/>
        </w:rPr>
        <w:t>在货厢门驱动层门的情况下，当货厢在开锁区域之外时，层门无论因为何种原因而打开，应有一种装置(如重块或弹簧)能确保该层门自动关闭。</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7.4.9  层门导向装置</w:t>
      </w:r>
    </w:p>
    <w:p>
      <w:pPr>
        <w:pStyle w:val="2"/>
        <w:spacing w:before="43" w:line="184" w:lineRule="auto"/>
        <w:ind w:right="3" w:firstLine="420" w:firstLineChars="200"/>
        <w:jc w:val="both"/>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层门的设计应防止正常运行中脱轨、机械卡阻或行程终端时错位。由于磨损、锈蚀或火灾原因可能造成导向装置失效时，应设有应急的导向装置使层门保持在原有位置上。</w:t>
      </w:r>
    </w:p>
    <w:p>
      <w:pPr>
        <w:pStyle w:val="2"/>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7.4.10  层站按钮及标志</w:t>
      </w:r>
    </w:p>
    <w:p>
      <w:pPr>
        <w:pStyle w:val="2"/>
        <w:spacing w:before="242" w:line="219" w:lineRule="auto"/>
        <w:rPr>
          <w:color w:val="auto"/>
          <w:sz w:val="21"/>
          <w:szCs w:val="21"/>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"7.1.10.1"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7.4.10.1</w:t>
      </w:r>
      <w:r>
        <w:rPr>
          <w:rFonts w:hint="eastAsia" w:hAnsi="Times New Roman" w:cs="Times New Roman"/>
          <w:b w:val="0"/>
          <w:i w:val="0"/>
          <w:color w:val="auto"/>
          <w:kern w:val="2"/>
          <w:sz w:val="21"/>
          <w:szCs w:val="21"/>
          <w:lang w:val="en-US" w:eastAsia="zh-CN" w:bidi="ar-SA"/>
        </w:rPr>
        <w:fldChar w:fldCharType="end"/>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各层站应设置楼层召唤按钮。楼层召唤按钮只允许在所有层门和货厢门关闭之后起作用。</w:t>
      </w:r>
    </w:p>
    <w:p>
      <w:pPr>
        <w:pStyle w:val="2"/>
        <w:spacing w:before="60" w:line="246" w:lineRule="auto"/>
        <w:ind w:right="37"/>
        <w:rPr>
          <w:color w:val="auto"/>
          <w:sz w:val="21"/>
          <w:szCs w:val="21"/>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"7.1.10.2"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7.4.10.2</w:t>
      </w:r>
      <w:r>
        <w:rPr>
          <w:rFonts w:hint="eastAsia" w:hAnsi="Times New Roman" w:cs="Times New Roman"/>
          <w:b w:val="0"/>
          <w:i w:val="0"/>
          <w:color w:val="auto"/>
          <w:kern w:val="2"/>
          <w:sz w:val="21"/>
          <w:szCs w:val="21"/>
          <w:lang w:val="en-US" w:eastAsia="zh-CN" w:bidi="ar-SA"/>
        </w:rPr>
        <w:fldChar w:fldCharType="end"/>
      </w:r>
      <w:r>
        <w:rPr>
          <w:rFonts w:hint="eastAsia" w:hAnsi="Times New Roman" w:cs="Times New Roman"/>
          <w:b w:val="0"/>
          <w:i w:val="0"/>
          <w:color w:val="auto"/>
          <w:kern w:val="2"/>
          <w:sz w:val="21"/>
          <w:szCs w:val="21"/>
          <w:lang w:val="en-US" w:eastAsia="zh-CN" w:bidi="ar-SA"/>
        </w:rPr>
        <w:t xml:space="preserve">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对于动力驱动门，各层站应设置开门和关门按钮，只有货厢停靠在本层的开锁区域内时，开 门和关门按钮才能起作用。</w:t>
      </w:r>
    </w:p>
    <w:p>
      <w:pPr>
        <w:pStyle w:val="2"/>
        <w:spacing w:before="51" w:line="250" w:lineRule="auto"/>
        <w:ind w:right="36"/>
        <w:rPr>
          <w:color w:val="auto"/>
          <w:sz w:val="21"/>
          <w:szCs w:val="21"/>
        </w:rPr>
      </w:pPr>
      <w:r>
        <w:rPr>
          <w:color w:val="auto"/>
        </w:rPr>
        <w:fldChar w:fldCharType="begin"/>
      </w:r>
      <w:r>
        <w:rPr>
          <w:color w:val="auto"/>
        </w:rPr>
        <w:instrText xml:space="preserve"> HYPERLINK "7.1.10.3" </w:instrText>
      </w:r>
      <w:r>
        <w:rPr>
          <w:color w:val="auto"/>
        </w:rPr>
        <w:fldChar w:fldCharType="separate"/>
      </w:r>
      <w:r>
        <w:rPr>
          <w:color w:val="auto"/>
          <w:spacing w:val="3"/>
          <w:sz w:val="21"/>
          <w:szCs w:val="21"/>
        </w:rPr>
        <w:t>7.</w:t>
      </w:r>
      <w:r>
        <w:rPr>
          <w:rFonts w:hint="eastAsia"/>
          <w:color w:val="auto"/>
          <w:spacing w:val="3"/>
          <w:sz w:val="21"/>
          <w:szCs w:val="21"/>
          <w:lang w:val="en-US" w:eastAsia="zh-CN"/>
        </w:rPr>
        <w:t>4</w:t>
      </w:r>
      <w:r>
        <w:rPr>
          <w:color w:val="auto"/>
          <w:spacing w:val="3"/>
          <w:sz w:val="21"/>
          <w:szCs w:val="21"/>
        </w:rPr>
        <w:t>.10.3</w:t>
      </w:r>
      <w:r>
        <w:rPr>
          <w:color w:val="auto"/>
          <w:spacing w:val="3"/>
          <w:sz w:val="21"/>
          <w:szCs w:val="21"/>
        </w:rPr>
        <w:fldChar w:fldCharType="end"/>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各层站应设置符合GB 28755中9.8.2规定的停止装置。当停止装置动作后，简易升降机应无法启动或 继续运行。对于动力驱动门，停止装置动作后，简易升降机应无法开关门。</w:t>
      </w:r>
    </w:p>
    <w:p>
      <w:pPr>
        <w:pStyle w:val="2"/>
        <w:spacing w:before="71" w:line="219" w:lineRule="auto"/>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"7.1.10.4"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7.4.10.4</w:t>
      </w:r>
      <w:r>
        <w:rPr>
          <w:rFonts w:hint="eastAsia" w:hAnsi="Times New Roman" w:cs="Times New Roman"/>
          <w:b w:val="0"/>
          <w:i w:val="0"/>
          <w:color w:val="auto"/>
          <w:kern w:val="2"/>
          <w:sz w:val="21"/>
          <w:szCs w:val="21"/>
          <w:lang w:val="en-US" w:eastAsia="zh-CN" w:bidi="ar-SA"/>
        </w:rPr>
        <w:fldChar w:fldCharType="end"/>
      </w:r>
      <w:r>
        <w:rPr>
          <w:rFonts w:hint="eastAsia" w:hAnsi="Times New Roman"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各层站应设置信号标志，指示货厢所处层站位置及运行状态。</w:t>
      </w:r>
    </w:p>
    <w:p>
      <w:pPr>
        <w:pStyle w:val="2"/>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bookmarkStart w:id="34" w:name="_Toc5547"/>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7.5 高强度螺栓副   </w:t>
      </w:r>
    </w:p>
    <w:p>
      <w:pPr>
        <w:spacing w:before="92" w:line="237" w:lineRule="auto"/>
        <w:ind w:left="532"/>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传动系统、导轨架、对重系统等安装连接螺栓的强度等级应不低于8.8级。</w:t>
      </w:r>
    </w:p>
    <w:bookmarkEnd w:id="34"/>
    <w:p>
      <w:pPr>
        <w:pStyle w:val="2"/>
        <w:numPr>
          <w:ilvl w:val="0"/>
          <w:numId w:val="0"/>
        </w:numPr>
        <w:spacing w:before="62" w:line="222" w:lineRule="auto"/>
        <w:ind w:leftChars="0"/>
        <w:outlineLvl w:val="0"/>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bookmarkStart w:id="35" w:name="_Toc15457"/>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8 主要零部件</w:t>
      </w:r>
      <w:bookmarkEnd w:id="35"/>
    </w:p>
    <w:p>
      <w:pPr>
        <w:pStyle w:val="24"/>
        <w:ind w:left="0" w:leftChars="0" w:firstLine="0" w:firstLine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制动器</w:t>
      </w:r>
    </w:p>
    <w:p>
      <w:pPr>
        <w:spacing w:before="74" w:line="219" w:lineRule="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8.1.1  制动器应为常闭式。正常运行时,制动器应在持续通电下保持在释放状态。</w:t>
      </w:r>
    </w:p>
    <w:p>
      <w:pPr>
        <w:spacing w:before="74" w:line="219" w:lineRule="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8.1.2  被制动部件应以机械方式与曳引轮直接刚性连接。</w:t>
      </w:r>
    </w:p>
    <w:p>
      <w:pPr>
        <w:spacing w:before="74" w:line="219" w:lineRule="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8.1.3  当简易升降机电动机的供电电源断电时,不应因接地、故障短路或剩磁使制动器松开。</w:t>
      </w:r>
    </w:p>
    <w:p>
      <w:pPr>
        <w:spacing w:before="74" w:line="219" w:lineRule="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8.1.4  装有手动紧急操作装置的驱动主机,当用手松开制动器时,需以一持续力去保持其松开状态。</w:t>
      </w:r>
    </w:p>
    <w:p>
      <w:pPr>
        <w:spacing w:before="74" w:line="219" w:lineRule="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8.1.5  制动器的制动应靠闸瓦、衬垫或制动臂作用在制动轮(盘)上,不得使用带式制动器</w:t>
      </w:r>
    </w:p>
    <w:p>
      <w:pPr>
        <w:spacing w:before="74" w:line="219" w:lineRule="auto"/>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8.1.6  制动器零件的报废应符合GB6067.1-2010中4.2.6.7的规定。</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 钢丝绳</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8.2.1 钢丝绳的公称直径和安全系数</w:t>
      </w:r>
    </w:p>
    <w:p>
      <w:pPr>
        <w:spacing w:before="74" w:line="219" w:lineRule="auto"/>
        <w:ind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公称直径不应小于8,安全系数不应小于8。</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8.2.2  曳引轮、导向轮(滑轮)节圆直径与钢丝绳公称直径之比</w:t>
      </w:r>
    </w:p>
    <w:p>
      <w:pPr>
        <w:spacing w:before="74" w:line="219" w:lineRule="auto"/>
        <w:ind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不应小于30。</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8.2.3  钢丝绳安装</w:t>
      </w:r>
    </w:p>
    <w:p>
      <w:pPr>
        <w:pStyle w:val="2"/>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 钢丝绳末端应固定在货厢、对重或系结钢丝绳固定部件的悬挂部位上。钢丝绳的固定方式与连接应符合GB 6067.1中</w:t>
      </w: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"4.2.1.5"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4.2.1.5</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的规定。</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8.2.4  钢丝绳的检验和报废</w:t>
      </w:r>
    </w:p>
    <w:p>
      <w:pPr>
        <w:pStyle w:val="2"/>
        <w:numPr>
          <w:ilvl w:val="0"/>
          <w:numId w:val="0"/>
        </w:numPr>
        <w:spacing w:before="62" w:line="222" w:lineRule="auto"/>
        <w:ind w:left="2" w:leftChars="0"/>
        <w:outlineLvl w:val="1"/>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钢丝绳的检验和报废应符合GB 5972第5条、第6条的规定。</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8.2.5  各钢丝绳之间的载荷分布</w:t>
      </w:r>
    </w:p>
    <w:p>
      <w:pPr>
        <w:pStyle w:val="2"/>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bookmarkStart w:id="36" w:name="_Toc26846"/>
      <w:r>
        <w:rPr>
          <w:rFonts w:hint="eastAsia" w:cs="黑体"/>
          <w:color w:val="auto"/>
          <w:spacing w:val="-1"/>
          <w:kern w:val="2"/>
          <w:sz w:val="21"/>
          <w:szCs w:val="21"/>
          <w:lang w:val="en-US" w:eastAsia="zh-CN" w:bidi="ar-SA"/>
        </w:rPr>
        <w:t>8.2.5.1</w:t>
      </w:r>
      <w:r>
        <w:rPr>
          <w:rFonts w:hint="eastAsia" w:ascii="宋体" w:hAnsi="Times New Roman" w:eastAsia="宋体" w:cs="Times New Roman"/>
          <w:color w:val="auto"/>
          <w:kern w:val="0"/>
          <w:sz w:val="21"/>
          <w:szCs w:val="20"/>
          <w:lang w:val="en-US" w:eastAsia="zh-CN" w:bidi="ar-SA"/>
        </w:rPr>
        <w:t xml:space="preserve">  采用多根钢丝绳时，至少在悬挂钢丝绳的一端应设有一个调节装置用来平衡各绳的张力。</w:t>
      </w:r>
    </w:p>
    <w:p>
      <w:pPr>
        <w:pStyle w:val="2"/>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8.2.5.2</w:t>
      </w:r>
      <w:r>
        <w:rPr>
          <w:rFonts w:hint="eastAsia" w:ascii="宋体" w:hAnsi="Times New Roman" w:eastAsia="宋体" w:cs="Times New Roman"/>
          <w:color w:val="auto"/>
          <w:kern w:val="0"/>
          <w:sz w:val="21"/>
          <w:szCs w:val="20"/>
          <w:lang w:val="en-US" w:eastAsia="zh-CN" w:bidi="ar-SA"/>
        </w:rPr>
        <w:t xml:space="preserve">  如果用弹簧来平衡张力，则弹簧应在压缩状态下工作。</w:t>
      </w:r>
    </w:p>
    <w:p>
      <w:pPr>
        <w:pStyle w:val="2"/>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8.2.5.3</w:t>
      </w:r>
      <w:r>
        <w:rPr>
          <w:rFonts w:hint="eastAsia" w:ascii="宋体" w:hAnsi="Times New Roman" w:eastAsia="宋体" w:cs="Times New Roman"/>
          <w:color w:val="auto"/>
          <w:kern w:val="0"/>
          <w:sz w:val="21"/>
          <w:szCs w:val="20"/>
          <w:lang w:val="en-US" w:eastAsia="zh-CN" w:bidi="ar-SA"/>
        </w:rPr>
        <w:t xml:space="preserve">  调节钢丝绳长度的装置调节后，在工作时不应松动。</w:t>
      </w:r>
    </w:p>
    <w:p>
      <w:pPr>
        <w:pStyle w:val="2"/>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8.2.5.4</w:t>
      </w:r>
      <w:r>
        <w:rPr>
          <w:rFonts w:hint="eastAsia" w:ascii="宋体" w:hAnsi="Times New Roman" w:eastAsia="宋体" w:cs="Times New Roman"/>
          <w:color w:val="auto"/>
          <w:kern w:val="0"/>
          <w:sz w:val="21"/>
          <w:szCs w:val="20"/>
          <w:lang w:val="en-US" w:eastAsia="zh-CN" w:bidi="ar-SA"/>
        </w:rPr>
        <w:t xml:space="preserve">  如果货厢悬挂在2根钢丝绳上，则应设置一个电气联锁装置，该装置应采用符合GB 28755中8.5规定的安全触点形式，当一根钢丝绳发生异常相对伸长时，简易升降机应停止运行。</w:t>
      </w:r>
    </w:p>
    <w:p>
      <w:pPr>
        <w:pStyle w:val="2"/>
        <w:numPr>
          <w:ilvl w:val="0"/>
          <w:numId w:val="0"/>
        </w:numPr>
        <w:spacing w:before="62" w:line="222" w:lineRule="auto"/>
        <w:ind w:left="2" w:leftChars="0"/>
        <w:outlineLvl w:val="1"/>
        <w:rPr>
          <w:rFonts w:hint="default"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8.2.6  简易升降机曳引条件</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hAnsi="黑体" w:eastAsia="黑体" w:cs="黑体"/>
          <w:color w:val="auto"/>
          <w:spacing w:val="-1"/>
          <w:kern w:val="2"/>
          <w:sz w:val="21"/>
          <w:szCs w:val="21"/>
          <w:lang w:val="en-US" w:eastAsia="zh-CN" w:bidi="ar-SA"/>
        </w:rPr>
        <w:t xml:space="preserve">8.2.6.1 </w:t>
      </w:r>
      <w:r>
        <w:rPr>
          <w:rFonts w:hint="eastAsia" w:ascii="宋体" w:hAnsi="Times New Roman" w:eastAsia="宋体" w:cs="Times New Roman"/>
          <w:color w:val="auto"/>
          <w:kern w:val="0"/>
          <w:sz w:val="21"/>
          <w:szCs w:val="20"/>
          <w:lang w:val="en-US" w:eastAsia="zh-CN" w:bidi="ar-SA"/>
        </w:rPr>
        <w:t>对重压在缓冲器上而曳引机按照上行方向旋转时，应当不能提升空载货厢。</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hAnsi="黑体" w:eastAsia="黑体" w:cs="黑体"/>
          <w:color w:val="auto"/>
          <w:spacing w:val="-1"/>
          <w:kern w:val="2"/>
          <w:sz w:val="21"/>
          <w:szCs w:val="21"/>
          <w:lang w:val="en-US" w:eastAsia="zh-CN" w:bidi="ar-SA"/>
        </w:rPr>
        <w:t xml:space="preserve">8.2.6.2 </w:t>
      </w:r>
      <w:r>
        <w:rPr>
          <w:rFonts w:hint="eastAsia" w:ascii="宋体" w:hAnsi="Times New Roman" w:eastAsia="宋体" w:cs="Times New Roman"/>
          <w:color w:val="auto"/>
          <w:kern w:val="0"/>
          <w:sz w:val="21"/>
          <w:szCs w:val="20"/>
          <w:lang w:val="en-US" w:eastAsia="zh-CN" w:bidi="ar-SA"/>
        </w:rPr>
        <w:t>在简易升降机行程上部范围内，货厢空载上行及行程下部范围内货厢载有125%</w:t>
      </w:r>
      <w:r>
        <w:rPr>
          <w:rFonts w:hint="eastAsia" w:cs="Times New Roman"/>
          <w:color w:val="auto"/>
          <w:kern w:val="0"/>
          <w:sz w:val="21"/>
          <w:szCs w:val="20"/>
          <w:lang w:val="en-US" w:eastAsia="zh-CN" w:bidi="ar-SA"/>
        </w:rPr>
        <w:t>额定</w:t>
      </w:r>
      <w:r>
        <w:rPr>
          <w:rFonts w:hint="eastAsia" w:ascii="宋体" w:hAnsi="Times New Roman" w:eastAsia="宋体" w:cs="Times New Roman"/>
          <w:color w:val="auto"/>
          <w:kern w:val="0"/>
          <w:sz w:val="21"/>
          <w:szCs w:val="20"/>
          <w:lang w:val="en-US" w:eastAsia="zh-CN" w:bidi="ar-SA"/>
        </w:rPr>
        <w:t>载荷下行，切断电动机与制动器供电，货厢应当被可靠制停。</w:t>
      </w:r>
    </w:p>
    <w:p>
      <w:pPr>
        <w:pStyle w:val="24"/>
        <w:ind w:left="0" w:leftChars="0" w:firstLine="0" w:firstLineChars="0"/>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cs="黑体"/>
          <w:color w:val="auto"/>
          <w:spacing w:val="-1"/>
          <w:kern w:val="2"/>
          <w:sz w:val="21"/>
          <w:szCs w:val="21"/>
          <w:lang w:val="en-US" w:eastAsia="zh-CN" w:bidi="ar-SA"/>
        </w:rPr>
        <w:t xml:space="preserve"> </w:t>
      </w:r>
      <w:r>
        <w:rPr>
          <w:rFonts w:hint="eastAsia" w:ascii="黑体" w:eastAsia="黑体" w:cs="Times New Roman"/>
          <w:b w:val="0"/>
          <w:i w:val="0"/>
          <w:color w:val="auto"/>
          <w:kern w:val="2"/>
          <w:sz w:val="21"/>
          <w:szCs w:val="21"/>
          <w:lang w:val="en-US" w:eastAsia="zh-CN" w:bidi="ar-SA"/>
        </w:rPr>
        <w:t>8.3 滑轮</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黑体"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t xml:space="preserve">.1 </w:t>
      </w:r>
      <w:r>
        <w:rPr>
          <w:rFonts w:hint="eastAsia" w:ascii="宋体" w:hAnsi="Times New Roman" w:eastAsia="宋体" w:cs="Times New Roman"/>
          <w:color w:val="auto"/>
          <w:kern w:val="0"/>
          <w:sz w:val="21"/>
          <w:szCs w:val="20"/>
          <w:lang w:val="en-US" w:eastAsia="zh-CN" w:bidi="ar-SA"/>
        </w:rPr>
        <w:t>滑轮应当有防止钢丝绳脱出绳槽的装置或者结构 ，在滑轮罩的侧板和圆弧顶板等处与滑轮本体的间隙应当不超过钢丝绳直径的 0.5倍</w:t>
      </w:r>
      <w:r>
        <w:rPr>
          <w:rFonts w:hint="eastAsia" w:cs="Times New Roman"/>
          <w:color w:val="auto"/>
          <w:kern w:val="0"/>
          <w:sz w:val="21"/>
          <w:szCs w:val="20"/>
          <w:lang w:val="en-US" w:eastAsia="zh-CN" w:bidi="ar-SA"/>
        </w:rPr>
        <w:t>。</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t xml:space="preserve">.2 </w:t>
      </w:r>
      <w:r>
        <w:rPr>
          <w:rFonts w:hint="eastAsia" w:ascii="宋体" w:hAnsi="Times New Roman" w:eastAsia="宋体" w:cs="Times New Roman"/>
          <w:color w:val="auto"/>
          <w:kern w:val="0"/>
          <w:sz w:val="21"/>
          <w:szCs w:val="20"/>
          <w:lang w:val="en-US" w:eastAsia="zh-CN" w:bidi="ar-SA"/>
        </w:rPr>
        <w:t>人手可触及的滑轮组，应当装设滑轮罩壳；对可能摔落到地面的滑轮组，其滑轮罩壳应当具有足够的强度和刚度</w:t>
      </w:r>
      <w:r>
        <w:rPr>
          <w:rFonts w:hint="eastAsia" w:cs="Times New Roman"/>
          <w:color w:val="auto"/>
          <w:kern w:val="0"/>
          <w:sz w:val="21"/>
          <w:szCs w:val="20"/>
          <w:lang w:val="en-US" w:eastAsia="zh-CN" w:bidi="ar-SA"/>
        </w:rPr>
        <w:t>。</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t xml:space="preserve">.3 </w:t>
      </w:r>
      <w:r>
        <w:rPr>
          <w:rFonts w:hint="eastAsia" w:ascii="宋体" w:hAnsi="Times New Roman" w:eastAsia="宋体" w:cs="Times New Roman"/>
          <w:color w:val="auto"/>
          <w:kern w:val="0"/>
          <w:sz w:val="21"/>
          <w:szCs w:val="20"/>
          <w:lang w:val="en-US" w:eastAsia="zh-CN" w:bidi="ar-SA"/>
        </w:rPr>
        <w:t>铸铁滑轮材料的力学性能应当符合TSG 51-2023 中2.5.2的要求。</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t>.4</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滑轮的报废应当符合GB 6067.1中4.2.5.3的要求。</w:t>
      </w:r>
    </w:p>
    <w:p>
      <w:pPr>
        <w:pStyle w:val="24"/>
        <w:ind w:left="0" w:leftChars="0" w:firstLine="0" w:firstLineChars="0"/>
        <w:rPr>
          <w:rFonts w:hint="default"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 xml:space="preserve">                                  </w:t>
      </w:r>
    </w:p>
    <w:p>
      <w:pPr>
        <w:pStyle w:val="2"/>
        <w:numPr>
          <w:ilvl w:val="0"/>
          <w:numId w:val="0"/>
        </w:numPr>
        <w:spacing w:before="62" w:line="222" w:lineRule="auto"/>
        <w:ind w:left="2" w:leftChars="0"/>
        <w:outlineLvl w:val="1"/>
        <w:rPr>
          <w:rFonts w:hint="eastAsia" w:cs="黑体"/>
          <w:color w:val="auto"/>
          <w:spacing w:val="-1"/>
          <w:kern w:val="2"/>
          <w:sz w:val="21"/>
          <w:szCs w:val="21"/>
          <w:lang w:val="en-US" w:eastAsia="zh-CN" w:bidi="ar-SA"/>
        </w:rPr>
      </w:pPr>
      <w:r>
        <w:rPr>
          <w:rFonts w:hint="eastAsia" w:cs="黑体"/>
          <w:color w:val="auto"/>
          <w:spacing w:val="-1"/>
          <w:kern w:val="2"/>
          <w:sz w:val="21"/>
          <w:szCs w:val="21"/>
          <w:lang w:val="en-US" w:eastAsia="zh-CN" w:bidi="ar-SA"/>
        </w:rPr>
        <w:t>8.4 驱动装置</w:t>
      </w:r>
    </w:p>
    <w:p>
      <w:pPr>
        <w:pStyle w:val="2"/>
        <w:numPr>
          <w:ilvl w:val="0"/>
          <w:numId w:val="0"/>
        </w:numPr>
        <w:spacing w:before="62" w:line="222" w:lineRule="auto"/>
        <w:outlineLvl w:val="9"/>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4</w:t>
      </w:r>
      <w:r>
        <w:rPr>
          <w:rFonts w:hint="eastAsia" w:ascii="黑体" w:hAnsi="Times New Roman" w:eastAsia="黑体" w:cs="Times New Roman"/>
          <w:b w:val="0"/>
          <w:i w:val="0"/>
          <w:color w:val="auto"/>
          <w:sz w:val="21"/>
          <w:szCs w:val="21"/>
          <w:lang w:val="en-US" w:eastAsia="zh-CN" w:bidi="ar-SA"/>
        </w:rPr>
        <w:t>.1</w:t>
      </w:r>
      <w:r>
        <w:rPr>
          <w:rFonts w:hint="eastAsia" w:ascii="宋体" w:hAnsi="Times New Roman" w:eastAsia="宋体" w:cs="Times New Roman"/>
          <w:color w:val="auto"/>
          <w:kern w:val="0"/>
          <w:sz w:val="21"/>
          <w:szCs w:val="20"/>
          <w:lang w:val="en-US" w:eastAsia="zh-CN" w:bidi="ar-SA"/>
        </w:rPr>
        <w:t xml:space="preserve"> 每台简易升降机至少应有一套专用的驱动装置。驱动装置应固定可靠，其承重结构应有足够的强度。</w:t>
      </w:r>
    </w:p>
    <w:p>
      <w:pPr>
        <w:pStyle w:val="2"/>
        <w:numPr>
          <w:ilvl w:val="0"/>
          <w:numId w:val="0"/>
        </w:numPr>
        <w:spacing w:before="62" w:line="222" w:lineRule="auto"/>
        <w:outlineLvl w:val="9"/>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8.4.2</w:t>
      </w:r>
      <w:r>
        <w:rPr>
          <w:rFonts w:hint="eastAsia" w:ascii="宋体" w:hAnsi="Times New Roman" w:eastAsia="宋体" w:cs="Times New Roman"/>
          <w:color w:val="auto"/>
          <w:kern w:val="0"/>
          <w:sz w:val="21"/>
          <w:szCs w:val="20"/>
          <w:lang w:val="en-US" w:eastAsia="zh-CN" w:bidi="ar-SA"/>
        </w:rPr>
        <w:t xml:space="preserve"> 如使用悬臂式曳引轮时，应采用有效的预防措施，以达到以下要求：</w:t>
      </w:r>
    </w:p>
    <w:p>
      <w:pPr>
        <w:pStyle w:val="2"/>
        <w:numPr>
          <w:ilvl w:val="0"/>
          <w:numId w:val="0"/>
        </w:numPr>
        <w:spacing w:before="62" w:line="222" w:lineRule="auto"/>
        <w:ind w:firstLine="420" w:firstLineChars="200"/>
        <w:outlineLvl w:val="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避免钢丝绳脱离绳槽；</w:t>
      </w:r>
    </w:p>
    <w:p>
      <w:pPr>
        <w:pStyle w:val="2"/>
        <w:numPr>
          <w:ilvl w:val="0"/>
          <w:numId w:val="0"/>
        </w:numPr>
        <w:spacing w:before="62" w:line="222" w:lineRule="auto"/>
        <w:ind w:firstLine="420" w:firstLineChars="200"/>
        <w:outlineLvl w:val="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驱动装置不装设在井道上部时，避免杂物进入绳与绳槽之间。采取的措施不应妨碍对曳引轮的检查和维修。</w:t>
      </w:r>
    </w:p>
    <w:p>
      <w:pPr>
        <w:pStyle w:val="2"/>
        <w:numPr>
          <w:ilvl w:val="0"/>
          <w:numId w:val="0"/>
        </w:numPr>
        <w:spacing w:before="62" w:line="222" w:lineRule="auto"/>
        <w:outlineLvl w:val="9"/>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 xml:space="preserve">8.4.3 </w:t>
      </w:r>
      <w:r>
        <w:rPr>
          <w:rFonts w:hint="eastAsia" w:ascii="宋体" w:hAnsi="Times New Roman" w:eastAsia="宋体" w:cs="Times New Roman"/>
          <w:color w:val="auto"/>
          <w:kern w:val="0"/>
          <w:sz w:val="21"/>
          <w:szCs w:val="20"/>
          <w:lang w:val="en-US" w:eastAsia="zh-CN" w:bidi="ar-SA"/>
        </w:rPr>
        <w:t>切断电动机和制动器的电流至少应由两个独立的电气装置实现。</w:t>
      </w:r>
    </w:p>
    <w:p>
      <w:pPr>
        <w:pStyle w:val="2"/>
        <w:spacing w:before="62" w:line="222" w:lineRule="auto"/>
        <w:ind w:left="2"/>
        <w:outlineLvl w:val="0"/>
        <w:rPr>
          <w:rFonts w:hint="default"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 xml:space="preserve"> 电气设备</w:t>
      </w:r>
    </w:p>
    <w:p>
      <w:pPr>
        <w:pStyle w:val="2"/>
        <w:spacing w:before="62" w:line="222" w:lineRule="auto"/>
        <w:ind w:left="2"/>
        <w:outlineLvl w:val="1"/>
        <w:rPr>
          <w:rFonts w:hint="default"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.1 电击防护</w:t>
      </w:r>
      <w:r>
        <w:rPr>
          <w:rFonts w:hint="eastAsia" w:hAnsi="Times New Roman" w:cs="Times New Roman"/>
          <w:b w:val="0"/>
          <w:i w:val="0"/>
          <w:color w:val="auto"/>
          <w:sz w:val="21"/>
          <w:szCs w:val="21"/>
          <w:lang w:val="en-US" w:eastAsia="zh-CN" w:bidi="ar-SA"/>
        </w:rPr>
        <w:t xml:space="preserve">         </w:t>
      </w:r>
    </w:p>
    <w:p>
      <w:pPr>
        <w:pStyle w:val="24"/>
        <w:ind w:left="0" w:leftChars="0" w:firstLine="0" w:firstLineChars="0"/>
        <w:rPr>
          <w:rFonts w:hint="eastAsia"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.1.1</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zh-CN" w:bidi="ar-SA"/>
        </w:rPr>
        <w:t>电气设备应当采取直接接触的防护措施或者间接接触的防护措施，保护人员免受电击的能力</w:t>
      </w:r>
      <w:r>
        <w:rPr>
          <w:rFonts w:hint="eastAsia" w:cs="Times New Roman"/>
          <w:color w:val="auto"/>
          <w:kern w:val="0"/>
          <w:sz w:val="21"/>
          <w:szCs w:val="20"/>
          <w:lang w:val="en-US" w:eastAsia="zh-CN" w:bidi="ar-SA"/>
        </w:rPr>
        <w:t>；</w:t>
      </w:r>
    </w:p>
    <w:p>
      <w:pPr>
        <w:pStyle w:val="24"/>
        <w:ind w:left="0" w:leftChars="0" w:firstLine="0" w:firstLineChars="0"/>
        <w:rPr>
          <w:rFonts w:hint="eastAsia"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.1.2</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zh-CN" w:bidi="ar-SA"/>
        </w:rPr>
        <w:t>开放式控制屏应当有绝缘防护措施</w:t>
      </w:r>
      <w:r>
        <w:rPr>
          <w:rFonts w:hint="eastAsia"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zh-CN" w:bidi="ar-SA"/>
        </w:rPr>
        <w:t>电气房应当装设绝缘地板或者绝缘地毯。</w:t>
      </w:r>
    </w:p>
    <w:p>
      <w:pPr>
        <w:pStyle w:val="2"/>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9.2  电动机的保护</w:t>
      </w:r>
    </w:p>
    <w:p>
      <w:pPr>
        <w:pStyle w:val="24"/>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9.2.1</w:t>
      </w:r>
      <w:r>
        <w:rPr>
          <w:rFonts w:hint="eastAsia" w:ascii="宋体" w:hAnsi="Times New Roman" w:eastAsia="宋体" w:cs="Times New Roman"/>
          <w:color w:val="auto"/>
          <w:kern w:val="0"/>
          <w:sz w:val="21"/>
          <w:szCs w:val="20"/>
          <w:lang w:val="en-US" w:eastAsia="zh-CN" w:bidi="ar-SA"/>
        </w:rPr>
        <w:t xml:space="preserve"> 直接与电源连接的电动机应进行短路保护。</w:t>
      </w:r>
    </w:p>
    <w:p>
      <w:pPr>
        <w:pStyle w:val="2"/>
        <w:spacing w:before="52" w:line="250" w:lineRule="auto"/>
        <w:ind w:right="20" w:firstLine="3"/>
        <w:rPr>
          <w:color w:val="auto"/>
          <w:sz w:val="21"/>
          <w:szCs w:val="21"/>
        </w:rPr>
      </w:pPr>
      <w:r>
        <w:rPr>
          <w:rFonts w:hint="eastAsia" w:hAnsi="Times New Roman" w:cs="Times New Roman"/>
          <w:b w:val="0"/>
          <w:i w:val="0"/>
          <w:color w:val="auto"/>
          <w:sz w:val="21"/>
          <w:szCs w:val="21"/>
          <w:lang w:val="en-US" w:eastAsia="zh-CN" w:bidi="ar-SA"/>
        </w:rPr>
        <w:t>9.2.2</w:t>
      </w:r>
      <w:r>
        <w:rPr>
          <w:rFonts w:hint="eastAsia"/>
          <w:color w:val="auto"/>
          <w:spacing w:val="1"/>
          <w:sz w:val="21"/>
          <w:szCs w:val="21"/>
          <w:lang w:val="en-US" w:eastAsia="zh-CN"/>
        </w:rPr>
        <w:t xml:space="preserve"> </w:t>
      </w:r>
      <w:r>
        <w:rPr>
          <w:rFonts w:hint="eastAsia" w:ascii="宋体" w:hAnsi="Times New Roman" w:eastAsia="宋体" w:cs="Times New Roman"/>
          <w:color w:val="auto"/>
          <w:kern w:val="0"/>
          <w:sz w:val="21"/>
          <w:szCs w:val="20"/>
          <w:lang w:val="en-US" w:eastAsia="zh-CN" w:bidi="ar-SA"/>
        </w:rPr>
        <w:t>直接与电源相连的电动机应采用手动复位的自动断路器(GB 28755中</w:t>
      </w: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"8.1.1.3"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8.1.1.3</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例外)进行过载保护，该断路器应切断电动机的所有供电。</w:t>
      </w:r>
    </w:p>
    <w:p>
      <w:pPr>
        <w:pStyle w:val="2"/>
        <w:spacing w:before="81" w:line="219" w:lineRule="auto"/>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 xml:space="preserve">9.2.3 </w:t>
      </w:r>
      <w:r>
        <w:rPr>
          <w:rFonts w:hint="eastAsia" w:ascii="宋体" w:hAnsi="Times New Roman" w:eastAsia="宋体" w:cs="Times New Roman"/>
          <w:color w:val="auto"/>
          <w:kern w:val="0"/>
          <w:sz w:val="21"/>
          <w:szCs w:val="20"/>
          <w:lang w:val="en-US" w:eastAsia="zh-CN" w:bidi="ar-SA"/>
        </w:rPr>
        <w:t>当过载保护检测是基于电动机绕组温升时，则断路器在绕组充分冷却后可以自动闭合。</w:t>
      </w:r>
    </w:p>
    <w:p>
      <w:pPr>
        <w:pStyle w:val="2"/>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9.3</w:t>
      </w:r>
      <w:r>
        <w:rPr>
          <w:rFonts w:hint="eastAsia" w:ascii="黑体" w:hAnsi="Times New Roman" w:eastAsia="黑体" w:cs="Times New Roman"/>
          <w:b w:val="0"/>
          <w:i w:val="0"/>
          <w:color w:val="auto"/>
          <w:sz w:val="21"/>
          <w:szCs w:val="21"/>
          <w:lang w:val="en-US" w:eastAsia="zh-CN" w:bidi="ar-SA"/>
        </w:rPr>
        <w:t xml:space="preserve"> 线路保护</w:t>
      </w:r>
    </w:p>
    <w:p>
      <w:pPr>
        <w:pStyle w:val="24"/>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所有线路都应当具有短路或者接地引起的过电流保护功能，在线路发生短路或者接地时，瞬时保护装置应当能够分断线路；对于导线截面较小，外部线路较长的控制线路或者辅助线路，当预计接地电流达不到瞬时脱扣电流值时，应当增设热脱扣功能，以保证导线不会因接地而引起绝缘损坏。</w:t>
      </w:r>
    </w:p>
    <w:p>
      <w:pPr>
        <w:pStyle w:val="2"/>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9.4  供电系统保护装置</w:t>
      </w:r>
    </w:p>
    <w:p>
      <w:pPr>
        <w:pStyle w:val="24"/>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应配备供电系统断相、错相保护装置。</w:t>
      </w:r>
    </w:p>
    <w:p>
      <w:pPr>
        <w:pStyle w:val="2"/>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5</w:t>
      </w:r>
      <w:r>
        <w:rPr>
          <w:rFonts w:hint="eastAsia" w:ascii="黑体" w:hAnsi="Times New Roman" w:eastAsia="黑体" w:cs="Times New Roman"/>
          <w:b w:val="0"/>
          <w:i w:val="0"/>
          <w:color w:val="auto"/>
          <w:sz w:val="21"/>
          <w:szCs w:val="21"/>
          <w:lang w:val="en-US" w:eastAsia="zh-CN" w:bidi="ar-SA"/>
        </w:rPr>
        <w:t xml:space="preserve">  失压保护</w:t>
      </w:r>
    </w:p>
    <w:p>
      <w:pPr>
        <w:pStyle w:val="24"/>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当简易升降机供电电源中断后，凡涉及安全或者不宜自动开启的用电设备均应当处于断电状态，避免恢复供电后用电设备自动运行。</w:t>
      </w:r>
    </w:p>
    <w:p>
      <w:pPr>
        <w:pStyle w:val="2"/>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9.6  绝缘电阻</w:t>
      </w:r>
    </w:p>
    <w:p>
      <w:pPr>
        <w:pStyle w:val="24"/>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当电网电压不大于1000V时，在电路与裸露导电部件之间施加500 V(d.c)测得的绝缘电阻不应小于</w:t>
      </w:r>
      <w:r>
        <w:rPr>
          <w:rFonts w:hint="eastAsia" w:cs="Times New Roman"/>
          <w:color w:val="auto"/>
          <w:kern w:val="0"/>
          <w:sz w:val="21"/>
          <w:szCs w:val="20"/>
          <w:lang w:val="en-US" w:eastAsia="zh-CN" w:bidi="ar-SA"/>
        </w:rPr>
        <w:t>1</w:t>
      </w:r>
      <w:r>
        <w:rPr>
          <w:rFonts w:hint="eastAsia" w:ascii="微软雅黑" w:hAnsi="微软雅黑" w:eastAsia="微软雅黑" w:cs="微软雅黑"/>
          <w:color w:val="auto"/>
          <w:kern w:val="0"/>
          <w:sz w:val="21"/>
          <w:szCs w:val="20"/>
          <w:lang w:val="en-US" w:eastAsia="zh-CN" w:bidi="ar-SA"/>
        </w:rPr>
        <w:t>㏁</w:t>
      </w:r>
      <w:r>
        <w:rPr>
          <w:rFonts w:hint="eastAsia" w:hAnsi="Times New Roman" w:eastAsia="宋体" w:cs="Times New Roman"/>
          <w:color w:val="auto"/>
          <w:kern w:val="0"/>
          <w:sz w:val="21"/>
          <w:szCs w:val="20"/>
          <w:lang w:val="en-US" w:eastAsia="zh-CN" w:bidi="ar-SA"/>
        </w:rPr>
        <w:t>。</w:t>
      </w:r>
    </w:p>
    <w:p>
      <w:pPr>
        <w:pStyle w:val="2"/>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9.7</w:t>
      </w:r>
      <w:r>
        <w:rPr>
          <w:rFonts w:hint="eastAsia" w:ascii="黑体" w:hAnsi="Times New Roman" w:eastAsia="黑体" w:cs="Times New Roman"/>
          <w:b w:val="0"/>
          <w:i w:val="0"/>
          <w:color w:val="auto"/>
          <w:sz w:val="21"/>
          <w:szCs w:val="21"/>
          <w:lang w:val="en-US" w:eastAsia="zh-CN" w:bidi="ar-SA"/>
        </w:rPr>
        <w:t xml:space="preserve">  接地</w:t>
      </w:r>
    </w:p>
    <w:p>
      <w:pPr>
        <w:pStyle w:val="24"/>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电气设备的金属外壳及金属结构的接地形式应采用 TN—S 或 TN—C—S, 接地线应采用黄绿双色绝缘电线。易于意外带电的部件与总电源接地端的连通性能应良好，接地线应分别直接接至接地线柱上</w:t>
      </w:r>
      <w:r>
        <w:rPr>
          <w:rFonts w:hint="eastAsia"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zh-CN" w:bidi="ar-SA"/>
        </w:rPr>
        <w:t>不得互相串接后再接地。</w:t>
      </w:r>
    </w:p>
    <w:p>
      <w:pPr>
        <w:pStyle w:val="2"/>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9.8</w:t>
      </w:r>
      <w:r>
        <w:rPr>
          <w:rFonts w:hint="eastAsia" w:ascii="黑体" w:hAnsi="Times New Roman" w:eastAsia="黑体" w:cs="Times New Roman"/>
          <w:b w:val="0"/>
          <w:i w:val="0"/>
          <w:color w:val="auto"/>
          <w:sz w:val="21"/>
          <w:szCs w:val="21"/>
          <w:lang w:val="en-US" w:eastAsia="zh-CN" w:bidi="ar-SA"/>
        </w:rPr>
        <w:t xml:space="preserve"> 主开关</w:t>
      </w:r>
    </w:p>
    <w:p>
      <w:pPr>
        <w:pStyle w:val="24"/>
        <w:ind w:left="0" w:leftChars="0" w:firstLine="0" w:firstLineChars="0"/>
        <w:jc w:val="left"/>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9.8</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hAnsi="Times New Roman" w:eastAsia="宋体" w:cs="Times New Roman"/>
          <w:color w:val="auto"/>
          <w:kern w:val="0"/>
          <w:sz w:val="21"/>
          <w:szCs w:val="20"/>
          <w:lang w:val="en-US" w:eastAsia="en-US" w:bidi="ar-SA"/>
        </w:rPr>
        <w:t>在机房内，对应每一台简易升降机应装设一个能切断简易升降机所有供电电路的主开关，对无机房形式的简易升降机该开关应设置在控制柜附近易于接近和操作处。该开关应具有切断简易升降机正常使用情况下最大电流的能力。该开关不应切断：</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a</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货厢内照明的供电电路；</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b</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货厢顶照明及插座的供电电路；</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c</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机房、检修平台、井道、底坑照明及插座的供电电路。</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9.8.2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eastAsia="宋体" w:cs="Times New Roman"/>
          <w:color w:val="auto"/>
          <w:kern w:val="0"/>
          <w:sz w:val="21"/>
          <w:szCs w:val="20"/>
          <w:lang w:val="en-US" w:eastAsia="en-US" w:bidi="ar-SA"/>
        </w:rPr>
        <w:t>主开关应具有稳定的断开和闭合位置。主开关的操作机构应能从机房入口处方便、快速地接近。如果机房为多台简易升降机共用，多台简易升降机的主开关操作机构应易于识别。</w:t>
      </w:r>
    </w:p>
    <w:p>
      <w:pPr>
        <w:pStyle w:val="2"/>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9.9</w:t>
      </w:r>
      <w:r>
        <w:rPr>
          <w:rFonts w:hint="eastAsia" w:ascii="黑体" w:hAnsi="Times New Roman" w:eastAsia="黑体" w:cs="Times New Roman"/>
          <w:b w:val="0"/>
          <w:i w:val="0"/>
          <w:color w:val="auto"/>
          <w:sz w:val="21"/>
          <w:szCs w:val="21"/>
          <w:lang w:val="en-US" w:eastAsia="zh-CN" w:bidi="ar-SA"/>
        </w:rPr>
        <w:t xml:space="preserve">  照明、信号</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eastAsia="宋体" w:cs="Times New Roman"/>
          <w:color w:val="auto"/>
          <w:kern w:val="0"/>
          <w:sz w:val="21"/>
          <w:szCs w:val="20"/>
          <w:lang w:val="en-US" w:eastAsia="en-US" w:bidi="ar-SA"/>
        </w:rPr>
        <w:t xml:space="preserve"> 货厢内货厢顶部、机房、底坑及井道中应有电气照明，工作位置的照度均不应小于50</w:t>
      </w:r>
      <w:r>
        <w:rPr>
          <w:rFonts w:hint="eastAsia" w:hAnsi="Times New Roman" w:eastAsia="宋体"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1x, 照明电路电压不应天于220V, 并应单独控制。</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.2</w:t>
      </w:r>
      <w:r>
        <w:rPr>
          <w:rFonts w:hint="eastAsia" w:hAnsi="Times New Roman" w:eastAsia="宋体" w:cs="Times New Roman"/>
          <w:color w:val="auto"/>
          <w:kern w:val="0"/>
          <w:sz w:val="21"/>
          <w:szCs w:val="20"/>
          <w:lang w:val="en-US" w:eastAsia="en-US" w:bidi="ar-SA"/>
        </w:rPr>
        <w:t xml:space="preserve"> 不得用金属结构作照明线路的回路。</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.3</w:t>
      </w:r>
      <w:r>
        <w:rPr>
          <w:rFonts w:hint="eastAsia" w:hAnsi="Times New Roman" w:eastAsia="宋体" w:cs="Times New Roman"/>
          <w:color w:val="auto"/>
          <w:kern w:val="0"/>
          <w:sz w:val="21"/>
          <w:szCs w:val="20"/>
          <w:lang w:val="en-US" w:eastAsia="en-US" w:bidi="ar-SA"/>
        </w:rPr>
        <w:t xml:space="preserve"> 可移动式照明装置的电源电压不得大于3</w:t>
      </w:r>
      <w:r>
        <w:rPr>
          <w:rFonts w:hint="eastAsia" w:hAnsi="Times New Roman" w:eastAsia="宋体" w:cs="Times New Roman"/>
          <w:color w:val="auto"/>
          <w:kern w:val="0"/>
          <w:sz w:val="21"/>
          <w:szCs w:val="20"/>
          <w:lang w:val="en-US" w:eastAsia="zh-CN" w:bidi="ar-SA"/>
        </w:rPr>
        <w:t>6</w:t>
      </w:r>
      <w:r>
        <w:rPr>
          <w:rFonts w:hint="eastAsia" w:hAnsi="Times New Roman" w:eastAsia="宋体" w:cs="Times New Roman"/>
          <w:color w:val="auto"/>
          <w:kern w:val="0"/>
          <w:sz w:val="21"/>
          <w:szCs w:val="20"/>
          <w:lang w:val="en-US" w:eastAsia="en-US" w:bidi="ar-SA"/>
        </w:rPr>
        <w:t>V</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交流供电不得使用自耦变压器。</w:t>
      </w:r>
    </w:p>
    <w:p>
      <w:pPr>
        <w:pStyle w:val="2"/>
        <w:numPr>
          <w:ilvl w:val="0"/>
          <w:numId w:val="0"/>
        </w:numPr>
        <w:spacing w:before="62" w:line="222" w:lineRule="auto"/>
        <w:outlineLvl w:val="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.4</w:t>
      </w:r>
      <w:r>
        <w:rPr>
          <w:rFonts w:hint="eastAsia" w:hAnsi="Times New Roman" w:eastAsia="宋体" w:cs="Times New Roman"/>
          <w:color w:val="auto"/>
          <w:kern w:val="0"/>
          <w:sz w:val="21"/>
          <w:szCs w:val="20"/>
          <w:lang w:val="en-US" w:eastAsia="en-US" w:bidi="ar-SA"/>
        </w:rPr>
        <w:t xml:space="preserve"> 各</w:t>
      </w:r>
      <w:r>
        <w:rPr>
          <w:rFonts w:hint="eastAsia" w:hAnsi="Times New Roman" w:eastAsia="宋体" w:cs="Times New Roman"/>
          <w:color w:val="auto"/>
          <w:kern w:val="0"/>
          <w:sz w:val="21"/>
          <w:szCs w:val="20"/>
          <w:lang w:val="en-US" w:eastAsia="zh-CN" w:bidi="ar-SA"/>
        </w:rPr>
        <w:t>层</w:t>
      </w:r>
      <w:r>
        <w:rPr>
          <w:rFonts w:hint="eastAsia" w:hAnsi="Times New Roman" w:eastAsia="宋体" w:cs="Times New Roman"/>
          <w:color w:val="auto"/>
          <w:kern w:val="0"/>
          <w:sz w:val="21"/>
          <w:szCs w:val="20"/>
          <w:lang w:val="en-US" w:eastAsia="en-US" w:bidi="ar-SA"/>
        </w:rPr>
        <w:t>站显示的指示信号应清晰准确，各种开关工作可靠。</w:t>
      </w:r>
    </w:p>
    <w:p>
      <w:pPr>
        <w:pStyle w:val="2"/>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10  安全保护装置</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停层保护装置</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en-US" w:bidi="ar-SA"/>
        </w:rPr>
        <w:t>当货厢处于除底层外的任一平层位置，且货厢门打开时，能防止货厢发生非正常滑移或坠落。以下情况除外：</w:t>
      </w:r>
    </w:p>
    <w:p>
      <w:pPr>
        <w:pStyle w:val="24"/>
        <w:ind w:left="0" w:leftChars="0" w:firstLine="420" w:firstLineChars="200"/>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当采用两根或两根以上悬挂钢丝绳或链条，且所有参与施加制动力的制动器机械部件分两组装设，每组部件均有足够的制动力时，可以不设置停层保护装置。</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 xml:space="preserve">10.1.2 </w:t>
      </w:r>
      <w:r>
        <w:rPr>
          <w:rFonts w:hint="eastAsia" w:hAnsi="Times New Roman" w:eastAsia="宋体" w:cs="Times New Roman"/>
          <w:color w:val="auto"/>
          <w:kern w:val="0"/>
          <w:sz w:val="21"/>
          <w:szCs w:val="20"/>
          <w:lang w:val="en-US" w:eastAsia="en-US" w:bidi="ar-SA"/>
        </w:rPr>
        <w:t>停层保护装置动作应灵活可靠，无卡阻现象。</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 xml:space="preserve">10.1.3 </w:t>
      </w:r>
      <w:r>
        <w:rPr>
          <w:rFonts w:hint="eastAsia" w:hAnsi="Times New Roman" w:eastAsia="宋体" w:cs="Times New Roman"/>
          <w:color w:val="auto"/>
          <w:kern w:val="0"/>
          <w:sz w:val="21"/>
          <w:szCs w:val="20"/>
          <w:lang w:val="en-US" w:eastAsia="en-US" w:bidi="ar-SA"/>
        </w:rPr>
        <w:t>停层保护装置应在货厢门开启不大于300mm时完全动作，且应具有动作到位的指示。</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 xml:space="preserve">10.1.4 </w:t>
      </w:r>
      <w:r>
        <w:rPr>
          <w:rFonts w:hint="eastAsia" w:hAnsi="Times New Roman" w:eastAsia="宋体" w:cs="Times New Roman"/>
          <w:color w:val="auto"/>
          <w:kern w:val="0"/>
          <w:sz w:val="21"/>
          <w:szCs w:val="20"/>
          <w:lang w:val="en-US" w:eastAsia="en-US" w:bidi="ar-SA"/>
        </w:rPr>
        <w:t>停层保护装置的强度应足以承受额定起重量和货厢重量及可能的冲击载荷，无变形、脱焊、松动、裂纹等缺陷。</w:t>
      </w:r>
    </w:p>
    <w:p>
      <w:pPr>
        <w:pStyle w:val="2"/>
        <w:spacing w:before="79" w:line="219" w:lineRule="auto"/>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 xml:space="preserve">10.1.5 </w:t>
      </w:r>
      <w:r>
        <w:rPr>
          <w:rFonts w:hint="eastAsia" w:ascii="宋体" w:hAnsi="Times New Roman" w:eastAsia="宋体" w:cs="Times New Roman"/>
          <w:color w:val="auto"/>
          <w:kern w:val="0"/>
          <w:sz w:val="21"/>
          <w:szCs w:val="20"/>
          <w:lang w:val="en-US" w:eastAsia="en-US" w:bidi="ar-SA"/>
        </w:rPr>
        <w:t>应设置有效的电气联锁装置，当停层保护装置作用时，能切断简易升降机的电气安全回路。</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下行超速保护装置</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 xml:space="preserve">.2.1 </w:t>
      </w:r>
      <w:r>
        <w:rPr>
          <w:rFonts w:hint="eastAsia" w:hAnsi="Times New Roman" w:eastAsia="宋体" w:cs="Times New Roman"/>
          <w:color w:val="auto"/>
          <w:kern w:val="0"/>
          <w:sz w:val="21"/>
          <w:szCs w:val="20"/>
          <w:lang w:val="en-US" w:eastAsia="en-US" w:bidi="ar-SA"/>
        </w:rPr>
        <w:t>下行超速保护装置应采用机械的动作方式，并能使载有额定起重量的货厢可靠制停。</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.2.2</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en-US" w:bidi="ar-SA"/>
        </w:rPr>
        <w:t>下行超速保护装置应设置有效的电气联锁装置，当下行超速保护装置作用时，能切断简易升降机的电气安全回路。</w:t>
      </w:r>
    </w:p>
    <w:p>
      <w:pPr>
        <w:pStyle w:val="2"/>
        <w:spacing w:before="49" w:line="216" w:lineRule="auto"/>
        <w:rPr>
          <w:rFonts w:ascii="宋体" w:hAnsi="宋体" w:eastAsia="宋体" w:cs="宋体"/>
          <w:color w:val="auto"/>
          <w:spacing w:val="5"/>
          <w:kern w:val="2"/>
          <w:sz w:val="19"/>
          <w:szCs w:val="19"/>
          <w:lang w:val="en-US" w:eastAsia="en-US" w:bidi="ar-SA"/>
        </w:rPr>
      </w:pPr>
      <w:r>
        <w:rPr>
          <w:rFonts w:hint="eastAsia" w:hAnsi="Times New Roman"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.2.3</w:t>
      </w:r>
      <w:r>
        <w:rPr>
          <w:rFonts w:hint="eastAsia" w:hAnsi="Times New Roman" w:cs="Times New Roman"/>
          <w:b w:val="0"/>
          <w:i w:val="0"/>
          <w:color w:val="auto"/>
          <w:kern w:val="2"/>
          <w:sz w:val="21"/>
          <w:szCs w:val="21"/>
          <w:lang w:val="en-US" w:eastAsia="zh-CN" w:bidi="ar-SA"/>
        </w:rPr>
        <w:t xml:space="preserve"> </w:t>
      </w:r>
      <w:r>
        <w:rPr>
          <w:rFonts w:hint="eastAsia" w:ascii="宋体" w:hAnsi="宋体" w:eastAsia="宋体" w:cs="宋体"/>
          <w:color w:val="auto"/>
          <w:spacing w:val="-3"/>
          <w:kern w:val="2"/>
          <w:sz w:val="20"/>
          <w:szCs w:val="20"/>
          <w:lang w:val="en-US" w:eastAsia="en-US" w:bidi="ar-SA"/>
        </w:rPr>
        <w:t>下行超速保护装置的动作速度不应小于额定速度的115%,且应小于0.8m/s。</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防运行阻碍保护装置</w:t>
      </w:r>
    </w:p>
    <w:p>
      <w:pPr>
        <w:pStyle w:val="2"/>
        <w:spacing w:before="31" w:line="267" w:lineRule="auto"/>
        <w:ind w:right="63" w:firstLine="3"/>
        <w:jc w:val="both"/>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en-US" w:bidi="ar-SA"/>
        </w:rPr>
        <w:t xml:space="preserve"> </w:t>
      </w:r>
      <w:r>
        <w:rPr>
          <w:rFonts w:hint="eastAsia" w:hAnsi="Times New Roman"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en-US" w:bidi="ar-SA"/>
        </w:rPr>
        <w:t>曳引式简易升降机应设置运转时间限制器，当货厢或对重运行受到阻碍，且时间超过全程运行所需时间加10</w:t>
      </w:r>
      <w:r>
        <w:rPr>
          <w:rFonts w:hint="eastAsia" w:ascii="宋体" w:hAnsi="Times New Roman" w:eastAsia="宋体" w:cs="Times New Roman"/>
          <w:color w:val="auto"/>
          <w:kern w:val="0"/>
          <w:sz w:val="21"/>
          <w:szCs w:val="20"/>
          <w:lang w:val="en-US" w:eastAsia="zh-CN" w:bidi="ar-SA"/>
        </w:rPr>
        <w:t>s</w:t>
      </w:r>
      <w:r>
        <w:rPr>
          <w:rFonts w:hint="eastAsia" w:ascii="宋体" w:hAnsi="Times New Roman" w:eastAsia="宋体" w:cs="Times New Roman"/>
          <w:color w:val="auto"/>
          <w:kern w:val="0"/>
          <w:sz w:val="21"/>
          <w:szCs w:val="20"/>
          <w:lang w:val="en-US" w:eastAsia="en-US" w:bidi="ar-SA"/>
        </w:rPr>
        <w:t>以前，应切断电动机的电源。运转时间限制器不应影响检修运行。</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限位开关</w:t>
      </w:r>
    </w:p>
    <w:p>
      <w:pPr>
        <w:pStyle w:val="24"/>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 xml:space="preserve"> 应设置上、下限位开关。限位开关应采用自动复位的型式，并在极限开关动作之前起作用。</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10.5</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极限开关</w:t>
      </w:r>
    </w:p>
    <w:p>
      <w:pPr>
        <w:pStyle w:val="24"/>
        <w:ind w:left="0" w:leftChars="0" w:firstLine="0" w:firstLineChars="0"/>
        <w:rPr>
          <w:rFonts w:hint="eastAsia" w:ascii="宋体"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.5.1</w:t>
      </w:r>
      <w:r>
        <w:rPr>
          <w:rFonts w:hint="eastAsia" w:hAnsi="Times New Roman" w:eastAsia="宋体" w:cs="Times New Roman"/>
          <w:color w:val="auto"/>
          <w:kern w:val="0"/>
          <w:sz w:val="21"/>
          <w:szCs w:val="20"/>
          <w:lang w:val="en-US" w:eastAsia="en-US" w:bidi="ar-SA"/>
        </w:rPr>
        <w:t xml:space="preserve"> 应设置上、下极限开关</w:t>
      </w:r>
      <w:r>
        <w:rPr>
          <w:rFonts w:hint="eastAsia"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en-US" w:bidi="ar-SA"/>
        </w:rPr>
        <w:t>极限开关应采用以下两种作用方法之一：</w:t>
      </w:r>
    </w:p>
    <w:p>
      <w:pPr>
        <w:pStyle w:val="2"/>
        <w:spacing w:before="29" w:line="259" w:lineRule="auto"/>
        <w:ind w:firstLine="212" w:firstLineChars="101"/>
        <w:rPr>
          <w:rFonts w:hint="eastAsia" w:ascii="宋体" w:hAnsi="Times New Roman" w:eastAsia="宋体" w:cs="Times New Roman"/>
          <w:color w:val="auto"/>
          <w:kern w:val="0"/>
          <w:sz w:val="21"/>
          <w:szCs w:val="20"/>
          <w:lang w:val="en-US" w:eastAsia="en-US" w:bidi="ar-SA"/>
        </w:rPr>
      </w:pPr>
      <w:r>
        <w:rPr>
          <w:rFonts w:hint="eastAsia" w:ascii="宋体" w:hAnsi="Times New Roman" w:eastAsia="宋体" w:cs="Times New Roman"/>
          <w:color w:val="auto"/>
          <w:kern w:val="0"/>
          <w:sz w:val="21"/>
          <w:szCs w:val="20"/>
          <w:lang w:val="en-US" w:eastAsia="en-US" w:bidi="ar-SA"/>
        </w:rPr>
        <w:t>a) 采用强制的机械方法直接切断电动机和制动器供电回路；</w:t>
      </w:r>
    </w:p>
    <w:p>
      <w:pPr>
        <w:pStyle w:val="2"/>
        <w:spacing w:before="29" w:line="259" w:lineRule="auto"/>
        <w:ind w:firstLine="212" w:firstLineChars="101"/>
        <w:rPr>
          <w:rFonts w:hint="eastAsia" w:ascii="宋体" w:hAnsi="Times New Roman" w:eastAsia="宋体" w:cs="Times New Roman"/>
          <w:color w:val="auto"/>
          <w:kern w:val="0"/>
          <w:sz w:val="21"/>
          <w:szCs w:val="20"/>
          <w:lang w:val="en-US" w:eastAsia="en-US" w:bidi="ar-SA"/>
        </w:rPr>
      </w:pPr>
      <w:r>
        <w:rPr>
          <w:rFonts w:hint="eastAsia" w:ascii="宋体" w:hAnsi="Times New Roman" w:eastAsia="宋体" w:cs="Times New Roman"/>
          <w:color w:val="auto"/>
          <w:kern w:val="0"/>
          <w:sz w:val="21"/>
          <w:szCs w:val="20"/>
          <w:lang w:val="en-US" w:eastAsia="en-US" w:bidi="ar-SA"/>
        </w:rPr>
        <w:t>b) 采用符合</w:t>
      </w:r>
      <w:r>
        <w:rPr>
          <w:rFonts w:hint="eastAsia" w:ascii="宋体" w:hAnsi="Times New Roman" w:eastAsia="宋体" w:cs="Times New Roman"/>
          <w:color w:val="auto"/>
          <w:kern w:val="0"/>
          <w:sz w:val="21"/>
          <w:szCs w:val="20"/>
          <w:lang w:val="en-US" w:eastAsia="zh-CN" w:bidi="ar-SA"/>
        </w:rPr>
        <w:t>GB 28755中</w:t>
      </w:r>
      <w:r>
        <w:rPr>
          <w:rFonts w:hint="eastAsia" w:ascii="宋体" w:hAnsi="Times New Roman" w:eastAsia="宋体" w:cs="Times New Roman"/>
          <w:color w:val="auto"/>
          <w:kern w:val="0"/>
          <w:sz w:val="21"/>
          <w:szCs w:val="20"/>
          <w:lang w:val="en-US" w:eastAsia="en-US" w:bidi="ar-SA"/>
        </w:rPr>
        <w:t>8.5规定的安全触点切断向主电路接触器线圈直接供电的电路。</w:t>
      </w:r>
    </w:p>
    <w:p>
      <w:pPr>
        <w:pStyle w:val="2"/>
        <w:spacing w:before="29" w:line="259" w:lineRule="auto"/>
        <w:ind w:firstLine="3"/>
        <w:rPr>
          <w:color w:val="auto"/>
          <w:sz w:val="21"/>
          <w:szCs w:val="21"/>
        </w:rPr>
      </w:pPr>
      <w:r>
        <w:rPr>
          <w:rFonts w:hint="eastAsia"/>
          <w:color w:val="auto"/>
          <w:spacing w:val="-1"/>
          <w:sz w:val="21"/>
          <w:szCs w:val="21"/>
          <w:lang w:val="en-US" w:eastAsia="zh-CN"/>
        </w:rPr>
        <w:t xml:space="preserve">10.5.2 </w:t>
      </w:r>
      <w:r>
        <w:rPr>
          <w:rFonts w:hint="eastAsia" w:ascii="宋体" w:hAnsi="Times New Roman" w:eastAsia="宋体" w:cs="Times New Roman"/>
          <w:color w:val="auto"/>
          <w:kern w:val="0"/>
          <w:sz w:val="21"/>
          <w:szCs w:val="20"/>
          <w:lang w:val="en-US" w:eastAsia="en-US" w:bidi="ar-SA"/>
        </w:rPr>
        <w:t>曳引式简易升降机的上、下极限开关应在货厢或对重接触缓冲器之前起作用，并在缓冲器被压缩期间保持其动作状态。</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eastAsia="宋体" w:cs="Times New Roman"/>
          <w:color w:val="auto"/>
          <w:kern w:val="0"/>
          <w:sz w:val="21"/>
          <w:szCs w:val="20"/>
          <w:lang w:val="en-US" w:eastAsia="en-US" w:bidi="ar-SA"/>
        </w:rPr>
        <w:t>极限开关动作后，简易升降机应不能自动恢复运行。</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10.6</w:t>
      </w:r>
      <w:r>
        <w:rPr>
          <w:rFonts w:hint="eastAsia" w:ascii="黑体" w:hAnsi="Times New Roman" w:eastAsia="黑体" w:cs="Times New Roman"/>
          <w:b w:val="0"/>
          <w:i w:val="0"/>
          <w:color w:val="auto"/>
          <w:kern w:val="2"/>
          <w:sz w:val="21"/>
          <w:szCs w:val="21"/>
          <w:lang w:val="en-US" w:eastAsia="en-US" w:bidi="ar-SA"/>
        </w:rPr>
        <w:t xml:space="preserve">  缓冲器</w:t>
      </w:r>
    </w:p>
    <w:p>
      <w:pPr>
        <w:pStyle w:val="2"/>
        <w:numPr>
          <w:ilvl w:val="0"/>
          <w:numId w:val="0"/>
        </w:numPr>
        <w:spacing w:before="62" w:line="222" w:lineRule="auto"/>
        <w:ind w:left="2" w:leftChars="0" w:firstLine="420" w:firstLineChars="200"/>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货厢和对重行程底部的极限位置应设置缓冲器，如采用耗能型缓冲器的，则应设置检查检查缓冲器是否正常复位的电气装置。</w:t>
      </w:r>
    </w:p>
    <w:p>
      <w:pPr>
        <w:pStyle w:val="2"/>
        <w:numPr>
          <w:ilvl w:val="0"/>
          <w:numId w:val="0"/>
        </w:numPr>
        <w:spacing w:before="62" w:line="222" w:lineRule="auto"/>
        <w:ind w:left="2" w:leftChars="0"/>
        <w:outlineLvl w:val="1"/>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10.7  检修运行装置</w:t>
      </w:r>
    </w:p>
    <w:p>
      <w:pPr>
        <w:pStyle w:val="2"/>
        <w:numPr>
          <w:ilvl w:val="0"/>
          <w:numId w:val="0"/>
        </w:numPr>
        <w:spacing w:before="62" w:line="222" w:lineRule="auto"/>
        <w:outlineLvl w:val="9"/>
        <w:rPr>
          <w:rFonts w:hint="eastAsia" w:hAnsi="Times New Roman" w:eastAsia="宋体" w:cs="Times New Roman"/>
          <w:color w:val="auto"/>
          <w:kern w:val="0"/>
          <w:sz w:val="21"/>
          <w:szCs w:val="20"/>
          <w:lang w:val="en-US" w:eastAsia="en-US" w:bidi="ar-SA"/>
        </w:rPr>
      </w:pPr>
      <w:r>
        <w:rPr>
          <w:rFonts w:hint="eastAsia"/>
          <w:color w:val="auto"/>
          <w:spacing w:val="-1"/>
          <w:sz w:val="21"/>
          <w:szCs w:val="21"/>
          <w:lang w:val="en-US" w:eastAsia="zh-CN"/>
        </w:rPr>
        <w:t>10.7.1</w:t>
      </w:r>
      <w:r>
        <w:rPr>
          <w:color w:val="auto"/>
          <w:spacing w:val="33"/>
          <w:sz w:val="21"/>
          <w:szCs w:val="21"/>
        </w:rPr>
        <w:t xml:space="preserve"> </w:t>
      </w:r>
      <w:r>
        <w:rPr>
          <w:rFonts w:hint="eastAsia" w:hAnsi="Times New Roman" w:eastAsia="宋体" w:cs="Times New Roman"/>
          <w:color w:val="auto"/>
          <w:kern w:val="0"/>
          <w:sz w:val="21"/>
          <w:szCs w:val="20"/>
          <w:lang w:val="en-US" w:eastAsia="en-US" w:bidi="ar-SA"/>
        </w:rPr>
        <w:t>应在货厢顶部设置一个易于接近的检修运行装置。</w:t>
      </w:r>
    </w:p>
    <w:p>
      <w:pPr>
        <w:pStyle w:val="2"/>
        <w:numPr>
          <w:ilvl w:val="0"/>
          <w:numId w:val="0"/>
        </w:numPr>
        <w:spacing w:before="62" w:line="222" w:lineRule="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zh-CN" w:bidi="ar-SA"/>
        </w:rPr>
        <w:t>10.7.2</w:t>
      </w:r>
      <w:r>
        <w:rPr>
          <w:rFonts w:hint="eastAsia" w:hAnsi="Times New Roman" w:eastAsia="宋体" w:cs="Times New Roman"/>
          <w:color w:val="auto"/>
          <w:kern w:val="0"/>
          <w:sz w:val="21"/>
          <w:szCs w:val="20"/>
          <w:lang w:val="en-US" w:eastAsia="en-US" w:bidi="ar-SA"/>
        </w:rPr>
        <w:t xml:space="preserve">  检修运行装置应由一个双稳态的检修转换开关操作，并满足下列要求：</w:t>
      </w:r>
    </w:p>
    <w:p>
      <w:pPr>
        <w:pStyle w:val="2"/>
        <w:numPr>
          <w:ilvl w:val="0"/>
          <w:numId w:val="0"/>
        </w:numPr>
        <w:spacing w:before="62" w:line="222" w:lineRule="auto"/>
        <w:ind w:left="2" w:leftChars="0" w:firstLine="420" w:firstLineChars="200"/>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b w:val="0"/>
          <w:bCs w:val="0"/>
          <w:color w:val="auto"/>
          <w:kern w:val="0"/>
          <w:sz w:val="21"/>
          <w:szCs w:val="20"/>
          <w:lang w:val="en-US" w:eastAsia="en-US" w:bidi="ar-SA"/>
        </w:rPr>
        <w:t xml:space="preserve">a) </w:t>
      </w:r>
      <w:r>
        <w:rPr>
          <w:rFonts w:hint="eastAsia" w:hAnsi="Times New Roman" w:eastAsia="宋体" w:cs="Times New Roman"/>
          <w:color w:val="auto"/>
          <w:kern w:val="0"/>
          <w:sz w:val="21"/>
          <w:szCs w:val="20"/>
          <w:lang w:val="en-US" w:eastAsia="en-US" w:bidi="ar-SA"/>
        </w:rPr>
        <w:t xml:space="preserve"> 一经进人检修运行，应取消正常运行。只有再次操作检修转换开关，才能使简易升降机重新恢复</w:t>
      </w:r>
      <w:r>
        <w:rPr>
          <w:rFonts w:hint="eastAsia" w:hAnsi="Times New Roman" w:eastAsia="宋体" w:cs="Times New Roman"/>
          <w:color w:val="auto"/>
          <w:kern w:val="0"/>
          <w:sz w:val="21"/>
          <w:szCs w:val="20"/>
          <w:lang w:val="en-US" w:eastAsia="zh-CN" w:bidi="ar-SA"/>
        </w:rPr>
        <w:t>正常运行</w:t>
      </w:r>
      <w:r>
        <w:rPr>
          <w:rFonts w:hint="eastAsia" w:hAnsi="Times New Roman" w:eastAsia="宋体" w:cs="Times New Roman"/>
          <w:color w:val="auto"/>
          <w:kern w:val="0"/>
          <w:sz w:val="21"/>
          <w:szCs w:val="20"/>
          <w:lang w:val="en-US" w:eastAsia="en-US" w:bidi="ar-SA"/>
        </w:rPr>
        <w:t>；</w:t>
      </w:r>
    </w:p>
    <w:p>
      <w:pPr>
        <w:pStyle w:val="2"/>
        <w:numPr>
          <w:ilvl w:val="0"/>
          <w:numId w:val="0"/>
        </w:numPr>
        <w:spacing w:before="62" w:line="222" w:lineRule="auto"/>
        <w:ind w:left="2" w:leftChars="0" w:firstLine="420" w:firstLineChars="200"/>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b)  货厢的运行应依靠持续掀压按钮，此</w:t>
      </w:r>
      <w:r>
        <w:rPr>
          <w:rFonts w:hint="eastAsia" w:hAnsi="Times New Roman" w:eastAsia="宋体" w:cs="Times New Roman"/>
          <w:color w:val="auto"/>
          <w:kern w:val="0"/>
          <w:sz w:val="21"/>
          <w:szCs w:val="20"/>
          <w:lang w:val="en-US" w:eastAsia="zh-CN" w:bidi="ar-SA"/>
        </w:rPr>
        <w:t>按钮</w:t>
      </w:r>
      <w:r>
        <w:rPr>
          <w:rFonts w:hint="eastAsia" w:hAnsi="Times New Roman" w:eastAsia="宋体" w:cs="Times New Roman"/>
          <w:color w:val="auto"/>
          <w:kern w:val="0"/>
          <w:sz w:val="21"/>
          <w:szCs w:val="20"/>
          <w:lang w:val="en-US" w:eastAsia="en-US" w:bidi="ar-SA"/>
        </w:rPr>
        <w:t xml:space="preserve">应有防止误操作的保护，并应清楚地标明运行方向； </w:t>
      </w:r>
    </w:p>
    <w:p>
      <w:pPr>
        <w:pStyle w:val="2"/>
        <w:numPr>
          <w:ilvl w:val="0"/>
          <w:numId w:val="0"/>
        </w:numPr>
        <w:spacing w:before="62" w:line="222" w:lineRule="auto"/>
        <w:ind w:left="2" w:leftChars="0" w:firstLine="420" w:firstLineChars="200"/>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c)  货厢的</w:t>
      </w:r>
      <w:r>
        <w:rPr>
          <w:rFonts w:hint="eastAsia" w:hAnsi="Times New Roman" w:eastAsia="宋体" w:cs="Times New Roman"/>
          <w:color w:val="auto"/>
          <w:kern w:val="0"/>
          <w:sz w:val="21"/>
          <w:szCs w:val="20"/>
          <w:lang w:val="en-US" w:eastAsia="zh-CN" w:bidi="ar-SA"/>
        </w:rPr>
        <w:t>运</w:t>
      </w:r>
      <w:r>
        <w:rPr>
          <w:rFonts w:hint="eastAsia" w:hAnsi="Times New Roman" w:eastAsia="宋体" w:cs="Times New Roman"/>
          <w:color w:val="auto"/>
          <w:kern w:val="0"/>
          <w:sz w:val="21"/>
          <w:szCs w:val="20"/>
          <w:lang w:val="en-US" w:eastAsia="en-US" w:bidi="ar-SA"/>
        </w:rPr>
        <w:t>行仍依靠安全装置。</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10.8</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超载保护装置</w:t>
      </w:r>
    </w:p>
    <w:p>
      <w:pPr>
        <w:pStyle w:val="2"/>
        <w:numPr>
          <w:ilvl w:val="0"/>
          <w:numId w:val="0"/>
        </w:numPr>
        <w:spacing w:before="62" w:line="222" w:lineRule="auto"/>
        <w:ind w:left="2" w:leftChars="0" w:firstLine="420" w:firstLineChars="200"/>
        <w:outlineLvl w:val="1"/>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简易升降机应设置超载保护装置。当实际起重量达到110%额定起重量之前时，超载保护装置应起作用，此时简易升降机应无法启动。</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10.9</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机械设备的防护装置</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a</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对可能产生危险并可接近的旋转部件应提供有效的防护，但盘车手轮、制动轮及任何类似的光滑圆形部件除外，这些部</w:t>
      </w:r>
      <w:r>
        <w:rPr>
          <w:rFonts w:hint="eastAsia" w:hAnsi="Times New Roman" w:eastAsia="宋体" w:cs="Times New Roman"/>
          <w:color w:val="auto"/>
          <w:kern w:val="0"/>
          <w:sz w:val="21"/>
          <w:szCs w:val="20"/>
          <w:lang w:val="en-US" w:eastAsia="zh-CN" w:bidi="ar-SA"/>
        </w:rPr>
        <w:t>件</w:t>
      </w:r>
      <w:r>
        <w:rPr>
          <w:rFonts w:hint="eastAsia" w:hAnsi="Times New Roman" w:eastAsia="宋体" w:cs="Times New Roman"/>
          <w:color w:val="auto"/>
          <w:kern w:val="0"/>
          <w:sz w:val="21"/>
          <w:szCs w:val="20"/>
          <w:lang w:val="en-US" w:eastAsia="en-US" w:bidi="ar-SA"/>
        </w:rPr>
        <w:t>应涂成黄色，或至少部分地涂成黄色。</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b</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滑轮应安装一个用</w:t>
      </w:r>
      <w:r>
        <w:rPr>
          <w:rFonts w:hint="eastAsia" w:hAnsi="Times New Roman" w:eastAsia="宋体" w:cs="Times New Roman"/>
          <w:color w:val="auto"/>
          <w:kern w:val="0"/>
          <w:sz w:val="21"/>
          <w:szCs w:val="20"/>
          <w:lang w:val="en-US" w:eastAsia="zh-CN" w:bidi="ar-SA"/>
        </w:rPr>
        <w:t>以防止</w:t>
      </w:r>
      <w:r>
        <w:rPr>
          <w:rFonts w:hint="eastAsia" w:hAnsi="Times New Roman" w:eastAsia="宋体" w:cs="Times New Roman"/>
          <w:color w:val="auto"/>
          <w:kern w:val="0"/>
          <w:sz w:val="21"/>
          <w:szCs w:val="20"/>
          <w:lang w:val="en-US" w:eastAsia="en-US" w:bidi="ar-SA"/>
        </w:rPr>
        <w:t>悬挂绳松弛时脱离绳槽的装置。</w:t>
      </w:r>
    </w:p>
    <w:p>
      <w:pPr>
        <w:pStyle w:val="2"/>
        <w:numPr>
          <w:ilvl w:val="0"/>
          <w:numId w:val="0"/>
        </w:numPr>
        <w:spacing w:before="62" w:line="222" w:lineRule="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10.10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停止装置</w:t>
      </w:r>
    </w:p>
    <w:p>
      <w:pPr>
        <w:pStyle w:val="24"/>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.1 </w:t>
      </w:r>
      <w:r>
        <w:rPr>
          <w:rFonts w:hint="eastAsia" w:hAnsi="Times New Roman" w:eastAsia="宋体" w:cs="Times New Roman"/>
          <w:color w:val="auto"/>
          <w:kern w:val="0"/>
          <w:sz w:val="21"/>
          <w:szCs w:val="20"/>
          <w:lang w:val="en-US" w:eastAsia="en-US" w:bidi="ar-SA"/>
        </w:rPr>
        <w:t>各层站、底坑和货厢顶部应设置停止装置。</w:t>
      </w:r>
    </w:p>
    <w:p>
      <w:pPr>
        <w:pStyle w:val="24"/>
        <w:ind w:left="0" w:leftChars="0" w:firstLine="0" w:firstLineChars="0"/>
        <w:rPr>
          <w:rFonts w:hint="default"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.2</w:t>
      </w:r>
      <w:r>
        <w:rPr>
          <w:rFonts w:hint="eastAsia"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停止装置应采用符合</w:t>
      </w:r>
      <w:r>
        <w:rPr>
          <w:rFonts w:hint="eastAsia" w:hAnsi="Times New Roman" w:eastAsia="宋体" w:cs="Times New Roman"/>
          <w:color w:val="auto"/>
          <w:kern w:val="0"/>
          <w:sz w:val="21"/>
          <w:szCs w:val="20"/>
          <w:lang w:val="en-US" w:eastAsia="zh-CN" w:bidi="ar-SA"/>
        </w:rPr>
        <w:t xml:space="preserve"> GB 28755中8.5</w:t>
      </w:r>
      <w:r>
        <w:rPr>
          <w:rFonts w:hint="eastAsia" w:hAnsi="Times New Roman" w:eastAsia="宋体" w:cs="Times New Roman"/>
          <w:color w:val="auto"/>
          <w:kern w:val="0"/>
          <w:sz w:val="21"/>
          <w:szCs w:val="20"/>
          <w:lang w:val="en-US" w:eastAsia="en-US" w:bidi="ar-SA"/>
        </w:rPr>
        <w:t>规定的安全触点形式，并应是双稳态型式，其动作部分应为红色，并标有“停止”字样。</w:t>
      </w:r>
      <w:r>
        <w:rPr>
          <w:rFonts w:hint="eastAsia" w:hAnsi="Times New Roman" w:eastAsia="宋体" w:cs="Times New Roman"/>
          <w:color w:val="auto"/>
          <w:kern w:val="0"/>
          <w:sz w:val="21"/>
          <w:szCs w:val="20"/>
          <w:lang w:val="en-US" w:eastAsia="zh-CN" w:bidi="ar-SA"/>
        </w:rPr>
        <w:t xml:space="preserve">                          </w:t>
      </w:r>
    </w:p>
    <w:p>
      <w:pPr>
        <w:pStyle w:val="2"/>
        <w:numPr>
          <w:ilvl w:val="0"/>
          <w:numId w:val="0"/>
        </w:numPr>
        <w:spacing w:before="62" w:line="222" w:lineRule="auto"/>
        <w:ind w:left="2" w:leftChars="0"/>
        <w:outlineLvl w:val="0"/>
        <w:rPr>
          <w:rFonts w:hint="default"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试验要求</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.1  空载试验</w:t>
      </w:r>
    </w:p>
    <w:p>
      <w:pPr>
        <w:pStyle w:val="24"/>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货厢空载以正常运行速度上、下运行，各操纵功能正确，可靠；简易升降机运行平稳、准确；各安全装置有效。</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.2  额定载荷试验</w:t>
      </w:r>
    </w:p>
    <w:p>
      <w:pPr>
        <w:pStyle w:val="24"/>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货箱装载额定载荷，按照设计文件规定的试验方法和要求连续运行3次，进行以下检查：</w:t>
      </w:r>
    </w:p>
    <w:p>
      <w:pPr>
        <w:pStyle w:val="24"/>
        <w:ind w:left="0" w:leftChars="0" w:firstLine="420" w:firstLineChars="20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a)</w:t>
      </w:r>
      <w:r>
        <w:rPr>
          <w:rFonts w:hint="eastAsia" w:hAnsi="Times New Roman" w:eastAsia="宋体" w:cs="Times New Roman"/>
          <w:color w:val="auto"/>
          <w:kern w:val="0"/>
          <w:sz w:val="21"/>
          <w:szCs w:val="20"/>
          <w:lang w:val="en-US" w:eastAsia="en-US" w:bidi="ar-SA"/>
        </w:rPr>
        <w:t xml:space="preserve"> 各运行机构应运转正常；</w:t>
      </w:r>
    </w:p>
    <w:p>
      <w:pPr>
        <w:pStyle w:val="24"/>
        <w:ind w:left="0" w:leftChars="0" w:firstLine="420" w:firstLineChars="20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b)</w:t>
      </w:r>
      <w:r>
        <w:rPr>
          <w:rFonts w:hint="eastAsia" w:hAnsi="Times New Roman" w:eastAsia="宋体" w:cs="Times New Roman"/>
          <w:color w:val="auto"/>
          <w:kern w:val="0"/>
          <w:sz w:val="21"/>
          <w:szCs w:val="20"/>
          <w:lang w:val="en-US" w:eastAsia="en-US" w:bidi="ar-SA"/>
        </w:rPr>
        <w:t xml:space="preserve"> 主要受力结构件应无明显裂纹、连接松动，无构件损坏等影响简易升降机性能和安全的缺陷。</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.3  静载试验</w:t>
      </w:r>
    </w:p>
    <w:p>
      <w:pPr>
        <w:pStyle w:val="24"/>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1.25 倍的额定载荷，按照相应要求进行静载荷试验，试验后主要受力结构件应无明显裂纹、永久变形、油漆剥落，主要机构连接处无松动或者损坏，无影响性能和安全的其他损坏。</w:t>
      </w:r>
    </w:p>
    <w:p>
      <w:pPr>
        <w:pStyle w:val="2"/>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.4  动载试验</w:t>
      </w:r>
    </w:p>
    <w:p>
      <w:pPr>
        <w:pStyle w:val="24"/>
        <w:rPr>
          <w:rFonts w:hint="eastAsia"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1.1 倍的额定载荷，按照相应要求进行动载荷试验，试验后，各机构应动作灵活、制动性能可靠 ；</w:t>
      </w:r>
      <w:r>
        <w:rPr>
          <w:rFonts w:hint="eastAsia" w:hAnsi="Times New Roman" w:eastAsia="宋体" w:cs="Times New Roman"/>
          <w:color w:val="auto"/>
          <w:kern w:val="0"/>
          <w:sz w:val="21"/>
          <w:szCs w:val="20"/>
          <w:lang w:val="en-US" w:eastAsia="zh-CN" w:bidi="ar-SA"/>
        </w:rPr>
        <w:t>结构和机构无损坏，连接无松动。</w:t>
      </w:r>
    </w:p>
    <w:p>
      <w:pPr>
        <w:pStyle w:val="2"/>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default"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 停层保护试验</w:t>
      </w:r>
    </w:p>
    <w:p>
      <w:pPr>
        <w:pStyle w:val="24"/>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额定载荷</w:t>
      </w:r>
      <w:r>
        <w:rPr>
          <w:rFonts w:hint="eastAsia" w:cs="Times New Roman"/>
          <w:color w:val="auto"/>
          <w:kern w:val="0"/>
          <w:sz w:val="21"/>
          <w:szCs w:val="20"/>
          <w:lang w:val="en-US" w:eastAsia="zh-CN" w:bidi="ar-SA"/>
        </w:rPr>
        <w:t>，照设计文件规定的试验方法和要求，动作停层保护装置，进行以下检查：</w:t>
      </w:r>
    </w:p>
    <w:p>
      <w:pPr>
        <w:pStyle w:val="24"/>
        <w:keepNext w:val="0"/>
        <w:keepLines w:val="0"/>
        <w:pageBreakBefore w:val="0"/>
        <w:numPr>
          <w:ilvl w:val="0"/>
          <w:numId w:val="3"/>
        </w:numPr>
        <w:kinsoku/>
        <w:wordWrap/>
        <w:overflowPunct/>
        <w:topLinePunct w:val="0"/>
        <w:bidi w:val="0"/>
        <w:adjustRightInd/>
        <w:snapToGrid/>
        <w:spacing w:line="240" w:lineRule="auto"/>
        <w:ind w:left="0" w:leftChars="0" w:firstLine="420" w:firstLineChars="200"/>
        <w:textAlignment w:val="auto"/>
        <w:rPr>
          <w:rFonts w:hint="eastAsia"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能够触发电气联锁装置动作，电气连锁装置动作后能够切断简易升降机的电气安全回路；</w:t>
      </w:r>
    </w:p>
    <w:p>
      <w:pPr>
        <w:pStyle w:val="24"/>
        <w:keepNext w:val="0"/>
        <w:keepLines w:val="0"/>
        <w:pageBreakBefore w:val="0"/>
        <w:numPr>
          <w:ilvl w:val="0"/>
          <w:numId w:val="3"/>
        </w:numPr>
        <w:kinsoku/>
        <w:wordWrap/>
        <w:overflowPunct/>
        <w:topLinePunct w:val="0"/>
        <w:bidi w:val="0"/>
        <w:adjustRightInd/>
        <w:snapToGrid/>
        <w:spacing w:line="240" w:lineRule="auto"/>
        <w:ind w:left="0" w:leftChars="0" w:firstLine="420" w:firstLineChars="200"/>
        <w:textAlignment w:val="auto"/>
        <w:rPr>
          <w:rFonts w:hint="eastAsia" w:eastAsia="宋体" w:cs="Times New Roman"/>
          <w:color w:val="auto"/>
          <w:kern w:val="0"/>
          <w:sz w:val="21"/>
          <w:szCs w:val="20"/>
          <w:lang w:val="en-US" w:eastAsia="zh-CN" w:bidi="ar-SA"/>
        </w:rPr>
      </w:pPr>
      <w:r>
        <w:rPr>
          <w:rFonts w:hint="eastAsia" w:cs="Times New Roman"/>
          <w:color w:val="auto"/>
          <w:kern w:val="0"/>
          <w:sz w:val="21"/>
          <w:szCs w:val="20"/>
          <w:lang w:val="en-US" w:eastAsia="en-US" w:bidi="ar-SA"/>
        </w:rPr>
        <w:t>停层保护装置的强度应足以承受额定起重量和货厢重量及可能的冲击载荷，</w:t>
      </w:r>
      <w:r>
        <w:rPr>
          <w:rFonts w:hint="eastAsia" w:cs="Times New Roman"/>
          <w:color w:val="auto"/>
          <w:kern w:val="0"/>
          <w:sz w:val="21"/>
          <w:szCs w:val="20"/>
          <w:lang w:val="en-US" w:eastAsia="zh-CN" w:bidi="ar-SA"/>
        </w:rPr>
        <w:t>试验后各</w:t>
      </w:r>
      <w:r>
        <w:rPr>
          <w:rFonts w:hint="eastAsia" w:hAnsi="Times New Roman" w:eastAsia="宋体" w:cs="Times New Roman"/>
          <w:color w:val="auto"/>
          <w:kern w:val="0"/>
          <w:sz w:val="21"/>
          <w:szCs w:val="20"/>
          <w:lang w:val="en-US" w:eastAsia="zh-CN" w:bidi="ar-SA"/>
        </w:rPr>
        <w:t>机构</w:t>
      </w:r>
      <w:r>
        <w:rPr>
          <w:rFonts w:hint="eastAsia" w:cs="Times New Roman"/>
          <w:color w:val="auto"/>
          <w:kern w:val="0"/>
          <w:sz w:val="21"/>
          <w:szCs w:val="20"/>
          <w:lang w:val="en-US" w:eastAsia="en-US" w:bidi="ar-SA"/>
        </w:rPr>
        <w:t>无变形、脱焊、松动、裂纹等缺陷</w:t>
      </w:r>
      <w:r>
        <w:rPr>
          <w:rFonts w:hint="eastAsia" w:cs="Times New Roman"/>
          <w:color w:val="auto"/>
          <w:kern w:val="0"/>
          <w:sz w:val="21"/>
          <w:szCs w:val="20"/>
          <w:lang w:val="en-US" w:eastAsia="zh-CN" w:bidi="ar-SA"/>
        </w:rPr>
        <w:t>。</w:t>
      </w:r>
    </w:p>
    <w:p>
      <w:pPr>
        <w:pStyle w:val="2"/>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6</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下行超速保护</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试验</w:t>
      </w:r>
    </w:p>
    <w:p>
      <w:pPr>
        <w:pStyle w:val="24"/>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货箱装载额定载荷， 照设计文件规定的试验方法和要求，进行下行超速保护试验，进行以下检查：</w:t>
      </w:r>
    </w:p>
    <w:p>
      <w:pPr>
        <w:pStyle w:val="24"/>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a）当</w:t>
      </w:r>
      <w:r>
        <w:rPr>
          <w:rFonts w:hint="eastAsia" w:hAnsi="Times New Roman" w:eastAsia="宋体" w:cs="Times New Roman"/>
          <w:color w:val="auto"/>
          <w:kern w:val="0"/>
          <w:sz w:val="21"/>
          <w:szCs w:val="20"/>
          <w:lang w:val="en-US" w:eastAsia="en-US" w:bidi="ar-SA"/>
        </w:rPr>
        <w:t>货厢下行速度达到 115%额定速度或者 0.8m/s 时，</w:t>
      </w:r>
      <w:r>
        <w:rPr>
          <w:rFonts w:hint="eastAsia" w:cs="Times New Roman"/>
          <w:color w:val="auto"/>
          <w:kern w:val="0"/>
          <w:sz w:val="21"/>
          <w:szCs w:val="20"/>
          <w:lang w:val="en-US" w:eastAsia="zh-CN" w:bidi="ar-SA"/>
        </w:rPr>
        <w:t>能自动触发</w:t>
      </w:r>
      <w:r>
        <w:rPr>
          <w:rFonts w:hint="eastAsia" w:hAnsi="Times New Roman" w:eastAsia="宋体" w:cs="Times New Roman"/>
          <w:color w:val="auto"/>
          <w:kern w:val="0"/>
          <w:sz w:val="21"/>
          <w:szCs w:val="20"/>
          <w:lang w:val="en-US" w:eastAsia="en-US" w:bidi="ar-SA"/>
        </w:rPr>
        <w:t>下行超速保护装置</w:t>
      </w:r>
      <w:r>
        <w:rPr>
          <w:rFonts w:hint="eastAsia" w:cs="Times New Roman"/>
          <w:color w:val="auto"/>
          <w:kern w:val="0"/>
          <w:sz w:val="21"/>
          <w:szCs w:val="20"/>
          <w:lang w:val="en-US" w:eastAsia="zh-CN" w:bidi="ar-SA"/>
        </w:rPr>
        <w:t>动作；</w:t>
      </w:r>
    </w:p>
    <w:p>
      <w:pPr>
        <w:pStyle w:val="24"/>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b）同时触发</w:t>
      </w:r>
      <w:r>
        <w:rPr>
          <w:rFonts w:hint="eastAsia" w:hAnsi="Times New Roman" w:eastAsia="宋体" w:cs="Times New Roman"/>
          <w:color w:val="auto"/>
          <w:kern w:val="0"/>
          <w:sz w:val="21"/>
          <w:szCs w:val="20"/>
          <w:lang w:val="en-US" w:eastAsia="en-US" w:bidi="ar-SA"/>
        </w:rPr>
        <w:t>电气联锁装置，</w:t>
      </w:r>
      <w:r>
        <w:rPr>
          <w:rFonts w:hint="eastAsia" w:cs="Times New Roman"/>
          <w:color w:val="auto"/>
          <w:kern w:val="0"/>
          <w:sz w:val="21"/>
          <w:szCs w:val="20"/>
          <w:lang w:val="en-US" w:eastAsia="zh-CN" w:bidi="ar-SA"/>
        </w:rPr>
        <w:t>电气连锁装置动作后能够切断</w:t>
      </w:r>
      <w:r>
        <w:rPr>
          <w:rFonts w:hint="eastAsia" w:hAnsi="Times New Roman" w:eastAsia="宋体" w:cs="Times New Roman"/>
          <w:color w:val="auto"/>
          <w:kern w:val="0"/>
          <w:sz w:val="21"/>
          <w:szCs w:val="20"/>
          <w:lang w:val="en-US" w:eastAsia="en-US" w:bidi="ar-SA"/>
        </w:rPr>
        <w:t>能切断简易升降机的电气安全回路</w:t>
      </w:r>
      <w:r>
        <w:rPr>
          <w:rFonts w:hint="eastAsia" w:cs="Times New Roman"/>
          <w:color w:val="auto"/>
          <w:kern w:val="0"/>
          <w:sz w:val="21"/>
          <w:szCs w:val="20"/>
          <w:lang w:val="en-US" w:eastAsia="zh-CN" w:bidi="ar-SA"/>
        </w:rPr>
        <w:t>；</w:t>
      </w:r>
    </w:p>
    <w:p>
      <w:pPr>
        <w:pStyle w:val="24"/>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c）该装置动作后</w:t>
      </w:r>
      <w:r>
        <w:rPr>
          <w:rFonts w:hint="eastAsia" w:hAnsi="Times New Roman" w:eastAsia="宋体" w:cs="Times New Roman"/>
          <w:color w:val="auto"/>
          <w:kern w:val="0"/>
          <w:sz w:val="21"/>
          <w:szCs w:val="20"/>
          <w:lang w:val="en-US" w:eastAsia="en-US" w:bidi="ar-SA"/>
        </w:rPr>
        <w:t>应当能够使货厢可靠制停</w:t>
      </w:r>
      <w:r>
        <w:rPr>
          <w:rFonts w:hint="eastAsia" w:cs="Times New Roman"/>
          <w:color w:val="auto"/>
          <w:kern w:val="0"/>
          <w:sz w:val="21"/>
          <w:szCs w:val="20"/>
          <w:lang w:val="en-US" w:eastAsia="zh-CN" w:bidi="ar-SA"/>
        </w:rPr>
        <w:t>；</w:t>
      </w:r>
    </w:p>
    <w:p>
      <w:pPr>
        <w:pStyle w:val="24"/>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d）</w:t>
      </w:r>
      <w:r>
        <w:rPr>
          <w:rFonts w:hint="eastAsia" w:cs="Times New Roman"/>
          <w:color w:val="auto"/>
          <w:kern w:val="0"/>
          <w:sz w:val="21"/>
          <w:szCs w:val="20"/>
          <w:lang w:val="en-US" w:eastAsia="en-US" w:bidi="ar-SA"/>
        </w:rPr>
        <w:t>试验后主要受力结构件应无明显裂纹、永久变形、油漆剥落，主要机构连接处无松动或者损坏，无影响性能和安全的其他损坏。</w:t>
      </w:r>
    </w:p>
    <w:p>
      <w:pPr>
        <w:pStyle w:val="24"/>
        <w:ind w:left="0" w:leftChars="0" w:firstLine="0" w:firstLineChars="0"/>
        <w:rPr>
          <w:rFonts w:hint="eastAsia" w:eastAsia="宋体" w:cs="Times New Roman"/>
          <w:color w:val="auto"/>
          <w:kern w:val="0"/>
          <w:sz w:val="21"/>
          <w:szCs w:val="20"/>
          <w:lang w:val="en-US" w:eastAsia="zh-CN" w:bidi="ar-SA"/>
        </w:rPr>
      </w:pPr>
    </w:p>
    <w:p>
      <w:pPr>
        <w:pStyle w:val="2"/>
        <w:spacing w:before="247" w:line="219" w:lineRule="auto"/>
        <w:jc w:val="center"/>
        <w:rPr>
          <w:rFonts w:hint="eastAsia" w:eastAsia="黑体"/>
          <w:color w:val="auto"/>
          <w:lang w:eastAsia="zh-CN"/>
        </w:rPr>
      </w:pPr>
      <w:r>
        <w:rPr>
          <w:rFonts w:hint="eastAsia"/>
          <w:color w:val="auto"/>
          <w:lang w:eastAsia="zh-CN"/>
        </w:rPr>
        <w:t>————————————</w:t>
      </w:r>
    </w:p>
    <w:p>
      <w:pPr>
        <w:pStyle w:val="2"/>
        <w:numPr>
          <w:ilvl w:val="0"/>
          <w:numId w:val="0"/>
        </w:numPr>
        <w:spacing w:before="62" w:line="222" w:lineRule="auto"/>
        <w:ind w:left="2" w:leftChars="0"/>
        <w:outlineLvl w:val="0"/>
        <w:rPr>
          <w:rFonts w:hint="eastAsia" w:cs="黑体"/>
          <w:color w:val="auto"/>
          <w:spacing w:val="-1"/>
          <w:kern w:val="2"/>
          <w:sz w:val="21"/>
          <w:szCs w:val="21"/>
          <w:lang w:val="en-US" w:eastAsia="zh-CN" w:bidi="ar-SA"/>
        </w:rPr>
      </w:pPr>
    </w:p>
    <w:bookmarkEnd w:id="36"/>
    <w:p>
      <w:pPr>
        <w:pStyle w:val="24"/>
        <w:ind w:left="0" w:leftChars="0" w:firstLine="420" w:firstLineChars="200"/>
        <w:rPr>
          <w:color w:val="auto"/>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9BB62"/>
    <w:multiLevelType w:val="singleLevel"/>
    <w:tmpl w:val="9049BB62"/>
    <w:lvl w:ilvl="0" w:tentative="0">
      <w:start w:val="1"/>
      <w:numFmt w:val="lowerLetter"/>
      <w:suff w:val="space"/>
      <w:lvlText w:val="%1)"/>
      <w:lvlJc w:val="left"/>
    </w:lvl>
  </w:abstractNum>
  <w:abstractNum w:abstractNumId="1">
    <w:nsid w:val="1FC91163"/>
    <w:multiLevelType w:val="multilevel"/>
    <w:tmpl w:val="1FC91163"/>
    <w:lvl w:ilvl="0" w:tentative="0">
      <w:start w:val="1"/>
      <w:numFmt w:val="decimal"/>
      <w:pStyle w:val="2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BBAEA33"/>
    <w:multiLevelType w:val="singleLevel"/>
    <w:tmpl w:val="5BBAEA33"/>
    <w:lvl w:ilvl="0" w:tentative="0">
      <w:start w:val="1"/>
      <w:numFmt w:val="low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zAzZjExMjlmNDk3MDEyYzlmYjhmMThhZDM0NWEifQ=="/>
  </w:docVars>
  <w:rsids>
    <w:rsidRoot w:val="00000000"/>
    <w:rsid w:val="00DC7C1D"/>
    <w:rsid w:val="01072A9C"/>
    <w:rsid w:val="039416E5"/>
    <w:rsid w:val="03A24E08"/>
    <w:rsid w:val="056A4370"/>
    <w:rsid w:val="0687132C"/>
    <w:rsid w:val="06B363FA"/>
    <w:rsid w:val="08BC6FCD"/>
    <w:rsid w:val="09C55B86"/>
    <w:rsid w:val="09FC30DE"/>
    <w:rsid w:val="0B6C5E86"/>
    <w:rsid w:val="0D7F205C"/>
    <w:rsid w:val="0E4A33DA"/>
    <w:rsid w:val="0EEA6135"/>
    <w:rsid w:val="103C19C4"/>
    <w:rsid w:val="130265BC"/>
    <w:rsid w:val="136C012F"/>
    <w:rsid w:val="13D30029"/>
    <w:rsid w:val="14713D1E"/>
    <w:rsid w:val="14740441"/>
    <w:rsid w:val="14863B44"/>
    <w:rsid w:val="1708718B"/>
    <w:rsid w:val="171F0E76"/>
    <w:rsid w:val="176B4024"/>
    <w:rsid w:val="19A90203"/>
    <w:rsid w:val="1B813443"/>
    <w:rsid w:val="1C672784"/>
    <w:rsid w:val="1DA67045"/>
    <w:rsid w:val="1FFC5903"/>
    <w:rsid w:val="217E2D25"/>
    <w:rsid w:val="223E0F23"/>
    <w:rsid w:val="23E40A13"/>
    <w:rsid w:val="244A4DA5"/>
    <w:rsid w:val="248904C2"/>
    <w:rsid w:val="262849D4"/>
    <w:rsid w:val="2767039F"/>
    <w:rsid w:val="282910EA"/>
    <w:rsid w:val="287B082B"/>
    <w:rsid w:val="28A25439"/>
    <w:rsid w:val="2A310B8B"/>
    <w:rsid w:val="2D6C5D01"/>
    <w:rsid w:val="2EBF3263"/>
    <w:rsid w:val="303867AA"/>
    <w:rsid w:val="30CB71E3"/>
    <w:rsid w:val="33FB7EA1"/>
    <w:rsid w:val="34264730"/>
    <w:rsid w:val="361F6880"/>
    <w:rsid w:val="38107103"/>
    <w:rsid w:val="39B53424"/>
    <w:rsid w:val="3B554279"/>
    <w:rsid w:val="3BAE6BF6"/>
    <w:rsid w:val="3C1337A9"/>
    <w:rsid w:val="3D336054"/>
    <w:rsid w:val="3E453922"/>
    <w:rsid w:val="3E75078E"/>
    <w:rsid w:val="3E973163"/>
    <w:rsid w:val="402C384D"/>
    <w:rsid w:val="40A9471F"/>
    <w:rsid w:val="41931657"/>
    <w:rsid w:val="419453CF"/>
    <w:rsid w:val="42112C49"/>
    <w:rsid w:val="434471B7"/>
    <w:rsid w:val="43650EFD"/>
    <w:rsid w:val="436A288B"/>
    <w:rsid w:val="45CD0B5C"/>
    <w:rsid w:val="47ED2304"/>
    <w:rsid w:val="48176365"/>
    <w:rsid w:val="48893C17"/>
    <w:rsid w:val="48947E3A"/>
    <w:rsid w:val="4A963F66"/>
    <w:rsid w:val="4D726917"/>
    <w:rsid w:val="4EF10D13"/>
    <w:rsid w:val="4F925019"/>
    <w:rsid w:val="529C40E3"/>
    <w:rsid w:val="534A7FE3"/>
    <w:rsid w:val="54563496"/>
    <w:rsid w:val="55F3694B"/>
    <w:rsid w:val="568C3505"/>
    <w:rsid w:val="5A450BBD"/>
    <w:rsid w:val="5B1E607B"/>
    <w:rsid w:val="5B687F96"/>
    <w:rsid w:val="5CF61426"/>
    <w:rsid w:val="5E7B54F5"/>
    <w:rsid w:val="5EA276B0"/>
    <w:rsid w:val="60C4100F"/>
    <w:rsid w:val="610F0176"/>
    <w:rsid w:val="626256DC"/>
    <w:rsid w:val="63AE1EC8"/>
    <w:rsid w:val="666504B4"/>
    <w:rsid w:val="68197496"/>
    <w:rsid w:val="68FA59EE"/>
    <w:rsid w:val="699B3FC4"/>
    <w:rsid w:val="6B8E5CB7"/>
    <w:rsid w:val="6BFB6BAE"/>
    <w:rsid w:val="6DDB7D5E"/>
    <w:rsid w:val="6EAF0523"/>
    <w:rsid w:val="6FD9207B"/>
    <w:rsid w:val="70A50D28"/>
    <w:rsid w:val="7156415C"/>
    <w:rsid w:val="742D1A89"/>
    <w:rsid w:val="76634D94"/>
    <w:rsid w:val="76BC122C"/>
    <w:rsid w:val="76CA0082"/>
    <w:rsid w:val="76CB3073"/>
    <w:rsid w:val="77E864D6"/>
    <w:rsid w:val="797714FD"/>
    <w:rsid w:val="7A6146CA"/>
    <w:rsid w:val="7C745A6F"/>
    <w:rsid w:val="7CA0464C"/>
    <w:rsid w:val="7CBD40D7"/>
    <w:rsid w:val="7CD12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6"/>
      <w:szCs w:val="26"/>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
    <w:name w:val="其他标准标志"/>
    <w:basedOn w:val="9"/>
    <w:qFormat/>
    <w:uiPriority w:val="0"/>
    <w:pPr>
      <w:framePr w:w="6101" w:vAnchor="page" w:hAnchor="page" w:x="4673" w:y="942"/>
    </w:pPr>
    <w:rPr>
      <w:w w:val="130"/>
    </w:rPr>
  </w:style>
  <w:style w:type="paragraph" w:customStyle="1" w:styleId="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封面标准英文名称"/>
    <w:basedOn w:val="13"/>
    <w:qFormat/>
    <w:uiPriority w:val="0"/>
    <w:pPr>
      <w:spacing w:before="370" w:line="400" w:lineRule="exact"/>
    </w:pPr>
    <w:rPr>
      <w:rFonts w:ascii="Times New Roman"/>
      <w:sz w:val="28"/>
      <w:szCs w:val="28"/>
    </w:rPr>
  </w:style>
  <w:style w:type="paragraph" w:customStyle="1" w:styleId="15">
    <w:name w:val="封面一致性程度标识"/>
    <w:basedOn w:val="14"/>
    <w:qFormat/>
    <w:uiPriority w:val="0"/>
    <w:pPr>
      <w:spacing w:before="440"/>
    </w:pPr>
    <w:rPr>
      <w:rFonts w:ascii="宋体" w:eastAsia="宋体"/>
    </w:rPr>
  </w:style>
  <w:style w:type="paragraph" w:customStyle="1" w:styleId="16">
    <w:name w:val="封面标准文稿类别"/>
    <w:basedOn w:val="15"/>
    <w:qFormat/>
    <w:uiPriority w:val="0"/>
    <w:pPr>
      <w:spacing w:after="160" w:line="240" w:lineRule="auto"/>
    </w:pPr>
    <w:rPr>
      <w:sz w:val="24"/>
    </w:rPr>
  </w:style>
  <w:style w:type="paragraph" w:customStyle="1" w:styleId="17">
    <w:name w:val="封面标准文稿编辑信息"/>
    <w:basedOn w:val="16"/>
    <w:qFormat/>
    <w:uiPriority w:val="0"/>
    <w:pPr>
      <w:spacing w:before="180" w:line="180" w:lineRule="exact"/>
    </w:pPr>
    <w:rPr>
      <w:sz w:val="21"/>
    </w:rPr>
  </w:style>
  <w:style w:type="paragraph" w:customStyle="1" w:styleId="18">
    <w:name w:val="其他发布日期"/>
    <w:basedOn w:val="19"/>
    <w:qFormat/>
    <w:uiPriority w:val="0"/>
    <w:pPr>
      <w:framePr w:vAnchor="page" w:hAnchor="text" w:x="1419"/>
    </w:pPr>
  </w:style>
  <w:style w:type="paragraph" w:customStyle="1" w:styleId="1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0">
    <w:name w:val="其他实施日期"/>
    <w:basedOn w:val="21"/>
    <w:qFormat/>
    <w:uiPriority w:val="0"/>
  </w:style>
  <w:style w:type="paragraph" w:customStyle="1" w:styleId="21">
    <w:name w:val="实施日期"/>
    <w:basedOn w:val="19"/>
    <w:qFormat/>
    <w:uiPriority w:val="0"/>
    <w:pPr>
      <w:framePr w:vAnchor="page" w:hAnchor="text"/>
      <w:jc w:val="right"/>
    </w:pPr>
  </w:style>
  <w:style w:type="paragraph" w:customStyle="1" w:styleId="22">
    <w:name w:val="其他发布部门"/>
    <w:basedOn w:val="23"/>
    <w:qFormat/>
    <w:uiPriority w:val="0"/>
    <w:pPr>
      <w:framePr w:y="15310"/>
      <w:spacing w:line="0" w:lineRule="atLeast"/>
    </w:pPr>
    <w:rPr>
      <w:rFonts w:ascii="黑体" w:eastAsia="黑体"/>
      <w:b w:val="0"/>
    </w:rPr>
  </w:style>
  <w:style w:type="paragraph" w:customStyle="1" w:styleId="23">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5">
    <w:name w:val="章标题"/>
    <w:next w:val="24"/>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6">
    <w:name w:val="一级条标题"/>
    <w:next w:val="2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WPSOffice手动目录 1"/>
    <w:qFormat/>
    <w:uiPriority w:val="0"/>
    <w:pPr>
      <w:ind w:leftChars="0"/>
    </w:pPr>
    <w:rPr>
      <w:rFonts w:asciiTheme="minorHAnsi" w:hAnsiTheme="minorHAnsi" w:eastAsiaTheme="minorEastAsia" w:cstheme="minorBidi"/>
      <w:sz w:val="20"/>
      <w:szCs w:val="20"/>
    </w:rPr>
  </w:style>
  <w:style w:type="paragraph" w:customStyle="1" w:styleId="30">
    <w:name w:val="WPSOffice手动目录 2"/>
    <w:qFormat/>
    <w:uiPriority w:val="0"/>
    <w:pPr>
      <w:ind w:leftChars="200"/>
    </w:pPr>
    <w:rPr>
      <w:rFonts w:asciiTheme="minorHAnsi" w:hAnsiTheme="minorHAnsi" w:eastAsiaTheme="minorEastAsia" w:cstheme="minorBidi"/>
      <w:sz w:val="20"/>
      <w:szCs w:val="20"/>
    </w:rPr>
  </w:style>
  <w:style w:type="paragraph" w:customStyle="1" w:styleId="31">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11100</Words>
  <Characters>12905</Characters>
  <Lines>0</Lines>
  <Paragraphs>0</Paragraphs>
  <TotalTime>1</TotalTime>
  <ScaleCrop>false</ScaleCrop>
  <LinksUpToDate>false</LinksUpToDate>
  <CharactersWithSpaces>13706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2024-03-10T12:39:00Z</dcterms:created>
  <dc:creator>33412</dc:creator>
  <cp:lastModifiedBy>FY</cp:lastModifiedBy>
  <dcterms:modified xsi:type="dcterms:W3CDTF">2024-12-19T03:13:19Z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C6F24A305C4F4EE49A8F16F85AFA2883_13</vt:lpwstr>
  </property>
</Properties>
</file>