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170" w:type="dxa"/>
        <w:tblInd w:w="48"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47"/>
        <w:gridCol w:w="723"/>
      </w:tblGrid>
      <w:tr w14:paraId="41D03C3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86" w:hRule="atLeast"/>
        </w:trPr>
        <w:tc>
          <w:tcPr>
            <w:tcW w:w="447" w:type="dxa"/>
            <w:vAlign w:val="top"/>
          </w:tcPr>
          <w:p w14:paraId="4134C9E8">
            <w:pPr>
              <w:spacing w:before="51" w:line="314" w:lineRule="exact"/>
              <w:rPr>
                <w:rFonts w:ascii="Times New Roman" w:hAnsi="Times New Roman" w:eastAsia="Times New Roman" w:cs="Times New Roman"/>
                <w:sz w:val="20"/>
                <w:szCs w:val="20"/>
              </w:rPr>
            </w:pPr>
            <w:r>
              <w:pict>
                <v:rect id="_x0000_s1026" o:spid="_x0000_s1026" o:spt="1" style="position:absolute;left:0pt;margin-left:512.4pt;margin-top:181.55pt;height:13.7pt;width:26.25pt;mso-position-horizontal-relative:page;mso-position-vertical-relative:page;z-index:251662336;mso-width-relative:page;mso-height-relative:page;" fillcolor="#C0C0C0" filled="t" stroked="f" coordsize="21600,21600" o:allowincell="f">
                  <v:path/>
                  <v:fill on="t" focussize="0,0"/>
                  <v:stroke on="f"/>
                  <v:imagedata o:title=""/>
                  <o:lock v:ext="edit"/>
                </v:rect>
              </w:pict>
            </w:r>
            <w:r>
              <w:pict>
                <v:rect id="_x0000_s1027" o:spid="_x0000_s1027" o:spt="1" style="position:absolute;left:0pt;margin-left:308.8pt;margin-top:473.2pt;height:13.75pt;width:6pt;mso-position-horizontal-relative:page;mso-position-vertical-relative:page;z-index:251664384;mso-width-relative:page;mso-height-relative:page;" fillcolor="#C0C0C0" filled="t" stroked="f" coordsize="21600,21600" o:allowincell="f">
                  <v:path/>
                  <v:fill on="t" focussize="0,0"/>
                  <v:stroke on="f"/>
                  <v:imagedata o:title=""/>
                  <o:lock v:ext="edit"/>
                </v:rect>
              </w:pict>
            </w:r>
            <w:r>
              <w:pict>
                <v:rect id="_x0000_s1028" o:spid="_x0000_s1028" o:spt="1" style="position:absolute;left:0pt;margin-left:298.7pt;margin-top:498.35pt;height:12.05pt;width:26.25pt;mso-position-horizontal-relative:page;mso-position-vertical-relative:page;z-index:251663360;mso-width-relative:page;mso-height-relative:page;" fillcolor="#C0C0C0" filled="t" stroked="f" coordsize="21600,21600" o:allowincell="f">
                  <v:path/>
                  <v:fill on="t" focussize="0,0"/>
                  <v:stroke on="f"/>
                  <v:imagedata o:title=""/>
                  <o:lock v:ext="edit"/>
                </v:rect>
              </w:pict>
            </w:r>
            <w:r>
              <w:pict>
                <v:rect id="_x0000_s1029" o:spid="_x0000_s1029" o:spt="1" style="position:absolute;left:0pt;margin-left:309.2pt;margin-top:546.4pt;height:12.05pt;width:5.25pt;mso-position-horizontal-relative:page;mso-position-vertical-relative:page;z-index:251665408;mso-width-relative:page;mso-height-relative:page;" fillcolor="#C0C0C0" filled="t" stroked="f" coordsize="21600,21600" o:allowincell="f">
                  <v:path/>
                  <v:fill on="t" focussize="0,0"/>
                  <v:stroke on="f"/>
                  <v:imagedata o:title=""/>
                  <o:lock v:ext="edit"/>
                </v:rect>
              </w:pict>
            </w:r>
            <w:r>
              <w:drawing>
                <wp:anchor distT="0" distB="0" distL="0" distR="0" simplePos="0" relativeHeight="251660288" behindDoc="0" locked="0" layoutInCell="0" allowOverlap="1">
                  <wp:simplePos x="0" y="0"/>
                  <wp:positionH relativeFrom="page">
                    <wp:posOffset>900430</wp:posOffset>
                  </wp:positionH>
                  <wp:positionV relativeFrom="page">
                    <wp:posOffset>2695575</wp:posOffset>
                  </wp:positionV>
                  <wp:extent cx="6120130" cy="95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
                          <a:stretch>
                            <a:fillRect/>
                          </a:stretch>
                        </pic:blipFill>
                        <pic:spPr>
                          <a:xfrm>
                            <a:off x="0" y="0"/>
                            <a:ext cx="6120129" cy="9525"/>
                          </a:xfrm>
                          <a:prstGeom prst="rect">
                            <a:avLst/>
                          </a:prstGeom>
                        </pic:spPr>
                      </pic:pic>
                    </a:graphicData>
                  </a:graphic>
                </wp:anchor>
              </w:drawing>
            </w:r>
            <w:r>
              <w:drawing>
                <wp:anchor distT="0" distB="0" distL="0" distR="0" simplePos="0" relativeHeight="251661312" behindDoc="0" locked="0" layoutInCell="0" allowOverlap="1">
                  <wp:simplePos x="0" y="0"/>
                  <wp:positionH relativeFrom="page">
                    <wp:posOffset>899795</wp:posOffset>
                  </wp:positionH>
                  <wp:positionV relativeFrom="page">
                    <wp:posOffset>9248140</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1"/>
                          <a:stretch>
                            <a:fillRect/>
                          </a:stretch>
                        </pic:blipFill>
                        <pic:spPr>
                          <a:xfrm>
                            <a:off x="0" y="0"/>
                            <a:ext cx="6120129" cy="9525"/>
                          </a:xfrm>
                          <a:prstGeom prst="rect">
                            <a:avLst/>
                          </a:prstGeom>
                        </pic:spPr>
                      </pic:pic>
                    </a:graphicData>
                  </a:graphic>
                </wp:anchor>
              </w:drawing>
            </w:r>
            <w:r>
              <w:rPr>
                <w:rFonts w:ascii="Times New Roman" w:hAnsi="Times New Roman" w:eastAsia="Times New Roman" w:cs="Times New Roman"/>
                <w:color w:val="000008"/>
                <w:spacing w:val="3"/>
                <w:position w:val="11"/>
                <w:sz w:val="20"/>
                <w:szCs w:val="20"/>
              </w:rPr>
              <w:t>ICS</w:t>
            </w:r>
          </w:p>
          <w:p w14:paraId="187C662F">
            <w:pPr>
              <w:spacing w:line="194" w:lineRule="auto"/>
              <w:ind w:left="2"/>
              <w:rPr>
                <w:rFonts w:ascii="Times New Roman" w:hAnsi="Times New Roman" w:eastAsia="Times New Roman" w:cs="Times New Roman"/>
                <w:sz w:val="20"/>
                <w:szCs w:val="20"/>
              </w:rPr>
            </w:pPr>
            <w:r>
              <w:rPr>
                <w:rFonts w:ascii="Times New Roman" w:hAnsi="Times New Roman" w:eastAsia="Times New Roman" w:cs="Times New Roman"/>
                <w:color w:val="000008"/>
                <w:spacing w:val="3"/>
                <w:sz w:val="20"/>
                <w:szCs w:val="20"/>
              </w:rPr>
              <w:t>CCS</w:t>
            </w:r>
          </w:p>
        </w:tc>
        <w:tc>
          <w:tcPr>
            <w:tcW w:w="723" w:type="dxa"/>
            <w:vAlign w:val="top"/>
          </w:tcPr>
          <w:p w14:paraId="6F0B6751">
            <w:pPr>
              <w:spacing w:line="273" w:lineRule="exact"/>
              <w:ind w:firstLine="56"/>
            </w:pPr>
            <w:r>
              <w:rPr>
                <w:position w:val="-5"/>
              </w:rPr>
              <w:pict>
                <v:shape id="_x0000_s1030" o:spid="_x0000_s1030" o:spt="202" type="#_x0000_t202" style="height:13.7pt;width:33.35pt;" fillcolor="#C0C0C0" filled="t" stroked="f" coordsize="21600,21600">
                  <v:path/>
                  <v:fill on="t" focussize="0,0"/>
                  <v:stroke on="f"/>
                  <v:imagedata o:title=""/>
                  <o:lock v:ext="edit" aspectratio="f"/>
                  <v:textbox inset="0mm,0mm,0mm,0mm">
                    <w:txbxContent>
                      <w:p w14:paraId="24D8429E">
                        <w:pPr>
                          <w:spacing w:before="63" w:line="172" w:lineRule="auto"/>
                          <w:jc w:val="right"/>
                          <w:rPr>
                            <w:rFonts w:ascii="微软雅黑" w:hAnsi="微软雅黑" w:eastAsia="微软雅黑" w:cs="微软雅黑"/>
                            <w:sz w:val="20"/>
                            <w:szCs w:val="20"/>
                          </w:rPr>
                        </w:pPr>
                        <w:r>
                          <w:rPr>
                            <w:rFonts w:ascii="微软雅黑" w:hAnsi="微软雅黑" w:eastAsia="微软雅黑" w:cs="微软雅黑"/>
                            <w:color w:val="000008"/>
                            <w:sz w:val="20"/>
                            <w:szCs w:val="20"/>
                          </w:rPr>
                          <w:t>11.020</w:t>
                        </w:r>
                      </w:p>
                    </w:txbxContent>
                  </v:textbox>
                  <w10:wrap type="none"/>
                  <w10:anchorlock/>
                </v:shape>
              </w:pict>
            </w:r>
          </w:p>
          <w:p w14:paraId="4305E01A">
            <w:pPr>
              <w:spacing w:before="65" w:line="166" w:lineRule="auto"/>
              <w:ind w:left="69"/>
              <w:rPr>
                <w:rFonts w:ascii="微软雅黑" w:hAnsi="微软雅黑" w:eastAsia="微软雅黑" w:cs="微软雅黑"/>
                <w:sz w:val="20"/>
                <w:szCs w:val="20"/>
              </w:rPr>
            </w:pPr>
            <w:r>
              <w:rPr>
                <w:rFonts w:ascii="微软雅黑" w:hAnsi="微软雅黑" w:eastAsia="微软雅黑" w:cs="微软雅黑"/>
                <w:color w:val="000008"/>
                <w:spacing w:val="6"/>
                <w:sz w:val="20"/>
                <w:szCs w:val="20"/>
                <w:shd w:val="clear" w:fill="C0C0C0"/>
              </w:rPr>
              <w:t>C05</w:t>
            </w:r>
          </w:p>
        </w:tc>
      </w:tr>
    </w:tbl>
    <w:p w14:paraId="5876C20D">
      <w:pPr>
        <w:spacing w:line="284" w:lineRule="auto"/>
        <w:rPr>
          <w:rFonts w:ascii="Arial"/>
          <w:sz w:val="21"/>
        </w:rPr>
      </w:pPr>
    </w:p>
    <w:p w14:paraId="192F47DB">
      <w:pPr>
        <w:spacing w:line="284" w:lineRule="auto"/>
        <w:rPr>
          <w:rFonts w:ascii="Arial"/>
          <w:sz w:val="21"/>
        </w:rPr>
      </w:pPr>
    </w:p>
    <w:p w14:paraId="68510BE1">
      <w:pPr>
        <w:spacing w:line="284" w:lineRule="auto"/>
        <w:rPr>
          <w:rFonts w:ascii="Arial"/>
          <w:sz w:val="21"/>
        </w:rPr>
      </w:pPr>
    </w:p>
    <w:p w14:paraId="67A4959A">
      <w:pPr>
        <w:spacing w:line="285" w:lineRule="auto"/>
        <w:rPr>
          <w:rFonts w:ascii="Arial"/>
          <w:sz w:val="21"/>
        </w:rPr>
      </w:pPr>
    </w:p>
    <w:p w14:paraId="32B7EA71">
      <w:pPr>
        <w:pStyle w:val="2"/>
        <w:spacing w:before="202" w:line="504" w:lineRule="exact"/>
        <w:rPr>
          <w:sz w:val="47"/>
          <w:szCs w:val="47"/>
        </w:rPr>
      </w:pPr>
      <w:r>
        <w:rPr>
          <w:color w:val="000008"/>
          <w:spacing w:val="-6"/>
          <w:position w:val="-1"/>
          <w:sz w:val="47"/>
          <w:szCs w:val="47"/>
          <w:shd w:val="clear" w:fill="C0C0C0"/>
        </w:rPr>
        <w:t>安</w:t>
      </w:r>
      <w:r>
        <w:rPr>
          <w:color w:val="000008"/>
          <w:spacing w:val="12"/>
          <w:position w:val="-1"/>
          <w:sz w:val="47"/>
          <w:szCs w:val="47"/>
          <w:shd w:val="clear" w:fill="C0C0C0"/>
        </w:rPr>
        <w:t xml:space="preserve">       </w:t>
      </w:r>
      <w:r>
        <w:rPr>
          <w:color w:val="000008"/>
          <w:spacing w:val="-6"/>
          <w:position w:val="-1"/>
          <w:sz w:val="47"/>
          <w:szCs w:val="47"/>
          <w:shd w:val="clear" w:fill="C0C0C0"/>
        </w:rPr>
        <w:t>徽</w:t>
      </w:r>
      <w:r>
        <w:rPr>
          <w:color w:val="000008"/>
          <w:spacing w:val="12"/>
          <w:position w:val="-1"/>
          <w:sz w:val="47"/>
          <w:szCs w:val="47"/>
          <w:shd w:val="clear" w:fill="C0C0C0"/>
        </w:rPr>
        <w:t xml:space="preserve">       </w:t>
      </w:r>
      <w:r>
        <w:rPr>
          <w:color w:val="000008"/>
          <w:spacing w:val="-6"/>
          <w:position w:val="-1"/>
          <w:sz w:val="47"/>
          <w:szCs w:val="47"/>
          <w:shd w:val="clear" w:fill="C0C0C0"/>
        </w:rPr>
        <w:t>省</w:t>
      </w:r>
      <w:r>
        <w:rPr>
          <w:color w:val="000008"/>
          <w:spacing w:val="12"/>
          <w:position w:val="-1"/>
          <w:sz w:val="47"/>
          <w:szCs w:val="47"/>
          <w:shd w:val="clear" w:fill="C0C0C0"/>
        </w:rPr>
        <w:t xml:space="preserve">       </w:t>
      </w:r>
      <w:r>
        <w:rPr>
          <w:color w:val="000008"/>
          <w:spacing w:val="-6"/>
          <w:position w:val="-1"/>
          <w:sz w:val="47"/>
          <w:szCs w:val="47"/>
        </w:rPr>
        <w:t>地</w:t>
      </w:r>
    </w:p>
    <w:p w14:paraId="3049B8B6">
      <w:pPr>
        <w:spacing w:line="14" w:lineRule="auto"/>
        <w:rPr>
          <w:rFonts w:ascii="Arial"/>
          <w:sz w:val="2"/>
        </w:rPr>
      </w:pPr>
      <w:r>
        <w:rPr>
          <w:rFonts w:ascii="Arial" w:hAnsi="Arial" w:eastAsia="Arial" w:cs="Arial"/>
          <w:sz w:val="2"/>
          <w:szCs w:val="2"/>
        </w:rPr>
        <w:br w:type="column"/>
      </w:r>
    </w:p>
    <w:p w14:paraId="3AD6F020">
      <w:pPr>
        <w:spacing w:line="271" w:lineRule="auto"/>
        <w:rPr>
          <w:rFonts w:ascii="Arial"/>
          <w:sz w:val="21"/>
        </w:rPr>
      </w:pPr>
    </w:p>
    <w:p w14:paraId="428B4FD8">
      <w:pPr>
        <w:spacing w:line="272" w:lineRule="auto"/>
        <w:rPr>
          <w:rFonts w:ascii="Arial"/>
          <w:sz w:val="21"/>
        </w:rPr>
      </w:pPr>
    </w:p>
    <w:p w14:paraId="05584E55">
      <w:pPr>
        <w:spacing w:before="273" w:line="190" w:lineRule="auto"/>
        <w:ind w:left="104"/>
        <w:rPr>
          <w:rFonts w:ascii="Times New Roman" w:hAnsi="Times New Roman" w:eastAsia="Times New Roman" w:cs="Times New Roman"/>
          <w:sz w:val="95"/>
          <w:szCs w:val="95"/>
        </w:rPr>
      </w:pPr>
      <w:r>
        <w:rPr>
          <w:rFonts w:ascii="Times New Roman" w:hAnsi="Times New Roman" w:eastAsia="Times New Roman" w:cs="Times New Roman"/>
          <w:color w:val="000008"/>
          <w:sz w:val="95"/>
          <w:szCs w:val="95"/>
        </w:rPr>
        <w:drawing>
          <wp:inline distT="0" distB="0" distL="0" distR="0">
            <wp:extent cx="796925" cy="39751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2"/>
                    <a:stretch>
                      <a:fillRect/>
                    </a:stretch>
                  </pic:blipFill>
                  <pic:spPr>
                    <a:xfrm>
                      <a:off x="0" y="0"/>
                      <a:ext cx="797052" cy="397764"/>
                    </a:xfrm>
                    <a:prstGeom prst="rect">
                      <a:avLst/>
                    </a:prstGeom>
                  </pic:spPr>
                </pic:pic>
              </a:graphicData>
            </a:graphic>
          </wp:inline>
        </w:drawing>
      </w:r>
      <w:r>
        <w:rPr>
          <w:rFonts w:ascii="Times New Roman" w:hAnsi="Times New Roman" w:eastAsia="Times New Roman" w:cs="Times New Roman"/>
          <w:b/>
          <w:bCs/>
          <w:color w:val="000008"/>
          <w:spacing w:val="82"/>
          <w:w w:val="129"/>
          <w:sz w:val="95"/>
          <w:szCs w:val="95"/>
          <w:shd w:val="clear" w:fill="C0C0C0"/>
        </w:rPr>
        <w:t>34</w:t>
      </w:r>
    </w:p>
    <w:p w14:paraId="02398BAD">
      <w:pPr>
        <w:pStyle w:val="2"/>
        <w:spacing w:before="246" w:line="504" w:lineRule="exact"/>
        <w:rPr>
          <w:sz w:val="47"/>
          <w:szCs w:val="47"/>
        </w:rPr>
      </w:pPr>
      <w:r>
        <w:rPr>
          <w:color w:val="000008"/>
          <w:spacing w:val="-1"/>
          <w:position w:val="-1"/>
          <w:sz w:val="47"/>
          <w:szCs w:val="47"/>
        </w:rPr>
        <w:t>方</w:t>
      </w:r>
      <w:r>
        <w:rPr>
          <w:color w:val="000008"/>
          <w:spacing w:val="10"/>
          <w:position w:val="-1"/>
          <w:sz w:val="47"/>
          <w:szCs w:val="47"/>
        </w:rPr>
        <w:t xml:space="preserve">       </w:t>
      </w:r>
      <w:r>
        <w:rPr>
          <w:color w:val="000008"/>
          <w:spacing w:val="-1"/>
          <w:position w:val="-1"/>
          <w:sz w:val="47"/>
          <w:szCs w:val="47"/>
        </w:rPr>
        <w:t>标</w:t>
      </w:r>
      <w:r>
        <w:rPr>
          <w:color w:val="000008"/>
          <w:spacing w:val="12"/>
          <w:position w:val="-1"/>
          <w:sz w:val="47"/>
          <w:szCs w:val="47"/>
        </w:rPr>
        <w:t xml:space="preserve">       </w:t>
      </w:r>
      <w:r>
        <w:rPr>
          <w:color w:val="000008"/>
          <w:spacing w:val="-1"/>
          <w:position w:val="-1"/>
          <w:sz w:val="47"/>
          <w:szCs w:val="47"/>
        </w:rPr>
        <w:t>准</w:t>
      </w:r>
    </w:p>
    <w:p w14:paraId="168700B4">
      <w:pPr>
        <w:spacing w:line="504" w:lineRule="exact"/>
        <w:rPr>
          <w:sz w:val="47"/>
          <w:szCs w:val="47"/>
        </w:rPr>
        <w:sectPr>
          <w:pgSz w:w="11906" w:h="16839"/>
          <w:pgMar w:top="566" w:right="820" w:bottom="0" w:left="1327" w:header="0" w:footer="0" w:gutter="0"/>
          <w:cols w:equalWidth="0" w:num="2">
            <w:col w:w="6002" w:space="100"/>
            <w:col w:w="3657"/>
          </w:cols>
        </w:sectPr>
      </w:pPr>
    </w:p>
    <w:p w14:paraId="4D115EFD">
      <w:pPr>
        <w:pStyle w:val="2"/>
        <w:spacing w:before="265" w:line="194" w:lineRule="auto"/>
        <w:ind w:left="6548"/>
      </w:pPr>
      <w:r>
        <w:rPr>
          <w:color w:val="000008"/>
          <w:spacing w:val="-5"/>
        </w:rPr>
        <w:t xml:space="preserve">DB </w:t>
      </w:r>
      <w:r>
        <w:rPr>
          <w:color w:val="000008"/>
          <w:spacing w:val="-5"/>
          <w:shd w:val="clear" w:fill="C0C0C0"/>
        </w:rPr>
        <w:t>34/T</w:t>
      </w:r>
      <w:r>
        <w:rPr>
          <w:color w:val="000008"/>
          <w:spacing w:val="70"/>
        </w:rPr>
        <w:t xml:space="preserve"> </w:t>
      </w:r>
      <w:r>
        <w:rPr>
          <w:color w:val="000008"/>
          <w:spacing w:val="-5"/>
          <w:shd w:val="clear" w:fill="C0C0C0"/>
        </w:rPr>
        <w:t>XXXX</w:t>
      </w:r>
      <w:r>
        <w:rPr>
          <w:color w:val="000008"/>
          <w:spacing w:val="-5"/>
        </w:rPr>
        <w:t>—</w:t>
      </w:r>
      <w:r>
        <w:rPr>
          <w:color w:val="000008"/>
          <w:spacing w:val="-5"/>
          <w:shd w:val="clear" w:fill="C0C0C0"/>
        </w:rPr>
        <w:t>XXXX</w:t>
      </w:r>
    </w:p>
    <w:p w14:paraId="7556AFF3">
      <w:pPr>
        <w:spacing w:line="262" w:lineRule="auto"/>
        <w:rPr>
          <w:rFonts w:ascii="Arial"/>
          <w:sz w:val="21"/>
        </w:rPr>
      </w:pPr>
    </w:p>
    <w:p w14:paraId="7CEF5509">
      <w:pPr>
        <w:spacing w:line="262" w:lineRule="auto"/>
        <w:rPr>
          <w:rFonts w:ascii="Arial"/>
          <w:sz w:val="21"/>
        </w:rPr>
      </w:pPr>
    </w:p>
    <w:p w14:paraId="4A922E36">
      <w:pPr>
        <w:spacing w:line="262" w:lineRule="auto"/>
        <w:rPr>
          <w:rFonts w:ascii="Arial"/>
          <w:sz w:val="21"/>
        </w:rPr>
      </w:pPr>
    </w:p>
    <w:p w14:paraId="770E5050">
      <w:pPr>
        <w:spacing w:line="262" w:lineRule="auto"/>
        <w:rPr>
          <w:rFonts w:ascii="Arial"/>
          <w:sz w:val="21"/>
        </w:rPr>
      </w:pPr>
    </w:p>
    <w:p w14:paraId="675BC467">
      <w:pPr>
        <w:spacing w:line="262" w:lineRule="auto"/>
        <w:rPr>
          <w:rFonts w:ascii="Arial"/>
          <w:sz w:val="21"/>
        </w:rPr>
      </w:pPr>
    </w:p>
    <w:p w14:paraId="2165BCD5">
      <w:pPr>
        <w:spacing w:line="263" w:lineRule="auto"/>
        <w:rPr>
          <w:rFonts w:ascii="Arial"/>
          <w:sz w:val="21"/>
        </w:rPr>
      </w:pPr>
    </w:p>
    <w:p w14:paraId="09667138">
      <w:pPr>
        <w:spacing w:line="263" w:lineRule="auto"/>
        <w:rPr>
          <w:rFonts w:ascii="Arial"/>
          <w:sz w:val="21"/>
        </w:rPr>
      </w:pPr>
    </w:p>
    <w:p w14:paraId="2545B4E0">
      <w:pPr>
        <w:spacing w:line="263" w:lineRule="auto"/>
        <w:rPr>
          <w:rFonts w:ascii="Arial"/>
          <w:sz w:val="21"/>
        </w:rPr>
      </w:pPr>
    </w:p>
    <w:p w14:paraId="7E7FAF9F">
      <w:pPr>
        <w:spacing w:line="263" w:lineRule="auto"/>
        <w:rPr>
          <w:rFonts w:ascii="Arial"/>
          <w:sz w:val="21"/>
        </w:rPr>
      </w:pPr>
    </w:p>
    <w:p w14:paraId="4F3CED1F">
      <w:pPr>
        <w:spacing w:line="263" w:lineRule="auto"/>
        <w:rPr>
          <w:rFonts w:ascii="Arial"/>
          <w:sz w:val="21"/>
        </w:rPr>
      </w:pPr>
    </w:p>
    <w:p w14:paraId="05C92961">
      <w:pPr>
        <w:pStyle w:val="2"/>
        <w:spacing w:before="224" w:line="192" w:lineRule="auto"/>
        <w:ind w:left="2113"/>
        <w:outlineLvl w:val="0"/>
        <w:rPr>
          <w:sz w:val="52"/>
          <w:szCs w:val="52"/>
        </w:rPr>
      </w:pPr>
      <w:r>
        <w:rPr>
          <w:color w:val="000008"/>
          <w:spacing w:val="-6"/>
          <w:sz w:val="52"/>
          <w:szCs w:val="52"/>
          <w:shd w:val="clear" w:fill="C0C0C0"/>
        </w:rPr>
        <w:t>中医治未病门诊服务规范</w:t>
      </w:r>
    </w:p>
    <w:p w14:paraId="2085F439">
      <w:pPr>
        <w:spacing w:before="246" w:line="368" w:lineRule="exact"/>
        <w:jc w:val="center"/>
        <w:rPr>
          <w:sz w:val="28"/>
          <w:szCs w:val="28"/>
        </w:rPr>
      </w:pPr>
      <w:r>
        <w:rPr>
          <w:rFonts w:ascii="Times New Roman" w:hAnsi="Times New Roman" w:eastAsia="Times New Roman" w:cs="Times New Roman"/>
          <w:color w:val="000008"/>
          <w:position w:val="1"/>
          <w:sz w:val="28"/>
          <w:szCs w:val="28"/>
          <w:shd w:val="clear" w:fill="C0C0C0"/>
        </w:rPr>
        <w:t>Specification</w:t>
      </w:r>
      <w:r>
        <w:rPr>
          <w:rFonts w:ascii="Times New Roman" w:hAnsi="Times New Roman" w:eastAsia="Times New Roman" w:cs="Times New Roman"/>
          <w:color w:val="000008"/>
          <w:position w:val="1"/>
          <w:sz w:val="28"/>
          <w:szCs w:val="28"/>
          <w:shd w:val="clear" w:fill="C0C0C0"/>
        </w:rPr>
        <w:drawing>
          <wp:inline distT="0" distB="0" distL="0" distR="0">
            <wp:extent cx="44450" cy="20320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3"/>
                    <a:stretch>
                      <a:fillRect/>
                    </a:stretch>
                  </pic:blipFill>
                  <pic:spPr>
                    <a:xfrm>
                      <a:off x="0" y="0"/>
                      <a:ext cx="44525" cy="203834"/>
                    </a:xfrm>
                    <a:prstGeom prst="rect">
                      <a:avLst/>
                    </a:prstGeom>
                  </pic:spPr>
                </pic:pic>
              </a:graphicData>
            </a:graphic>
          </wp:inline>
        </w:drawing>
      </w:r>
      <w:r>
        <w:rPr>
          <w:rFonts w:ascii="Times New Roman" w:hAnsi="Times New Roman" w:eastAsia="Times New Roman" w:cs="Times New Roman"/>
          <w:color w:val="000008"/>
          <w:position w:val="1"/>
          <w:sz w:val="28"/>
          <w:szCs w:val="28"/>
          <w:shd w:val="clear" w:fill="C0C0C0"/>
        </w:rPr>
        <w:t xml:space="preserve">for </w:t>
      </w:r>
      <w:r>
        <w:rPr>
          <w:rFonts w:hint="eastAsia" w:ascii="Times New Roman" w:hAnsi="Times New Roman" w:eastAsia="Times New Roman" w:cs="Times New Roman"/>
          <w:color w:val="000008"/>
          <w:position w:val="1"/>
          <w:sz w:val="28"/>
          <w:szCs w:val="28"/>
          <w:shd w:val="clear" w:fill="C0C0C0"/>
        </w:rPr>
        <w:t>Outpatient Services of</w:t>
      </w:r>
      <w:r>
        <w:rPr>
          <w:rFonts w:hint="eastAsia" w:ascii="Times New Roman" w:hAnsi="Times New Roman" w:eastAsia="Times New Roman" w:cs="Times New Roman"/>
          <w:color w:val="000008"/>
          <w:position w:val="1"/>
          <w:sz w:val="28"/>
          <w:szCs w:val="28"/>
          <w:shd w:val="clear" w:fill="C0C0C0"/>
          <w:lang w:val="en-US" w:eastAsia="zh-CN"/>
        </w:rPr>
        <w:t xml:space="preserve"> H</w:t>
      </w:r>
      <w:r>
        <w:rPr>
          <w:rFonts w:hint="eastAsia" w:ascii="Times New Roman" w:hAnsi="Times New Roman" w:eastAsia="Times New Roman" w:cs="Times New Roman"/>
          <w:color w:val="000008"/>
          <w:position w:val="1"/>
          <w:sz w:val="28"/>
          <w:szCs w:val="28"/>
          <w:shd w:val="clear" w:fill="C0C0C0"/>
        </w:rPr>
        <w:t>ealth management of Chinese medicine</w:t>
      </w:r>
      <w:r>
        <w:rPr>
          <w:rFonts w:ascii="Times New Roman" w:hAnsi="Times New Roman" w:eastAsia="Times New Roman" w:cs="Times New Roman"/>
          <w:color w:val="000008"/>
          <w:position w:val="1"/>
          <w:sz w:val="28"/>
          <w:szCs w:val="28"/>
          <w:shd w:val="clear" w:fill="C0C0C0"/>
        </w:rPr>
        <w:drawing>
          <wp:inline distT="0" distB="0" distL="0" distR="0">
            <wp:extent cx="88900" cy="20320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4"/>
                    <a:stretch>
                      <a:fillRect/>
                    </a:stretch>
                  </pic:blipFill>
                  <pic:spPr>
                    <a:xfrm>
                      <a:off x="0" y="0"/>
                      <a:ext cx="89050" cy="203834"/>
                    </a:xfrm>
                    <a:prstGeom prst="rect">
                      <a:avLst/>
                    </a:prstGeom>
                  </pic:spPr>
                </pic:pic>
              </a:graphicData>
            </a:graphic>
          </wp:inline>
        </w:drawing>
      </w:r>
    </w:p>
    <w:p w14:paraId="0969B5F7">
      <w:pPr>
        <w:spacing w:before="1"/>
      </w:pPr>
    </w:p>
    <w:p w14:paraId="2E6A1182">
      <w:pPr>
        <w:spacing w:before="1"/>
      </w:pPr>
    </w:p>
    <w:p w14:paraId="31A9B6C9">
      <w:pPr>
        <w:spacing w:before="1"/>
      </w:pPr>
    </w:p>
    <w:p w14:paraId="556835BA">
      <w:pPr>
        <w:spacing w:before="1"/>
        <w:jc w:val="center"/>
        <w:rPr>
          <w:rFonts w:hint="eastAsia" w:eastAsia="宋体"/>
          <w:sz w:val="32"/>
          <w:szCs w:val="32"/>
          <w:lang w:eastAsia="zh-CN"/>
        </w:rPr>
      </w:pPr>
      <w:r>
        <w:rPr>
          <w:rFonts w:hint="eastAsia" w:eastAsia="宋体"/>
          <w:sz w:val="32"/>
          <w:szCs w:val="32"/>
          <w:lang w:eastAsia="zh-CN"/>
        </w:rPr>
        <w:t>（</w:t>
      </w:r>
      <w:r>
        <w:rPr>
          <w:rFonts w:hint="eastAsia" w:eastAsia="宋体"/>
          <w:sz w:val="32"/>
          <w:szCs w:val="32"/>
          <w:lang w:val="en-US" w:eastAsia="zh-CN"/>
        </w:rPr>
        <w:t>征求意见稿</w:t>
      </w:r>
      <w:r>
        <w:rPr>
          <w:rFonts w:hint="eastAsia" w:eastAsia="宋体"/>
          <w:sz w:val="32"/>
          <w:szCs w:val="32"/>
          <w:lang w:eastAsia="zh-CN"/>
        </w:rPr>
        <w:t>）</w:t>
      </w:r>
    </w:p>
    <w:p w14:paraId="1C21967D">
      <w:pPr>
        <w:spacing w:before="1"/>
      </w:pPr>
    </w:p>
    <w:p w14:paraId="7CB777E5">
      <w:pPr>
        <w:spacing w:before="1"/>
      </w:pPr>
    </w:p>
    <w:p w14:paraId="59FCDC8B">
      <w:pPr>
        <w:spacing w:before="1"/>
      </w:pPr>
    </w:p>
    <w:p w14:paraId="1730F3B7">
      <w:pPr>
        <w:spacing w:before="1"/>
      </w:pPr>
    </w:p>
    <w:p w14:paraId="47F15FFD">
      <w:pPr>
        <w:spacing w:before="1"/>
      </w:pPr>
    </w:p>
    <w:p w14:paraId="7E2F56B2">
      <w:pPr>
        <w:spacing w:before="1"/>
      </w:pPr>
    </w:p>
    <w:p w14:paraId="3A124B92">
      <w:pPr>
        <w:spacing w:before="1"/>
      </w:pPr>
    </w:p>
    <w:p w14:paraId="0644302F">
      <w:pPr>
        <w:spacing w:before="1"/>
      </w:pPr>
    </w:p>
    <w:p w14:paraId="29E06468">
      <w:pPr>
        <w:spacing w:before="1"/>
      </w:pPr>
    </w:p>
    <w:p w14:paraId="0D941312">
      <w:pPr>
        <w:spacing w:before="1"/>
      </w:pPr>
    </w:p>
    <w:p w14:paraId="194E00A1">
      <w:pPr>
        <w:spacing w:before="1"/>
      </w:pPr>
    </w:p>
    <w:p w14:paraId="57DE4D16">
      <w:pPr>
        <w:spacing w:before="1"/>
      </w:pPr>
    </w:p>
    <w:p w14:paraId="41F79D2C">
      <w:pPr>
        <w:spacing w:before="1"/>
      </w:pPr>
    </w:p>
    <w:p w14:paraId="5CDB51F3">
      <w:pPr>
        <w:spacing w:before="1"/>
      </w:pPr>
    </w:p>
    <w:p w14:paraId="3B7BD022">
      <w:pPr>
        <w:spacing w:before="1"/>
      </w:pPr>
    </w:p>
    <w:p w14:paraId="23785B4D"/>
    <w:p w14:paraId="275EFBED"/>
    <w:p w14:paraId="000056E0"/>
    <w:p w14:paraId="2EF52406"/>
    <w:p w14:paraId="3B0D6BDE"/>
    <w:p w14:paraId="04F38884">
      <w:pPr>
        <w:sectPr>
          <w:type w:val="continuous"/>
          <w:pgSz w:w="11906" w:h="16839"/>
          <w:pgMar w:top="566" w:right="820" w:bottom="0" w:left="1327" w:header="0" w:footer="0" w:gutter="0"/>
          <w:cols w:equalWidth="0" w:num="1">
            <w:col w:w="9759"/>
          </w:cols>
        </w:sectPr>
      </w:pPr>
    </w:p>
    <w:p w14:paraId="4F881F31">
      <w:pPr>
        <w:pStyle w:val="2"/>
        <w:spacing w:before="59" w:line="295" w:lineRule="exact"/>
        <w:ind w:left="93"/>
      </w:pPr>
      <w:r>
        <w:rPr>
          <w:color w:val="000008"/>
          <w:spacing w:val="-8"/>
          <w:position w:val="-1"/>
          <w:shd w:val="clear" w:fill="C0C0C0"/>
        </w:rPr>
        <w:t>XXXX</w:t>
      </w:r>
      <w:r>
        <w:rPr>
          <w:color w:val="000008"/>
          <w:spacing w:val="-8"/>
          <w:position w:val="-1"/>
        </w:rPr>
        <w:t xml:space="preserve"> - </w:t>
      </w:r>
      <w:r>
        <w:rPr>
          <w:color w:val="000008"/>
          <w:spacing w:val="-8"/>
          <w:position w:val="-1"/>
          <w:shd w:val="clear" w:fill="C0C0C0"/>
        </w:rPr>
        <w:t>XX</w:t>
      </w:r>
      <w:r>
        <w:rPr>
          <w:color w:val="000008"/>
          <w:spacing w:val="-8"/>
          <w:position w:val="-1"/>
        </w:rPr>
        <w:t xml:space="preserve"> - </w:t>
      </w:r>
      <w:r>
        <w:rPr>
          <w:color w:val="000008"/>
          <w:spacing w:val="-8"/>
          <w:position w:val="-1"/>
          <w:shd w:val="clear" w:fill="C0C0C0"/>
        </w:rPr>
        <w:t xml:space="preserve">XX </w:t>
      </w:r>
      <w:r>
        <w:rPr>
          <w:color w:val="000008"/>
          <w:spacing w:val="-8"/>
          <w:position w:val="-1"/>
        </w:rPr>
        <w:t>发布</w:t>
      </w:r>
    </w:p>
    <w:p w14:paraId="1E289A62">
      <w:pPr>
        <w:spacing w:line="14" w:lineRule="auto"/>
        <w:rPr>
          <w:rFonts w:ascii="Arial"/>
          <w:sz w:val="2"/>
        </w:rPr>
      </w:pPr>
      <w:r>
        <w:rPr>
          <w:rFonts w:ascii="Arial" w:hAnsi="Arial" w:eastAsia="Arial" w:cs="Arial"/>
          <w:sz w:val="2"/>
          <w:szCs w:val="2"/>
        </w:rPr>
        <w:br w:type="column"/>
      </w:r>
    </w:p>
    <w:p w14:paraId="6BAFD935">
      <w:pPr>
        <w:pStyle w:val="2"/>
        <w:spacing w:before="58" w:line="295" w:lineRule="exact"/>
        <w:jc w:val="right"/>
      </w:pPr>
      <w:r>
        <w:rPr>
          <w:color w:val="000008"/>
          <w:spacing w:val="-9"/>
          <w:position w:val="-1"/>
          <w:shd w:val="clear" w:fill="C0C0C0"/>
        </w:rPr>
        <w:t>XXXX</w:t>
      </w:r>
      <w:r>
        <w:rPr>
          <w:color w:val="000008"/>
          <w:spacing w:val="-8"/>
          <w:position w:val="-1"/>
        </w:rPr>
        <w:t xml:space="preserve"> - </w:t>
      </w:r>
      <w:r>
        <w:rPr>
          <w:color w:val="000008"/>
          <w:spacing w:val="-8"/>
          <w:position w:val="-1"/>
          <w:shd w:val="clear" w:fill="C0C0C0"/>
        </w:rPr>
        <w:t>XX</w:t>
      </w:r>
      <w:r>
        <w:rPr>
          <w:color w:val="000008"/>
          <w:spacing w:val="-8"/>
          <w:position w:val="-1"/>
        </w:rPr>
        <w:t xml:space="preserve"> - </w:t>
      </w:r>
      <w:r>
        <w:rPr>
          <w:color w:val="000008"/>
          <w:spacing w:val="-8"/>
          <w:position w:val="-1"/>
          <w:shd w:val="clear" w:fill="C0C0C0"/>
        </w:rPr>
        <w:t xml:space="preserve">XX </w:t>
      </w:r>
      <w:r>
        <w:rPr>
          <w:color w:val="000008"/>
          <w:spacing w:val="-8"/>
          <w:position w:val="-1"/>
        </w:rPr>
        <w:t>实</w:t>
      </w:r>
      <w:r>
        <w:rPr>
          <w:color w:val="000008"/>
          <w:spacing w:val="-4"/>
          <w:position w:val="-1"/>
        </w:rPr>
        <w:t>施</w:t>
      </w:r>
    </w:p>
    <w:p w14:paraId="783E27FB">
      <w:pPr>
        <w:spacing w:line="295" w:lineRule="exact"/>
        <w:sectPr>
          <w:type w:val="continuous"/>
          <w:pgSz w:w="11906" w:h="16839"/>
          <w:pgMar w:top="566" w:right="820" w:bottom="0" w:left="1327" w:header="0" w:footer="0" w:gutter="0"/>
          <w:cols w:equalWidth="0" w:num="2">
            <w:col w:w="7124" w:space="100"/>
            <w:col w:w="2535"/>
          </w:cols>
        </w:sectPr>
      </w:pPr>
    </w:p>
    <w:p w14:paraId="75EBE128">
      <w:pPr>
        <w:spacing w:before="37"/>
      </w:pPr>
    </w:p>
    <w:p w14:paraId="5E4148F2">
      <w:pPr>
        <w:spacing w:before="36"/>
      </w:pPr>
    </w:p>
    <w:p w14:paraId="3CB628D4">
      <w:pPr>
        <w:spacing w:before="36"/>
      </w:pPr>
    </w:p>
    <w:p w14:paraId="7F8BF5D7">
      <w:pPr>
        <w:sectPr>
          <w:type w:val="continuous"/>
          <w:pgSz w:w="11906" w:h="16839"/>
          <w:pgMar w:top="566" w:right="820" w:bottom="0" w:left="1327" w:header="0" w:footer="0" w:gutter="0"/>
          <w:cols w:equalWidth="0" w:num="1">
            <w:col w:w="9759"/>
          </w:cols>
        </w:sectPr>
      </w:pPr>
    </w:p>
    <w:p w14:paraId="21E1E046">
      <w:pPr>
        <w:pStyle w:val="2"/>
        <w:spacing w:before="59" w:line="295" w:lineRule="exact"/>
        <w:ind w:left="2735"/>
      </w:pPr>
      <w:r>
        <w:rPr>
          <w:color w:val="000008"/>
          <w:spacing w:val="-2"/>
          <w:position w:val="-1"/>
          <w:shd w:val="clear" w:fill="C0C0C0"/>
        </w:rPr>
        <w:t>安徽省市场监督管理局</w:t>
      </w:r>
    </w:p>
    <w:p w14:paraId="35B2F6C1">
      <w:pPr>
        <w:spacing w:line="14" w:lineRule="auto"/>
        <w:rPr>
          <w:rFonts w:ascii="Arial"/>
          <w:sz w:val="2"/>
        </w:rPr>
      </w:pPr>
      <w:r>
        <w:rPr>
          <w:rFonts w:ascii="Arial" w:hAnsi="Arial" w:eastAsia="Arial" w:cs="Arial"/>
          <w:sz w:val="2"/>
          <w:szCs w:val="2"/>
        </w:rPr>
        <w:br w:type="column"/>
      </w:r>
    </w:p>
    <w:p w14:paraId="1820F330">
      <w:pPr>
        <w:pStyle w:val="2"/>
        <w:spacing w:before="58" w:line="295" w:lineRule="exact"/>
      </w:pPr>
      <w:r>
        <w:rPr>
          <w:color w:val="000008"/>
          <w:spacing w:val="-3"/>
          <w:position w:val="-1"/>
        </w:rPr>
        <w:t>发</w:t>
      </w:r>
      <w:r>
        <w:rPr>
          <w:color w:val="000008"/>
          <w:spacing w:val="4"/>
          <w:position w:val="-1"/>
        </w:rPr>
        <w:t xml:space="preserve">  </w:t>
      </w:r>
      <w:r>
        <w:rPr>
          <w:color w:val="000008"/>
          <w:spacing w:val="-3"/>
          <w:position w:val="-1"/>
        </w:rPr>
        <w:t>布</w:t>
      </w:r>
    </w:p>
    <w:p w14:paraId="5E6C0D23">
      <w:pPr>
        <w:spacing w:line="295" w:lineRule="exact"/>
        <w:sectPr>
          <w:type w:val="continuous"/>
          <w:pgSz w:w="11906" w:h="16839"/>
          <w:pgMar w:top="566" w:right="820" w:bottom="0" w:left="1327" w:header="0" w:footer="0" w:gutter="0"/>
          <w:cols w:equalWidth="0" w:num="2">
            <w:col w:w="5989" w:space="100"/>
            <w:col w:w="3671"/>
          </w:cols>
        </w:sectPr>
      </w:pPr>
    </w:p>
    <w:p w14:paraId="7E5F1B3A">
      <w:pPr>
        <w:pStyle w:val="2"/>
        <w:spacing w:before="44" w:line="506" w:lineRule="exact"/>
        <w:ind w:right="75"/>
        <w:jc w:val="right"/>
        <w:rPr>
          <w:sz w:val="20"/>
          <w:szCs w:val="20"/>
        </w:rPr>
      </w:pPr>
      <w:r>
        <w:rPr>
          <w:color w:val="000008"/>
          <w:position w:val="22"/>
          <w:sz w:val="20"/>
          <w:szCs w:val="20"/>
        </w:rPr>
        <w:t>DB</w:t>
      </w:r>
      <w:r>
        <w:rPr>
          <w:color w:val="000008"/>
          <w:spacing w:val="12"/>
          <w:position w:val="22"/>
          <w:sz w:val="20"/>
          <w:szCs w:val="20"/>
        </w:rPr>
        <w:t xml:space="preserve">  </w:t>
      </w:r>
      <w:r>
        <w:rPr>
          <w:color w:val="000008"/>
          <w:position w:val="19"/>
          <w:sz w:val="20"/>
          <w:szCs w:val="20"/>
        </w:rPr>
        <w:drawing>
          <wp:inline distT="0" distB="0" distL="0" distR="0">
            <wp:extent cx="76200" cy="13652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5"/>
                    <a:stretch>
                      <a:fillRect/>
                    </a:stretch>
                  </pic:blipFill>
                  <pic:spPr>
                    <a:xfrm>
                      <a:off x="0" y="0"/>
                      <a:ext cx="76443" cy="136828"/>
                    </a:xfrm>
                    <a:prstGeom prst="rect">
                      <a:avLst/>
                    </a:prstGeom>
                  </pic:spPr>
                </pic:pic>
              </a:graphicData>
            </a:graphic>
          </wp:inline>
        </w:drawing>
      </w:r>
      <w:r>
        <w:rPr>
          <w:color w:val="000008"/>
          <w:spacing w:val="15"/>
          <w:w w:val="101"/>
          <w:position w:val="22"/>
          <w:sz w:val="20"/>
          <w:szCs w:val="20"/>
        </w:rPr>
        <w:t xml:space="preserve">  </w:t>
      </w:r>
      <w:r>
        <w:rPr>
          <w:color w:val="000008"/>
          <w:position w:val="22"/>
          <w:sz w:val="20"/>
          <w:szCs w:val="20"/>
        </w:rPr>
        <w:t>FORMTEXT</w:t>
      </w:r>
      <w:r>
        <w:rPr>
          <w:color w:val="000008"/>
          <w:spacing w:val="12"/>
          <w:position w:val="22"/>
          <w:sz w:val="20"/>
          <w:szCs w:val="20"/>
        </w:rPr>
        <w:t xml:space="preserve">   34/</w:t>
      </w:r>
      <w:r>
        <w:rPr>
          <w:color w:val="000008"/>
          <w:position w:val="22"/>
          <w:sz w:val="20"/>
          <w:szCs w:val="20"/>
        </w:rPr>
        <w:t>T</w:t>
      </w:r>
      <w:r>
        <w:rPr>
          <w:color w:val="000008"/>
          <w:spacing w:val="12"/>
          <w:position w:val="22"/>
          <w:sz w:val="20"/>
          <w:szCs w:val="20"/>
        </w:rPr>
        <w:t xml:space="preserve">   </w:t>
      </w:r>
      <w:r>
        <w:rPr>
          <w:color w:val="000008"/>
          <w:position w:val="19"/>
          <w:sz w:val="20"/>
          <w:szCs w:val="20"/>
        </w:rPr>
        <w:drawing>
          <wp:inline distT="0" distB="0" distL="0" distR="0">
            <wp:extent cx="76200" cy="13652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5"/>
                    <a:stretch>
                      <a:fillRect/>
                    </a:stretch>
                  </pic:blipFill>
                  <pic:spPr>
                    <a:xfrm>
                      <a:off x="0" y="0"/>
                      <a:ext cx="76443" cy="136828"/>
                    </a:xfrm>
                    <a:prstGeom prst="rect">
                      <a:avLst/>
                    </a:prstGeom>
                  </pic:spPr>
                </pic:pic>
              </a:graphicData>
            </a:graphic>
          </wp:inline>
        </w:drawing>
      </w:r>
      <w:r>
        <w:rPr>
          <w:color w:val="000008"/>
          <w:spacing w:val="12"/>
          <w:position w:val="22"/>
          <w:sz w:val="20"/>
          <w:szCs w:val="20"/>
        </w:rPr>
        <w:t xml:space="preserve">  </w:t>
      </w:r>
      <w:r>
        <w:rPr>
          <w:color w:val="000008"/>
          <w:position w:val="22"/>
          <w:sz w:val="20"/>
          <w:szCs w:val="20"/>
        </w:rPr>
        <w:t>FORMTEXT</w:t>
      </w:r>
      <w:r>
        <w:rPr>
          <w:color w:val="000008"/>
          <w:spacing w:val="12"/>
          <w:position w:val="22"/>
          <w:sz w:val="20"/>
          <w:szCs w:val="20"/>
        </w:rPr>
        <w:t xml:space="preserve">   </w:t>
      </w:r>
      <w:r>
        <w:rPr>
          <w:color w:val="000008"/>
          <w:position w:val="22"/>
          <w:sz w:val="20"/>
          <w:szCs w:val="20"/>
        </w:rPr>
        <w:t>XXXX</w:t>
      </w:r>
      <w:r>
        <w:rPr>
          <w:color w:val="000008"/>
          <w:spacing w:val="12"/>
          <w:position w:val="22"/>
          <w:sz w:val="20"/>
          <w:szCs w:val="20"/>
        </w:rPr>
        <w:t xml:space="preserve"> —</w:t>
      </w:r>
      <w:r>
        <w:rPr>
          <w:color w:val="000008"/>
          <w:spacing w:val="-39"/>
          <w:position w:val="22"/>
          <w:sz w:val="20"/>
          <w:szCs w:val="20"/>
        </w:rPr>
        <w:t xml:space="preserve"> </w:t>
      </w:r>
      <w:r>
        <w:rPr>
          <w:color w:val="000008"/>
          <w:position w:val="19"/>
          <w:sz w:val="20"/>
          <w:szCs w:val="20"/>
        </w:rPr>
        <w:drawing>
          <wp:inline distT="0" distB="0" distL="0" distR="0">
            <wp:extent cx="76200" cy="13652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6"/>
                    <a:stretch>
                      <a:fillRect/>
                    </a:stretch>
                  </pic:blipFill>
                  <pic:spPr>
                    <a:xfrm>
                      <a:off x="0" y="0"/>
                      <a:ext cx="76443" cy="136828"/>
                    </a:xfrm>
                    <a:prstGeom prst="rect">
                      <a:avLst/>
                    </a:prstGeom>
                  </pic:spPr>
                </pic:pic>
              </a:graphicData>
            </a:graphic>
          </wp:inline>
        </w:drawing>
      </w:r>
      <w:r>
        <w:rPr>
          <w:color w:val="000008"/>
          <w:spacing w:val="11"/>
          <w:position w:val="22"/>
          <w:sz w:val="20"/>
          <w:szCs w:val="20"/>
        </w:rPr>
        <w:t xml:space="preserve">  </w:t>
      </w:r>
      <w:r>
        <w:rPr>
          <w:color w:val="000008"/>
          <w:position w:val="22"/>
          <w:sz w:val="20"/>
          <w:szCs w:val="20"/>
        </w:rPr>
        <w:t>FORMTEXT</w:t>
      </w:r>
      <w:r>
        <w:rPr>
          <w:color w:val="000008"/>
          <w:spacing w:val="12"/>
          <w:position w:val="22"/>
          <w:sz w:val="20"/>
          <w:szCs w:val="20"/>
        </w:rPr>
        <w:t xml:space="preserve">   </w:t>
      </w:r>
      <w:r>
        <w:rPr>
          <w:color w:val="000008"/>
          <w:position w:val="22"/>
          <w:sz w:val="20"/>
          <w:szCs w:val="20"/>
        </w:rPr>
        <w:t>XXXX</w:t>
      </w:r>
    </w:p>
    <w:p w14:paraId="4CC9C791">
      <w:pPr>
        <w:pStyle w:val="2"/>
        <w:spacing w:before="2" w:line="196" w:lineRule="auto"/>
        <w:ind w:left="4253"/>
        <w:rPr>
          <w:sz w:val="31"/>
          <w:szCs w:val="31"/>
        </w:rPr>
      </w:pPr>
      <w:r>
        <w:rPr>
          <w:color w:val="000008"/>
          <w:spacing w:val="-1"/>
          <w:sz w:val="31"/>
          <w:szCs w:val="31"/>
        </w:rPr>
        <w:t>前</w:t>
      </w:r>
      <w:r>
        <w:rPr>
          <w:color w:val="000008"/>
          <w:spacing w:val="2"/>
          <w:sz w:val="31"/>
          <w:szCs w:val="31"/>
        </w:rPr>
        <w:t xml:space="preserve">       </w:t>
      </w:r>
      <w:r>
        <w:rPr>
          <w:color w:val="000008"/>
          <w:spacing w:val="-1"/>
          <w:sz w:val="31"/>
          <w:szCs w:val="31"/>
        </w:rPr>
        <w:t>言</w:t>
      </w:r>
    </w:p>
    <w:p w14:paraId="270CAF66">
      <w:pPr>
        <w:spacing w:line="344" w:lineRule="auto"/>
        <w:rPr>
          <w:rFonts w:ascii="Arial"/>
          <w:sz w:val="21"/>
        </w:rPr>
      </w:pPr>
    </w:p>
    <w:p w14:paraId="1F004F45">
      <w:pPr>
        <w:spacing w:before="66" w:line="227" w:lineRule="auto"/>
        <w:ind w:left="420"/>
        <w:rPr>
          <w:rFonts w:ascii="宋体" w:hAnsi="宋体" w:eastAsia="宋体" w:cs="宋体"/>
          <w:spacing w:val="8"/>
          <w:sz w:val="20"/>
          <w:szCs w:val="20"/>
        </w:rPr>
      </w:pPr>
      <w:r>
        <w:rPr>
          <w:rFonts w:ascii="宋体" w:hAnsi="宋体" w:eastAsia="宋体" w:cs="宋体"/>
          <w:spacing w:val="8"/>
          <w:sz w:val="20"/>
          <w:szCs w:val="20"/>
        </w:rPr>
        <w:t>本文件按照GB/T 1.1—2020《标准化工作导则   第1部分： 标准化文件的结构和起草规则》的规</w:t>
      </w:r>
    </w:p>
    <w:p w14:paraId="2DEA7E08">
      <w:pPr>
        <w:spacing w:before="66" w:line="227" w:lineRule="auto"/>
        <w:rPr>
          <w:rFonts w:ascii="宋体" w:hAnsi="宋体" w:eastAsia="宋体" w:cs="宋体"/>
          <w:spacing w:val="8"/>
          <w:sz w:val="20"/>
          <w:szCs w:val="20"/>
        </w:rPr>
      </w:pPr>
      <w:r>
        <w:rPr>
          <w:rFonts w:ascii="宋体" w:hAnsi="宋体" w:eastAsia="宋体" w:cs="宋体"/>
          <w:spacing w:val="8"/>
          <w:sz w:val="20"/>
          <w:szCs w:val="20"/>
        </w:rPr>
        <w:t>定起草。</w:t>
      </w:r>
    </w:p>
    <w:p w14:paraId="79B8F80C">
      <w:pPr>
        <w:spacing w:before="66" w:line="227" w:lineRule="auto"/>
        <w:ind w:left="420"/>
        <w:rPr>
          <w:rFonts w:ascii="宋体" w:hAnsi="宋体" w:eastAsia="宋体" w:cs="宋体"/>
          <w:spacing w:val="8"/>
          <w:sz w:val="20"/>
          <w:szCs w:val="20"/>
        </w:rPr>
      </w:pPr>
      <w:r>
        <w:rPr>
          <w:rFonts w:ascii="宋体" w:hAnsi="宋体" w:eastAsia="宋体" w:cs="宋体"/>
          <w:spacing w:val="8"/>
          <w:sz w:val="20"/>
          <w:szCs w:val="20"/>
        </w:rPr>
        <w:t>请注意本文件的</w:t>
      </w:r>
      <w:r>
        <w:rPr>
          <w:rFonts w:hint="eastAsia" w:ascii="宋体" w:hAnsi="宋体" w:eastAsia="宋体" w:cs="宋体"/>
          <w:spacing w:val="8"/>
          <w:sz w:val="20"/>
          <w:szCs w:val="20"/>
          <w:lang w:eastAsia="zh-CN"/>
        </w:rPr>
        <w:t>某些</w:t>
      </w:r>
      <w:r>
        <w:rPr>
          <w:rFonts w:ascii="宋体" w:hAnsi="宋体" w:eastAsia="宋体" w:cs="宋体"/>
          <w:spacing w:val="8"/>
          <w:sz w:val="20"/>
          <w:szCs w:val="20"/>
        </w:rPr>
        <w:t>内容可能涉及专利 。本文件的发布机构不承担识别专利的责任。</w:t>
      </w:r>
    </w:p>
    <w:p w14:paraId="0BA4C5F0">
      <w:pPr>
        <w:spacing w:before="66" w:line="227" w:lineRule="auto"/>
        <w:ind w:left="420"/>
        <w:rPr>
          <w:rFonts w:ascii="宋体" w:hAnsi="宋体" w:eastAsia="宋体" w:cs="宋体"/>
          <w:spacing w:val="8"/>
          <w:sz w:val="20"/>
          <w:szCs w:val="20"/>
        </w:rPr>
      </w:pPr>
      <w:r>
        <w:rPr>
          <w:rFonts w:ascii="宋体" w:hAnsi="宋体" w:eastAsia="宋体" w:cs="宋体"/>
          <w:spacing w:val="8"/>
          <w:sz w:val="20"/>
          <w:szCs w:val="20"/>
        </w:rPr>
        <w:t>本文件由安徽省卫生健康委员会提出并归口。</w:t>
      </w:r>
    </w:p>
    <w:p w14:paraId="3FE9E7F0">
      <w:pPr>
        <w:spacing w:before="66" w:line="227" w:lineRule="auto"/>
        <w:ind w:firstLine="432" w:firstLineChars="200"/>
        <w:rPr>
          <w:rFonts w:hint="eastAsia" w:ascii="宋体" w:hAnsi="宋体" w:eastAsia="宋体" w:cs="宋体"/>
          <w:spacing w:val="8"/>
          <w:sz w:val="20"/>
          <w:szCs w:val="20"/>
          <w:lang w:val="en-US" w:eastAsia="zh-CN"/>
        </w:rPr>
      </w:pPr>
      <w:r>
        <w:rPr>
          <w:rFonts w:ascii="宋体" w:hAnsi="宋体" w:eastAsia="宋体" w:cs="宋体"/>
          <w:spacing w:val="8"/>
          <w:sz w:val="20"/>
          <w:szCs w:val="20"/>
        </w:rPr>
        <w:t>本文件起草单位：</w:t>
      </w:r>
    </w:p>
    <w:p w14:paraId="4806ED2E">
      <w:pPr>
        <w:spacing w:before="66" w:line="227" w:lineRule="auto"/>
        <w:ind w:left="420"/>
        <w:rPr>
          <w:rFonts w:ascii="宋体" w:hAnsi="宋体" w:eastAsia="宋体" w:cs="宋体"/>
          <w:spacing w:val="8"/>
          <w:sz w:val="20"/>
          <w:szCs w:val="20"/>
        </w:rPr>
      </w:pPr>
      <w:r>
        <w:rPr>
          <w:rFonts w:ascii="宋体" w:hAnsi="宋体" w:eastAsia="宋体" w:cs="宋体"/>
          <w:spacing w:val="8"/>
          <w:sz w:val="20"/>
          <w:szCs w:val="20"/>
        </w:rPr>
        <w:t>本文件主要起草人：</w:t>
      </w:r>
    </w:p>
    <w:p w14:paraId="170EFA7F">
      <w:pPr>
        <w:spacing w:line="186" w:lineRule="auto"/>
        <w:rPr>
          <w:sz w:val="20"/>
          <w:szCs w:val="20"/>
        </w:rPr>
        <w:sectPr>
          <w:footerReference r:id="rId5" w:type="default"/>
          <w:pgSz w:w="11906" w:h="16839"/>
          <w:pgMar w:top="1428" w:right="1129" w:bottom="1310" w:left="1421" w:header="0" w:footer="1103" w:gutter="0"/>
          <w:cols w:space="720" w:num="1"/>
        </w:sectPr>
      </w:pPr>
    </w:p>
    <w:p w14:paraId="55FF0B99">
      <w:pPr>
        <w:pStyle w:val="2"/>
        <w:spacing w:before="44" w:line="549" w:lineRule="exact"/>
        <w:ind w:left="2195"/>
        <w:rPr>
          <w:sz w:val="20"/>
          <w:szCs w:val="20"/>
        </w:rPr>
      </w:pPr>
      <w:r>
        <w:rPr>
          <w:color w:val="000008"/>
          <w:position w:val="25"/>
          <w:sz w:val="20"/>
          <w:szCs w:val="20"/>
        </w:rPr>
        <w:t>DB</w:t>
      </w:r>
      <w:r>
        <w:rPr>
          <w:color w:val="000008"/>
          <w:spacing w:val="12"/>
          <w:position w:val="25"/>
          <w:sz w:val="20"/>
          <w:szCs w:val="20"/>
        </w:rPr>
        <w:t xml:space="preserve">  </w:t>
      </w:r>
      <w:r>
        <w:rPr>
          <w:color w:val="000008"/>
          <w:position w:val="22"/>
          <w:sz w:val="20"/>
          <w:szCs w:val="20"/>
        </w:rPr>
        <w:drawing>
          <wp:inline distT="0" distB="0" distL="0" distR="0">
            <wp:extent cx="76200" cy="13652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5"/>
                    <a:stretch>
                      <a:fillRect/>
                    </a:stretch>
                  </pic:blipFill>
                  <pic:spPr>
                    <a:xfrm>
                      <a:off x="0" y="0"/>
                      <a:ext cx="76443" cy="136828"/>
                    </a:xfrm>
                    <a:prstGeom prst="rect">
                      <a:avLst/>
                    </a:prstGeom>
                  </pic:spPr>
                </pic:pic>
              </a:graphicData>
            </a:graphic>
          </wp:inline>
        </w:drawing>
      </w:r>
      <w:r>
        <w:rPr>
          <w:color w:val="000008"/>
          <w:spacing w:val="15"/>
          <w:w w:val="101"/>
          <w:position w:val="25"/>
          <w:sz w:val="20"/>
          <w:szCs w:val="20"/>
        </w:rPr>
        <w:t xml:space="preserve">  </w:t>
      </w:r>
      <w:r>
        <w:rPr>
          <w:color w:val="000008"/>
          <w:position w:val="25"/>
          <w:sz w:val="20"/>
          <w:szCs w:val="20"/>
        </w:rPr>
        <w:t>FORMTEXT</w:t>
      </w:r>
      <w:r>
        <w:rPr>
          <w:color w:val="000008"/>
          <w:spacing w:val="12"/>
          <w:position w:val="25"/>
          <w:sz w:val="20"/>
          <w:szCs w:val="20"/>
        </w:rPr>
        <w:t xml:space="preserve">   34/</w:t>
      </w:r>
      <w:r>
        <w:rPr>
          <w:color w:val="000008"/>
          <w:position w:val="25"/>
          <w:sz w:val="20"/>
          <w:szCs w:val="20"/>
        </w:rPr>
        <w:t>T</w:t>
      </w:r>
      <w:r>
        <w:rPr>
          <w:color w:val="000008"/>
          <w:spacing w:val="12"/>
          <w:position w:val="25"/>
          <w:sz w:val="20"/>
          <w:szCs w:val="20"/>
        </w:rPr>
        <w:t xml:space="preserve">   </w:t>
      </w:r>
      <w:r>
        <w:rPr>
          <w:color w:val="000008"/>
          <w:position w:val="22"/>
          <w:sz w:val="20"/>
          <w:szCs w:val="20"/>
        </w:rPr>
        <w:drawing>
          <wp:inline distT="0" distB="0" distL="0" distR="0">
            <wp:extent cx="76200" cy="13652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5"/>
                    <a:stretch>
                      <a:fillRect/>
                    </a:stretch>
                  </pic:blipFill>
                  <pic:spPr>
                    <a:xfrm>
                      <a:off x="0" y="0"/>
                      <a:ext cx="76443" cy="136828"/>
                    </a:xfrm>
                    <a:prstGeom prst="rect">
                      <a:avLst/>
                    </a:prstGeom>
                  </pic:spPr>
                </pic:pic>
              </a:graphicData>
            </a:graphic>
          </wp:inline>
        </w:drawing>
      </w:r>
      <w:r>
        <w:rPr>
          <w:color w:val="000008"/>
          <w:spacing w:val="12"/>
          <w:position w:val="25"/>
          <w:sz w:val="20"/>
          <w:szCs w:val="20"/>
        </w:rPr>
        <w:t xml:space="preserve">  </w:t>
      </w:r>
      <w:r>
        <w:rPr>
          <w:color w:val="000008"/>
          <w:position w:val="25"/>
          <w:sz w:val="20"/>
          <w:szCs w:val="20"/>
        </w:rPr>
        <w:t>FORMTEXT</w:t>
      </w:r>
      <w:r>
        <w:rPr>
          <w:color w:val="000008"/>
          <w:spacing w:val="12"/>
          <w:position w:val="25"/>
          <w:sz w:val="20"/>
          <w:szCs w:val="20"/>
        </w:rPr>
        <w:t xml:space="preserve">   </w:t>
      </w:r>
      <w:r>
        <w:rPr>
          <w:color w:val="000008"/>
          <w:position w:val="25"/>
          <w:sz w:val="20"/>
          <w:szCs w:val="20"/>
        </w:rPr>
        <w:t>XXXX</w:t>
      </w:r>
      <w:r>
        <w:rPr>
          <w:color w:val="000008"/>
          <w:spacing w:val="12"/>
          <w:position w:val="25"/>
          <w:sz w:val="20"/>
          <w:szCs w:val="20"/>
        </w:rPr>
        <w:t xml:space="preserve"> —</w:t>
      </w:r>
      <w:r>
        <w:rPr>
          <w:color w:val="000008"/>
          <w:spacing w:val="-39"/>
          <w:position w:val="25"/>
          <w:sz w:val="20"/>
          <w:szCs w:val="20"/>
        </w:rPr>
        <w:t xml:space="preserve"> </w:t>
      </w:r>
      <w:r>
        <w:rPr>
          <w:color w:val="000008"/>
          <w:position w:val="22"/>
          <w:sz w:val="20"/>
          <w:szCs w:val="20"/>
        </w:rPr>
        <w:drawing>
          <wp:inline distT="0" distB="0" distL="0" distR="0">
            <wp:extent cx="76200" cy="13652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6"/>
                    <a:stretch>
                      <a:fillRect/>
                    </a:stretch>
                  </pic:blipFill>
                  <pic:spPr>
                    <a:xfrm>
                      <a:off x="0" y="0"/>
                      <a:ext cx="76443" cy="136828"/>
                    </a:xfrm>
                    <a:prstGeom prst="rect">
                      <a:avLst/>
                    </a:prstGeom>
                  </pic:spPr>
                </pic:pic>
              </a:graphicData>
            </a:graphic>
          </wp:inline>
        </w:drawing>
      </w:r>
      <w:r>
        <w:rPr>
          <w:color w:val="000008"/>
          <w:spacing w:val="11"/>
          <w:position w:val="25"/>
          <w:sz w:val="20"/>
          <w:szCs w:val="20"/>
        </w:rPr>
        <w:t xml:space="preserve">  </w:t>
      </w:r>
      <w:r>
        <w:rPr>
          <w:color w:val="000008"/>
          <w:position w:val="25"/>
          <w:sz w:val="20"/>
          <w:szCs w:val="20"/>
        </w:rPr>
        <w:t>FORMTEXT</w:t>
      </w:r>
      <w:r>
        <w:rPr>
          <w:color w:val="000008"/>
          <w:spacing w:val="12"/>
          <w:position w:val="25"/>
          <w:sz w:val="20"/>
          <w:szCs w:val="20"/>
        </w:rPr>
        <w:t xml:space="preserve">   </w:t>
      </w:r>
      <w:r>
        <w:rPr>
          <w:color w:val="000008"/>
          <w:position w:val="25"/>
          <w:sz w:val="20"/>
          <w:szCs w:val="20"/>
        </w:rPr>
        <w:t>XXXX</w:t>
      </w:r>
    </w:p>
    <w:p w14:paraId="06200488">
      <w:pPr>
        <w:pStyle w:val="2"/>
        <w:spacing w:before="306" w:line="226" w:lineRule="auto"/>
        <w:ind w:left="2792"/>
        <w:rPr>
          <w:rFonts w:hint="eastAsia" w:ascii="黑体" w:hAnsi="黑体" w:eastAsia="黑体" w:cs="黑体"/>
          <w:spacing w:val="6"/>
          <w:sz w:val="31"/>
          <w:szCs w:val="31"/>
        </w:rPr>
      </w:pPr>
      <w:r>
        <w:rPr>
          <w:rFonts w:hint="eastAsia" w:ascii="黑体" w:hAnsi="黑体" w:eastAsia="黑体" w:cs="黑体"/>
          <w:spacing w:val="6"/>
          <w:sz w:val="31"/>
          <w:szCs w:val="31"/>
        </w:rPr>
        <w:t>中医治未病门诊服务规范</w:t>
      </w:r>
    </w:p>
    <w:p w14:paraId="4B2866B0">
      <w:pPr>
        <w:spacing w:line="279" w:lineRule="auto"/>
        <w:rPr>
          <w:rFonts w:hint="eastAsia" w:ascii="宋体" w:hAnsi="宋体" w:eastAsia="宋体" w:cs="宋体"/>
          <w:sz w:val="21"/>
        </w:rPr>
      </w:pPr>
    </w:p>
    <w:p w14:paraId="73189D9D">
      <w:pPr>
        <w:spacing w:line="280" w:lineRule="auto"/>
        <w:rPr>
          <w:rFonts w:hint="eastAsia" w:ascii="宋体" w:hAnsi="宋体" w:eastAsia="宋体" w:cs="宋体"/>
          <w:sz w:val="21"/>
        </w:rPr>
      </w:pPr>
    </w:p>
    <w:p w14:paraId="436D2BC6">
      <w:pPr>
        <w:pStyle w:val="2"/>
        <w:spacing w:before="86" w:line="199" w:lineRule="auto"/>
        <w:ind w:left="24"/>
        <w:rPr>
          <w:rFonts w:hint="eastAsia" w:ascii="宋体" w:hAnsi="宋体" w:eastAsia="宋体" w:cs="宋体"/>
          <w:b/>
          <w:bCs/>
          <w:sz w:val="20"/>
          <w:szCs w:val="20"/>
        </w:rPr>
      </w:pPr>
      <w:r>
        <w:rPr>
          <w:rFonts w:hint="eastAsia" w:ascii="宋体" w:hAnsi="宋体" w:eastAsia="宋体" w:cs="宋体"/>
          <w:b/>
          <w:bCs/>
          <w:color w:val="000008"/>
          <w:spacing w:val="-5"/>
          <w:sz w:val="20"/>
          <w:szCs w:val="20"/>
        </w:rPr>
        <w:t>1</w:t>
      </w:r>
      <w:r>
        <w:rPr>
          <w:rFonts w:hint="eastAsia" w:ascii="宋体" w:hAnsi="宋体" w:eastAsia="宋体" w:cs="宋体"/>
          <w:b/>
          <w:bCs/>
          <w:color w:val="000008"/>
          <w:spacing w:val="13"/>
          <w:sz w:val="20"/>
          <w:szCs w:val="20"/>
        </w:rPr>
        <w:t xml:space="preserve">   </w:t>
      </w:r>
      <w:r>
        <w:rPr>
          <w:rFonts w:hint="eastAsia" w:ascii="宋体" w:hAnsi="宋体" w:eastAsia="宋体" w:cs="宋体"/>
          <w:b/>
          <w:bCs/>
          <w:color w:val="000008"/>
          <w:spacing w:val="-5"/>
          <w:sz w:val="20"/>
          <w:szCs w:val="20"/>
        </w:rPr>
        <w:t>范围</w:t>
      </w:r>
    </w:p>
    <w:p w14:paraId="3CEB73A0">
      <w:pPr>
        <w:spacing w:line="333" w:lineRule="auto"/>
        <w:rPr>
          <w:rFonts w:hint="eastAsia" w:ascii="宋体" w:hAnsi="宋体" w:eastAsia="宋体" w:cs="宋体"/>
          <w:sz w:val="21"/>
        </w:rPr>
      </w:pPr>
    </w:p>
    <w:p w14:paraId="6FDA05F9">
      <w:pPr>
        <w:pStyle w:val="2"/>
        <w:spacing w:before="86" w:line="468" w:lineRule="exact"/>
        <w:ind w:left="423"/>
        <w:rPr>
          <w:rFonts w:hint="eastAsia" w:ascii="宋体" w:hAnsi="宋体" w:eastAsia="宋体" w:cs="宋体"/>
          <w:sz w:val="20"/>
          <w:szCs w:val="20"/>
        </w:rPr>
      </w:pPr>
      <w:r>
        <w:rPr>
          <w:rFonts w:hint="eastAsia" w:ascii="宋体" w:hAnsi="宋体" w:eastAsia="宋体" w:cs="宋体"/>
          <w:color w:val="000008"/>
          <w:spacing w:val="7"/>
          <w:position w:val="20"/>
          <w:sz w:val="20"/>
          <w:szCs w:val="20"/>
        </w:rPr>
        <w:t>本文件规定了治未病门诊的基本要求</w:t>
      </w:r>
      <w:r>
        <w:rPr>
          <w:rFonts w:hint="eastAsia" w:ascii="宋体" w:hAnsi="宋体" w:eastAsia="宋体" w:cs="宋体"/>
          <w:color w:val="000008"/>
          <w:spacing w:val="-28"/>
          <w:position w:val="20"/>
          <w:sz w:val="20"/>
          <w:szCs w:val="20"/>
        </w:rPr>
        <w:t xml:space="preserve"> </w:t>
      </w:r>
      <w:r>
        <w:rPr>
          <w:rFonts w:hint="eastAsia" w:ascii="宋体" w:hAnsi="宋体" w:eastAsia="宋体" w:cs="宋体"/>
          <w:color w:val="000008"/>
          <w:spacing w:val="7"/>
          <w:position w:val="20"/>
          <w:sz w:val="20"/>
          <w:szCs w:val="20"/>
        </w:rPr>
        <w:t>、服务对象</w:t>
      </w:r>
      <w:r>
        <w:rPr>
          <w:rFonts w:hint="eastAsia" w:ascii="宋体" w:hAnsi="宋体" w:eastAsia="宋体" w:cs="宋体"/>
          <w:color w:val="000008"/>
          <w:spacing w:val="-25"/>
          <w:position w:val="20"/>
          <w:sz w:val="20"/>
          <w:szCs w:val="20"/>
        </w:rPr>
        <w:t xml:space="preserve"> </w:t>
      </w:r>
      <w:r>
        <w:rPr>
          <w:rFonts w:hint="eastAsia" w:ascii="宋体" w:hAnsi="宋体" w:eastAsia="宋体" w:cs="宋体"/>
          <w:color w:val="000008"/>
          <w:spacing w:val="7"/>
          <w:position w:val="20"/>
          <w:sz w:val="20"/>
          <w:szCs w:val="20"/>
        </w:rPr>
        <w:t>、服务要求及流程</w:t>
      </w:r>
      <w:r>
        <w:rPr>
          <w:rFonts w:hint="eastAsia" w:ascii="宋体" w:hAnsi="宋体" w:eastAsia="宋体" w:cs="宋体"/>
          <w:color w:val="000008"/>
          <w:spacing w:val="-28"/>
          <w:position w:val="20"/>
          <w:sz w:val="20"/>
          <w:szCs w:val="20"/>
        </w:rPr>
        <w:t xml:space="preserve"> </w:t>
      </w:r>
      <w:r>
        <w:rPr>
          <w:rFonts w:hint="eastAsia" w:ascii="宋体" w:hAnsi="宋体" w:eastAsia="宋体" w:cs="宋体"/>
          <w:color w:val="000008"/>
          <w:spacing w:val="7"/>
          <w:position w:val="20"/>
          <w:sz w:val="20"/>
          <w:szCs w:val="20"/>
        </w:rPr>
        <w:t>、服务评价与改</w:t>
      </w:r>
      <w:r>
        <w:rPr>
          <w:rFonts w:hint="eastAsia" w:ascii="宋体" w:hAnsi="宋体" w:eastAsia="宋体" w:cs="宋体"/>
          <w:color w:val="000008"/>
          <w:spacing w:val="6"/>
          <w:position w:val="20"/>
          <w:sz w:val="20"/>
          <w:szCs w:val="20"/>
        </w:rPr>
        <w:t>进。</w:t>
      </w:r>
    </w:p>
    <w:p w14:paraId="56A9AC63">
      <w:pPr>
        <w:pStyle w:val="2"/>
        <w:spacing w:before="1" w:line="187" w:lineRule="auto"/>
        <w:ind w:left="423"/>
        <w:rPr>
          <w:rFonts w:hint="eastAsia" w:ascii="宋体" w:hAnsi="宋体" w:eastAsia="宋体" w:cs="宋体"/>
          <w:sz w:val="20"/>
          <w:szCs w:val="20"/>
          <w:highlight w:val="none"/>
        </w:rPr>
      </w:pPr>
      <w:r>
        <w:rPr>
          <w:rFonts w:hint="eastAsia" w:ascii="宋体" w:hAnsi="宋体" w:eastAsia="宋体" w:cs="宋体"/>
          <w:color w:val="000008"/>
          <w:spacing w:val="9"/>
          <w:sz w:val="20"/>
          <w:szCs w:val="20"/>
          <w:highlight w:val="none"/>
        </w:rPr>
        <w:t>本文件适用于</w:t>
      </w:r>
      <w:r>
        <w:rPr>
          <w:rFonts w:hint="eastAsia" w:ascii="宋体" w:hAnsi="宋体" w:eastAsia="宋体" w:cs="宋体"/>
          <w:color w:val="000008"/>
          <w:spacing w:val="9"/>
          <w:sz w:val="20"/>
          <w:szCs w:val="20"/>
          <w:highlight w:val="none"/>
          <w:lang w:val="en-US" w:eastAsia="zh-CN"/>
        </w:rPr>
        <w:t>各级中医</w:t>
      </w:r>
      <w:r>
        <w:rPr>
          <w:rFonts w:hint="eastAsia" w:ascii="宋体" w:hAnsi="宋体" w:eastAsia="宋体" w:cs="宋体"/>
          <w:color w:val="000008"/>
          <w:spacing w:val="9"/>
          <w:sz w:val="20"/>
          <w:szCs w:val="20"/>
          <w:highlight w:val="none"/>
        </w:rPr>
        <w:t>医院开设治未病门诊的服务与管理。</w:t>
      </w:r>
    </w:p>
    <w:p w14:paraId="5453FB8A">
      <w:pPr>
        <w:spacing w:line="340" w:lineRule="auto"/>
        <w:rPr>
          <w:rFonts w:hint="eastAsia" w:ascii="宋体" w:hAnsi="宋体" w:eastAsia="宋体" w:cs="宋体"/>
          <w:sz w:val="21"/>
        </w:rPr>
      </w:pPr>
    </w:p>
    <w:p w14:paraId="3C41613F">
      <w:pPr>
        <w:pStyle w:val="2"/>
        <w:spacing w:before="87" w:line="198" w:lineRule="auto"/>
        <w:ind w:left="7"/>
        <w:rPr>
          <w:rFonts w:hint="eastAsia" w:ascii="宋体" w:hAnsi="宋体" w:eastAsia="宋体" w:cs="宋体"/>
          <w:b/>
          <w:bCs/>
          <w:sz w:val="20"/>
          <w:szCs w:val="20"/>
        </w:rPr>
      </w:pPr>
      <w:r>
        <w:rPr>
          <w:rFonts w:hint="eastAsia" w:ascii="宋体" w:hAnsi="宋体" w:eastAsia="宋体" w:cs="宋体"/>
          <w:b/>
          <w:bCs/>
          <w:color w:val="000008"/>
          <w:spacing w:val="7"/>
          <w:sz w:val="20"/>
          <w:szCs w:val="20"/>
        </w:rPr>
        <w:t>2</w:t>
      </w:r>
      <w:r>
        <w:rPr>
          <w:rFonts w:hint="eastAsia" w:ascii="宋体" w:hAnsi="宋体" w:eastAsia="宋体" w:cs="宋体"/>
          <w:b/>
          <w:bCs/>
          <w:color w:val="000008"/>
          <w:spacing w:val="12"/>
          <w:sz w:val="20"/>
          <w:szCs w:val="20"/>
        </w:rPr>
        <w:t xml:space="preserve">   </w:t>
      </w:r>
      <w:r>
        <w:rPr>
          <w:rFonts w:hint="eastAsia" w:ascii="宋体" w:hAnsi="宋体" w:eastAsia="宋体" w:cs="宋体"/>
          <w:b/>
          <w:bCs/>
          <w:color w:val="000008"/>
          <w:spacing w:val="7"/>
          <w:sz w:val="20"/>
          <w:szCs w:val="20"/>
        </w:rPr>
        <w:t>规范性引用文件</w:t>
      </w:r>
    </w:p>
    <w:p w14:paraId="253BD653">
      <w:pPr>
        <w:pStyle w:val="2"/>
        <w:spacing w:before="87" w:line="353" w:lineRule="auto"/>
        <w:ind w:left="5" w:firstLine="418"/>
        <w:jc w:val="both"/>
        <w:rPr>
          <w:rFonts w:hint="eastAsia" w:ascii="宋体" w:hAnsi="宋体" w:eastAsia="宋体" w:cs="宋体"/>
          <w:color w:val="000008"/>
          <w:spacing w:val="4"/>
          <w:sz w:val="20"/>
          <w:szCs w:val="20"/>
        </w:rPr>
      </w:pPr>
    </w:p>
    <w:p w14:paraId="060B7E7A">
      <w:pPr>
        <w:pStyle w:val="2"/>
        <w:spacing w:before="87" w:line="353" w:lineRule="auto"/>
        <w:ind w:left="5" w:firstLine="418"/>
        <w:jc w:val="both"/>
        <w:rPr>
          <w:rFonts w:hint="eastAsia" w:ascii="宋体" w:hAnsi="宋体" w:eastAsia="宋体" w:cs="宋体"/>
          <w:sz w:val="20"/>
          <w:szCs w:val="20"/>
        </w:rPr>
      </w:pPr>
      <w:r>
        <w:rPr>
          <w:rFonts w:hint="eastAsia" w:ascii="宋体" w:hAnsi="宋体" w:eastAsia="宋体" w:cs="宋体"/>
          <w:color w:val="000008"/>
          <w:spacing w:val="4"/>
          <w:sz w:val="20"/>
          <w:szCs w:val="20"/>
        </w:rPr>
        <w:t>下列文件中的内容通过文中的规范性引用而构成本文件必不可少的条款。</w:t>
      </w:r>
      <w:r>
        <w:rPr>
          <w:rFonts w:hint="eastAsia" w:ascii="宋体" w:hAnsi="宋体" w:eastAsia="宋体" w:cs="宋体"/>
          <w:color w:val="000008"/>
          <w:spacing w:val="3"/>
          <w:sz w:val="20"/>
          <w:szCs w:val="20"/>
        </w:rPr>
        <w:t>其中，注日期的引用文件，</w:t>
      </w:r>
      <w:r>
        <w:rPr>
          <w:rFonts w:hint="eastAsia" w:ascii="宋体" w:hAnsi="宋体" w:eastAsia="宋体" w:cs="宋体"/>
          <w:color w:val="000008"/>
          <w:sz w:val="20"/>
          <w:szCs w:val="20"/>
        </w:rPr>
        <w:t xml:space="preserve"> </w:t>
      </w:r>
      <w:r>
        <w:rPr>
          <w:rFonts w:hint="eastAsia" w:ascii="宋体" w:hAnsi="宋体" w:eastAsia="宋体" w:cs="宋体"/>
          <w:color w:val="000008"/>
          <w:spacing w:val="8"/>
          <w:sz w:val="20"/>
          <w:szCs w:val="20"/>
        </w:rPr>
        <w:t>仅该日期对应的版本适用于本文件;不注日期的引</w:t>
      </w:r>
      <w:r>
        <w:rPr>
          <w:rFonts w:hint="eastAsia" w:ascii="宋体" w:hAnsi="宋体" w:eastAsia="宋体" w:cs="宋体"/>
          <w:color w:val="000008"/>
          <w:spacing w:val="7"/>
          <w:sz w:val="20"/>
          <w:szCs w:val="20"/>
        </w:rPr>
        <w:t>用文件，</w:t>
      </w:r>
      <w:r>
        <w:rPr>
          <w:rFonts w:hint="eastAsia" w:ascii="宋体" w:hAnsi="宋体" w:eastAsia="宋体" w:cs="宋体"/>
          <w:color w:val="000008"/>
          <w:spacing w:val="-25"/>
          <w:sz w:val="20"/>
          <w:szCs w:val="20"/>
        </w:rPr>
        <w:t xml:space="preserve"> </w:t>
      </w:r>
      <w:r>
        <w:rPr>
          <w:rFonts w:hint="eastAsia" w:ascii="宋体" w:hAnsi="宋体" w:eastAsia="宋体" w:cs="宋体"/>
          <w:color w:val="000008"/>
          <w:spacing w:val="7"/>
          <w:sz w:val="20"/>
          <w:szCs w:val="20"/>
        </w:rPr>
        <w:t>其最新版本(</w:t>
      </w:r>
      <w:r>
        <w:rPr>
          <w:rFonts w:hint="eastAsia" w:ascii="宋体" w:hAnsi="宋体" w:eastAsia="宋体" w:cs="宋体"/>
          <w:color w:val="000008"/>
          <w:spacing w:val="52"/>
          <w:w w:val="101"/>
          <w:sz w:val="20"/>
          <w:szCs w:val="20"/>
        </w:rPr>
        <w:t xml:space="preserve"> </w:t>
      </w:r>
      <w:r>
        <w:rPr>
          <w:rFonts w:hint="eastAsia" w:ascii="宋体" w:hAnsi="宋体" w:eastAsia="宋体" w:cs="宋体"/>
          <w:color w:val="000008"/>
          <w:spacing w:val="7"/>
          <w:sz w:val="20"/>
          <w:szCs w:val="20"/>
        </w:rPr>
        <w:t>包括所有的修改单)</w:t>
      </w:r>
      <w:r>
        <w:rPr>
          <w:rFonts w:hint="eastAsia" w:ascii="宋体" w:hAnsi="宋体" w:eastAsia="宋体" w:cs="宋体"/>
          <w:color w:val="000008"/>
          <w:spacing w:val="51"/>
          <w:w w:val="101"/>
          <w:sz w:val="20"/>
          <w:szCs w:val="20"/>
        </w:rPr>
        <w:t xml:space="preserve"> </w:t>
      </w:r>
      <w:r>
        <w:rPr>
          <w:rFonts w:hint="eastAsia" w:ascii="宋体" w:hAnsi="宋体" w:eastAsia="宋体" w:cs="宋体"/>
          <w:color w:val="000008"/>
          <w:spacing w:val="7"/>
          <w:sz w:val="20"/>
          <w:szCs w:val="20"/>
        </w:rPr>
        <w:t>适用于本</w:t>
      </w:r>
      <w:r>
        <w:rPr>
          <w:rFonts w:hint="eastAsia" w:ascii="宋体" w:hAnsi="宋体" w:eastAsia="宋体" w:cs="宋体"/>
          <w:color w:val="000008"/>
          <w:spacing w:val="2"/>
          <w:sz w:val="20"/>
          <w:szCs w:val="20"/>
        </w:rPr>
        <w:t>文件。</w:t>
      </w:r>
    </w:p>
    <w:p w14:paraId="02E7CFE4">
      <w:pPr>
        <w:pStyle w:val="2"/>
        <w:spacing w:before="200" w:line="217" w:lineRule="auto"/>
        <w:ind w:left="419"/>
        <w:rPr>
          <w:rFonts w:hint="eastAsia" w:ascii="宋体" w:hAnsi="宋体" w:eastAsia="宋体" w:cs="宋体"/>
          <w:sz w:val="20"/>
          <w:szCs w:val="20"/>
        </w:rPr>
      </w:pPr>
      <w:r>
        <w:rPr>
          <w:rFonts w:hint="eastAsia" w:ascii="宋体" w:hAnsi="宋体" w:eastAsia="宋体" w:cs="宋体"/>
          <w:color w:val="000008"/>
          <w:spacing w:val="-1"/>
          <w:sz w:val="20"/>
          <w:szCs w:val="20"/>
        </w:rPr>
        <w:t>T/CACM 1069—2018  中医治未病服务规范  中医健康体检服务规范</w:t>
      </w:r>
    </w:p>
    <w:p w14:paraId="13D2EF15">
      <w:pPr>
        <w:pStyle w:val="2"/>
        <w:spacing w:before="156" w:line="218" w:lineRule="auto"/>
        <w:ind w:left="419"/>
        <w:rPr>
          <w:rFonts w:hint="eastAsia" w:ascii="宋体" w:hAnsi="宋体" w:eastAsia="宋体" w:cs="宋体"/>
          <w:sz w:val="20"/>
          <w:szCs w:val="20"/>
        </w:rPr>
      </w:pPr>
      <w:r>
        <w:rPr>
          <w:rFonts w:hint="eastAsia" w:ascii="宋体" w:hAnsi="宋体" w:eastAsia="宋体" w:cs="宋体"/>
          <w:color w:val="000008"/>
          <w:spacing w:val="-2"/>
          <w:sz w:val="20"/>
          <w:szCs w:val="20"/>
        </w:rPr>
        <w:t>T/CACM 1066.6—2018</w:t>
      </w:r>
      <w:r>
        <w:rPr>
          <w:rFonts w:hint="eastAsia" w:ascii="宋体" w:hAnsi="宋体" w:eastAsia="宋体" w:cs="宋体"/>
          <w:color w:val="000008"/>
          <w:spacing w:val="22"/>
          <w:sz w:val="20"/>
          <w:szCs w:val="20"/>
        </w:rPr>
        <w:t xml:space="preserve"> </w:t>
      </w:r>
      <w:r>
        <w:rPr>
          <w:rFonts w:hint="eastAsia" w:ascii="宋体" w:hAnsi="宋体" w:eastAsia="宋体" w:cs="宋体"/>
          <w:color w:val="000008"/>
          <w:spacing w:val="-2"/>
          <w:sz w:val="20"/>
          <w:szCs w:val="20"/>
        </w:rPr>
        <w:t>中医治未病标</w:t>
      </w:r>
      <w:r>
        <w:rPr>
          <w:rFonts w:hint="eastAsia" w:ascii="宋体" w:hAnsi="宋体" w:eastAsia="宋体" w:cs="宋体"/>
          <w:color w:val="000008"/>
          <w:spacing w:val="-3"/>
          <w:sz w:val="20"/>
          <w:szCs w:val="20"/>
        </w:rPr>
        <w:t>准化工作指南  第 6 部分：</w:t>
      </w:r>
      <w:r>
        <w:rPr>
          <w:rFonts w:hint="eastAsia" w:ascii="宋体" w:hAnsi="宋体" w:eastAsia="宋体" w:cs="宋体"/>
          <w:color w:val="000008"/>
          <w:spacing w:val="-20"/>
          <w:sz w:val="20"/>
          <w:szCs w:val="20"/>
        </w:rPr>
        <w:t xml:space="preserve"> </w:t>
      </w:r>
      <w:r>
        <w:rPr>
          <w:rFonts w:hint="eastAsia" w:ascii="宋体" w:hAnsi="宋体" w:eastAsia="宋体" w:cs="宋体"/>
          <w:color w:val="000008"/>
          <w:spacing w:val="-3"/>
          <w:sz w:val="20"/>
          <w:szCs w:val="20"/>
        </w:rPr>
        <w:t>指南评价</w:t>
      </w:r>
    </w:p>
    <w:p w14:paraId="06AB2E9D">
      <w:pPr>
        <w:pStyle w:val="2"/>
        <w:spacing w:before="157" w:line="468" w:lineRule="exact"/>
        <w:ind w:left="419"/>
        <w:rPr>
          <w:rFonts w:hint="eastAsia" w:ascii="宋体" w:hAnsi="宋体" w:eastAsia="宋体" w:cs="宋体"/>
          <w:sz w:val="20"/>
          <w:szCs w:val="20"/>
        </w:rPr>
      </w:pPr>
      <w:r>
        <w:rPr>
          <w:rFonts w:hint="eastAsia" w:ascii="宋体" w:hAnsi="宋体" w:eastAsia="宋体" w:cs="宋体"/>
          <w:color w:val="000008"/>
          <w:spacing w:val="-2"/>
          <w:position w:val="18"/>
          <w:sz w:val="20"/>
          <w:szCs w:val="20"/>
        </w:rPr>
        <w:t>T/CACM 1074—2018</w:t>
      </w:r>
      <w:r>
        <w:rPr>
          <w:rFonts w:hint="eastAsia" w:ascii="宋体" w:hAnsi="宋体" w:eastAsia="宋体" w:cs="宋体"/>
          <w:color w:val="000008"/>
          <w:spacing w:val="24"/>
          <w:position w:val="18"/>
          <w:sz w:val="20"/>
          <w:szCs w:val="20"/>
        </w:rPr>
        <w:t xml:space="preserve"> </w:t>
      </w:r>
      <w:r>
        <w:rPr>
          <w:rFonts w:hint="eastAsia" w:ascii="宋体" w:hAnsi="宋体" w:eastAsia="宋体" w:cs="宋体"/>
          <w:color w:val="000008"/>
          <w:spacing w:val="-2"/>
          <w:position w:val="18"/>
          <w:sz w:val="20"/>
          <w:szCs w:val="20"/>
        </w:rPr>
        <w:t>中医治未病服务</w:t>
      </w:r>
      <w:r>
        <w:rPr>
          <w:rFonts w:hint="eastAsia" w:ascii="宋体" w:hAnsi="宋体" w:eastAsia="宋体" w:cs="宋体"/>
          <w:color w:val="000008"/>
          <w:spacing w:val="-3"/>
          <w:position w:val="18"/>
          <w:sz w:val="20"/>
          <w:szCs w:val="20"/>
        </w:rPr>
        <w:t>规范服务保障通则</w:t>
      </w:r>
    </w:p>
    <w:p w14:paraId="6F319DBD">
      <w:pPr>
        <w:pStyle w:val="2"/>
        <w:spacing w:line="218" w:lineRule="auto"/>
        <w:ind w:left="419"/>
        <w:rPr>
          <w:rFonts w:hint="eastAsia" w:ascii="宋体" w:hAnsi="宋体" w:eastAsia="宋体" w:cs="宋体"/>
          <w:sz w:val="20"/>
          <w:szCs w:val="20"/>
        </w:rPr>
      </w:pPr>
      <w:r>
        <w:rPr>
          <w:rFonts w:hint="eastAsia" w:ascii="宋体" w:hAnsi="宋体" w:eastAsia="宋体" w:cs="宋体"/>
          <w:color w:val="000008"/>
          <w:spacing w:val="-8"/>
          <w:sz w:val="20"/>
          <w:szCs w:val="20"/>
        </w:rPr>
        <w:t>T/CACM</w:t>
      </w:r>
      <w:r>
        <w:rPr>
          <w:rFonts w:hint="eastAsia" w:ascii="宋体" w:hAnsi="宋体" w:eastAsia="宋体" w:cs="宋体"/>
          <w:color w:val="000008"/>
          <w:spacing w:val="26"/>
          <w:sz w:val="20"/>
          <w:szCs w:val="20"/>
        </w:rPr>
        <w:t xml:space="preserve"> </w:t>
      </w:r>
      <w:r>
        <w:rPr>
          <w:rFonts w:hint="eastAsia" w:ascii="宋体" w:hAnsi="宋体" w:eastAsia="宋体" w:cs="宋体"/>
          <w:color w:val="000008"/>
          <w:spacing w:val="-8"/>
          <w:sz w:val="20"/>
          <w:szCs w:val="20"/>
        </w:rPr>
        <w:t>1067—2018</w:t>
      </w:r>
      <w:r>
        <w:rPr>
          <w:rFonts w:hint="eastAsia" w:ascii="宋体" w:hAnsi="宋体" w:eastAsia="宋体" w:cs="宋体"/>
          <w:color w:val="000008"/>
          <w:spacing w:val="24"/>
          <w:sz w:val="20"/>
          <w:szCs w:val="20"/>
        </w:rPr>
        <w:t xml:space="preserve"> </w:t>
      </w:r>
      <w:r>
        <w:rPr>
          <w:rFonts w:hint="eastAsia" w:ascii="宋体" w:hAnsi="宋体" w:eastAsia="宋体" w:cs="宋体"/>
          <w:color w:val="000008"/>
          <w:spacing w:val="-8"/>
          <w:sz w:val="20"/>
          <w:szCs w:val="20"/>
        </w:rPr>
        <w:t>中医治未病术语</w:t>
      </w:r>
    </w:p>
    <w:p w14:paraId="6D1BFE70">
      <w:pPr>
        <w:pStyle w:val="2"/>
        <w:spacing w:before="157" w:line="217" w:lineRule="auto"/>
        <w:ind w:left="419"/>
        <w:rPr>
          <w:rFonts w:hint="eastAsia" w:ascii="宋体" w:hAnsi="宋体" w:eastAsia="宋体" w:cs="宋体"/>
          <w:sz w:val="20"/>
          <w:szCs w:val="20"/>
        </w:rPr>
      </w:pPr>
      <w:r>
        <w:rPr>
          <w:rFonts w:hint="eastAsia" w:ascii="宋体" w:hAnsi="宋体" w:eastAsia="宋体" w:cs="宋体"/>
          <w:color w:val="000008"/>
          <w:sz w:val="20"/>
          <w:szCs w:val="20"/>
        </w:rPr>
        <w:t>T/CACM 1070—2018</w:t>
      </w:r>
      <w:r>
        <w:rPr>
          <w:rFonts w:hint="eastAsia" w:ascii="宋体" w:hAnsi="宋体" w:eastAsia="宋体" w:cs="宋体"/>
          <w:color w:val="000008"/>
          <w:spacing w:val="24"/>
          <w:sz w:val="20"/>
          <w:szCs w:val="20"/>
        </w:rPr>
        <w:t xml:space="preserve"> </w:t>
      </w:r>
      <w:r>
        <w:rPr>
          <w:rFonts w:hint="eastAsia" w:ascii="宋体" w:hAnsi="宋体" w:eastAsia="宋体" w:cs="宋体"/>
          <w:color w:val="000008"/>
          <w:sz w:val="20"/>
          <w:szCs w:val="20"/>
        </w:rPr>
        <w:t xml:space="preserve">中医治未病服务规范 </w:t>
      </w:r>
      <w:r>
        <w:rPr>
          <w:rFonts w:hint="eastAsia" w:ascii="宋体" w:hAnsi="宋体" w:eastAsia="宋体" w:cs="宋体"/>
          <w:color w:val="000008"/>
          <w:spacing w:val="-1"/>
          <w:sz w:val="20"/>
          <w:szCs w:val="20"/>
        </w:rPr>
        <w:t xml:space="preserve"> 中医治未病服务记录书写规范</w:t>
      </w:r>
    </w:p>
    <w:p w14:paraId="7653D17C">
      <w:pPr>
        <w:pStyle w:val="2"/>
        <w:spacing w:before="157" w:line="468" w:lineRule="exact"/>
        <w:ind w:left="419"/>
        <w:rPr>
          <w:rFonts w:hint="eastAsia" w:ascii="宋体" w:hAnsi="宋体" w:eastAsia="宋体" w:cs="宋体"/>
          <w:sz w:val="20"/>
          <w:szCs w:val="20"/>
        </w:rPr>
      </w:pPr>
      <w:r>
        <w:rPr>
          <w:rFonts w:hint="eastAsia" w:ascii="宋体" w:hAnsi="宋体" w:eastAsia="宋体" w:cs="宋体"/>
          <w:color w:val="000008"/>
          <w:spacing w:val="-2"/>
          <w:position w:val="18"/>
          <w:sz w:val="20"/>
          <w:szCs w:val="20"/>
        </w:rPr>
        <w:t>T/CACM 1066.1-1066.6-208  中医治未病标准化工作指南</w:t>
      </w:r>
    </w:p>
    <w:p w14:paraId="16BA7C31">
      <w:pPr>
        <w:pStyle w:val="2"/>
        <w:spacing w:before="1" w:line="217" w:lineRule="auto"/>
        <w:ind w:left="419"/>
        <w:rPr>
          <w:rFonts w:hint="eastAsia" w:ascii="宋体" w:hAnsi="宋体" w:eastAsia="宋体" w:cs="宋体"/>
          <w:sz w:val="20"/>
          <w:szCs w:val="20"/>
        </w:rPr>
      </w:pPr>
      <w:r>
        <w:rPr>
          <w:rFonts w:hint="eastAsia" w:ascii="宋体" w:hAnsi="宋体" w:eastAsia="宋体" w:cs="宋体"/>
          <w:color w:val="000008"/>
          <w:spacing w:val="-2"/>
          <w:sz w:val="20"/>
          <w:szCs w:val="20"/>
        </w:rPr>
        <w:t xml:space="preserve">T/CACM 1075-1078-2018 </w:t>
      </w:r>
      <w:r>
        <w:rPr>
          <w:rFonts w:hint="eastAsia" w:ascii="宋体" w:hAnsi="宋体" w:eastAsia="宋体" w:cs="宋体"/>
          <w:color w:val="000008"/>
          <w:spacing w:val="-3"/>
          <w:sz w:val="20"/>
          <w:szCs w:val="20"/>
        </w:rPr>
        <w:t xml:space="preserve"> 中医治未病技术操作规范</w:t>
      </w:r>
    </w:p>
    <w:p w14:paraId="35F58421">
      <w:pPr>
        <w:spacing w:line="306" w:lineRule="auto"/>
        <w:rPr>
          <w:rFonts w:hint="eastAsia" w:ascii="宋体" w:hAnsi="宋体" w:eastAsia="宋体" w:cs="宋体"/>
          <w:sz w:val="21"/>
        </w:rPr>
      </w:pPr>
    </w:p>
    <w:p w14:paraId="2700514F">
      <w:pPr>
        <w:pStyle w:val="2"/>
        <w:spacing w:before="87" w:line="199" w:lineRule="auto"/>
        <w:ind w:left="6"/>
        <w:rPr>
          <w:rFonts w:hint="eastAsia" w:ascii="宋体" w:hAnsi="宋体" w:eastAsia="宋体" w:cs="宋体"/>
          <w:b/>
          <w:bCs/>
          <w:sz w:val="20"/>
          <w:szCs w:val="20"/>
        </w:rPr>
      </w:pPr>
      <w:r>
        <w:rPr>
          <w:rFonts w:hint="eastAsia" w:ascii="宋体" w:hAnsi="宋体" w:eastAsia="宋体" w:cs="宋体"/>
          <w:b/>
          <w:bCs/>
          <w:color w:val="000008"/>
          <w:spacing w:val="6"/>
          <w:sz w:val="20"/>
          <w:szCs w:val="20"/>
        </w:rPr>
        <w:t>3</w:t>
      </w:r>
      <w:r>
        <w:rPr>
          <w:rFonts w:hint="eastAsia" w:ascii="宋体" w:hAnsi="宋体" w:eastAsia="宋体" w:cs="宋体"/>
          <w:b/>
          <w:bCs/>
          <w:color w:val="000008"/>
          <w:spacing w:val="4"/>
          <w:sz w:val="20"/>
          <w:szCs w:val="20"/>
        </w:rPr>
        <w:t xml:space="preserve">   </w:t>
      </w:r>
      <w:r>
        <w:rPr>
          <w:rFonts w:hint="eastAsia" w:ascii="宋体" w:hAnsi="宋体" w:eastAsia="宋体" w:cs="宋体"/>
          <w:b/>
          <w:bCs/>
          <w:color w:val="000008"/>
          <w:spacing w:val="6"/>
          <w:sz w:val="20"/>
          <w:szCs w:val="20"/>
        </w:rPr>
        <w:t>术语和定义</w:t>
      </w:r>
    </w:p>
    <w:p w14:paraId="2037965A">
      <w:pPr>
        <w:pStyle w:val="2"/>
        <w:spacing w:before="86" w:line="185" w:lineRule="auto"/>
        <w:ind w:left="423"/>
        <w:rPr>
          <w:rFonts w:hint="eastAsia" w:ascii="宋体" w:hAnsi="宋体" w:eastAsia="宋体" w:cs="宋体"/>
          <w:color w:val="000008"/>
          <w:spacing w:val="8"/>
          <w:sz w:val="20"/>
          <w:szCs w:val="20"/>
        </w:rPr>
      </w:pPr>
    </w:p>
    <w:p w14:paraId="2EF201B2">
      <w:pPr>
        <w:pStyle w:val="2"/>
        <w:spacing w:before="86" w:line="185" w:lineRule="auto"/>
        <w:ind w:left="423"/>
        <w:rPr>
          <w:rFonts w:hint="eastAsia" w:ascii="宋体" w:hAnsi="宋体" w:eastAsia="宋体" w:cs="宋体"/>
          <w:sz w:val="20"/>
          <w:szCs w:val="20"/>
        </w:rPr>
      </w:pPr>
      <w:r>
        <w:rPr>
          <w:rFonts w:hint="eastAsia" w:ascii="宋体" w:hAnsi="宋体" w:eastAsia="宋体" w:cs="宋体"/>
          <w:color w:val="000008"/>
          <w:spacing w:val="8"/>
          <w:sz w:val="20"/>
          <w:szCs w:val="20"/>
        </w:rPr>
        <w:t>下列术语和定义适用于本文件。</w:t>
      </w:r>
    </w:p>
    <w:p w14:paraId="3675EA70">
      <w:pPr>
        <w:pStyle w:val="2"/>
        <w:spacing w:before="247" w:line="201" w:lineRule="auto"/>
        <w:ind w:left="2"/>
        <w:rPr>
          <w:rFonts w:hint="eastAsia" w:ascii="宋体" w:hAnsi="宋体" w:eastAsia="宋体" w:cs="宋体"/>
          <w:sz w:val="20"/>
          <w:szCs w:val="20"/>
        </w:rPr>
      </w:pPr>
      <w:r>
        <w:rPr>
          <w:rFonts w:hint="eastAsia" w:ascii="宋体" w:hAnsi="宋体" w:eastAsia="宋体" w:cs="宋体"/>
          <w:b/>
          <w:bCs/>
          <w:color w:val="000008"/>
          <w:spacing w:val="3"/>
          <w:sz w:val="20"/>
          <w:szCs w:val="20"/>
        </w:rPr>
        <w:t>3.</w:t>
      </w:r>
      <w:r>
        <w:rPr>
          <w:rFonts w:hint="eastAsia" w:ascii="宋体" w:hAnsi="宋体" w:eastAsia="宋体" w:cs="宋体"/>
          <w:b/>
          <w:bCs/>
          <w:color w:val="000008"/>
          <w:spacing w:val="-30"/>
          <w:sz w:val="20"/>
          <w:szCs w:val="20"/>
        </w:rPr>
        <w:t xml:space="preserve"> </w:t>
      </w:r>
      <w:r>
        <w:rPr>
          <w:rFonts w:hint="eastAsia" w:ascii="宋体" w:hAnsi="宋体" w:eastAsia="宋体" w:cs="宋体"/>
          <w:b/>
          <w:bCs/>
          <w:color w:val="000008"/>
          <w:spacing w:val="3"/>
          <w:sz w:val="20"/>
          <w:szCs w:val="20"/>
        </w:rPr>
        <w:t>1 治未病</w:t>
      </w:r>
      <w:r>
        <w:rPr>
          <w:rFonts w:hint="eastAsia" w:ascii="宋体" w:hAnsi="宋体" w:eastAsia="宋体" w:cs="宋体"/>
          <w:b/>
          <w:bCs/>
          <w:color w:val="000008"/>
          <w:spacing w:val="17"/>
          <w:sz w:val="20"/>
          <w:szCs w:val="20"/>
        </w:rPr>
        <w:t xml:space="preserve"> </w:t>
      </w:r>
      <w:r>
        <w:rPr>
          <w:rFonts w:hint="eastAsia" w:ascii="宋体" w:hAnsi="宋体" w:eastAsia="宋体" w:cs="宋体"/>
          <w:color w:val="000008"/>
          <w:spacing w:val="-9"/>
          <w:sz w:val="20"/>
          <w:szCs w:val="20"/>
          <w:lang w:val="en-US" w:eastAsia="zh-CN"/>
          <w14:textOutline w14:w="3795" w14:cap="sq" w14:cmpd="sng">
            <w14:solidFill>
              <w14:srgbClr w14:val="000008"/>
            </w14:solidFill>
            <w14:prstDash w14:val="solid"/>
            <w14:bevel/>
          </w14:textOutline>
        </w:rPr>
        <w:t>H</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ealth</w:t>
      </w:r>
      <w:r>
        <w:rPr>
          <w:rFonts w:hint="eastAsia" w:ascii="宋体" w:hAnsi="宋体" w:eastAsia="宋体" w:cs="宋体"/>
          <w:color w:val="000008"/>
          <w:spacing w:val="-9"/>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management</w:t>
      </w:r>
      <w:r>
        <w:rPr>
          <w:rFonts w:hint="eastAsia" w:ascii="宋体" w:hAnsi="宋体" w:eastAsia="宋体" w:cs="宋体"/>
          <w:color w:val="000008"/>
          <w:spacing w:val="-9"/>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9"/>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Chinese medicine</w:t>
      </w:r>
    </w:p>
    <w:p w14:paraId="06D4C0EE">
      <w:pPr>
        <w:pStyle w:val="2"/>
        <w:spacing w:before="200" w:line="470" w:lineRule="exact"/>
        <w:ind w:right="35"/>
        <w:jc w:val="right"/>
        <w:rPr>
          <w:rFonts w:hint="eastAsia" w:ascii="宋体" w:hAnsi="宋体" w:eastAsia="宋体" w:cs="宋体"/>
          <w:sz w:val="20"/>
          <w:szCs w:val="20"/>
        </w:rPr>
      </w:pPr>
      <w:r>
        <w:rPr>
          <w:rFonts w:hint="eastAsia" w:ascii="宋体" w:hAnsi="宋体" w:eastAsia="宋体" w:cs="宋体"/>
          <w:color w:val="000008"/>
          <w:spacing w:val="6"/>
          <w:position w:val="18"/>
          <w:sz w:val="20"/>
          <w:szCs w:val="20"/>
        </w:rPr>
        <w:t>采取中医预防或治疗手段，</w:t>
      </w:r>
      <w:r>
        <w:rPr>
          <w:rFonts w:hint="eastAsia" w:ascii="宋体" w:hAnsi="宋体" w:eastAsia="宋体" w:cs="宋体"/>
          <w:color w:val="000008"/>
          <w:spacing w:val="-35"/>
          <w:position w:val="18"/>
          <w:sz w:val="20"/>
          <w:szCs w:val="20"/>
        </w:rPr>
        <w:t xml:space="preserve"> </w:t>
      </w:r>
      <w:r>
        <w:rPr>
          <w:rFonts w:hint="eastAsia" w:ascii="宋体" w:hAnsi="宋体" w:eastAsia="宋体" w:cs="宋体"/>
          <w:color w:val="000008"/>
          <w:spacing w:val="6"/>
          <w:position w:val="18"/>
          <w:sz w:val="20"/>
          <w:szCs w:val="20"/>
        </w:rPr>
        <w:t>防止疾病发生、发展的</w:t>
      </w:r>
      <w:r>
        <w:rPr>
          <w:rFonts w:hint="eastAsia" w:ascii="宋体" w:hAnsi="宋体" w:eastAsia="宋体" w:cs="宋体"/>
          <w:color w:val="000008"/>
          <w:spacing w:val="5"/>
          <w:position w:val="18"/>
          <w:sz w:val="20"/>
          <w:szCs w:val="20"/>
        </w:rPr>
        <w:t>方法，包括未病先防、既病防变、瘥后防复等多</w:t>
      </w:r>
    </w:p>
    <w:p w14:paraId="3A7C7A6A">
      <w:pPr>
        <w:pStyle w:val="2"/>
        <w:spacing w:before="1" w:line="186" w:lineRule="auto"/>
        <w:rPr>
          <w:rFonts w:hint="eastAsia" w:ascii="宋体" w:hAnsi="宋体" w:eastAsia="宋体" w:cs="宋体"/>
          <w:sz w:val="20"/>
          <w:szCs w:val="20"/>
        </w:rPr>
      </w:pPr>
      <w:r>
        <w:rPr>
          <w:rFonts w:hint="eastAsia" w:ascii="宋体" w:hAnsi="宋体" w:eastAsia="宋体" w:cs="宋体"/>
          <w:color w:val="000008"/>
          <w:spacing w:val="7"/>
          <w:sz w:val="20"/>
          <w:szCs w:val="20"/>
        </w:rPr>
        <w:t>个方面的内容。</w:t>
      </w:r>
    </w:p>
    <w:p w14:paraId="26E8F124">
      <w:pPr>
        <w:pStyle w:val="2"/>
        <w:spacing w:before="199" w:line="468" w:lineRule="exact"/>
        <w:ind w:right="40"/>
        <w:jc w:val="right"/>
        <w:rPr>
          <w:rFonts w:hint="eastAsia" w:ascii="宋体" w:hAnsi="宋体" w:eastAsia="宋体" w:cs="宋体"/>
          <w:sz w:val="20"/>
          <w:szCs w:val="20"/>
        </w:rPr>
      </w:pPr>
      <w:r>
        <w:rPr>
          <w:rFonts w:hint="eastAsia" w:ascii="宋体" w:hAnsi="宋体" w:eastAsia="宋体" w:cs="宋体"/>
          <w:color w:val="000008"/>
          <w:spacing w:val="6"/>
          <w:position w:val="18"/>
          <w:sz w:val="20"/>
          <w:szCs w:val="20"/>
        </w:rPr>
        <w:t>注：</w:t>
      </w:r>
      <w:r>
        <w:rPr>
          <w:rFonts w:hint="eastAsia" w:ascii="宋体" w:hAnsi="宋体" w:eastAsia="宋体" w:cs="宋体"/>
          <w:color w:val="000008"/>
          <w:spacing w:val="-24"/>
          <w:position w:val="18"/>
          <w:sz w:val="20"/>
          <w:szCs w:val="20"/>
        </w:rPr>
        <w:t xml:space="preserve"> </w:t>
      </w:r>
      <w:r>
        <w:rPr>
          <w:rFonts w:hint="eastAsia" w:ascii="宋体" w:hAnsi="宋体" w:eastAsia="宋体" w:cs="宋体"/>
          <w:color w:val="000008"/>
          <w:spacing w:val="6"/>
          <w:position w:val="18"/>
          <w:sz w:val="20"/>
          <w:szCs w:val="20"/>
        </w:rPr>
        <w:t>防病于未然，强调摄生，预防疾病的发生；既病之后防其传变，强调早期诊断和早期治疗，及</w:t>
      </w:r>
    </w:p>
    <w:p w14:paraId="4CFE79B3">
      <w:pPr>
        <w:pStyle w:val="2"/>
        <w:spacing w:line="217" w:lineRule="auto"/>
        <w:ind w:left="14"/>
        <w:rPr>
          <w:rFonts w:hint="eastAsia" w:ascii="宋体" w:hAnsi="宋体" w:eastAsia="宋体" w:cs="宋体"/>
          <w:sz w:val="20"/>
          <w:szCs w:val="20"/>
        </w:rPr>
      </w:pPr>
      <w:r>
        <w:rPr>
          <w:rFonts w:hint="eastAsia" w:ascii="宋体" w:hAnsi="宋体" w:eastAsia="宋体" w:cs="宋体"/>
          <w:color w:val="000008"/>
          <w:spacing w:val="7"/>
          <w:sz w:val="20"/>
          <w:szCs w:val="20"/>
        </w:rPr>
        <w:t>时控制疾病的发展演变；愈后防止疾病的复发及调养防护。</w:t>
      </w:r>
    </w:p>
    <w:p w14:paraId="383F9D90">
      <w:pPr>
        <w:pStyle w:val="2"/>
        <w:spacing w:before="247" w:line="201" w:lineRule="auto"/>
        <w:ind w:left="2"/>
        <w:rPr>
          <w:rFonts w:hint="eastAsia" w:ascii="宋体" w:hAnsi="宋体" w:eastAsia="宋体" w:cs="宋体"/>
          <w:sz w:val="20"/>
          <w:szCs w:val="20"/>
        </w:rPr>
      </w:pPr>
      <w:r>
        <w:rPr>
          <w:rFonts w:hint="eastAsia" w:ascii="宋体" w:hAnsi="宋体" w:eastAsia="宋体" w:cs="宋体"/>
          <w:color w:val="000008"/>
          <w:spacing w:val="-8"/>
          <w:sz w:val="20"/>
          <w:szCs w:val="20"/>
          <w14:textOutline w14:w="3795" w14:cap="sq" w14:cmpd="sng">
            <w14:solidFill>
              <w14:srgbClr w14:val="000008"/>
            </w14:solidFill>
            <w14:prstDash w14:val="solid"/>
            <w14:bevel/>
          </w14:textOutline>
        </w:rPr>
        <w:t>3.2</w:t>
      </w:r>
      <w:r>
        <w:rPr>
          <w:rFonts w:hint="eastAsia" w:ascii="宋体" w:hAnsi="宋体" w:eastAsia="宋体" w:cs="宋体"/>
          <w:color w:val="000008"/>
          <w:spacing w:val="25"/>
          <w:sz w:val="20"/>
          <w:szCs w:val="20"/>
        </w:rPr>
        <w:t xml:space="preserve"> </w:t>
      </w:r>
      <w:r>
        <w:rPr>
          <w:rFonts w:hint="eastAsia" w:ascii="宋体" w:hAnsi="宋体" w:eastAsia="宋体" w:cs="宋体"/>
          <w:color w:val="000008"/>
          <w:spacing w:val="-8"/>
          <w:sz w:val="20"/>
          <w:szCs w:val="20"/>
          <w14:textOutline w14:w="3795" w14:cap="sq" w14:cmpd="sng">
            <w14:solidFill>
              <w14:srgbClr w14:val="000008"/>
            </w14:solidFill>
            <w14:prstDash w14:val="solid"/>
            <w14:bevel/>
          </w14:textOutline>
        </w:rPr>
        <w:t>中医治未病门诊服务</w:t>
      </w:r>
      <w:r>
        <w:rPr>
          <w:rFonts w:hint="eastAsia" w:ascii="宋体" w:hAnsi="宋体" w:eastAsia="宋体" w:cs="宋体"/>
          <w:color w:val="000008"/>
          <w:spacing w:val="-8"/>
          <w:sz w:val="20"/>
          <w:szCs w:val="20"/>
        </w:rPr>
        <w:t xml:space="preserve">  </w:t>
      </w:r>
      <w:r>
        <w:rPr>
          <w:rFonts w:hint="eastAsia" w:ascii="宋体" w:hAnsi="宋体" w:eastAsia="宋体" w:cs="宋体"/>
          <w:color w:val="000008"/>
          <w:spacing w:val="-8"/>
          <w:sz w:val="20"/>
          <w:szCs w:val="20"/>
          <w14:textOutline w14:w="3795" w14:cap="sq" w14:cmpd="sng">
            <w14:solidFill>
              <w14:srgbClr w14:val="000008"/>
            </w14:solidFill>
            <w14:prstDash w14:val="solid"/>
            <w14:bevel/>
          </w14:textOutline>
        </w:rPr>
        <w:t>O</w:t>
      </w:r>
      <w:r>
        <w:rPr>
          <w:rFonts w:hint="eastAsia" w:ascii="宋体" w:hAnsi="宋体" w:eastAsia="宋体" w:cs="宋体"/>
          <w:b/>
          <w:bCs/>
          <w:color w:val="000008"/>
          <w:spacing w:val="-8"/>
          <w:sz w:val="19"/>
          <w:szCs w:val="19"/>
        </w:rPr>
        <w:t>utpatient</w:t>
      </w:r>
      <w:r>
        <w:rPr>
          <w:rFonts w:hint="eastAsia" w:ascii="宋体" w:hAnsi="宋体" w:eastAsia="宋体" w:cs="宋体"/>
          <w:color w:val="000008"/>
          <w:spacing w:val="10"/>
          <w:sz w:val="19"/>
          <w:szCs w:val="19"/>
        </w:rPr>
        <w:t xml:space="preserve"> </w:t>
      </w:r>
      <w:r>
        <w:rPr>
          <w:rFonts w:hint="eastAsia" w:ascii="宋体" w:hAnsi="宋体" w:eastAsia="宋体" w:cs="宋体"/>
          <w:color w:val="000008"/>
          <w:spacing w:val="-8"/>
          <w:sz w:val="20"/>
          <w:szCs w:val="20"/>
          <w14:textOutline w14:w="3795" w14:cap="sq" w14:cmpd="sng">
            <w14:solidFill>
              <w14:srgbClr w14:val="000008"/>
            </w14:solidFill>
            <w14:prstDash w14:val="solid"/>
            <w14:bevel/>
          </w14:textOutline>
        </w:rPr>
        <w:t>Service</w:t>
      </w:r>
      <w:r>
        <w:rPr>
          <w:rFonts w:hint="eastAsia" w:ascii="宋体" w:hAnsi="宋体" w:eastAsia="宋体" w:cs="宋体"/>
          <w:color w:val="000008"/>
          <w:spacing w:val="-8"/>
          <w:sz w:val="20"/>
          <w:szCs w:val="20"/>
          <w:lang w:val="en-US" w:eastAsia="zh-CN"/>
          <w14:textOutline w14:w="3795" w14:cap="sq" w14:cmpd="sng">
            <w14:solidFill>
              <w14:srgbClr w14:val="000008"/>
            </w14:solidFill>
            <w14:prstDash w14:val="solid"/>
            <w14:bevel/>
          </w14:textOutline>
        </w:rPr>
        <w:t>s</w:t>
      </w:r>
      <w:r>
        <w:rPr>
          <w:rFonts w:hint="eastAsia" w:ascii="宋体" w:hAnsi="宋体" w:eastAsia="宋体" w:cs="宋体"/>
          <w:color w:val="000008"/>
          <w:spacing w:val="-8"/>
          <w:sz w:val="20"/>
          <w:szCs w:val="20"/>
        </w:rPr>
        <w:t xml:space="preserve"> </w:t>
      </w:r>
      <w:r>
        <w:rPr>
          <w:rFonts w:hint="eastAsia" w:ascii="宋体" w:hAnsi="宋体" w:eastAsia="宋体" w:cs="宋体"/>
          <w:color w:val="000008"/>
          <w:spacing w:val="-8"/>
          <w:sz w:val="20"/>
          <w:szCs w:val="20"/>
          <w14:textOutline w14:w="3795" w14:cap="sq" w14:cmpd="sng">
            <w14:solidFill>
              <w14:srgbClr w14:val="000008"/>
            </w14:solidFill>
            <w14:prstDash w14:val="solid"/>
            <w14:bevel/>
          </w14:textOutline>
        </w:rPr>
        <w:t>o</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f</w:t>
      </w:r>
      <w:r>
        <w:rPr>
          <w:rFonts w:hint="eastAsia" w:ascii="宋体" w:hAnsi="宋体" w:eastAsia="宋体" w:cs="宋体"/>
          <w:color w:val="000008"/>
          <w:spacing w:val="-9"/>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health</w:t>
      </w:r>
      <w:r>
        <w:rPr>
          <w:rFonts w:hint="eastAsia" w:ascii="宋体" w:hAnsi="宋体" w:eastAsia="宋体" w:cs="宋体"/>
          <w:color w:val="000008"/>
          <w:spacing w:val="-9"/>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management</w:t>
      </w:r>
      <w:r>
        <w:rPr>
          <w:rFonts w:hint="eastAsia" w:ascii="宋体" w:hAnsi="宋体" w:eastAsia="宋体" w:cs="宋体"/>
          <w:color w:val="000008"/>
          <w:spacing w:val="-9"/>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9"/>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Chinese medicine</w:t>
      </w:r>
    </w:p>
    <w:p w14:paraId="1B66216B">
      <w:pPr>
        <w:spacing w:line="201" w:lineRule="auto"/>
        <w:rPr>
          <w:rFonts w:hint="eastAsia" w:ascii="宋体" w:hAnsi="宋体" w:eastAsia="宋体" w:cs="宋体"/>
          <w:sz w:val="20"/>
          <w:szCs w:val="20"/>
        </w:rPr>
        <w:sectPr>
          <w:footerReference r:id="rId6" w:type="default"/>
          <w:pgSz w:w="11906" w:h="16839"/>
          <w:pgMar w:top="1428" w:right="1094" w:bottom="1310" w:left="1422" w:header="0" w:footer="1102" w:gutter="0"/>
          <w:cols w:space="720" w:num="1"/>
        </w:sectPr>
      </w:pPr>
    </w:p>
    <w:p w14:paraId="63C17BDA">
      <w:pPr>
        <w:pStyle w:val="2"/>
        <w:spacing w:before="44" w:line="198" w:lineRule="auto"/>
        <w:ind w:left="2198"/>
        <w:rPr>
          <w:rFonts w:hint="eastAsia" w:ascii="宋体" w:hAnsi="宋体" w:eastAsia="宋体" w:cs="宋体"/>
          <w:sz w:val="20"/>
          <w:szCs w:val="20"/>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6"/>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41EDE03A">
      <w:pPr>
        <w:pStyle w:val="2"/>
        <w:spacing w:before="304" w:line="327" w:lineRule="auto"/>
        <w:ind w:right="65" w:firstLine="448"/>
        <w:jc w:val="both"/>
        <w:rPr>
          <w:rFonts w:hint="eastAsia" w:ascii="宋体" w:hAnsi="宋体" w:eastAsia="宋体" w:cs="宋体"/>
          <w:sz w:val="20"/>
          <w:szCs w:val="20"/>
        </w:rPr>
      </w:pPr>
      <w:r>
        <w:rPr>
          <w:rFonts w:hint="eastAsia" w:ascii="宋体" w:hAnsi="宋体" w:eastAsia="宋体" w:cs="宋体"/>
          <w:color w:val="000008"/>
          <w:spacing w:val="7"/>
          <w:sz w:val="20"/>
          <w:szCs w:val="20"/>
        </w:rPr>
        <w:t>中医治未病门诊服务是以中医治未病理念为核心，针对不同的服务人群，采用中医治未病服务方法</w:t>
      </w:r>
      <w:r>
        <w:rPr>
          <w:rFonts w:hint="eastAsia" w:ascii="宋体" w:hAnsi="宋体" w:eastAsia="宋体" w:cs="宋体"/>
          <w:color w:val="000008"/>
          <w:spacing w:val="8"/>
          <w:sz w:val="20"/>
          <w:szCs w:val="20"/>
        </w:rPr>
        <w:t>和手段进行健康管理和服务，发挥中医药在预防、保健、康复、养生等领域的优势和</w:t>
      </w:r>
      <w:r>
        <w:rPr>
          <w:rFonts w:hint="eastAsia" w:ascii="宋体" w:hAnsi="宋体" w:eastAsia="宋体" w:cs="宋体"/>
          <w:color w:val="000008"/>
          <w:spacing w:val="7"/>
          <w:sz w:val="20"/>
          <w:szCs w:val="20"/>
        </w:rPr>
        <w:t>作用，达到预防疾病、增进健康的目的；对于不适合治未病门诊医疗服务的患者，提供其他医疗服务，如入院、转科、转</w:t>
      </w:r>
      <w:r>
        <w:rPr>
          <w:rFonts w:hint="eastAsia" w:ascii="宋体" w:hAnsi="宋体" w:eastAsia="宋体" w:cs="宋体"/>
          <w:color w:val="000008"/>
          <w:spacing w:val="6"/>
          <w:sz w:val="20"/>
          <w:szCs w:val="20"/>
        </w:rPr>
        <w:t>院的建议或指导等。</w:t>
      </w:r>
    </w:p>
    <w:p w14:paraId="3A0510D4">
      <w:pPr>
        <w:pStyle w:val="2"/>
        <w:spacing w:before="200" w:line="201" w:lineRule="auto"/>
        <w:ind w:left="5"/>
        <w:outlineLvl w:val="0"/>
        <w:rPr>
          <w:rFonts w:hint="eastAsia" w:ascii="宋体" w:hAnsi="宋体" w:eastAsia="宋体" w:cs="宋体"/>
          <w:sz w:val="20"/>
          <w:szCs w:val="20"/>
        </w:rPr>
      </w:pP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3.3</w:t>
      </w:r>
      <w:r>
        <w:rPr>
          <w:rFonts w:hint="eastAsia" w:ascii="宋体" w:hAnsi="宋体" w:eastAsia="宋体" w:cs="宋体"/>
          <w:color w:val="000008"/>
          <w:spacing w:val="25"/>
          <w:w w:val="101"/>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中医治未病服务环境</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outpatient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services</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environment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3"/>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13"/>
          <w:sz w:val="20"/>
          <w:szCs w:val="20"/>
        </w:rPr>
        <w:t xml:space="preserve"> </w:t>
      </w:r>
      <w:r>
        <w:rPr>
          <w:rFonts w:hint="eastAsia" w:ascii="宋体" w:hAnsi="宋体" w:eastAsia="宋体" w:cs="宋体"/>
          <w:color w:val="000008"/>
          <w:spacing w:val="-13"/>
          <w:sz w:val="20"/>
          <w:szCs w:val="20"/>
          <w14:textOutline w14:w="3795" w14:cap="sq" w14:cmpd="sng">
            <w14:solidFill>
              <w14:srgbClr w14:val="000008"/>
            </w14:solidFill>
            <w14:prstDash w14:val="solid"/>
            <w14:bevel/>
          </w14:textOutline>
        </w:rPr>
        <w:t>health</w:t>
      </w:r>
      <w:r>
        <w:rPr>
          <w:rFonts w:hint="eastAsia" w:ascii="宋体" w:hAnsi="宋体" w:eastAsia="宋体" w:cs="宋体"/>
          <w:color w:val="000008"/>
          <w:spacing w:val="-13"/>
          <w:sz w:val="20"/>
          <w:szCs w:val="20"/>
        </w:rPr>
        <w:t xml:space="preserve"> </w:t>
      </w:r>
      <w:r>
        <w:rPr>
          <w:rFonts w:hint="eastAsia" w:ascii="宋体" w:hAnsi="宋体" w:eastAsia="宋体" w:cs="宋体"/>
          <w:color w:val="000008"/>
          <w:spacing w:val="-13"/>
          <w:sz w:val="20"/>
          <w:szCs w:val="20"/>
          <w14:textOutline w14:w="3795" w14:cap="sq" w14:cmpd="sng">
            <w14:solidFill>
              <w14:srgbClr w14:val="000008"/>
            </w14:solidFill>
            <w14:prstDash w14:val="solid"/>
            <w14:bevel/>
          </w14:textOutline>
        </w:rPr>
        <w:t>management</w:t>
      </w:r>
      <w:r>
        <w:rPr>
          <w:rFonts w:hint="eastAsia" w:ascii="宋体" w:hAnsi="宋体" w:eastAsia="宋体" w:cs="宋体"/>
          <w:color w:val="000008"/>
          <w:spacing w:val="-13"/>
          <w:sz w:val="20"/>
          <w:szCs w:val="20"/>
        </w:rPr>
        <w:t xml:space="preserve"> </w:t>
      </w:r>
      <w:r>
        <w:rPr>
          <w:rFonts w:hint="eastAsia" w:ascii="宋体" w:hAnsi="宋体" w:eastAsia="宋体" w:cs="宋体"/>
          <w:color w:val="000008"/>
          <w:spacing w:val="-13"/>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13"/>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Chinese medicine</w:t>
      </w:r>
    </w:p>
    <w:p w14:paraId="028C22F7">
      <w:pPr>
        <w:pStyle w:val="2"/>
        <w:spacing w:before="181" w:line="327" w:lineRule="auto"/>
        <w:ind w:left="11" w:firstLine="417"/>
        <w:jc w:val="both"/>
        <w:rPr>
          <w:rFonts w:hint="eastAsia" w:ascii="宋体" w:hAnsi="宋体" w:eastAsia="宋体" w:cs="宋体"/>
          <w:sz w:val="20"/>
          <w:szCs w:val="20"/>
        </w:rPr>
      </w:pPr>
      <w:r>
        <w:rPr>
          <w:rFonts w:hint="eastAsia" w:ascii="宋体" w:hAnsi="宋体" w:eastAsia="宋体" w:cs="宋体"/>
          <w:color w:val="000008"/>
          <w:spacing w:val="8"/>
          <w:sz w:val="20"/>
          <w:szCs w:val="20"/>
        </w:rPr>
        <w:t>指提供中医治未病服务的内部环境和外部环境</w:t>
      </w:r>
      <w:r>
        <w:rPr>
          <w:rFonts w:hint="eastAsia" w:ascii="宋体" w:hAnsi="宋体" w:eastAsia="宋体" w:cs="宋体"/>
          <w:color w:val="000008"/>
          <w:spacing w:val="7"/>
          <w:sz w:val="20"/>
          <w:szCs w:val="20"/>
        </w:rPr>
        <w:t>。内部环境包括治未病门诊内部的卫生整洁、定期的</w:t>
      </w:r>
      <w:r>
        <w:rPr>
          <w:rFonts w:hint="eastAsia" w:ascii="宋体" w:hAnsi="宋体" w:eastAsia="宋体" w:cs="宋体"/>
          <w:color w:val="000008"/>
          <w:sz w:val="20"/>
          <w:szCs w:val="20"/>
        </w:rPr>
        <w:t xml:space="preserve">  </w:t>
      </w:r>
      <w:r>
        <w:rPr>
          <w:rFonts w:hint="eastAsia" w:ascii="宋体" w:hAnsi="宋体" w:eastAsia="宋体" w:cs="宋体"/>
          <w:color w:val="000008"/>
          <w:spacing w:val="5"/>
          <w:sz w:val="20"/>
          <w:szCs w:val="20"/>
        </w:rPr>
        <w:t>消毒、充足的光照、适宜的温度与</w:t>
      </w:r>
      <w:r>
        <w:rPr>
          <w:rFonts w:hint="eastAsia" w:ascii="宋体" w:hAnsi="宋体" w:eastAsia="宋体" w:cs="宋体"/>
          <w:color w:val="000008"/>
          <w:spacing w:val="5"/>
          <w:sz w:val="20"/>
          <w:szCs w:val="20"/>
          <w:lang w:val="en-US" w:eastAsia="zh-CN"/>
        </w:rPr>
        <w:t>良好的通风排气</w:t>
      </w:r>
      <w:r>
        <w:rPr>
          <w:rFonts w:hint="eastAsia" w:ascii="宋体" w:hAnsi="宋体" w:eastAsia="宋体" w:cs="宋体"/>
          <w:color w:val="000008"/>
          <w:spacing w:val="5"/>
          <w:sz w:val="20"/>
          <w:szCs w:val="20"/>
        </w:rPr>
        <w:t>、功能</w:t>
      </w:r>
      <w:r>
        <w:rPr>
          <w:rFonts w:hint="eastAsia" w:ascii="宋体" w:hAnsi="宋体" w:eastAsia="宋体" w:cs="宋体"/>
          <w:color w:val="000008"/>
          <w:spacing w:val="4"/>
          <w:sz w:val="20"/>
          <w:szCs w:val="20"/>
          <w:lang w:val="en-US" w:eastAsia="zh-CN"/>
        </w:rPr>
        <w:t>布局</w:t>
      </w:r>
      <w:r>
        <w:rPr>
          <w:rFonts w:hint="eastAsia" w:ascii="宋体" w:hAnsi="宋体" w:eastAsia="宋体" w:cs="宋体"/>
          <w:color w:val="000008"/>
          <w:spacing w:val="4"/>
          <w:sz w:val="20"/>
          <w:szCs w:val="20"/>
        </w:rPr>
        <w:t>划分</w:t>
      </w:r>
      <w:r>
        <w:rPr>
          <w:rFonts w:hint="eastAsia" w:ascii="宋体" w:hAnsi="宋体" w:eastAsia="宋体" w:cs="宋体"/>
          <w:color w:val="000008"/>
          <w:spacing w:val="4"/>
          <w:sz w:val="20"/>
          <w:szCs w:val="20"/>
          <w:lang w:eastAsia="zh-CN"/>
        </w:rPr>
        <w:t>、</w:t>
      </w:r>
      <w:r>
        <w:rPr>
          <w:rFonts w:hint="eastAsia" w:ascii="宋体" w:hAnsi="宋体" w:eastAsia="宋体" w:cs="宋体"/>
          <w:color w:val="000008"/>
          <w:spacing w:val="4"/>
          <w:sz w:val="20"/>
          <w:szCs w:val="20"/>
          <w:lang w:val="en-US" w:eastAsia="zh-CN"/>
        </w:rPr>
        <w:t>文化宣传</w:t>
      </w:r>
      <w:r>
        <w:rPr>
          <w:rFonts w:hint="eastAsia" w:ascii="宋体" w:hAnsi="宋体" w:eastAsia="宋体" w:cs="宋体"/>
          <w:color w:val="000008"/>
          <w:spacing w:val="4"/>
          <w:sz w:val="20"/>
          <w:szCs w:val="20"/>
        </w:rPr>
        <w:t>等；外部环境包括路标、指示牌、出入口通道、</w:t>
      </w:r>
      <w:r>
        <w:rPr>
          <w:rFonts w:hint="eastAsia" w:ascii="宋体" w:hAnsi="宋体" w:eastAsia="宋体" w:cs="宋体"/>
          <w:color w:val="000008"/>
          <w:spacing w:val="8"/>
          <w:sz w:val="20"/>
          <w:szCs w:val="20"/>
        </w:rPr>
        <w:t>与其他科室的空间关系等。</w:t>
      </w:r>
    </w:p>
    <w:p w14:paraId="095A8DFE">
      <w:pPr>
        <w:pStyle w:val="2"/>
        <w:spacing w:before="200" w:line="201" w:lineRule="auto"/>
        <w:ind w:left="5"/>
        <w:outlineLvl w:val="0"/>
        <w:rPr>
          <w:rFonts w:hint="eastAsia" w:ascii="宋体" w:hAnsi="宋体" w:eastAsia="宋体" w:cs="宋体"/>
          <w:sz w:val="20"/>
          <w:szCs w:val="20"/>
        </w:rPr>
      </w:pP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3.4</w:t>
      </w:r>
      <w:r>
        <w:rPr>
          <w:rFonts w:hint="eastAsia" w:ascii="宋体" w:hAnsi="宋体" w:eastAsia="宋体" w:cs="宋体"/>
          <w:color w:val="000008"/>
          <w:spacing w:val="8"/>
          <w:sz w:val="20"/>
          <w:szCs w:val="20"/>
        </w:rPr>
        <w:t xml:space="preserve">  </w:t>
      </w: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中医治未病门诊服务设施</w:t>
      </w:r>
      <w:r>
        <w:rPr>
          <w:rFonts w:hint="eastAsia" w:ascii="宋体" w:hAnsi="宋体" w:eastAsia="宋体" w:cs="宋体"/>
          <w:color w:val="000008"/>
          <w:spacing w:val="-10"/>
          <w:sz w:val="20"/>
          <w:szCs w:val="20"/>
        </w:rPr>
        <w:t xml:space="preserve">  </w:t>
      </w: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outpatient</w:t>
      </w:r>
      <w:r>
        <w:rPr>
          <w:rFonts w:hint="eastAsia" w:ascii="宋体" w:hAnsi="宋体" w:eastAsia="宋体" w:cs="宋体"/>
          <w:color w:val="000008"/>
          <w:spacing w:val="-10"/>
          <w:sz w:val="20"/>
          <w:szCs w:val="20"/>
        </w:rPr>
        <w:t xml:space="preserve"> </w:t>
      </w: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services</w:t>
      </w:r>
      <w:r>
        <w:rPr>
          <w:rFonts w:hint="eastAsia" w:ascii="宋体" w:hAnsi="宋体" w:eastAsia="宋体" w:cs="宋体"/>
          <w:color w:val="000008"/>
          <w:spacing w:val="-10"/>
          <w:sz w:val="20"/>
          <w:szCs w:val="20"/>
        </w:rPr>
        <w:t xml:space="preserve"> </w:t>
      </w: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facility</w:t>
      </w:r>
      <w:r>
        <w:rPr>
          <w:rFonts w:hint="eastAsia" w:ascii="宋体" w:hAnsi="宋体" w:eastAsia="宋体" w:cs="宋体"/>
          <w:color w:val="000008"/>
          <w:spacing w:val="-10"/>
          <w:sz w:val="20"/>
          <w:szCs w:val="20"/>
        </w:rPr>
        <w:t xml:space="preserve"> </w:t>
      </w: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10"/>
          <w:sz w:val="20"/>
          <w:szCs w:val="20"/>
        </w:rPr>
        <w:t xml:space="preserve"> </w:t>
      </w: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health</w:t>
      </w:r>
      <w:r>
        <w:rPr>
          <w:rFonts w:hint="eastAsia" w:ascii="宋体" w:hAnsi="宋体" w:eastAsia="宋体" w:cs="宋体"/>
          <w:color w:val="000008"/>
          <w:spacing w:val="-10"/>
          <w:sz w:val="20"/>
          <w:szCs w:val="20"/>
        </w:rPr>
        <w:t xml:space="preserve"> </w:t>
      </w:r>
      <w:r>
        <w:rPr>
          <w:rFonts w:hint="eastAsia" w:ascii="宋体" w:hAnsi="宋体" w:eastAsia="宋体" w:cs="宋体"/>
          <w:color w:val="000008"/>
          <w:spacing w:val="-10"/>
          <w:sz w:val="20"/>
          <w:szCs w:val="20"/>
          <w14:textOutline w14:w="3795" w14:cap="sq" w14:cmpd="sng">
            <w14:solidFill>
              <w14:srgbClr w14:val="000008"/>
            </w14:solidFill>
            <w14:prstDash w14:val="solid"/>
            <w14:bevel/>
          </w14:textOutline>
        </w:rPr>
        <w:t>man</w:t>
      </w:r>
      <w:r>
        <w:rPr>
          <w:rFonts w:hint="eastAsia" w:ascii="宋体" w:hAnsi="宋体" w:eastAsia="宋体" w:cs="宋体"/>
          <w:color w:val="000008"/>
          <w:spacing w:val="-11"/>
          <w:sz w:val="20"/>
          <w:szCs w:val="20"/>
          <w14:textOutline w14:w="3795" w14:cap="sq" w14:cmpd="sng">
            <w14:solidFill>
              <w14:srgbClr w14:val="000008"/>
            </w14:solidFill>
            <w14:prstDash w14:val="solid"/>
            <w14:bevel/>
          </w14:textOutline>
        </w:rPr>
        <w:t>agement</w:t>
      </w:r>
      <w:r>
        <w:rPr>
          <w:rFonts w:hint="eastAsia" w:ascii="宋体" w:hAnsi="宋体" w:eastAsia="宋体" w:cs="宋体"/>
          <w:color w:val="000008"/>
          <w:spacing w:val="-11"/>
          <w:sz w:val="20"/>
          <w:szCs w:val="20"/>
        </w:rPr>
        <w:t xml:space="preserve"> </w:t>
      </w:r>
      <w:r>
        <w:rPr>
          <w:rFonts w:hint="eastAsia" w:ascii="宋体" w:hAnsi="宋体" w:eastAsia="宋体" w:cs="宋体"/>
          <w:color w:val="000008"/>
          <w:spacing w:val="-11"/>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11"/>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Chinese medicine</w:t>
      </w:r>
    </w:p>
    <w:p w14:paraId="275E5F8E">
      <w:pPr>
        <w:pStyle w:val="2"/>
        <w:spacing w:before="180" w:line="469" w:lineRule="exact"/>
        <w:ind w:right="67"/>
        <w:jc w:val="right"/>
        <w:rPr>
          <w:rFonts w:hint="eastAsia" w:ascii="宋体" w:hAnsi="宋体" w:eastAsia="宋体" w:cs="宋体"/>
          <w:sz w:val="20"/>
          <w:szCs w:val="20"/>
        </w:rPr>
      </w:pPr>
      <w:r>
        <w:rPr>
          <w:rFonts w:hint="eastAsia" w:ascii="宋体" w:hAnsi="宋体" w:eastAsia="宋体" w:cs="宋体"/>
          <w:color w:val="000008"/>
          <w:spacing w:val="8"/>
          <w:position w:val="18"/>
          <w:sz w:val="20"/>
          <w:szCs w:val="20"/>
          <w:lang w:val="en-US" w:eastAsia="zh-CN"/>
        </w:rPr>
        <w:t xml:space="preserve">   </w:t>
      </w:r>
      <w:r>
        <w:rPr>
          <w:rFonts w:hint="eastAsia" w:ascii="宋体" w:hAnsi="宋体" w:eastAsia="宋体" w:cs="宋体"/>
          <w:color w:val="000008"/>
          <w:spacing w:val="8"/>
          <w:position w:val="18"/>
          <w:sz w:val="20"/>
          <w:szCs w:val="20"/>
        </w:rPr>
        <w:t>指保障中医治未病门诊服务完成的必须设施，</w:t>
      </w:r>
      <w:r>
        <w:rPr>
          <w:rFonts w:hint="eastAsia" w:ascii="宋体" w:hAnsi="宋体" w:eastAsia="宋体" w:cs="宋体"/>
          <w:color w:val="000008"/>
          <w:spacing w:val="7"/>
          <w:position w:val="18"/>
          <w:sz w:val="20"/>
          <w:szCs w:val="20"/>
        </w:rPr>
        <w:t>包括提供服务的基本设施、主要设备和器械、</w:t>
      </w:r>
      <w:bookmarkStart w:id="0" w:name="_GoBack"/>
      <w:bookmarkEnd w:id="0"/>
      <w:r>
        <w:rPr>
          <w:rFonts w:hint="eastAsia" w:ascii="宋体" w:hAnsi="宋体" w:eastAsia="宋体" w:cs="宋体"/>
          <w:color w:val="000008"/>
          <w:spacing w:val="7"/>
          <w:position w:val="18"/>
          <w:sz w:val="20"/>
          <w:szCs w:val="20"/>
        </w:rPr>
        <w:t>其他</w:t>
      </w:r>
    </w:p>
    <w:p w14:paraId="2310C178">
      <w:pPr>
        <w:pStyle w:val="2"/>
        <w:spacing w:before="1" w:line="185" w:lineRule="auto"/>
        <w:ind w:left="2"/>
        <w:rPr>
          <w:rFonts w:hint="eastAsia" w:ascii="宋体" w:hAnsi="宋体" w:eastAsia="宋体" w:cs="宋体"/>
          <w:sz w:val="20"/>
          <w:szCs w:val="20"/>
        </w:rPr>
      </w:pPr>
      <w:r>
        <w:rPr>
          <w:rFonts w:hint="eastAsia" w:ascii="宋体" w:hAnsi="宋体" w:eastAsia="宋体" w:cs="宋体"/>
          <w:color w:val="000008"/>
          <w:spacing w:val="6"/>
          <w:sz w:val="20"/>
          <w:szCs w:val="20"/>
        </w:rPr>
        <w:t>设施等。</w:t>
      </w:r>
    </w:p>
    <w:p w14:paraId="5C95831D">
      <w:pPr>
        <w:pStyle w:val="2"/>
        <w:spacing w:before="202" w:line="201" w:lineRule="auto"/>
        <w:ind w:left="5"/>
        <w:outlineLvl w:val="0"/>
        <w:rPr>
          <w:rFonts w:hint="eastAsia" w:ascii="宋体" w:hAnsi="宋体" w:eastAsia="宋体" w:cs="宋体"/>
          <w:sz w:val="20"/>
          <w:szCs w:val="20"/>
        </w:rPr>
      </w:pPr>
      <w:r>
        <w:rPr>
          <w:rFonts w:hint="eastAsia" w:ascii="宋体" w:hAnsi="宋体" w:eastAsia="宋体" w:cs="宋体"/>
          <w:color w:val="000008"/>
          <w:spacing w:val="-11"/>
          <w:sz w:val="20"/>
          <w:szCs w:val="20"/>
          <w14:textOutline w14:w="3795" w14:cap="sq" w14:cmpd="sng">
            <w14:solidFill>
              <w14:srgbClr w14:val="000008"/>
            </w14:solidFill>
            <w14:prstDash w14:val="solid"/>
            <w14:bevel/>
          </w14:textOutline>
        </w:rPr>
        <w:t>3.5</w:t>
      </w:r>
      <w:r>
        <w:rPr>
          <w:rFonts w:hint="eastAsia" w:ascii="宋体" w:hAnsi="宋体" w:eastAsia="宋体" w:cs="宋体"/>
          <w:color w:val="000008"/>
          <w:spacing w:val="8"/>
          <w:sz w:val="20"/>
          <w:szCs w:val="20"/>
        </w:rPr>
        <w:t xml:space="preserve">  </w:t>
      </w:r>
      <w:r>
        <w:rPr>
          <w:rFonts w:hint="eastAsia" w:ascii="宋体" w:hAnsi="宋体" w:eastAsia="宋体" w:cs="宋体"/>
          <w:color w:val="000008"/>
          <w:spacing w:val="-11"/>
          <w:sz w:val="20"/>
          <w:szCs w:val="20"/>
          <w14:textOutline w14:w="3795" w14:cap="sq" w14:cmpd="sng">
            <w14:solidFill>
              <w14:srgbClr w14:val="000008"/>
            </w14:solidFill>
            <w14:prstDash w14:val="solid"/>
            <w14:bevel/>
          </w14:textOutline>
        </w:rPr>
        <w:t>中医治未病门诊服务流程</w:t>
      </w:r>
      <w:r>
        <w:rPr>
          <w:rFonts w:hint="eastAsia" w:ascii="宋体" w:hAnsi="宋体" w:eastAsia="宋体" w:cs="宋体"/>
          <w:color w:val="000008"/>
          <w:spacing w:val="-11"/>
          <w:sz w:val="20"/>
          <w:szCs w:val="20"/>
        </w:rPr>
        <w:t xml:space="preserve">  </w:t>
      </w:r>
      <w:r>
        <w:rPr>
          <w:rFonts w:hint="eastAsia" w:ascii="宋体" w:hAnsi="宋体" w:eastAsia="宋体" w:cs="宋体"/>
          <w:color w:val="000008"/>
          <w:spacing w:val="-11"/>
          <w:sz w:val="20"/>
          <w:szCs w:val="20"/>
          <w14:textOutline w14:w="3795" w14:cap="sq" w14:cmpd="sng">
            <w14:solidFill>
              <w14:srgbClr w14:val="000008"/>
            </w14:solidFill>
            <w14:prstDash w14:val="solid"/>
            <w14:bevel/>
          </w14:textOutline>
        </w:rPr>
        <w:t>outpatient</w:t>
      </w:r>
      <w:r>
        <w:rPr>
          <w:rFonts w:hint="eastAsia" w:ascii="宋体" w:hAnsi="宋体" w:eastAsia="宋体" w:cs="宋体"/>
          <w:color w:val="000008"/>
          <w:spacing w:val="-11"/>
          <w:sz w:val="20"/>
          <w:szCs w:val="20"/>
        </w:rPr>
        <w:t xml:space="preserve"> </w:t>
      </w:r>
      <w:r>
        <w:rPr>
          <w:rFonts w:hint="eastAsia" w:ascii="宋体" w:hAnsi="宋体" w:eastAsia="宋体" w:cs="宋体"/>
          <w:color w:val="000008"/>
          <w:spacing w:val="-11"/>
          <w:sz w:val="20"/>
          <w:szCs w:val="20"/>
          <w14:textOutline w14:w="3795" w14:cap="sq" w14:cmpd="sng">
            <w14:solidFill>
              <w14:srgbClr w14:val="000008"/>
            </w14:solidFill>
            <w14:prstDash w14:val="solid"/>
            <w14:bevel/>
          </w14:textOutline>
        </w:rPr>
        <w:t>servic</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es</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procedure</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health</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management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12"/>
          <w:sz w:val="20"/>
          <w:szCs w:val="20"/>
          <w14:textOutline w14:w="3795" w14:cap="sq" w14:cmpd="sng">
            <w14:solidFill>
              <w14:srgbClr w14:val="000008"/>
            </w14:solidFill>
            <w14:prstDash w14:val="solid"/>
            <w14:bevel/>
          </w14:textOutline>
        </w:rPr>
        <w:t>of</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9"/>
          <w:sz w:val="20"/>
          <w:szCs w:val="20"/>
          <w14:textOutline w14:w="3795" w14:cap="sq" w14:cmpd="sng">
            <w14:solidFill>
              <w14:srgbClr w14:val="000008"/>
            </w14:solidFill>
            <w14:prstDash w14:val="solid"/>
            <w14:bevel/>
          </w14:textOutline>
        </w:rPr>
        <w:t>Chinese medicine</w:t>
      </w:r>
    </w:p>
    <w:p w14:paraId="2EE12B5F">
      <w:pPr>
        <w:pStyle w:val="2"/>
        <w:spacing w:before="180" w:line="474" w:lineRule="exact"/>
        <w:ind w:right="65"/>
        <w:jc w:val="center"/>
        <w:rPr>
          <w:rFonts w:hint="eastAsia" w:ascii="宋体" w:hAnsi="宋体" w:eastAsia="宋体" w:cs="宋体"/>
          <w:sz w:val="20"/>
          <w:szCs w:val="20"/>
        </w:rPr>
      </w:pPr>
      <w:r>
        <w:rPr>
          <w:rFonts w:hint="eastAsia" w:ascii="宋体" w:hAnsi="宋体" w:eastAsia="宋体" w:cs="宋体"/>
          <w:color w:val="000008"/>
          <w:spacing w:val="8"/>
          <w:position w:val="19"/>
          <w:sz w:val="20"/>
          <w:szCs w:val="20"/>
        </w:rPr>
        <w:t>指中医治未病服务的整体过程，包括治未病门诊的预</w:t>
      </w:r>
      <w:r>
        <w:rPr>
          <w:rFonts w:hint="eastAsia" w:ascii="宋体" w:hAnsi="宋体" w:eastAsia="宋体" w:cs="宋体"/>
          <w:color w:val="000008"/>
          <w:spacing w:val="7"/>
          <w:position w:val="19"/>
          <w:sz w:val="20"/>
          <w:szCs w:val="20"/>
        </w:rPr>
        <w:t>约、挂号、导</w:t>
      </w:r>
      <w:r>
        <w:rPr>
          <w:rFonts w:hint="eastAsia" w:ascii="宋体" w:hAnsi="宋体" w:eastAsia="宋体" w:cs="宋体"/>
          <w:color w:val="000008"/>
          <w:spacing w:val="7"/>
          <w:position w:val="19"/>
          <w:sz w:val="20"/>
          <w:szCs w:val="20"/>
          <w:lang w:val="en-US" w:eastAsia="zh-CN"/>
        </w:rPr>
        <w:t>诊</w:t>
      </w:r>
      <w:r>
        <w:rPr>
          <w:rFonts w:hint="eastAsia" w:ascii="宋体" w:hAnsi="宋体" w:eastAsia="宋体" w:cs="宋体"/>
          <w:color w:val="000008"/>
          <w:spacing w:val="7"/>
          <w:position w:val="19"/>
          <w:sz w:val="20"/>
          <w:szCs w:val="20"/>
        </w:rPr>
        <w:t>、候诊、治疗和随</w:t>
      </w:r>
      <w:r>
        <w:rPr>
          <w:rFonts w:hint="eastAsia" w:ascii="宋体" w:hAnsi="宋体" w:eastAsia="宋体" w:cs="宋体"/>
          <w:color w:val="000008"/>
          <w:spacing w:val="7"/>
          <w:position w:val="19"/>
          <w:sz w:val="20"/>
          <w:szCs w:val="20"/>
          <w:lang w:val="en-US" w:eastAsia="zh-CN"/>
        </w:rPr>
        <w:t>访</w:t>
      </w:r>
      <w:r>
        <w:rPr>
          <w:rFonts w:hint="eastAsia" w:ascii="宋体" w:hAnsi="宋体" w:eastAsia="宋体" w:cs="宋体"/>
          <w:color w:val="000008"/>
          <w:spacing w:val="7"/>
          <w:position w:val="19"/>
          <w:sz w:val="20"/>
          <w:szCs w:val="20"/>
        </w:rPr>
        <w:t>等环</w:t>
      </w:r>
    </w:p>
    <w:p w14:paraId="22B90CC2">
      <w:pPr>
        <w:pStyle w:val="2"/>
        <w:spacing w:before="1" w:line="184" w:lineRule="auto"/>
        <w:ind w:left="4"/>
        <w:rPr>
          <w:rFonts w:hint="eastAsia" w:ascii="宋体" w:hAnsi="宋体" w:eastAsia="宋体" w:cs="宋体"/>
          <w:sz w:val="20"/>
          <w:szCs w:val="20"/>
        </w:rPr>
      </w:pPr>
      <w:r>
        <w:rPr>
          <w:rFonts w:hint="eastAsia" w:ascii="宋体" w:hAnsi="宋体" w:eastAsia="宋体" w:cs="宋体"/>
          <w:color w:val="000008"/>
          <w:spacing w:val="1"/>
          <w:sz w:val="20"/>
          <w:szCs w:val="20"/>
        </w:rPr>
        <w:t>节。</w:t>
      </w:r>
    </w:p>
    <w:p w14:paraId="2B1CE862">
      <w:pPr>
        <w:pStyle w:val="2"/>
        <w:spacing w:before="313" w:line="198" w:lineRule="auto"/>
        <w:ind w:left="3"/>
        <w:rPr>
          <w:rFonts w:hint="eastAsia" w:ascii="宋体" w:hAnsi="宋体" w:eastAsia="宋体" w:cs="宋体"/>
          <w:sz w:val="20"/>
          <w:szCs w:val="20"/>
        </w:rPr>
      </w:pPr>
      <w:r>
        <w:rPr>
          <w:rFonts w:hint="eastAsia" w:ascii="宋体" w:hAnsi="宋体" w:eastAsia="宋体" w:cs="宋体"/>
          <w:spacing w:val="6"/>
          <w:sz w:val="20"/>
          <w:szCs w:val="20"/>
          <w14:textOutline w14:w="3795" w14:cap="sq" w14:cmpd="sng">
            <w14:solidFill>
              <w14:srgbClr w14:val="000000"/>
            </w14:solidFill>
            <w14:prstDash w14:val="solid"/>
            <w14:bevel/>
          </w14:textOutline>
        </w:rPr>
        <w:t>4</w:t>
      </w:r>
      <w:r>
        <w:rPr>
          <w:rFonts w:hint="eastAsia" w:ascii="宋体" w:hAnsi="宋体" w:eastAsia="宋体" w:cs="宋体"/>
          <w:spacing w:val="23"/>
          <w:w w:val="101"/>
          <w:sz w:val="20"/>
          <w:szCs w:val="20"/>
        </w:rPr>
        <w:t xml:space="preserve"> </w:t>
      </w:r>
      <w:r>
        <w:rPr>
          <w:rFonts w:hint="eastAsia" w:ascii="宋体" w:hAnsi="宋体" w:eastAsia="宋体" w:cs="宋体"/>
          <w:spacing w:val="6"/>
          <w:sz w:val="20"/>
          <w:szCs w:val="20"/>
          <w14:textOutline w14:w="3795" w14:cap="sq" w14:cmpd="sng">
            <w14:solidFill>
              <w14:srgbClr w14:val="000000"/>
            </w14:solidFill>
            <w14:prstDash w14:val="solid"/>
            <w14:bevel/>
          </w14:textOutline>
        </w:rPr>
        <w:t>中医治未病</w:t>
      </w:r>
      <w:r>
        <w:rPr>
          <w:rFonts w:hint="eastAsia" w:ascii="宋体" w:hAnsi="宋体" w:eastAsia="宋体" w:cs="宋体"/>
          <w:b/>
          <w:bCs/>
          <w:color w:val="000008"/>
          <w:spacing w:val="6"/>
          <w:sz w:val="20"/>
          <w:szCs w:val="20"/>
        </w:rPr>
        <w:t>门诊服务范围和内容</w:t>
      </w:r>
    </w:p>
    <w:p w14:paraId="02E8862D">
      <w:pPr>
        <w:pStyle w:val="2"/>
        <w:spacing w:before="311" w:line="188" w:lineRule="auto"/>
        <w:ind w:left="3"/>
        <w:outlineLvl w:val="1"/>
        <w:rPr>
          <w:rFonts w:hint="eastAsia" w:ascii="宋体" w:hAnsi="宋体" w:eastAsia="宋体" w:cs="宋体"/>
          <w:sz w:val="20"/>
          <w:szCs w:val="20"/>
        </w:rPr>
      </w:pP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4.1开设治未病门诊</w:t>
      </w:r>
    </w:p>
    <w:p w14:paraId="6EC5D55F">
      <w:pPr>
        <w:pStyle w:val="2"/>
        <w:spacing w:before="198" w:line="469" w:lineRule="exact"/>
        <w:ind w:right="67"/>
        <w:jc w:val="right"/>
        <w:rPr>
          <w:rFonts w:hint="eastAsia" w:ascii="宋体" w:hAnsi="宋体" w:eastAsia="宋体" w:cs="宋体"/>
          <w:sz w:val="20"/>
          <w:szCs w:val="20"/>
        </w:rPr>
      </w:pPr>
      <w:r>
        <w:rPr>
          <w:rFonts w:hint="eastAsia" w:ascii="宋体" w:hAnsi="宋体" w:eastAsia="宋体" w:cs="宋体"/>
          <w:color w:val="000008"/>
          <w:spacing w:val="8"/>
          <w:position w:val="18"/>
          <w:sz w:val="20"/>
          <w:szCs w:val="20"/>
          <w:lang w:val="en-US" w:eastAsia="zh-CN"/>
        </w:rPr>
        <w:t xml:space="preserve"> </w:t>
      </w:r>
      <w:r>
        <w:rPr>
          <w:rFonts w:hint="eastAsia" w:ascii="宋体" w:hAnsi="宋体" w:eastAsia="宋体" w:cs="宋体"/>
          <w:color w:val="000008"/>
          <w:spacing w:val="8"/>
          <w:position w:val="18"/>
          <w:sz w:val="20"/>
          <w:szCs w:val="20"/>
        </w:rPr>
        <w:t>治未病门诊依据国家卫生健康主管部门发布的《中</w:t>
      </w:r>
      <w:r>
        <w:rPr>
          <w:rFonts w:hint="eastAsia" w:ascii="宋体" w:hAnsi="宋体" w:eastAsia="宋体" w:cs="宋体"/>
          <w:color w:val="000008"/>
          <w:spacing w:val="7"/>
          <w:position w:val="18"/>
          <w:sz w:val="20"/>
          <w:szCs w:val="20"/>
        </w:rPr>
        <w:t>医治未病标准化工作指南》开设，应制定治未病</w:t>
      </w:r>
    </w:p>
    <w:p w14:paraId="69211B4F">
      <w:pPr>
        <w:pStyle w:val="2"/>
        <w:spacing w:before="1" w:line="187" w:lineRule="auto"/>
        <w:ind w:left="27"/>
        <w:rPr>
          <w:rFonts w:hint="eastAsia" w:ascii="宋体" w:hAnsi="宋体" w:eastAsia="宋体" w:cs="宋体"/>
          <w:sz w:val="20"/>
          <w:szCs w:val="20"/>
        </w:rPr>
      </w:pPr>
      <w:r>
        <w:rPr>
          <w:rFonts w:hint="eastAsia" w:ascii="宋体" w:hAnsi="宋体" w:eastAsia="宋体" w:cs="宋体"/>
          <w:color w:val="000008"/>
          <w:spacing w:val="6"/>
          <w:sz w:val="20"/>
          <w:szCs w:val="20"/>
        </w:rPr>
        <w:t>门诊相关的服务与管理制度、配备相应的工作人员和设施、设备。</w:t>
      </w:r>
    </w:p>
    <w:p w14:paraId="48600D51">
      <w:pPr>
        <w:pStyle w:val="2"/>
        <w:spacing w:before="199" w:line="188" w:lineRule="auto"/>
        <w:ind w:left="3"/>
        <w:outlineLvl w:val="1"/>
        <w:rPr>
          <w:rFonts w:hint="eastAsia" w:ascii="宋体" w:hAnsi="宋体" w:eastAsia="宋体" w:cs="宋体"/>
          <w:sz w:val="20"/>
          <w:szCs w:val="20"/>
        </w:rPr>
      </w:pPr>
      <w:r>
        <w:rPr>
          <w:rFonts w:hint="eastAsia" w:ascii="宋体" w:hAnsi="宋体" w:eastAsia="宋体" w:cs="宋体"/>
          <w:color w:val="000008"/>
          <w:spacing w:val="6"/>
          <w:sz w:val="20"/>
          <w:szCs w:val="20"/>
          <w14:textOutline w14:w="3795" w14:cap="sq" w14:cmpd="sng">
            <w14:solidFill>
              <w14:srgbClr w14:val="000008"/>
            </w14:solidFill>
            <w14:prstDash w14:val="solid"/>
            <w14:bevel/>
          </w14:textOutline>
        </w:rPr>
        <w:t>4.2中医治未病门诊服务范围</w:t>
      </w:r>
    </w:p>
    <w:p w14:paraId="02F53BEE">
      <w:pPr>
        <w:pStyle w:val="2"/>
        <w:spacing w:before="198" w:line="328" w:lineRule="auto"/>
        <w:ind w:right="67" w:firstLine="448"/>
        <w:jc w:val="both"/>
        <w:rPr>
          <w:rFonts w:hint="eastAsia" w:ascii="宋体" w:hAnsi="宋体" w:eastAsia="宋体" w:cs="宋体"/>
          <w:sz w:val="20"/>
          <w:szCs w:val="20"/>
        </w:rPr>
      </w:pPr>
      <w:r>
        <w:rPr>
          <w:rFonts w:hint="eastAsia" w:ascii="宋体" w:hAnsi="宋体" w:eastAsia="宋体" w:cs="宋体"/>
          <w:color w:val="000008"/>
          <w:spacing w:val="7"/>
          <w:sz w:val="20"/>
          <w:szCs w:val="20"/>
        </w:rPr>
        <w:t>中医治未病门诊服务范围，</w:t>
      </w:r>
      <w:r>
        <w:rPr>
          <w:rFonts w:hint="eastAsia" w:ascii="宋体" w:hAnsi="宋体" w:eastAsia="宋体" w:cs="宋体"/>
          <w:color w:val="000008"/>
          <w:spacing w:val="7"/>
          <w:sz w:val="20"/>
          <w:szCs w:val="20"/>
          <w:lang w:val="en-US" w:eastAsia="zh-CN"/>
        </w:rPr>
        <w:t>基于中医治未病理论，</w:t>
      </w:r>
      <w:r>
        <w:rPr>
          <w:rFonts w:hint="eastAsia" w:ascii="宋体" w:hAnsi="宋体" w:eastAsia="宋体" w:cs="宋体"/>
          <w:color w:val="000008"/>
          <w:spacing w:val="7"/>
          <w:sz w:val="20"/>
          <w:szCs w:val="20"/>
        </w:rPr>
        <w:t>运用中医治未病服务方法和手段进行健康管理和服务，</w:t>
      </w:r>
      <w:r>
        <w:rPr>
          <w:rFonts w:hint="eastAsia" w:ascii="宋体" w:hAnsi="宋体" w:eastAsia="宋体" w:cs="宋体"/>
          <w:color w:val="000008"/>
          <w:spacing w:val="7"/>
          <w:sz w:val="20"/>
          <w:szCs w:val="20"/>
          <w:lang w:val="en-US" w:eastAsia="zh-CN"/>
        </w:rPr>
        <w:t>通过中医专家及评估设备进行体质辨识、建立健康档案，</w:t>
      </w:r>
      <w:r>
        <w:rPr>
          <w:rFonts w:hint="eastAsia" w:ascii="宋体" w:hAnsi="宋体" w:eastAsia="宋体" w:cs="宋体"/>
          <w:color w:val="000008"/>
          <w:spacing w:val="7"/>
          <w:sz w:val="20"/>
          <w:szCs w:val="20"/>
        </w:rPr>
        <w:t>采用</w:t>
      </w:r>
      <w:r>
        <w:rPr>
          <w:rFonts w:hint="eastAsia" w:ascii="宋体" w:hAnsi="宋体" w:eastAsia="宋体" w:cs="宋体"/>
          <w:color w:val="000008"/>
          <w:spacing w:val="6"/>
          <w:sz w:val="20"/>
          <w:szCs w:val="20"/>
        </w:rPr>
        <w:t>中医</w:t>
      </w:r>
      <w:r>
        <w:rPr>
          <w:rFonts w:hint="eastAsia" w:ascii="宋体" w:hAnsi="宋体" w:eastAsia="宋体" w:cs="宋体"/>
          <w:color w:val="000008"/>
          <w:spacing w:val="2"/>
          <w:sz w:val="20"/>
          <w:szCs w:val="20"/>
        </w:rPr>
        <w:t>诊疗手段，</w:t>
      </w:r>
      <w:r>
        <w:rPr>
          <w:rFonts w:hint="eastAsia" w:ascii="宋体" w:hAnsi="宋体" w:eastAsia="宋体" w:cs="宋体"/>
          <w:color w:val="000008"/>
          <w:spacing w:val="2"/>
          <w:sz w:val="20"/>
          <w:szCs w:val="20"/>
          <w:lang w:val="en-US" w:eastAsia="zh-CN"/>
        </w:rPr>
        <w:t>如中药</w:t>
      </w:r>
      <w:r>
        <w:rPr>
          <w:rFonts w:hint="eastAsia" w:ascii="宋体" w:hAnsi="宋体" w:eastAsia="宋体" w:cs="宋体"/>
          <w:color w:val="000008"/>
          <w:spacing w:val="2"/>
          <w:sz w:val="20"/>
          <w:szCs w:val="20"/>
        </w:rPr>
        <w:t>、针刺、艾灸、拔罐等中医适宜技术为治疗手段，</w:t>
      </w:r>
      <w:r>
        <w:rPr>
          <w:rFonts w:hint="eastAsia" w:ascii="宋体" w:hAnsi="宋体" w:eastAsia="宋体" w:cs="宋体"/>
          <w:color w:val="000008"/>
          <w:spacing w:val="2"/>
          <w:sz w:val="20"/>
          <w:szCs w:val="20"/>
          <w:lang w:val="en-US" w:eastAsia="zh-CN"/>
        </w:rPr>
        <w:t>通过健康宣教、饮食运动等指导，</w:t>
      </w:r>
      <w:r>
        <w:rPr>
          <w:rFonts w:hint="eastAsia" w:ascii="宋体" w:hAnsi="宋体" w:eastAsia="宋体" w:cs="宋体"/>
          <w:color w:val="000008"/>
          <w:spacing w:val="2"/>
          <w:sz w:val="20"/>
          <w:szCs w:val="20"/>
        </w:rPr>
        <w:t>为患者提供预防、保</w:t>
      </w:r>
      <w:r>
        <w:rPr>
          <w:rFonts w:hint="eastAsia" w:ascii="宋体" w:hAnsi="宋体" w:eastAsia="宋体" w:cs="宋体"/>
          <w:color w:val="000008"/>
          <w:spacing w:val="1"/>
          <w:sz w:val="20"/>
          <w:szCs w:val="20"/>
        </w:rPr>
        <w:t>健、康复、养</w:t>
      </w:r>
      <w:r>
        <w:rPr>
          <w:rFonts w:hint="eastAsia" w:ascii="宋体" w:hAnsi="宋体" w:eastAsia="宋体" w:cs="宋体"/>
          <w:color w:val="000008"/>
          <w:spacing w:val="7"/>
          <w:sz w:val="20"/>
          <w:szCs w:val="20"/>
        </w:rPr>
        <w:t>生等领域的服务。</w:t>
      </w:r>
    </w:p>
    <w:p w14:paraId="39474345">
      <w:pPr>
        <w:pStyle w:val="2"/>
        <w:spacing w:before="200" w:line="188" w:lineRule="auto"/>
        <w:ind w:left="3"/>
        <w:outlineLvl w:val="1"/>
        <w:rPr>
          <w:rFonts w:hint="eastAsia" w:ascii="宋体" w:hAnsi="宋体" w:eastAsia="宋体" w:cs="宋体"/>
          <w:sz w:val="20"/>
          <w:szCs w:val="20"/>
        </w:rPr>
      </w:pP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4.3</w:t>
      </w:r>
      <w:r>
        <w:rPr>
          <w:rFonts w:hint="eastAsia" w:ascii="宋体" w:hAnsi="宋体" w:eastAsia="宋体" w:cs="宋体"/>
          <w:color w:val="000008"/>
          <w:spacing w:val="4"/>
          <w:sz w:val="20"/>
          <w:szCs w:val="20"/>
        </w:rPr>
        <w:t xml:space="preserve">  </w:t>
      </w: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中医治未病门诊服务内容</w:t>
      </w:r>
    </w:p>
    <w:p w14:paraId="2764ECB7">
      <w:pPr>
        <w:pStyle w:val="2"/>
        <w:spacing w:before="200" w:line="188" w:lineRule="auto"/>
        <w:ind w:left="428"/>
        <w:rPr>
          <w:rFonts w:hint="eastAsia" w:ascii="宋体" w:hAnsi="宋体" w:eastAsia="宋体" w:cs="宋体"/>
          <w:sz w:val="20"/>
          <w:szCs w:val="20"/>
        </w:rPr>
      </w:pPr>
      <w:r>
        <w:rPr>
          <w:rFonts w:hint="eastAsia" w:ascii="宋体" w:hAnsi="宋体" w:eastAsia="宋体" w:cs="宋体"/>
          <w:color w:val="000008"/>
          <w:spacing w:val="6"/>
          <w:sz w:val="20"/>
          <w:szCs w:val="20"/>
        </w:rPr>
        <w:t>主要内容包括：</w:t>
      </w:r>
    </w:p>
    <w:p w14:paraId="2E28E2ED">
      <w:pPr>
        <w:pStyle w:val="2"/>
        <w:spacing w:before="198" w:line="210" w:lineRule="auto"/>
        <w:ind w:left="424"/>
        <w:rPr>
          <w:rFonts w:hint="eastAsia" w:ascii="宋体" w:hAnsi="宋体" w:eastAsia="宋体" w:cs="宋体"/>
          <w:sz w:val="20"/>
          <w:szCs w:val="20"/>
        </w:rPr>
      </w:pPr>
      <w:r>
        <w:rPr>
          <w:rFonts w:hint="eastAsia" w:ascii="宋体" w:hAnsi="宋体" w:eastAsia="宋体" w:cs="宋体"/>
          <w:color w:val="000008"/>
          <w:spacing w:val="8"/>
          <w:sz w:val="20"/>
          <w:szCs w:val="20"/>
        </w:rPr>
        <w:t>①为患者提供中医治未病门诊医疗服务；</w:t>
      </w:r>
    </w:p>
    <w:p w14:paraId="3AE07D25">
      <w:pPr>
        <w:pStyle w:val="2"/>
        <w:spacing w:before="168" w:line="210" w:lineRule="auto"/>
        <w:ind w:left="424"/>
        <w:rPr>
          <w:rFonts w:hint="eastAsia" w:ascii="宋体" w:hAnsi="宋体" w:eastAsia="宋体" w:cs="宋体"/>
          <w:sz w:val="20"/>
          <w:szCs w:val="20"/>
        </w:rPr>
      </w:pPr>
      <w:r>
        <w:rPr>
          <w:rFonts w:hint="eastAsia" w:ascii="宋体" w:hAnsi="宋体" w:eastAsia="宋体" w:cs="宋体"/>
          <w:color w:val="000008"/>
          <w:spacing w:val="8"/>
          <w:sz w:val="20"/>
          <w:szCs w:val="20"/>
        </w:rPr>
        <w:t>②将不适合在中医治未病门诊诊疗的患者收入院或转科、转院等；</w:t>
      </w:r>
    </w:p>
    <w:p w14:paraId="233A98E3">
      <w:pPr>
        <w:pStyle w:val="2"/>
        <w:spacing w:before="168" w:line="210" w:lineRule="auto"/>
        <w:ind w:left="424"/>
        <w:rPr>
          <w:rFonts w:hint="eastAsia" w:ascii="宋体" w:hAnsi="宋体" w:eastAsia="宋体" w:cs="宋体"/>
          <w:sz w:val="20"/>
          <w:szCs w:val="20"/>
        </w:rPr>
      </w:pPr>
      <w:r>
        <w:rPr>
          <w:rFonts w:hint="eastAsia" w:ascii="宋体" w:hAnsi="宋体" w:eastAsia="宋体" w:cs="宋体"/>
          <w:color w:val="000008"/>
          <w:spacing w:val="6"/>
          <w:sz w:val="20"/>
          <w:szCs w:val="20"/>
        </w:rPr>
        <w:t>③协助本医疗机构做好疾病预防、中医药文化知识宣传、</w:t>
      </w:r>
      <w:r>
        <w:rPr>
          <w:rFonts w:hint="eastAsia" w:ascii="宋体" w:hAnsi="宋体" w:eastAsia="宋体" w:cs="宋体"/>
          <w:color w:val="000008"/>
          <w:spacing w:val="6"/>
          <w:sz w:val="20"/>
          <w:szCs w:val="20"/>
          <w:highlight w:val="none"/>
        </w:rPr>
        <w:t>慢病管理等工作</w:t>
      </w:r>
      <w:r>
        <w:rPr>
          <w:rFonts w:hint="eastAsia" w:ascii="宋体" w:hAnsi="宋体" w:eastAsia="宋体" w:cs="宋体"/>
          <w:color w:val="000008"/>
          <w:spacing w:val="6"/>
          <w:sz w:val="20"/>
          <w:szCs w:val="20"/>
        </w:rPr>
        <w:t>。</w:t>
      </w:r>
    </w:p>
    <w:p w14:paraId="1BA2053A">
      <w:pPr>
        <w:pStyle w:val="2"/>
        <w:spacing w:before="288" w:line="188" w:lineRule="auto"/>
        <w:ind w:left="7"/>
        <w:rPr>
          <w:rFonts w:hint="eastAsia" w:ascii="宋体" w:hAnsi="宋体" w:eastAsia="宋体" w:cs="宋体"/>
          <w:sz w:val="20"/>
          <w:szCs w:val="20"/>
        </w:rPr>
      </w:pP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5</w:t>
      </w:r>
      <w:r>
        <w:rPr>
          <w:rFonts w:hint="eastAsia" w:ascii="宋体" w:hAnsi="宋体" w:eastAsia="宋体" w:cs="宋体"/>
          <w:color w:val="000008"/>
          <w:spacing w:val="23"/>
          <w:sz w:val="20"/>
          <w:szCs w:val="20"/>
        </w:rPr>
        <w:t xml:space="preserve"> </w:t>
      </w: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中医治未病门诊服务环境</w:t>
      </w:r>
    </w:p>
    <w:p w14:paraId="57E1C5CC">
      <w:pPr>
        <w:pStyle w:val="2"/>
        <w:spacing w:before="303" w:line="188" w:lineRule="auto"/>
        <w:ind w:left="4"/>
        <w:outlineLvl w:val="1"/>
        <w:rPr>
          <w:rFonts w:hint="eastAsia" w:ascii="宋体" w:hAnsi="宋体" w:eastAsia="宋体" w:cs="宋体"/>
          <w:sz w:val="20"/>
          <w:szCs w:val="20"/>
        </w:rPr>
      </w:pP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5.1</w:t>
      </w:r>
      <w:r>
        <w:rPr>
          <w:rFonts w:hint="eastAsia" w:ascii="宋体" w:hAnsi="宋体" w:eastAsia="宋体" w:cs="宋体"/>
          <w:color w:val="000008"/>
          <w:spacing w:val="4"/>
          <w:sz w:val="20"/>
          <w:szCs w:val="20"/>
        </w:rPr>
        <w:t xml:space="preserve">  </w:t>
      </w: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中医治未病门诊外部环境</w:t>
      </w:r>
    </w:p>
    <w:p w14:paraId="7CEA3F7F">
      <w:pPr>
        <w:pStyle w:val="2"/>
        <w:spacing w:before="199" w:line="188" w:lineRule="auto"/>
        <w:ind w:left="424"/>
        <w:rPr>
          <w:rFonts w:hint="eastAsia" w:ascii="宋体" w:hAnsi="宋体" w:eastAsia="宋体" w:cs="宋体"/>
          <w:sz w:val="20"/>
          <w:szCs w:val="20"/>
        </w:rPr>
      </w:pPr>
      <w:r>
        <w:rPr>
          <w:rFonts w:hint="eastAsia" w:ascii="宋体" w:hAnsi="宋体" w:eastAsia="宋体" w:cs="宋体"/>
          <w:color w:val="000008"/>
          <w:spacing w:val="3"/>
          <w:sz w:val="20"/>
          <w:szCs w:val="20"/>
        </w:rPr>
        <w:t>5.1.1  中医治未病门诊路标与指示牌</w:t>
      </w:r>
    </w:p>
    <w:p w14:paraId="29B05FE9">
      <w:pPr>
        <w:pStyle w:val="2"/>
        <w:spacing w:before="200" w:line="186" w:lineRule="auto"/>
        <w:ind w:left="424"/>
        <w:rPr>
          <w:rFonts w:hint="eastAsia" w:ascii="宋体" w:hAnsi="宋体" w:eastAsia="宋体" w:cs="宋体"/>
          <w:sz w:val="20"/>
          <w:szCs w:val="20"/>
        </w:rPr>
      </w:pPr>
      <w:r>
        <w:rPr>
          <w:rFonts w:hint="eastAsia" w:ascii="宋体" w:hAnsi="宋体" w:eastAsia="宋体" w:cs="宋体"/>
          <w:color w:val="000008"/>
          <w:spacing w:val="-1"/>
          <w:sz w:val="20"/>
          <w:szCs w:val="20"/>
        </w:rPr>
        <w:t>5.1.2  出入口通道</w:t>
      </w:r>
    </w:p>
    <w:p w14:paraId="0CAB7570">
      <w:pPr>
        <w:pStyle w:val="2"/>
        <w:spacing w:before="44" w:line="198" w:lineRule="auto"/>
        <w:ind w:left="2195"/>
        <w:rPr>
          <w:rFonts w:hint="eastAsia" w:ascii="宋体" w:hAnsi="宋体" w:eastAsia="宋体" w:cs="宋体"/>
          <w:sz w:val="20"/>
          <w:szCs w:val="20"/>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6"/>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5371BE8E">
      <w:pPr>
        <w:pStyle w:val="2"/>
        <w:spacing w:before="44" w:line="198" w:lineRule="auto"/>
        <w:ind w:left="2195"/>
        <w:rPr>
          <w:rFonts w:hint="eastAsia" w:ascii="宋体" w:hAnsi="宋体" w:eastAsia="宋体" w:cs="宋体"/>
          <w:sz w:val="20"/>
          <w:szCs w:val="20"/>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1" name="IM 40"/>
            <wp:cNvGraphicFramePr/>
            <a:graphic xmlns:a="http://schemas.openxmlformats.org/drawingml/2006/main">
              <a:graphicData uri="http://schemas.openxmlformats.org/drawingml/2006/picture">
                <pic:pic xmlns:pic="http://schemas.openxmlformats.org/drawingml/2006/picture">
                  <pic:nvPicPr>
                    <pic:cNvPr id="1" name="IM 40"/>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3" name="IM 42"/>
            <wp:cNvGraphicFramePr/>
            <a:graphic xmlns:a="http://schemas.openxmlformats.org/drawingml/2006/main">
              <a:graphicData uri="http://schemas.openxmlformats.org/drawingml/2006/picture">
                <pic:pic xmlns:pic="http://schemas.openxmlformats.org/drawingml/2006/picture">
                  <pic:nvPicPr>
                    <pic:cNvPr id="3" name="IM 42"/>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5" name="IM 44"/>
            <wp:cNvGraphicFramePr/>
            <a:graphic xmlns:a="http://schemas.openxmlformats.org/drawingml/2006/main">
              <a:graphicData uri="http://schemas.openxmlformats.org/drawingml/2006/picture">
                <pic:pic xmlns:pic="http://schemas.openxmlformats.org/drawingml/2006/picture">
                  <pic:nvPicPr>
                    <pic:cNvPr id="5" name="IM 44"/>
                    <pic:cNvPicPr/>
                  </pic:nvPicPr>
                  <pic:blipFill>
                    <a:blip r:embed="rId16"/>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16485593">
      <w:pPr>
        <w:pStyle w:val="2"/>
        <w:spacing w:before="200" w:line="188" w:lineRule="auto"/>
        <w:ind w:left="424"/>
        <w:rPr>
          <w:rFonts w:hint="eastAsia" w:ascii="宋体" w:hAnsi="宋体" w:eastAsia="宋体" w:cs="宋体"/>
          <w:sz w:val="20"/>
          <w:szCs w:val="20"/>
        </w:rPr>
      </w:pPr>
      <w:r>
        <w:rPr>
          <w:rFonts w:hint="eastAsia" w:ascii="宋体" w:hAnsi="宋体" w:eastAsia="宋体" w:cs="宋体"/>
          <w:color w:val="000008"/>
          <w:spacing w:val="3"/>
          <w:sz w:val="20"/>
          <w:szCs w:val="20"/>
        </w:rPr>
        <w:t>5.1.3  中医治未病门诊外部标示</w:t>
      </w:r>
    </w:p>
    <w:p w14:paraId="1C6693E4">
      <w:pPr>
        <w:pStyle w:val="2"/>
        <w:spacing w:before="199" w:line="188" w:lineRule="auto"/>
        <w:ind w:left="4"/>
        <w:outlineLvl w:val="1"/>
        <w:rPr>
          <w:rFonts w:hint="eastAsia" w:ascii="宋体" w:hAnsi="宋体" w:eastAsia="宋体" w:cs="宋体"/>
          <w:sz w:val="20"/>
          <w:szCs w:val="20"/>
        </w:rPr>
      </w:pP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5.2</w:t>
      </w:r>
      <w:r>
        <w:rPr>
          <w:rFonts w:hint="eastAsia" w:ascii="宋体" w:hAnsi="宋体" w:eastAsia="宋体" w:cs="宋体"/>
          <w:color w:val="000008"/>
          <w:spacing w:val="4"/>
          <w:sz w:val="20"/>
          <w:szCs w:val="20"/>
        </w:rPr>
        <w:t xml:space="preserve">  </w:t>
      </w: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中医治未病门诊内部环境</w:t>
      </w:r>
    </w:p>
    <w:p w14:paraId="644EFA27">
      <w:pPr>
        <w:pStyle w:val="2"/>
        <w:spacing w:before="200" w:line="188" w:lineRule="auto"/>
        <w:ind w:left="424"/>
        <w:rPr>
          <w:rFonts w:hint="eastAsia" w:ascii="宋体" w:hAnsi="宋体" w:eastAsia="宋体" w:cs="宋体"/>
          <w:sz w:val="20"/>
          <w:szCs w:val="20"/>
        </w:rPr>
      </w:pPr>
      <w:r>
        <w:rPr>
          <w:rFonts w:hint="eastAsia" w:ascii="宋体" w:hAnsi="宋体" w:eastAsia="宋体" w:cs="宋体"/>
          <w:color w:val="000008"/>
          <w:spacing w:val="3"/>
          <w:sz w:val="20"/>
          <w:szCs w:val="20"/>
        </w:rPr>
        <w:t>5.2.1  中医治未病门诊内部光照</w:t>
      </w:r>
    </w:p>
    <w:p w14:paraId="7E2B7249">
      <w:pPr>
        <w:pStyle w:val="2"/>
        <w:spacing w:before="199" w:line="188" w:lineRule="auto"/>
        <w:ind w:left="424"/>
        <w:rPr>
          <w:rFonts w:hint="eastAsia" w:ascii="宋体" w:hAnsi="宋体" w:eastAsia="宋体" w:cs="宋体"/>
          <w:sz w:val="20"/>
          <w:szCs w:val="20"/>
        </w:rPr>
      </w:pPr>
      <w:r>
        <w:rPr>
          <w:rFonts w:hint="eastAsia" w:ascii="宋体" w:hAnsi="宋体" w:eastAsia="宋体" w:cs="宋体"/>
          <w:color w:val="000008"/>
          <w:spacing w:val="4"/>
          <w:sz w:val="20"/>
          <w:szCs w:val="20"/>
        </w:rPr>
        <w:t>5.2.2  中医治未病门诊内部温度与空气调节</w:t>
      </w:r>
    </w:p>
    <w:p w14:paraId="3EDBE72D">
      <w:pPr>
        <w:pStyle w:val="2"/>
        <w:spacing w:before="199" w:line="188" w:lineRule="auto"/>
        <w:ind w:left="424"/>
        <w:rPr>
          <w:rFonts w:hint="eastAsia" w:ascii="宋体" w:hAnsi="宋体" w:eastAsia="宋体" w:cs="宋体"/>
          <w:sz w:val="20"/>
          <w:szCs w:val="20"/>
        </w:rPr>
      </w:pPr>
      <w:r>
        <w:rPr>
          <w:rFonts w:hint="eastAsia" w:ascii="宋体" w:hAnsi="宋体" w:eastAsia="宋体" w:cs="宋体"/>
          <w:color w:val="000008"/>
          <w:spacing w:val="4"/>
          <w:sz w:val="20"/>
          <w:szCs w:val="20"/>
        </w:rPr>
        <w:t>5.2.3  中医治未病门诊内部功能区划分</w:t>
      </w:r>
    </w:p>
    <w:p w14:paraId="460BC825">
      <w:pPr>
        <w:pStyle w:val="2"/>
        <w:spacing w:before="198" w:line="188" w:lineRule="auto"/>
        <w:ind w:left="4"/>
        <w:rPr>
          <w:rFonts w:hint="eastAsia" w:ascii="宋体" w:hAnsi="宋体" w:eastAsia="宋体" w:cs="宋体"/>
          <w:sz w:val="20"/>
          <w:szCs w:val="20"/>
        </w:rPr>
      </w:pPr>
      <w:r>
        <w:rPr>
          <w:rFonts w:hint="eastAsia" w:ascii="宋体" w:hAnsi="宋体" w:eastAsia="宋体" w:cs="宋体"/>
          <w:color w:val="000008"/>
          <w:spacing w:val="7"/>
          <w:sz w:val="20"/>
          <w:szCs w:val="20"/>
          <w14:textOutline w14:w="3795" w14:cap="sq" w14:cmpd="sng">
            <w14:solidFill>
              <w14:srgbClr w14:val="000008"/>
            </w14:solidFill>
            <w14:prstDash w14:val="solid"/>
            <w14:bevel/>
          </w14:textOutline>
        </w:rPr>
        <w:t>6中医治未病门诊服务设施</w:t>
      </w:r>
    </w:p>
    <w:p w14:paraId="11298D5E">
      <w:pPr>
        <w:pStyle w:val="2"/>
        <w:spacing w:before="200" w:line="188" w:lineRule="auto"/>
        <w:ind w:left="445"/>
        <w:rPr>
          <w:rFonts w:hint="eastAsia" w:ascii="宋体" w:hAnsi="宋体" w:eastAsia="宋体" w:cs="宋体"/>
          <w:sz w:val="20"/>
          <w:szCs w:val="20"/>
        </w:rPr>
      </w:pPr>
      <w:r>
        <w:rPr>
          <w:rFonts w:hint="eastAsia" w:ascii="宋体" w:hAnsi="宋体" w:eastAsia="宋体" w:cs="宋体"/>
          <w:color w:val="000008"/>
          <w:spacing w:val="7"/>
          <w:sz w:val="20"/>
          <w:szCs w:val="20"/>
        </w:rPr>
        <w:t>中医治未病门诊服务设施包括服务过程中涉及的基本设施</w:t>
      </w:r>
      <w:r>
        <w:rPr>
          <w:rFonts w:hint="eastAsia" w:ascii="宋体" w:hAnsi="宋体" w:eastAsia="宋体" w:cs="宋体"/>
          <w:color w:val="000008"/>
          <w:spacing w:val="-20"/>
          <w:sz w:val="20"/>
          <w:szCs w:val="20"/>
        </w:rPr>
        <w:t xml:space="preserve"> </w:t>
      </w:r>
      <w:r>
        <w:rPr>
          <w:rFonts w:hint="eastAsia" w:ascii="宋体" w:hAnsi="宋体" w:eastAsia="宋体" w:cs="宋体"/>
          <w:color w:val="000008"/>
          <w:spacing w:val="7"/>
          <w:sz w:val="20"/>
          <w:szCs w:val="20"/>
        </w:rPr>
        <w:t>、主要设备与器械</w:t>
      </w:r>
      <w:r>
        <w:rPr>
          <w:rFonts w:hint="eastAsia" w:ascii="宋体" w:hAnsi="宋体" w:eastAsia="宋体" w:cs="宋体"/>
          <w:color w:val="000008"/>
          <w:spacing w:val="-25"/>
          <w:sz w:val="20"/>
          <w:szCs w:val="20"/>
        </w:rPr>
        <w:t xml:space="preserve"> </w:t>
      </w:r>
      <w:r>
        <w:rPr>
          <w:rFonts w:hint="eastAsia" w:ascii="宋体" w:hAnsi="宋体" w:eastAsia="宋体" w:cs="宋体"/>
          <w:color w:val="000008"/>
          <w:spacing w:val="7"/>
          <w:sz w:val="20"/>
          <w:szCs w:val="20"/>
        </w:rPr>
        <w:t>、其他设施。</w:t>
      </w:r>
    </w:p>
    <w:p w14:paraId="5CDDF01D">
      <w:pPr>
        <w:pStyle w:val="2"/>
        <w:spacing w:before="199" w:line="188" w:lineRule="auto"/>
        <w:ind w:left="424"/>
        <w:rPr>
          <w:rFonts w:hint="eastAsia" w:ascii="宋体" w:hAnsi="宋体" w:eastAsia="宋体" w:cs="宋体"/>
          <w:sz w:val="20"/>
          <w:szCs w:val="20"/>
        </w:rPr>
      </w:pPr>
      <w:r>
        <w:rPr>
          <w:rFonts w:hint="eastAsia" w:ascii="宋体" w:hAnsi="宋体" w:eastAsia="宋体" w:cs="宋体"/>
          <w:color w:val="000008"/>
          <w:spacing w:val="4"/>
          <w:sz w:val="20"/>
          <w:szCs w:val="20"/>
        </w:rPr>
        <w:t>6.1  中医治未病门诊服务基本设施</w:t>
      </w:r>
    </w:p>
    <w:p w14:paraId="019ABB84">
      <w:pPr>
        <w:pStyle w:val="2"/>
        <w:spacing w:before="199" w:line="188" w:lineRule="auto"/>
        <w:ind w:left="424"/>
        <w:rPr>
          <w:rFonts w:hint="eastAsia" w:ascii="宋体" w:hAnsi="宋体" w:eastAsia="宋体" w:cs="宋体"/>
          <w:sz w:val="20"/>
          <w:szCs w:val="20"/>
        </w:rPr>
      </w:pPr>
      <w:r>
        <w:rPr>
          <w:rFonts w:hint="eastAsia" w:ascii="宋体" w:hAnsi="宋体" w:eastAsia="宋体" w:cs="宋体"/>
          <w:color w:val="000008"/>
          <w:spacing w:val="5"/>
          <w:sz w:val="20"/>
          <w:szCs w:val="20"/>
        </w:rPr>
        <w:t>6.2  中医治未病门诊服务主要设备与器械</w:t>
      </w:r>
    </w:p>
    <w:p w14:paraId="570E0076">
      <w:pPr>
        <w:pStyle w:val="2"/>
        <w:spacing w:before="200" w:line="188" w:lineRule="auto"/>
        <w:ind w:left="424"/>
        <w:rPr>
          <w:rFonts w:hint="eastAsia" w:ascii="宋体" w:hAnsi="宋体" w:eastAsia="宋体" w:cs="宋体"/>
          <w:sz w:val="20"/>
          <w:szCs w:val="20"/>
        </w:rPr>
      </w:pPr>
      <w:r>
        <w:rPr>
          <w:rFonts w:hint="eastAsia" w:ascii="宋体" w:hAnsi="宋体" w:eastAsia="宋体" w:cs="宋体"/>
          <w:color w:val="000008"/>
          <w:spacing w:val="4"/>
          <w:sz w:val="20"/>
          <w:szCs w:val="20"/>
        </w:rPr>
        <w:t>6.3  中医治未病门诊其他设施</w:t>
      </w:r>
    </w:p>
    <w:p w14:paraId="63948A68">
      <w:pPr>
        <w:pStyle w:val="2"/>
        <w:spacing w:before="198" w:line="188" w:lineRule="auto"/>
        <w:ind w:left="3"/>
        <w:rPr>
          <w:rFonts w:hint="eastAsia" w:ascii="宋体" w:hAnsi="宋体" w:eastAsia="宋体" w:cs="宋体"/>
          <w:sz w:val="20"/>
          <w:szCs w:val="20"/>
        </w:rPr>
      </w:pP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7</w:t>
      </w:r>
      <w:r>
        <w:rPr>
          <w:rFonts w:hint="eastAsia" w:ascii="宋体" w:hAnsi="宋体" w:eastAsia="宋体" w:cs="宋体"/>
          <w:color w:val="000008"/>
          <w:spacing w:val="22"/>
          <w:sz w:val="20"/>
          <w:szCs w:val="20"/>
        </w:rPr>
        <w:t xml:space="preserve"> </w:t>
      </w: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中医治未病门诊人员配置</w:t>
      </w:r>
    </w:p>
    <w:p w14:paraId="6BF20889">
      <w:pPr>
        <w:pStyle w:val="2"/>
        <w:spacing w:before="200" w:line="188" w:lineRule="auto"/>
        <w:ind w:left="3"/>
        <w:rPr>
          <w:rFonts w:hint="eastAsia" w:ascii="宋体" w:hAnsi="宋体" w:eastAsia="宋体" w:cs="宋体"/>
          <w:sz w:val="20"/>
          <w:szCs w:val="20"/>
        </w:rPr>
      </w:pP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7.1</w:t>
      </w:r>
      <w:r>
        <w:rPr>
          <w:rFonts w:hint="eastAsia" w:ascii="宋体" w:hAnsi="宋体" w:eastAsia="宋体" w:cs="宋体"/>
          <w:color w:val="000008"/>
          <w:spacing w:val="4"/>
          <w:sz w:val="20"/>
          <w:szCs w:val="20"/>
        </w:rPr>
        <w:t xml:space="preserve">  </w:t>
      </w: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中医治未病门诊应至少配备</w:t>
      </w:r>
      <w:r>
        <w:rPr>
          <w:rFonts w:hint="eastAsia" w:ascii="宋体" w:hAnsi="宋体" w:eastAsia="宋体" w:cs="宋体"/>
          <w:color w:val="000008"/>
          <w:spacing w:val="4"/>
          <w:sz w:val="20"/>
          <w:szCs w:val="20"/>
        </w:rPr>
        <w:t>：</w:t>
      </w:r>
    </w:p>
    <w:p w14:paraId="4C1F15AD">
      <w:pPr>
        <w:pStyle w:val="2"/>
        <w:spacing w:before="201" w:line="465" w:lineRule="exact"/>
        <w:ind w:right="55"/>
        <w:jc w:val="center"/>
        <w:rPr>
          <w:rFonts w:hint="eastAsia" w:ascii="宋体" w:hAnsi="宋体" w:eastAsia="宋体" w:cs="宋体"/>
          <w:sz w:val="20"/>
          <w:szCs w:val="20"/>
        </w:rPr>
      </w:pPr>
      <w:r>
        <w:rPr>
          <w:rFonts w:hint="eastAsia" w:ascii="宋体" w:hAnsi="宋体" w:eastAsia="宋体" w:cs="宋体"/>
          <w:color w:val="000008"/>
          <w:spacing w:val="6"/>
          <w:position w:val="18"/>
          <w:sz w:val="20"/>
          <w:szCs w:val="20"/>
          <w:lang w:val="en-US" w:eastAsia="zh-CN"/>
        </w:rPr>
        <w:t xml:space="preserve"> </w:t>
      </w:r>
      <w:r>
        <w:rPr>
          <w:rFonts w:hint="eastAsia" w:ascii="宋体" w:hAnsi="宋体" w:eastAsia="宋体" w:cs="宋体"/>
          <w:color w:val="000008"/>
          <w:spacing w:val="6"/>
          <w:position w:val="18"/>
          <w:sz w:val="20"/>
          <w:szCs w:val="20"/>
        </w:rPr>
        <w:t>①</w:t>
      </w:r>
      <w:r>
        <w:rPr>
          <w:rFonts w:hint="eastAsia" w:ascii="宋体" w:hAnsi="宋体" w:eastAsia="宋体" w:cs="宋体"/>
          <w:color w:val="000008"/>
          <w:spacing w:val="6"/>
          <w:position w:val="18"/>
          <w:sz w:val="20"/>
          <w:szCs w:val="20"/>
          <w:highlight w:val="yellow"/>
        </w:rPr>
        <w:t>1名医师</w:t>
      </w:r>
      <w:r>
        <w:rPr>
          <w:rFonts w:hint="eastAsia" w:ascii="宋体" w:hAnsi="宋体" w:eastAsia="宋体" w:cs="宋体"/>
          <w:color w:val="000008"/>
          <w:spacing w:val="6"/>
          <w:position w:val="18"/>
          <w:sz w:val="20"/>
          <w:szCs w:val="20"/>
        </w:rPr>
        <w:t>，为中级职称及以上(或经过中医治未病相关培训，从事中医治</w:t>
      </w:r>
      <w:r>
        <w:rPr>
          <w:rFonts w:hint="eastAsia" w:ascii="宋体" w:hAnsi="宋体" w:eastAsia="宋体" w:cs="宋体"/>
          <w:color w:val="000008"/>
          <w:spacing w:val="5"/>
          <w:position w:val="18"/>
          <w:sz w:val="20"/>
          <w:szCs w:val="20"/>
        </w:rPr>
        <w:t>未病相关工作3年及以</w:t>
      </w:r>
    </w:p>
    <w:p w14:paraId="5957BFC7">
      <w:pPr>
        <w:pStyle w:val="2"/>
        <w:spacing w:line="213" w:lineRule="auto"/>
        <w:rPr>
          <w:rFonts w:hint="eastAsia" w:ascii="宋体" w:hAnsi="宋体" w:eastAsia="宋体" w:cs="宋体"/>
          <w:sz w:val="20"/>
          <w:szCs w:val="20"/>
        </w:rPr>
      </w:pPr>
      <w:r>
        <w:rPr>
          <w:rFonts w:hint="eastAsia" w:ascii="宋体" w:hAnsi="宋体" w:eastAsia="宋体" w:cs="宋体"/>
          <w:color w:val="000008"/>
          <w:spacing w:val="5"/>
          <w:sz w:val="20"/>
          <w:szCs w:val="20"/>
        </w:rPr>
        <w:t>上) 的</w:t>
      </w:r>
      <w:r>
        <w:rPr>
          <w:rFonts w:hint="eastAsia" w:ascii="宋体" w:hAnsi="宋体" w:eastAsia="宋体" w:cs="宋体"/>
          <w:color w:val="000008"/>
          <w:spacing w:val="5"/>
          <w:sz w:val="20"/>
          <w:szCs w:val="20"/>
          <w:highlight w:val="none"/>
          <w:lang w:eastAsia="zh-CN"/>
        </w:rPr>
        <w:t>中医</w:t>
      </w:r>
      <w:r>
        <w:rPr>
          <w:rFonts w:hint="eastAsia" w:ascii="宋体" w:hAnsi="宋体" w:eastAsia="宋体" w:cs="宋体"/>
          <w:color w:val="000008"/>
          <w:spacing w:val="5"/>
          <w:sz w:val="20"/>
          <w:szCs w:val="20"/>
          <w:highlight w:val="none"/>
        </w:rPr>
        <w:t>学科的医师</w:t>
      </w:r>
      <w:r>
        <w:rPr>
          <w:rFonts w:hint="eastAsia" w:ascii="宋体" w:hAnsi="宋体" w:eastAsia="宋体" w:cs="宋体"/>
          <w:color w:val="000008"/>
          <w:spacing w:val="5"/>
          <w:sz w:val="20"/>
          <w:szCs w:val="20"/>
        </w:rPr>
        <w:t>；</w:t>
      </w:r>
    </w:p>
    <w:p w14:paraId="3AB02F25">
      <w:pPr>
        <w:pStyle w:val="2"/>
        <w:spacing w:before="167" w:line="468" w:lineRule="exact"/>
        <w:ind w:left="422"/>
        <w:rPr>
          <w:rFonts w:hint="eastAsia" w:ascii="宋体" w:hAnsi="宋体" w:eastAsia="宋体" w:cs="宋体"/>
          <w:sz w:val="20"/>
          <w:szCs w:val="20"/>
        </w:rPr>
      </w:pPr>
      <w:r>
        <w:rPr>
          <w:rFonts w:hint="eastAsia" w:ascii="宋体" w:hAnsi="宋体" w:eastAsia="宋体" w:cs="宋体"/>
          <w:color w:val="000008"/>
          <w:spacing w:val="7"/>
          <w:position w:val="21"/>
          <w:sz w:val="20"/>
          <w:szCs w:val="20"/>
        </w:rPr>
        <w:t>②</w:t>
      </w:r>
      <w:r>
        <w:rPr>
          <w:rFonts w:hint="eastAsia" w:ascii="宋体" w:hAnsi="宋体" w:eastAsia="宋体" w:cs="宋体"/>
          <w:color w:val="000008"/>
          <w:spacing w:val="7"/>
          <w:position w:val="21"/>
          <w:sz w:val="20"/>
          <w:szCs w:val="20"/>
          <w:highlight w:val="yellow"/>
        </w:rPr>
        <w:t>1名具有3年</w:t>
      </w:r>
      <w:r>
        <w:rPr>
          <w:rFonts w:hint="eastAsia" w:ascii="宋体" w:hAnsi="宋体" w:eastAsia="宋体" w:cs="宋体"/>
          <w:color w:val="000008"/>
          <w:spacing w:val="7"/>
          <w:position w:val="21"/>
          <w:sz w:val="20"/>
          <w:szCs w:val="20"/>
        </w:rPr>
        <w:t>及以上工作经验或经过中医治未病护理相关专业培训的</w:t>
      </w:r>
      <w:r>
        <w:rPr>
          <w:rFonts w:hint="eastAsia" w:ascii="宋体" w:hAnsi="宋体" w:eastAsia="宋体" w:cs="宋体"/>
          <w:color w:val="000008"/>
          <w:spacing w:val="6"/>
          <w:position w:val="21"/>
          <w:sz w:val="20"/>
          <w:szCs w:val="20"/>
        </w:rPr>
        <w:t>护士。</w:t>
      </w:r>
    </w:p>
    <w:p w14:paraId="05BD347A">
      <w:pPr>
        <w:pStyle w:val="2"/>
        <w:spacing w:before="1" w:line="181" w:lineRule="auto"/>
        <w:ind w:left="422"/>
        <w:rPr>
          <w:rFonts w:hint="eastAsia" w:ascii="宋体" w:hAnsi="宋体" w:eastAsia="宋体" w:cs="宋体"/>
          <w:sz w:val="20"/>
          <w:szCs w:val="20"/>
        </w:rPr>
      </w:pPr>
      <w:r>
        <w:rPr>
          <w:rFonts w:hint="eastAsia" w:ascii="宋体" w:hAnsi="宋体" w:eastAsia="宋体" w:cs="宋体"/>
          <w:color w:val="000008"/>
          <w:spacing w:val="8"/>
          <w:sz w:val="20"/>
          <w:szCs w:val="20"/>
        </w:rPr>
        <w:t>③可根据需要联合各专科医师共同开展工作。</w:t>
      </w:r>
    </w:p>
    <w:p w14:paraId="5D1C5FED">
      <w:pPr>
        <w:pStyle w:val="2"/>
        <w:spacing w:before="206" w:line="186" w:lineRule="auto"/>
        <w:ind w:left="3"/>
        <w:outlineLvl w:val="1"/>
        <w:rPr>
          <w:rFonts w:hint="eastAsia" w:ascii="宋体" w:hAnsi="宋体" w:eastAsia="宋体" w:cs="宋体"/>
          <w:sz w:val="20"/>
          <w:szCs w:val="20"/>
        </w:rPr>
      </w:pPr>
      <w:r>
        <w:rPr>
          <w:rFonts w:hint="eastAsia" w:ascii="宋体" w:hAnsi="宋体" w:eastAsia="宋体" w:cs="宋体"/>
          <w:color w:val="000008"/>
          <w:spacing w:val="2"/>
          <w:sz w:val="20"/>
          <w:szCs w:val="20"/>
          <w14:textOutline w14:w="3795" w14:cap="sq" w14:cmpd="sng">
            <w14:solidFill>
              <w14:srgbClr w14:val="000008"/>
            </w14:solidFill>
            <w14:prstDash w14:val="solid"/>
            <w14:bevel/>
          </w14:textOutline>
        </w:rPr>
        <w:t>7.2</w:t>
      </w:r>
      <w:r>
        <w:rPr>
          <w:rFonts w:hint="eastAsia" w:ascii="宋体" w:hAnsi="宋体" w:eastAsia="宋体" w:cs="宋体"/>
          <w:color w:val="000008"/>
          <w:spacing w:val="2"/>
          <w:sz w:val="20"/>
          <w:szCs w:val="20"/>
        </w:rPr>
        <w:t xml:space="preserve"> </w:t>
      </w:r>
      <w:r>
        <w:rPr>
          <w:rFonts w:hint="eastAsia" w:ascii="宋体" w:hAnsi="宋体" w:eastAsia="宋体" w:cs="宋体"/>
          <w:color w:val="000008"/>
          <w:spacing w:val="2"/>
          <w:sz w:val="20"/>
          <w:szCs w:val="20"/>
          <w14:textOutline w14:w="3795" w14:cap="sq" w14:cmpd="sng">
            <w14:solidFill>
              <w14:srgbClr w14:val="000008"/>
            </w14:solidFill>
            <w14:prstDash w14:val="solid"/>
            <w14:bevel/>
          </w14:textOutline>
        </w:rPr>
        <w:t>工作人员要求</w:t>
      </w:r>
    </w:p>
    <w:p w14:paraId="77736E0E">
      <w:pPr>
        <w:pStyle w:val="2"/>
        <w:spacing w:before="203" w:line="466" w:lineRule="exact"/>
        <w:jc w:val="right"/>
        <w:rPr>
          <w:rFonts w:hint="eastAsia" w:ascii="宋体" w:hAnsi="宋体" w:eastAsia="宋体" w:cs="宋体"/>
          <w:sz w:val="20"/>
          <w:szCs w:val="20"/>
        </w:rPr>
      </w:pPr>
      <w:r>
        <w:rPr>
          <w:rFonts w:hint="eastAsia" w:ascii="宋体" w:hAnsi="宋体" w:eastAsia="宋体" w:cs="宋体"/>
          <w:color w:val="000008"/>
          <w:spacing w:val="6"/>
          <w:position w:val="18"/>
          <w:sz w:val="20"/>
          <w:szCs w:val="20"/>
        </w:rPr>
        <w:t>①中医治未病门诊医师应具备中</w:t>
      </w:r>
      <w:r>
        <w:rPr>
          <w:rFonts w:hint="eastAsia" w:ascii="宋体" w:hAnsi="宋体" w:eastAsia="宋体" w:cs="宋体"/>
          <w:color w:val="000008"/>
          <w:spacing w:val="6"/>
          <w:position w:val="18"/>
          <w:sz w:val="20"/>
          <w:szCs w:val="20"/>
          <w:highlight w:val="none"/>
        </w:rPr>
        <w:t>医</w:t>
      </w:r>
      <w:r>
        <w:rPr>
          <w:rFonts w:hint="eastAsia" w:ascii="宋体" w:hAnsi="宋体" w:eastAsia="宋体" w:cs="宋体"/>
          <w:color w:val="000008"/>
          <w:spacing w:val="6"/>
          <w:position w:val="18"/>
          <w:sz w:val="20"/>
          <w:szCs w:val="20"/>
          <w:highlight w:val="none"/>
          <w:lang w:eastAsia="zh-CN"/>
        </w:rPr>
        <w:t>体质</w:t>
      </w:r>
      <w:r>
        <w:rPr>
          <w:rFonts w:hint="eastAsia" w:ascii="宋体" w:hAnsi="宋体" w:eastAsia="宋体" w:cs="宋体"/>
          <w:color w:val="000008"/>
          <w:spacing w:val="6"/>
          <w:position w:val="18"/>
          <w:sz w:val="20"/>
          <w:szCs w:val="20"/>
          <w:highlight w:val="none"/>
        </w:rPr>
        <w:t>评估能力</w:t>
      </w:r>
      <w:r>
        <w:rPr>
          <w:rFonts w:hint="eastAsia" w:ascii="宋体" w:hAnsi="宋体" w:eastAsia="宋体" w:cs="宋体"/>
          <w:color w:val="000008"/>
          <w:spacing w:val="6"/>
          <w:position w:val="18"/>
          <w:sz w:val="20"/>
          <w:szCs w:val="20"/>
        </w:rPr>
        <w:t>，辨别患者的体质，制定适合患者的预防、保健、</w:t>
      </w:r>
    </w:p>
    <w:p w14:paraId="5AD72010">
      <w:pPr>
        <w:pStyle w:val="2"/>
        <w:spacing w:before="1" w:line="217" w:lineRule="auto"/>
        <w:ind w:left="2"/>
        <w:rPr>
          <w:rFonts w:hint="eastAsia" w:ascii="宋体" w:hAnsi="宋体" w:eastAsia="宋体" w:cs="宋体"/>
          <w:sz w:val="20"/>
          <w:szCs w:val="20"/>
        </w:rPr>
      </w:pPr>
      <w:r>
        <w:rPr>
          <w:rFonts w:hint="eastAsia" w:ascii="宋体" w:hAnsi="宋体" w:eastAsia="宋体" w:cs="宋体"/>
          <w:color w:val="000008"/>
          <w:spacing w:val="4"/>
          <w:sz w:val="20"/>
          <w:szCs w:val="20"/>
        </w:rPr>
        <w:t>康复、养生管理方案，提供方药、针刺、艾灸、拔罐等中医适宜技术服务。</w:t>
      </w:r>
    </w:p>
    <w:p w14:paraId="558D5716">
      <w:pPr>
        <w:pStyle w:val="2"/>
        <w:spacing w:before="159" w:line="468" w:lineRule="exact"/>
        <w:ind w:left="317"/>
        <w:rPr>
          <w:rFonts w:hint="eastAsia" w:ascii="宋体" w:hAnsi="宋体" w:eastAsia="宋体" w:cs="宋体"/>
          <w:color w:val="000008"/>
          <w:spacing w:val="7"/>
          <w:position w:val="19"/>
          <w:sz w:val="20"/>
          <w:szCs w:val="20"/>
          <w:lang w:eastAsia="zh-CN"/>
        </w:rPr>
      </w:pPr>
      <w:r>
        <w:rPr>
          <w:rFonts w:hint="eastAsia" w:ascii="宋体" w:hAnsi="宋体" w:eastAsia="宋体" w:cs="宋体"/>
          <w:color w:val="000008"/>
          <w:spacing w:val="8"/>
          <w:position w:val="19"/>
          <w:sz w:val="20"/>
          <w:szCs w:val="20"/>
        </w:rPr>
        <w:t>②中医治未病门诊的医师</w:t>
      </w:r>
      <w:r>
        <w:rPr>
          <w:rFonts w:hint="eastAsia" w:ascii="宋体" w:hAnsi="宋体" w:eastAsia="宋体" w:cs="宋体"/>
          <w:color w:val="000008"/>
          <w:spacing w:val="-27"/>
          <w:position w:val="19"/>
          <w:sz w:val="20"/>
          <w:szCs w:val="20"/>
        </w:rPr>
        <w:t xml:space="preserve"> </w:t>
      </w:r>
      <w:r>
        <w:rPr>
          <w:rFonts w:hint="eastAsia" w:ascii="宋体" w:hAnsi="宋体" w:eastAsia="宋体" w:cs="宋体"/>
          <w:color w:val="000008"/>
          <w:spacing w:val="8"/>
          <w:position w:val="19"/>
          <w:sz w:val="20"/>
          <w:szCs w:val="20"/>
        </w:rPr>
        <w:t>、护士应参加治未病相关</w:t>
      </w:r>
      <w:r>
        <w:rPr>
          <w:rFonts w:hint="eastAsia" w:ascii="宋体" w:hAnsi="宋体" w:eastAsia="宋体" w:cs="宋体"/>
          <w:color w:val="000008"/>
          <w:spacing w:val="7"/>
          <w:position w:val="19"/>
          <w:sz w:val="20"/>
          <w:szCs w:val="20"/>
        </w:rPr>
        <w:t>培训后上岗，具有良好的多学科协作能力、</w:t>
      </w:r>
      <w:r>
        <w:rPr>
          <w:rFonts w:hint="eastAsia" w:ascii="宋体" w:hAnsi="宋体" w:eastAsia="宋体" w:cs="宋体"/>
          <w:color w:val="000008"/>
          <w:spacing w:val="7"/>
          <w:position w:val="19"/>
          <w:sz w:val="20"/>
          <w:szCs w:val="20"/>
          <w:lang w:eastAsia="zh-CN"/>
        </w:rPr>
        <w:t>沟</w:t>
      </w:r>
    </w:p>
    <w:p w14:paraId="33DCE7F1">
      <w:pPr>
        <w:pStyle w:val="2"/>
        <w:spacing w:before="159" w:line="468" w:lineRule="exact"/>
        <w:rPr>
          <w:rFonts w:hint="eastAsia" w:ascii="宋体" w:hAnsi="宋体" w:eastAsia="宋体" w:cs="宋体"/>
          <w:color w:val="000008"/>
          <w:spacing w:val="7"/>
          <w:position w:val="19"/>
          <w:sz w:val="20"/>
          <w:szCs w:val="20"/>
          <w:lang w:eastAsia="zh-CN"/>
        </w:rPr>
      </w:pPr>
      <w:r>
        <w:rPr>
          <w:rFonts w:hint="eastAsia" w:ascii="宋体" w:hAnsi="宋体" w:eastAsia="宋体" w:cs="宋体"/>
          <w:color w:val="000008"/>
          <w:spacing w:val="7"/>
          <w:position w:val="19"/>
          <w:sz w:val="20"/>
          <w:szCs w:val="20"/>
          <w:lang w:eastAsia="zh-CN"/>
        </w:rPr>
        <w:t>通能力。</w:t>
      </w:r>
    </w:p>
    <w:p w14:paraId="68A31FA2">
      <w:pPr>
        <w:pStyle w:val="2"/>
        <w:spacing w:before="159" w:line="468" w:lineRule="exact"/>
        <w:rPr>
          <w:rFonts w:hint="eastAsia" w:ascii="宋体" w:hAnsi="宋体" w:eastAsia="宋体" w:cs="宋体"/>
          <w:sz w:val="20"/>
          <w:szCs w:val="20"/>
        </w:rPr>
      </w:pP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8</w:t>
      </w:r>
      <w:r>
        <w:rPr>
          <w:rFonts w:hint="eastAsia" w:ascii="宋体" w:hAnsi="宋体" w:eastAsia="宋体" w:cs="宋体"/>
          <w:color w:val="000008"/>
          <w:spacing w:val="4"/>
          <w:sz w:val="20"/>
          <w:szCs w:val="20"/>
        </w:rPr>
        <w:t xml:space="preserve"> </w:t>
      </w: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治未病设备配置</w:t>
      </w:r>
    </w:p>
    <w:p w14:paraId="158F81D6">
      <w:pPr>
        <w:pStyle w:val="2"/>
        <w:spacing w:before="199" w:line="190" w:lineRule="auto"/>
        <w:ind w:left="445"/>
        <w:rPr>
          <w:rFonts w:hint="eastAsia" w:ascii="宋体" w:hAnsi="宋体" w:eastAsia="宋体" w:cs="宋体"/>
          <w:sz w:val="20"/>
          <w:szCs w:val="20"/>
        </w:rPr>
      </w:pPr>
      <w:r>
        <w:rPr>
          <w:rFonts w:hint="eastAsia" w:ascii="宋体" w:hAnsi="宋体" w:eastAsia="宋体" w:cs="宋体"/>
          <w:color w:val="000008"/>
          <w:spacing w:val="9"/>
          <w:sz w:val="20"/>
          <w:szCs w:val="20"/>
        </w:rPr>
        <w:t>中医治未病门诊应根据科室的规模和业务需求等实际情况,选择需要</w:t>
      </w:r>
      <w:r>
        <w:rPr>
          <w:rFonts w:hint="eastAsia" w:ascii="宋体" w:hAnsi="宋体" w:eastAsia="宋体" w:cs="宋体"/>
          <w:color w:val="000008"/>
          <w:spacing w:val="8"/>
          <w:sz w:val="20"/>
          <w:szCs w:val="20"/>
        </w:rPr>
        <w:t>配备的主要设备与器械。</w:t>
      </w:r>
    </w:p>
    <w:p w14:paraId="24C20A09">
      <w:pPr>
        <w:pStyle w:val="2"/>
        <w:spacing w:before="197" w:line="327" w:lineRule="auto"/>
        <w:ind w:left="4" w:right="51" w:firstLine="416"/>
        <w:rPr>
          <w:rFonts w:hint="eastAsia" w:ascii="宋体" w:hAnsi="宋体" w:eastAsia="宋体" w:cs="宋体"/>
          <w:sz w:val="20"/>
          <w:szCs w:val="20"/>
        </w:rPr>
      </w:pPr>
      <w:r>
        <w:rPr>
          <w:rFonts w:hint="eastAsia" w:ascii="宋体" w:hAnsi="宋体" w:eastAsia="宋体" w:cs="宋体"/>
          <w:color w:val="000008"/>
          <w:spacing w:val="7"/>
          <w:sz w:val="20"/>
          <w:szCs w:val="20"/>
        </w:rPr>
        <w:t>①必备设备与器械：用于接诊的桌、椅等；</w:t>
      </w:r>
      <w:r>
        <w:rPr>
          <w:rFonts w:hint="eastAsia" w:ascii="宋体" w:hAnsi="宋体" w:eastAsia="宋体" w:cs="宋体"/>
          <w:color w:val="000008"/>
          <w:spacing w:val="-39"/>
          <w:sz w:val="20"/>
          <w:szCs w:val="20"/>
        </w:rPr>
        <w:t xml:space="preserve"> </w:t>
      </w:r>
      <w:r>
        <w:rPr>
          <w:rFonts w:hint="eastAsia" w:ascii="宋体" w:hAnsi="宋体" w:eastAsia="宋体" w:cs="宋体"/>
          <w:color w:val="000008"/>
          <w:spacing w:val="7"/>
          <w:sz w:val="20"/>
          <w:szCs w:val="20"/>
        </w:rPr>
        <w:t>实施信息化管理的医疗机构，</w:t>
      </w:r>
      <w:r>
        <w:rPr>
          <w:rFonts w:hint="eastAsia" w:ascii="宋体" w:hAnsi="宋体" w:eastAsia="宋体" w:cs="宋体"/>
          <w:color w:val="000008"/>
          <w:spacing w:val="6"/>
          <w:sz w:val="20"/>
          <w:szCs w:val="20"/>
        </w:rPr>
        <w:t>应配置电脑等；用于治疗</w:t>
      </w:r>
      <w:r>
        <w:rPr>
          <w:rFonts w:hint="eastAsia" w:ascii="宋体" w:hAnsi="宋体" w:eastAsia="宋体" w:cs="宋体"/>
          <w:color w:val="000008"/>
          <w:spacing w:val="8"/>
          <w:sz w:val="20"/>
          <w:szCs w:val="20"/>
        </w:rPr>
        <w:t>操作的治疗椅、治疗床及隔离装置等，治疗床的规格和数量、床单和</w:t>
      </w:r>
      <w:r>
        <w:rPr>
          <w:rFonts w:hint="eastAsia" w:ascii="宋体" w:hAnsi="宋体" w:eastAsia="宋体" w:cs="宋体"/>
          <w:color w:val="000008"/>
          <w:spacing w:val="7"/>
          <w:sz w:val="20"/>
          <w:szCs w:val="20"/>
        </w:rPr>
        <w:t>枕头的配置，应符合《医疗机构基本标准》的要求。</w:t>
      </w:r>
    </w:p>
    <w:p w14:paraId="7BD1D83E">
      <w:pPr>
        <w:pStyle w:val="2"/>
        <w:spacing w:before="304" w:line="468" w:lineRule="exact"/>
        <w:ind w:firstLine="420" w:firstLineChars="200"/>
        <w:jc w:val="left"/>
        <w:rPr>
          <w:rFonts w:hint="eastAsia" w:ascii="宋体" w:hAnsi="宋体" w:eastAsia="宋体" w:cs="宋体"/>
          <w:sz w:val="20"/>
          <w:szCs w:val="20"/>
          <w:highlight w:val="yellow"/>
        </w:rPr>
      </w:pPr>
      <w:r>
        <w:rPr>
          <w:rFonts w:hint="eastAsia" w:ascii="宋体" w:hAnsi="宋体" w:eastAsia="宋体" w:cs="宋体"/>
          <w:color w:val="000008"/>
          <w:spacing w:val="5"/>
          <w:position w:val="19"/>
          <w:sz w:val="20"/>
          <w:szCs w:val="20"/>
        </w:rPr>
        <w:t>②</w:t>
      </w:r>
      <w:r>
        <w:rPr>
          <w:rFonts w:hint="eastAsia" w:ascii="宋体" w:hAnsi="宋体" w:eastAsia="宋体" w:cs="宋体"/>
          <w:color w:val="000008"/>
          <w:spacing w:val="5"/>
          <w:position w:val="19"/>
          <w:sz w:val="20"/>
          <w:szCs w:val="20"/>
          <w:highlight w:val="yellow"/>
        </w:rPr>
        <w:t>有条件的中医治未病门诊，还可以配备中医脉诊分析系统，中医面诊仪、中医舌诊仪、</w:t>
      </w:r>
      <w:r>
        <w:rPr>
          <w:rFonts w:hint="eastAsia" w:ascii="宋体" w:hAnsi="宋体" w:eastAsia="宋体" w:cs="宋体"/>
          <w:color w:val="000008"/>
          <w:spacing w:val="5"/>
          <w:position w:val="19"/>
          <w:sz w:val="20"/>
          <w:szCs w:val="20"/>
          <w:highlight w:val="yellow"/>
          <w:lang w:eastAsia="zh-CN"/>
        </w:rPr>
        <w:t>脉诊仪等中医评估设备。</w:t>
      </w:r>
    </w:p>
    <w:p w14:paraId="76422FAE">
      <w:pPr>
        <w:pStyle w:val="2"/>
        <w:spacing w:before="44" w:line="198" w:lineRule="auto"/>
        <w:ind w:left="2199"/>
        <w:rPr>
          <w:rFonts w:hint="eastAsia" w:ascii="宋体" w:hAnsi="宋体" w:eastAsia="宋体" w:cs="宋体"/>
          <w:color w:val="000008"/>
          <w:sz w:val="20"/>
          <w:szCs w:val="20"/>
        </w:rPr>
      </w:pPr>
    </w:p>
    <w:p w14:paraId="20929E3F">
      <w:pPr>
        <w:pStyle w:val="2"/>
        <w:spacing w:before="44" w:line="198" w:lineRule="auto"/>
        <w:ind w:left="2199"/>
        <w:rPr>
          <w:rFonts w:hint="eastAsia" w:ascii="宋体" w:hAnsi="宋体" w:eastAsia="宋体" w:cs="宋体"/>
          <w:color w:val="000008"/>
          <w:sz w:val="20"/>
          <w:szCs w:val="20"/>
        </w:rPr>
      </w:pPr>
    </w:p>
    <w:p w14:paraId="76B8209F">
      <w:pPr>
        <w:pStyle w:val="2"/>
        <w:spacing w:before="44" w:line="198" w:lineRule="auto"/>
        <w:ind w:left="2199"/>
        <w:rPr>
          <w:rFonts w:hint="eastAsia" w:ascii="宋体" w:hAnsi="宋体" w:eastAsia="宋体" w:cs="宋体"/>
          <w:color w:val="000008"/>
          <w:sz w:val="20"/>
          <w:szCs w:val="20"/>
        </w:rPr>
      </w:pPr>
    </w:p>
    <w:p w14:paraId="28EE2D67">
      <w:pPr>
        <w:pStyle w:val="2"/>
        <w:spacing w:before="44" w:line="198" w:lineRule="auto"/>
        <w:ind w:left="2199"/>
        <w:rPr>
          <w:rFonts w:hint="eastAsia" w:ascii="宋体" w:hAnsi="宋体" w:eastAsia="宋体" w:cs="宋体"/>
          <w:color w:val="000008"/>
          <w:sz w:val="20"/>
          <w:szCs w:val="20"/>
        </w:rPr>
      </w:pPr>
    </w:p>
    <w:p w14:paraId="7C9335A5">
      <w:pPr>
        <w:pStyle w:val="2"/>
        <w:spacing w:before="44" w:line="198" w:lineRule="auto"/>
        <w:ind w:left="2199"/>
        <w:rPr>
          <w:rFonts w:hint="eastAsia" w:ascii="宋体" w:hAnsi="宋体" w:eastAsia="宋体" w:cs="宋体"/>
          <w:sz w:val="20"/>
          <w:szCs w:val="20"/>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635"/>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6"/>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30F765E1">
      <w:pPr>
        <w:pStyle w:val="2"/>
        <w:spacing w:before="200" w:line="188" w:lineRule="auto"/>
        <w:ind w:left="6"/>
        <w:rPr>
          <w:rFonts w:hint="eastAsia" w:ascii="宋体" w:hAnsi="宋体" w:eastAsia="宋体" w:cs="宋体"/>
          <w:sz w:val="20"/>
          <w:szCs w:val="20"/>
        </w:rPr>
      </w:pP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9</w:t>
      </w:r>
      <w:r>
        <w:rPr>
          <w:rFonts w:hint="eastAsia" w:ascii="宋体" w:hAnsi="宋体" w:eastAsia="宋体" w:cs="宋体"/>
          <w:color w:val="000008"/>
          <w:spacing w:val="23"/>
          <w:sz w:val="20"/>
          <w:szCs w:val="20"/>
        </w:rPr>
        <w:t xml:space="preserve"> </w:t>
      </w: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中医治未病门诊服务流程</w:t>
      </w:r>
    </w:p>
    <w:p w14:paraId="185264FB">
      <w:pPr>
        <w:pStyle w:val="2"/>
        <w:spacing w:before="200" w:line="185" w:lineRule="auto"/>
        <w:ind w:left="532"/>
        <w:rPr>
          <w:rFonts w:hint="eastAsia" w:ascii="宋体" w:hAnsi="宋体" w:eastAsia="宋体" w:cs="宋体"/>
          <w:sz w:val="20"/>
          <w:szCs w:val="20"/>
        </w:rPr>
      </w:pPr>
      <w:r>
        <w:rPr>
          <w:rFonts w:hint="eastAsia" w:ascii="宋体" w:hAnsi="宋体" w:eastAsia="宋体" w:cs="宋体"/>
          <w:color w:val="000008"/>
          <w:spacing w:val="8"/>
          <w:sz w:val="20"/>
          <w:szCs w:val="20"/>
        </w:rPr>
        <w:t>服务流程图见图 1</w:t>
      </w:r>
    </w:p>
    <w:p w14:paraId="1E8BA413">
      <w:pPr>
        <w:spacing w:before="166" w:line="11009" w:lineRule="exact"/>
        <w:rPr>
          <w:rFonts w:hint="eastAsia" w:ascii="宋体" w:hAnsi="宋体" w:eastAsia="宋体" w:cs="宋体"/>
        </w:rPr>
      </w:pPr>
      <w:r>
        <w:rPr>
          <w:rFonts w:hint="eastAsia" w:ascii="宋体" w:hAnsi="宋体" w:eastAsia="宋体" w:cs="宋体"/>
          <w:position w:val="-220"/>
        </w:rPr>
        <w:drawing>
          <wp:inline distT="0" distB="0" distL="0" distR="0">
            <wp:extent cx="5821680" cy="6990080"/>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7"/>
                    <a:stretch>
                      <a:fillRect/>
                    </a:stretch>
                  </pic:blipFill>
                  <pic:spPr>
                    <a:xfrm>
                      <a:off x="0" y="0"/>
                      <a:ext cx="5821680" cy="6990588"/>
                    </a:xfrm>
                    <a:prstGeom prst="rect">
                      <a:avLst/>
                    </a:prstGeom>
                  </pic:spPr>
                </pic:pic>
              </a:graphicData>
            </a:graphic>
          </wp:inline>
        </w:drawing>
      </w:r>
    </w:p>
    <w:p w14:paraId="2CB534C3">
      <w:pPr>
        <w:pStyle w:val="2"/>
        <w:spacing w:before="260" w:line="185" w:lineRule="auto"/>
        <w:ind w:left="4231"/>
        <w:rPr>
          <w:rFonts w:hint="eastAsia" w:ascii="宋体" w:hAnsi="宋体" w:eastAsia="宋体" w:cs="宋体"/>
          <w:sz w:val="20"/>
          <w:szCs w:val="20"/>
        </w:rPr>
      </w:pPr>
      <w:r>
        <w:rPr>
          <w:rFonts w:hint="eastAsia" w:ascii="宋体" w:hAnsi="宋体" w:eastAsia="宋体" w:cs="宋体"/>
          <w:color w:val="000008"/>
          <w:spacing w:val="-2"/>
          <w:sz w:val="20"/>
          <w:szCs w:val="20"/>
        </w:rPr>
        <w:t>图</w:t>
      </w:r>
      <w:r>
        <w:rPr>
          <w:rFonts w:hint="eastAsia" w:ascii="宋体" w:hAnsi="宋体" w:eastAsia="宋体" w:cs="宋体"/>
          <w:color w:val="000008"/>
          <w:spacing w:val="21"/>
          <w:sz w:val="20"/>
          <w:szCs w:val="20"/>
        </w:rPr>
        <w:t xml:space="preserve"> </w:t>
      </w:r>
      <w:r>
        <w:rPr>
          <w:rFonts w:hint="eastAsia" w:ascii="宋体" w:hAnsi="宋体" w:eastAsia="宋体" w:cs="宋体"/>
          <w:color w:val="000008"/>
          <w:spacing w:val="-2"/>
          <w:sz w:val="20"/>
          <w:szCs w:val="20"/>
        </w:rPr>
        <w:t>1 服务流程图</w:t>
      </w:r>
    </w:p>
    <w:p w14:paraId="4D857B67">
      <w:pPr>
        <w:spacing w:line="185" w:lineRule="auto"/>
        <w:rPr>
          <w:rFonts w:hint="eastAsia" w:ascii="宋体" w:hAnsi="宋体" w:eastAsia="宋体" w:cs="宋体"/>
          <w:sz w:val="20"/>
          <w:szCs w:val="20"/>
        </w:rPr>
        <w:sectPr>
          <w:footerReference r:id="rId7" w:type="default"/>
          <w:pgSz w:w="11906" w:h="16839"/>
          <w:pgMar w:top="1428" w:right="1137" w:bottom="1310" w:left="1418" w:header="0" w:footer="1102" w:gutter="0"/>
          <w:cols w:space="720" w:num="1"/>
        </w:sectPr>
      </w:pPr>
    </w:p>
    <w:p w14:paraId="7B06D2B0">
      <w:pPr>
        <w:pStyle w:val="2"/>
        <w:spacing w:before="44" w:line="198" w:lineRule="auto"/>
        <w:ind w:left="2196"/>
        <w:rPr>
          <w:rFonts w:hint="eastAsia" w:ascii="宋体" w:hAnsi="宋体" w:eastAsia="宋体" w:cs="宋体"/>
          <w:sz w:val="20"/>
          <w:szCs w:val="20"/>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5"/>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6"/>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6B6B02D9">
      <w:pPr>
        <w:spacing w:line="263" w:lineRule="auto"/>
        <w:rPr>
          <w:rFonts w:hint="eastAsia" w:ascii="宋体" w:hAnsi="宋体" w:eastAsia="宋体" w:cs="宋体"/>
          <w:sz w:val="21"/>
        </w:rPr>
      </w:pPr>
    </w:p>
    <w:p w14:paraId="03A3BCEB">
      <w:pPr>
        <w:pStyle w:val="2"/>
        <w:spacing w:before="86" w:line="188" w:lineRule="auto"/>
        <w:ind w:left="18"/>
        <w:rPr>
          <w:rFonts w:hint="eastAsia" w:ascii="宋体" w:hAnsi="宋体" w:eastAsia="宋体" w:cs="宋体"/>
          <w:sz w:val="20"/>
          <w:szCs w:val="20"/>
        </w:rPr>
      </w:pPr>
      <w:r>
        <w:rPr>
          <w:rFonts w:hint="eastAsia" w:ascii="宋体" w:hAnsi="宋体" w:eastAsia="宋体" w:cs="宋体"/>
          <w:color w:val="000008"/>
          <w:spacing w:val="2"/>
          <w:sz w:val="20"/>
          <w:szCs w:val="20"/>
          <w14:textOutline w14:w="3795" w14:cap="sq" w14:cmpd="sng">
            <w14:solidFill>
              <w14:srgbClr w14:val="000008"/>
            </w14:solidFill>
            <w14:prstDash w14:val="solid"/>
            <w14:bevel/>
          </w14:textOutline>
        </w:rPr>
        <w:t>10</w:t>
      </w:r>
      <w:r>
        <w:rPr>
          <w:rFonts w:hint="eastAsia" w:ascii="宋体" w:hAnsi="宋体" w:eastAsia="宋体" w:cs="宋体"/>
          <w:color w:val="000008"/>
          <w:spacing w:val="30"/>
          <w:sz w:val="20"/>
          <w:szCs w:val="20"/>
        </w:rPr>
        <w:t xml:space="preserve"> </w:t>
      </w:r>
      <w:r>
        <w:rPr>
          <w:rFonts w:hint="eastAsia" w:ascii="宋体" w:hAnsi="宋体" w:eastAsia="宋体" w:cs="宋体"/>
          <w:color w:val="000008"/>
          <w:spacing w:val="2"/>
          <w:sz w:val="20"/>
          <w:szCs w:val="20"/>
          <w14:textOutline w14:w="3795" w14:cap="sq" w14:cmpd="sng">
            <w14:solidFill>
              <w14:srgbClr w14:val="000008"/>
            </w14:solidFill>
            <w14:prstDash w14:val="solid"/>
            <w14:bevel/>
          </w14:textOutline>
        </w:rPr>
        <w:t>中医治未病门诊文化宣传</w:t>
      </w:r>
    </w:p>
    <w:p w14:paraId="696876F0">
      <w:pPr>
        <w:pStyle w:val="2"/>
        <w:spacing w:before="199" w:line="327" w:lineRule="auto"/>
        <w:ind w:left="4" w:firstLine="419"/>
        <w:jc w:val="both"/>
        <w:rPr>
          <w:rFonts w:hint="eastAsia" w:ascii="宋体" w:hAnsi="宋体" w:eastAsia="宋体" w:cs="宋体"/>
          <w:sz w:val="20"/>
          <w:szCs w:val="20"/>
        </w:rPr>
      </w:pPr>
      <w:r>
        <w:rPr>
          <w:rFonts w:hint="eastAsia" w:ascii="宋体" w:hAnsi="宋体" w:eastAsia="宋体" w:cs="宋体"/>
          <w:color w:val="000008"/>
          <w:spacing w:val="2"/>
          <w:sz w:val="20"/>
          <w:szCs w:val="20"/>
        </w:rPr>
        <w:t>根据本单位和“治未病</w:t>
      </w:r>
      <w:r>
        <w:rPr>
          <w:rFonts w:hint="eastAsia" w:ascii="宋体" w:hAnsi="宋体" w:eastAsia="宋体" w:cs="宋体"/>
          <w:color w:val="000008"/>
          <w:spacing w:val="-21"/>
          <w:sz w:val="20"/>
          <w:szCs w:val="20"/>
        </w:rPr>
        <w:t xml:space="preserve"> </w:t>
      </w:r>
      <w:r>
        <w:rPr>
          <w:rFonts w:hint="eastAsia" w:ascii="宋体" w:hAnsi="宋体" w:eastAsia="宋体" w:cs="宋体"/>
          <w:color w:val="000008"/>
          <w:spacing w:val="2"/>
          <w:sz w:val="20"/>
          <w:szCs w:val="20"/>
        </w:rPr>
        <w:t>”科的实际情况，在环境形象建设上注重体现中医药文化特点；加强中医“治</w:t>
      </w:r>
      <w:r>
        <w:rPr>
          <w:rFonts w:hint="eastAsia" w:ascii="宋体" w:hAnsi="宋体" w:eastAsia="宋体" w:cs="宋体"/>
          <w:color w:val="000008"/>
          <w:spacing w:val="7"/>
          <w:sz w:val="20"/>
          <w:szCs w:val="20"/>
        </w:rPr>
        <w:t>未病</w:t>
      </w:r>
      <w:r>
        <w:rPr>
          <w:rFonts w:hint="eastAsia" w:ascii="宋体" w:hAnsi="宋体" w:eastAsia="宋体" w:cs="宋体"/>
          <w:color w:val="000008"/>
          <w:spacing w:val="-33"/>
          <w:sz w:val="20"/>
          <w:szCs w:val="20"/>
        </w:rPr>
        <w:t xml:space="preserve"> </w:t>
      </w:r>
      <w:r>
        <w:rPr>
          <w:rFonts w:hint="eastAsia" w:ascii="宋体" w:hAnsi="宋体" w:eastAsia="宋体" w:cs="宋体"/>
          <w:color w:val="000008"/>
          <w:spacing w:val="7"/>
          <w:sz w:val="20"/>
          <w:szCs w:val="20"/>
        </w:rPr>
        <w:t>”理念和中医药养生保健知识的宣传，介绍中医药养生保健的方法及专家特长，彰显中医药养生保</w:t>
      </w:r>
      <w:r>
        <w:rPr>
          <w:rFonts w:hint="eastAsia" w:ascii="宋体" w:hAnsi="宋体" w:eastAsia="宋体" w:cs="宋体"/>
          <w:color w:val="000008"/>
          <w:spacing w:val="8"/>
          <w:sz w:val="20"/>
          <w:szCs w:val="20"/>
        </w:rPr>
        <w:t>健服务的特色和优势。</w:t>
      </w:r>
    </w:p>
    <w:p w14:paraId="4A4B7BFD">
      <w:pPr>
        <w:pStyle w:val="2"/>
        <w:spacing w:before="199" w:line="189" w:lineRule="auto"/>
        <w:ind w:left="18"/>
        <w:rPr>
          <w:rFonts w:hint="eastAsia" w:ascii="宋体" w:hAnsi="宋体" w:eastAsia="宋体" w:cs="宋体"/>
          <w:sz w:val="20"/>
          <w:szCs w:val="20"/>
        </w:rPr>
      </w:pP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11</w:t>
      </w:r>
      <w:r>
        <w:rPr>
          <w:rFonts w:hint="eastAsia" w:ascii="宋体" w:hAnsi="宋体" w:eastAsia="宋体" w:cs="宋体"/>
          <w:color w:val="000008"/>
          <w:spacing w:val="35"/>
          <w:sz w:val="20"/>
          <w:szCs w:val="20"/>
        </w:rPr>
        <w:t xml:space="preserve"> </w:t>
      </w:r>
      <w:r>
        <w:rPr>
          <w:rFonts w:hint="eastAsia" w:ascii="宋体" w:hAnsi="宋体" w:eastAsia="宋体" w:cs="宋体"/>
          <w:color w:val="000008"/>
          <w:spacing w:val="4"/>
          <w:sz w:val="20"/>
          <w:szCs w:val="20"/>
          <w14:textOutline w14:w="3795" w14:cap="sq" w14:cmpd="sng">
            <w14:solidFill>
              <w14:srgbClr w14:val="000008"/>
            </w14:solidFill>
            <w14:prstDash w14:val="solid"/>
            <w14:bevel/>
          </w14:textOutline>
        </w:rPr>
        <w:t>中医治未病门诊服务质量控制和保障</w:t>
      </w:r>
    </w:p>
    <w:p w14:paraId="1BE46B64">
      <w:pPr>
        <w:pStyle w:val="2"/>
        <w:spacing w:before="197" w:line="218" w:lineRule="auto"/>
        <w:ind w:left="18"/>
        <w:rPr>
          <w:rFonts w:hint="eastAsia" w:ascii="宋体" w:hAnsi="宋体" w:eastAsia="宋体" w:cs="宋体"/>
          <w:sz w:val="20"/>
          <w:szCs w:val="20"/>
        </w:rPr>
      </w:pPr>
      <w:r>
        <w:rPr>
          <w:rFonts w:hint="eastAsia" w:ascii="宋体" w:hAnsi="宋体" w:eastAsia="宋体" w:cs="宋体"/>
          <w:color w:val="000008"/>
          <w:spacing w:val="5"/>
          <w:sz w:val="20"/>
          <w:szCs w:val="20"/>
        </w:rPr>
        <w:t>11.1 随时收集中医治未病门诊医疗服务缺陷信息；</w:t>
      </w:r>
    </w:p>
    <w:p w14:paraId="2CD6C70C">
      <w:pPr>
        <w:pStyle w:val="2"/>
        <w:spacing w:before="158" w:line="217" w:lineRule="auto"/>
        <w:ind w:left="18"/>
        <w:rPr>
          <w:rFonts w:hint="eastAsia" w:ascii="宋体" w:hAnsi="宋体" w:eastAsia="宋体" w:cs="宋体"/>
          <w:sz w:val="20"/>
          <w:szCs w:val="20"/>
        </w:rPr>
      </w:pPr>
      <w:r>
        <w:rPr>
          <w:rFonts w:hint="eastAsia" w:ascii="宋体" w:hAnsi="宋体" w:eastAsia="宋体" w:cs="宋体"/>
          <w:color w:val="000008"/>
          <w:spacing w:val="2"/>
          <w:sz w:val="20"/>
          <w:szCs w:val="20"/>
        </w:rPr>
        <w:t>11.2 不断完善服务流程，提高服务质量；</w:t>
      </w:r>
    </w:p>
    <w:p w14:paraId="31525424">
      <w:pPr>
        <w:pStyle w:val="2"/>
        <w:spacing w:before="156" w:line="218" w:lineRule="auto"/>
        <w:ind w:left="18"/>
        <w:rPr>
          <w:rFonts w:hint="eastAsia" w:ascii="宋体" w:hAnsi="宋体" w:eastAsia="宋体" w:cs="宋体"/>
          <w:sz w:val="20"/>
          <w:szCs w:val="20"/>
        </w:rPr>
      </w:pPr>
      <w:r>
        <w:rPr>
          <w:rFonts w:hint="eastAsia" w:ascii="宋体" w:hAnsi="宋体" w:eastAsia="宋体" w:cs="宋体"/>
          <w:color w:val="000008"/>
          <w:spacing w:val="4"/>
          <w:sz w:val="20"/>
          <w:szCs w:val="20"/>
        </w:rPr>
        <w:t>11.3 及时分析医疗服务缺陷的主要原因，并进行改进。</w:t>
      </w:r>
    </w:p>
    <w:p w14:paraId="4F07BAC9">
      <w:pPr>
        <w:pStyle w:val="2"/>
        <w:spacing w:before="158" w:line="188" w:lineRule="auto"/>
        <w:ind w:left="18"/>
        <w:rPr>
          <w:rFonts w:hint="eastAsia" w:ascii="宋体" w:hAnsi="宋体" w:eastAsia="宋体" w:cs="宋体"/>
          <w:sz w:val="20"/>
          <w:szCs w:val="20"/>
        </w:rPr>
      </w:pP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12</w:t>
      </w:r>
      <w:r>
        <w:rPr>
          <w:rFonts w:hint="eastAsia" w:ascii="宋体" w:hAnsi="宋体" w:eastAsia="宋体" w:cs="宋体"/>
          <w:color w:val="000008"/>
          <w:spacing w:val="5"/>
          <w:sz w:val="20"/>
          <w:szCs w:val="20"/>
        </w:rPr>
        <w:t xml:space="preserve"> </w:t>
      </w:r>
      <w:r>
        <w:rPr>
          <w:rFonts w:hint="eastAsia" w:ascii="宋体" w:hAnsi="宋体" w:eastAsia="宋体" w:cs="宋体"/>
          <w:color w:val="000008"/>
          <w:spacing w:val="5"/>
          <w:sz w:val="20"/>
          <w:szCs w:val="20"/>
          <w14:textOutline w14:w="3795" w14:cap="sq" w14:cmpd="sng">
            <w14:solidFill>
              <w14:srgbClr w14:val="000008"/>
            </w14:solidFill>
            <w14:prstDash w14:val="solid"/>
            <w14:bevel/>
          </w14:textOutline>
        </w:rPr>
        <w:t>治未病门诊医疗文书书写和记录</w:t>
      </w:r>
    </w:p>
    <w:p w14:paraId="4A78F279">
      <w:pPr>
        <w:pStyle w:val="2"/>
        <w:spacing w:before="198" w:line="473" w:lineRule="exact"/>
        <w:ind w:right="4"/>
        <w:jc w:val="right"/>
        <w:rPr>
          <w:rFonts w:hint="eastAsia" w:ascii="宋体" w:hAnsi="宋体" w:eastAsia="宋体" w:cs="宋体"/>
          <w:sz w:val="20"/>
          <w:szCs w:val="20"/>
        </w:rPr>
      </w:pPr>
      <w:r>
        <w:rPr>
          <w:rFonts w:hint="eastAsia" w:ascii="宋体" w:hAnsi="宋体" w:eastAsia="宋体" w:cs="宋体"/>
          <w:color w:val="000008"/>
          <w:spacing w:val="7"/>
          <w:position w:val="18"/>
          <w:sz w:val="20"/>
          <w:szCs w:val="20"/>
        </w:rPr>
        <w:t>在提供中医治未病门诊服务的同时，应按照</w:t>
      </w:r>
      <w:r>
        <w:rPr>
          <w:rFonts w:hint="eastAsia" w:ascii="宋体" w:hAnsi="宋体" w:eastAsia="宋体" w:cs="宋体"/>
          <w:color w:val="000008"/>
          <w:spacing w:val="7"/>
          <w:position w:val="18"/>
          <w:sz w:val="20"/>
          <w:szCs w:val="20"/>
          <w:shd w:val="clear" w:fill="F5F5F5"/>
        </w:rPr>
        <w:t>《</w:t>
      </w:r>
      <w:r>
        <w:rPr>
          <w:rFonts w:hint="eastAsia" w:ascii="宋体" w:hAnsi="宋体" w:eastAsia="宋体" w:cs="宋体"/>
          <w:color w:val="000008"/>
          <w:spacing w:val="-19"/>
          <w:position w:val="18"/>
          <w:sz w:val="20"/>
          <w:szCs w:val="20"/>
        </w:rPr>
        <w:t xml:space="preserve"> </w:t>
      </w:r>
      <w:r>
        <w:rPr>
          <w:rFonts w:hint="eastAsia" w:ascii="宋体" w:hAnsi="宋体" w:eastAsia="宋体" w:cs="宋体"/>
          <w:color w:val="000008"/>
          <w:spacing w:val="7"/>
          <w:position w:val="18"/>
          <w:sz w:val="20"/>
          <w:szCs w:val="20"/>
        </w:rPr>
        <w:t>中医病历书写基本规</w:t>
      </w:r>
      <w:r>
        <w:rPr>
          <w:rFonts w:hint="eastAsia" w:ascii="宋体" w:hAnsi="宋体" w:eastAsia="宋体" w:cs="宋体"/>
          <w:color w:val="000008"/>
          <w:spacing w:val="6"/>
          <w:position w:val="18"/>
          <w:sz w:val="20"/>
          <w:szCs w:val="20"/>
        </w:rPr>
        <w:t>范</w:t>
      </w:r>
      <w:r>
        <w:rPr>
          <w:rFonts w:hint="eastAsia" w:ascii="宋体" w:hAnsi="宋体" w:eastAsia="宋体" w:cs="宋体"/>
          <w:color w:val="000008"/>
          <w:spacing w:val="6"/>
          <w:position w:val="18"/>
          <w:sz w:val="20"/>
          <w:szCs w:val="20"/>
          <w:shd w:val="clear" w:fill="F5F5F5"/>
        </w:rPr>
        <w:t>》</w:t>
      </w:r>
      <w:r>
        <w:rPr>
          <w:rFonts w:hint="eastAsia" w:ascii="宋体" w:hAnsi="宋体" w:eastAsia="宋体" w:cs="宋体"/>
          <w:color w:val="000008"/>
          <w:spacing w:val="6"/>
          <w:position w:val="18"/>
          <w:sz w:val="20"/>
          <w:szCs w:val="20"/>
        </w:rPr>
        <w:t>的要求书写门诊病历等医疗</w:t>
      </w:r>
    </w:p>
    <w:p w14:paraId="5E3B8CB7">
      <w:pPr>
        <w:pStyle w:val="2"/>
        <w:spacing w:before="1" w:line="183" w:lineRule="auto"/>
        <w:ind w:left="7"/>
        <w:rPr>
          <w:rFonts w:hint="eastAsia" w:ascii="宋体" w:hAnsi="宋体" w:eastAsia="宋体" w:cs="宋体"/>
          <w:sz w:val="20"/>
          <w:szCs w:val="20"/>
        </w:rPr>
      </w:pPr>
      <w:r>
        <w:rPr>
          <w:rFonts w:hint="eastAsia" w:ascii="宋体" w:hAnsi="宋体" w:eastAsia="宋体" w:cs="宋体"/>
          <w:color w:val="000008"/>
          <w:spacing w:val="2"/>
          <w:sz w:val="20"/>
          <w:szCs w:val="20"/>
        </w:rPr>
        <w:t>文书。</w:t>
      </w:r>
    </w:p>
    <w:p w14:paraId="3BB7510D">
      <w:pPr>
        <w:pStyle w:val="2"/>
        <w:spacing w:before="201" w:line="188" w:lineRule="auto"/>
        <w:ind w:left="18"/>
        <w:rPr>
          <w:rFonts w:hint="eastAsia" w:ascii="宋体" w:hAnsi="宋体" w:eastAsia="宋体" w:cs="宋体"/>
          <w:sz w:val="20"/>
          <w:szCs w:val="20"/>
        </w:rPr>
      </w:pPr>
      <w:r>
        <w:rPr>
          <w:rFonts w:hint="eastAsia" w:ascii="宋体" w:hAnsi="宋体" w:eastAsia="宋体" w:cs="宋体"/>
          <w:color w:val="000008"/>
          <w:spacing w:val="2"/>
          <w:sz w:val="20"/>
          <w:szCs w:val="20"/>
          <w14:textOutline w14:w="3795" w14:cap="sq" w14:cmpd="sng">
            <w14:solidFill>
              <w14:srgbClr w14:val="000008"/>
            </w14:solidFill>
            <w14:prstDash w14:val="solid"/>
            <w14:bevel/>
          </w14:textOutline>
        </w:rPr>
        <w:t>13</w:t>
      </w:r>
      <w:r>
        <w:rPr>
          <w:rFonts w:hint="eastAsia" w:ascii="宋体" w:hAnsi="宋体" w:eastAsia="宋体" w:cs="宋体"/>
          <w:color w:val="000008"/>
          <w:spacing w:val="30"/>
          <w:sz w:val="20"/>
          <w:szCs w:val="20"/>
        </w:rPr>
        <w:t xml:space="preserve"> </w:t>
      </w:r>
      <w:r>
        <w:rPr>
          <w:rFonts w:hint="eastAsia" w:ascii="宋体" w:hAnsi="宋体" w:eastAsia="宋体" w:cs="宋体"/>
          <w:color w:val="000008"/>
          <w:spacing w:val="2"/>
          <w:sz w:val="20"/>
          <w:szCs w:val="20"/>
          <w14:textOutline w14:w="3795" w14:cap="sq" w14:cmpd="sng">
            <w14:solidFill>
              <w14:srgbClr w14:val="000008"/>
            </w14:solidFill>
            <w14:prstDash w14:val="solid"/>
            <w14:bevel/>
          </w14:textOutline>
        </w:rPr>
        <w:t>中医治未病门诊服务收费</w:t>
      </w:r>
    </w:p>
    <w:p w14:paraId="4DB8D876">
      <w:pPr>
        <w:pStyle w:val="2"/>
        <w:spacing w:before="199" w:line="468" w:lineRule="exact"/>
        <w:ind w:right="2"/>
        <w:jc w:val="right"/>
        <w:rPr>
          <w:rFonts w:hint="eastAsia" w:ascii="宋体" w:hAnsi="宋体" w:eastAsia="宋体" w:cs="宋体"/>
          <w:sz w:val="20"/>
          <w:szCs w:val="20"/>
        </w:rPr>
      </w:pPr>
      <w:r>
        <w:rPr>
          <w:rFonts w:hint="eastAsia" w:ascii="宋体" w:hAnsi="宋体" w:eastAsia="宋体" w:cs="宋体"/>
          <w:color w:val="000008"/>
          <w:spacing w:val="9"/>
          <w:position w:val="18"/>
          <w:sz w:val="20"/>
          <w:szCs w:val="20"/>
        </w:rPr>
        <w:t>按照当地物价部门颁布的医疗服务收费标准进行收费，包括中医适宜技术及中医健康产品等中医</w:t>
      </w:r>
    </w:p>
    <w:p w14:paraId="085A16B5">
      <w:pPr>
        <w:pStyle w:val="2"/>
        <w:spacing w:before="2" w:line="187" w:lineRule="auto"/>
        <w:ind w:left="5"/>
        <w:rPr>
          <w:rFonts w:hint="eastAsia" w:ascii="宋体" w:hAnsi="宋体" w:eastAsia="宋体" w:cs="宋体"/>
          <w:sz w:val="20"/>
          <w:szCs w:val="20"/>
        </w:rPr>
      </w:pPr>
      <w:r>
        <w:rPr>
          <w:rFonts w:hint="eastAsia" w:ascii="宋体" w:hAnsi="宋体" w:eastAsia="宋体" w:cs="宋体"/>
          <w:color w:val="000008"/>
          <w:spacing w:val="8"/>
          <w:sz w:val="20"/>
          <w:szCs w:val="20"/>
        </w:rPr>
        <w:t>治未病门诊所提供的服务。</w:t>
      </w:r>
    </w:p>
    <w:sectPr>
      <w:footerReference r:id="rId8" w:type="default"/>
      <w:pgSz w:w="11906" w:h="16839"/>
      <w:pgMar w:top="1428" w:right="1132" w:bottom="1308" w:left="1421" w:header="0" w:footer="10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2B458">
    <w:pPr>
      <w:pStyle w:val="2"/>
      <w:spacing w:line="197" w:lineRule="exact"/>
      <w:ind w:left="9038"/>
      <w:rPr>
        <w:sz w:val="18"/>
        <w:szCs w:val="18"/>
      </w:rPr>
    </w:pPr>
    <w:r>
      <w:rPr>
        <w:color w:val="000008"/>
        <w:position w:val="-1"/>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15B5C">
    <w:pPr>
      <w:pStyle w:val="2"/>
      <w:spacing w:line="198" w:lineRule="exact"/>
      <w:ind w:left="9037"/>
      <w:rPr>
        <w:sz w:val="18"/>
        <w:szCs w:val="18"/>
      </w:rPr>
    </w:pPr>
    <w:r>
      <w:rPr>
        <w:color w:val="000008"/>
        <w:position w:val="-1"/>
        <w:sz w:val="18"/>
        <w:szCs w:val="1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F60D6">
    <w:pPr>
      <w:pStyle w:val="2"/>
      <w:spacing w:line="198" w:lineRule="exact"/>
      <w:ind w:left="9043"/>
      <w:rPr>
        <w:sz w:val="18"/>
        <w:szCs w:val="18"/>
      </w:rPr>
    </w:pPr>
    <w:r>
      <w:rPr>
        <w:color w:val="000008"/>
        <w:position w:val="-1"/>
        <w:sz w:val="18"/>
        <w:szCs w:val="18"/>
      </w:rPr>
      <w:t>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38F19">
    <w:pPr>
      <w:pStyle w:val="2"/>
      <w:spacing w:line="198" w:lineRule="exact"/>
      <w:ind w:left="9038"/>
      <w:rPr>
        <w:sz w:val="18"/>
        <w:szCs w:val="18"/>
      </w:rPr>
    </w:pPr>
    <w:r>
      <w:rPr>
        <w:color w:val="000008"/>
        <w:position w:val="-1"/>
        <w:sz w:val="18"/>
        <w:szCs w:val="18"/>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hhYjUyMDA0MWM2YTQxMGNiODU2NGM5NTIwMjEzMWMifQ=="/>
  </w:docVars>
  <w:rsids>
    <w:rsidRoot w:val="00000000"/>
    <w:rsid w:val="11A93B4C"/>
    <w:rsid w:val="12CD386A"/>
    <w:rsid w:val="13EE56A0"/>
    <w:rsid w:val="1C00080C"/>
    <w:rsid w:val="21410A03"/>
    <w:rsid w:val="219E42B5"/>
    <w:rsid w:val="23072480"/>
    <w:rsid w:val="23CD191B"/>
    <w:rsid w:val="35523A2F"/>
    <w:rsid w:val="3618174E"/>
    <w:rsid w:val="427D4668"/>
    <w:rsid w:val="4C001FDF"/>
    <w:rsid w:val="6028345A"/>
    <w:rsid w:val="67A812F7"/>
    <w:rsid w:val="6B032AFA"/>
    <w:rsid w:val="70AA34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微软雅黑" w:hAnsi="微软雅黑" w:eastAsia="微软雅黑" w:cs="微软雅黑"/>
      <w:sz w:val="28"/>
      <w:szCs w:val="28"/>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1407</Words>
  <Characters>1938</Characters>
  <TotalTime>58</TotalTime>
  <ScaleCrop>false</ScaleCrop>
  <LinksUpToDate>false</LinksUpToDate>
  <CharactersWithSpaces>2179</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2024-03-19T09:29:00Z</dcterms:created>
  <dc:creator>朱婷婷</dc:creator>
  <cp:lastModifiedBy>忐忑</cp:lastModifiedBy>
  <cp:lastPrinted>2024-03-21T01:14:00Z</cp:lastPrinted>
  <dcterms:modified xsi:type="dcterms:W3CDTF">2025-04-11T01:11:59Z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2024-03-20T18:02:07Z</vt:filetime>
  </property>
  <property fmtid="{D5CDD505-2E9C-101B-9397-08002B2CF9AE}" pid="4" name="KSOProductBuildVer">
    <vt:lpwstr>2052-12.1.0.20305</vt:lpwstr>
  </property>
  <property fmtid="{D5CDD505-2E9C-101B-9397-08002B2CF9AE}" pid="5" name="ICV">
    <vt:lpwstr>9B9AA34DD2744730902D44BFFF3F10F3_13</vt:lpwstr>
  </property>
  <property fmtid="{D5CDD505-2E9C-101B-9397-08002B2CF9AE}" pid="6" name="KSOTemplateDocerSaveRecord">
    <vt:lpwstr>eyJoZGlkIjoiMjE1MGZmOTRhZjllMGExZDlkZTMzYmYzNTljMTkwODUiLCJ1c2VySWQiOiI0MzYwMTU0NjQifQ==</vt:lpwstr>
  </property>
</Properties>
</file>