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2A15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FF679F5">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DB1A205">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73.020</w:t>
            </w:r>
            <w:r>
              <w:rPr>
                <w:rFonts w:ascii="黑体" w:hAnsi="黑体" w:eastAsia="黑体"/>
                <w:sz w:val="21"/>
                <w:szCs w:val="21"/>
              </w:rPr>
              <w:fldChar w:fldCharType="end"/>
            </w:r>
            <w:bookmarkEnd w:id="0"/>
          </w:p>
        </w:tc>
      </w:tr>
      <w:tr w14:paraId="5E5BA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9AA25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453652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D10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1E7249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E482CAF">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0B74A2BC">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493B7E7">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202D5D7">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1D2401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9F0B767">
      <w:pPr>
        <w:pStyle w:val="50"/>
        <w:framePr w:w="9639" w:h="6976" w:hRule="exact" w:hSpace="0" w:vSpace="0" w:wrap="around" w:hAnchor="page" w:y="6408"/>
        <w:jc w:val="center"/>
        <w:rPr>
          <w:rFonts w:hint="eastAsia" w:ascii="黑体" w:hAnsi="黑体" w:eastAsia="黑体"/>
          <w:b w:val="0"/>
          <w:bCs w:val="0"/>
          <w:w w:val="100"/>
        </w:rPr>
      </w:pPr>
    </w:p>
    <w:p w14:paraId="62B8B21F">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露天矿山开采动态监测技术规程</w:t>
      </w:r>
      <w:r>
        <w:fldChar w:fldCharType="end"/>
      </w:r>
      <w:bookmarkEnd w:id="9"/>
    </w:p>
    <w:p w14:paraId="629648F2">
      <w:pPr>
        <w:framePr w:w="9639" w:h="6974" w:hRule="exact" w:wrap="around" w:vAnchor="page" w:hAnchor="page" w:x="1419" w:y="6408" w:anchorLock="1"/>
        <w:ind w:left="-1418"/>
      </w:pPr>
    </w:p>
    <w:p w14:paraId="3A79452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Regulations of Dynamic Monitoring for open-pit mines</w:t>
      </w:r>
      <w:r>
        <w:rPr>
          <w:rFonts w:eastAsia="黑体"/>
          <w:szCs w:val="28"/>
        </w:rPr>
        <w:fldChar w:fldCharType="end"/>
      </w:r>
      <w:bookmarkEnd w:id="10"/>
    </w:p>
    <w:p w14:paraId="595ECFD2">
      <w:pPr>
        <w:framePr w:w="9639" w:h="6974" w:hRule="exact" w:wrap="around" w:vAnchor="page" w:hAnchor="page" w:x="1419" w:y="6408" w:anchorLock="1"/>
        <w:spacing w:line="760" w:lineRule="exact"/>
        <w:ind w:left="-1418"/>
      </w:pPr>
    </w:p>
    <w:p w14:paraId="25577F49">
      <w:pPr>
        <w:pStyle w:val="125"/>
        <w:framePr w:w="9639" w:h="6974" w:hRule="exact" w:wrap="around" w:vAnchor="page" w:hAnchor="page" w:x="1419" w:y="6408" w:anchorLock="1"/>
        <w:textAlignment w:val="bottom"/>
        <w:rPr>
          <w:rFonts w:eastAsia="黑体"/>
          <w:szCs w:val="28"/>
        </w:rPr>
      </w:pPr>
    </w:p>
    <w:p w14:paraId="28BADEC0">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4002D5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w:t>
      </w:r>
      <w:r>
        <w:rPr>
          <w:rFonts w:hint="eastAsia"/>
          <w:sz w:val="21"/>
          <w:szCs w:val="28"/>
          <w:lang w:val="en-US" w:eastAsia="zh-CN"/>
        </w:rPr>
        <w:t>5</w:t>
      </w:r>
      <w:r>
        <w:rPr>
          <w:rFonts w:hint="eastAsia"/>
          <w:sz w:val="21"/>
          <w:szCs w:val="28"/>
        </w:rPr>
        <w:t>年</w:t>
      </w:r>
      <w:r>
        <w:rPr>
          <w:rFonts w:hint="eastAsia"/>
          <w:sz w:val="21"/>
          <w:szCs w:val="28"/>
          <w:lang w:val="en-US" w:eastAsia="zh-CN"/>
        </w:rPr>
        <w:t>3</w:t>
      </w:r>
      <w:r>
        <w:rPr>
          <w:rFonts w:hint="eastAsia"/>
          <w:sz w:val="21"/>
          <w:szCs w:val="28"/>
        </w:rPr>
        <w:t>月）</w:t>
      </w:r>
      <w:r>
        <w:rPr>
          <w:sz w:val="21"/>
          <w:szCs w:val="28"/>
        </w:rPr>
        <w:fldChar w:fldCharType="end"/>
      </w:r>
      <w:bookmarkEnd w:id="12"/>
    </w:p>
    <w:p w14:paraId="35D72D6E">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AF6A6DC">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36C0DD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35C4C6B">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6EC981C">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384F73C">
      <w:pPr>
        <w:pStyle w:val="89"/>
        <w:spacing w:before="900" w:after="468"/>
      </w:pPr>
      <w:bookmarkStart w:id="45" w:name="_GoBack"/>
      <w:bookmarkEnd w:id="45"/>
      <w:bookmarkStart w:id="21" w:name="BookMark2"/>
      <w:r>
        <w:rPr>
          <w:rFonts w:hint="eastAsia"/>
          <w:spacing w:val="320"/>
        </w:rPr>
        <w:t>前</w:t>
      </w:r>
      <w:r>
        <w:rPr>
          <w:rFonts w:hint="eastAsia"/>
        </w:rPr>
        <w:t>言</w:t>
      </w:r>
    </w:p>
    <w:p w14:paraId="167109E5">
      <w:pPr>
        <w:pStyle w:val="56"/>
        <w:ind w:firstLine="420"/>
      </w:pPr>
      <w:r>
        <w:rPr>
          <w:rFonts w:hint="eastAsia"/>
        </w:rPr>
        <w:t>本文件按照GB/T 1.1—2020《标准化工作导则  第1部分：标准化文件的结构和起草规则》的规定起草。</w:t>
      </w:r>
    </w:p>
    <w:p w14:paraId="42E9AC3F">
      <w:pPr>
        <w:pStyle w:val="56"/>
        <w:ind w:firstLine="420"/>
      </w:pPr>
    </w:p>
    <w:p w14:paraId="20A956A7">
      <w:pPr>
        <w:pStyle w:val="56"/>
        <w:ind w:firstLine="420"/>
      </w:pPr>
    </w:p>
    <w:p w14:paraId="6750B888">
      <w:pPr>
        <w:pStyle w:val="56"/>
        <w:ind w:firstLine="420"/>
      </w:pPr>
    </w:p>
    <w:p w14:paraId="64903922">
      <w:pPr>
        <w:pStyle w:val="56"/>
        <w:ind w:firstLine="420"/>
      </w:pPr>
      <w:r>
        <w:rPr>
          <w:rFonts w:hint="eastAsia"/>
        </w:rPr>
        <w:t>本文件由××××提出。</w:t>
      </w:r>
    </w:p>
    <w:p w14:paraId="12D39D96">
      <w:pPr>
        <w:pStyle w:val="56"/>
        <w:ind w:firstLine="420"/>
      </w:pPr>
      <w:r>
        <w:rPr>
          <w:rFonts w:hint="eastAsia"/>
        </w:rPr>
        <w:t>本文件由××××归口。</w:t>
      </w:r>
    </w:p>
    <w:p w14:paraId="55913B72">
      <w:pPr>
        <w:pStyle w:val="56"/>
        <w:ind w:firstLine="420"/>
      </w:pPr>
      <w:r>
        <w:rPr>
          <w:rFonts w:hint="eastAsia"/>
        </w:rPr>
        <w:t>本文件起草单位：</w:t>
      </w:r>
    </w:p>
    <w:p w14:paraId="49FFEB06">
      <w:pPr>
        <w:pStyle w:val="56"/>
        <w:ind w:firstLine="420"/>
      </w:pPr>
      <w:r>
        <w:rPr>
          <w:rFonts w:hint="eastAsia"/>
        </w:rPr>
        <w:t>本文件主要起草人：</w:t>
      </w:r>
    </w:p>
    <w:p w14:paraId="1D435EE1">
      <w:pPr>
        <w:pStyle w:val="56"/>
        <w:ind w:firstLine="420"/>
      </w:pPr>
    </w:p>
    <w:p w14:paraId="143F5186">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1D9451F3">
      <w:pPr>
        <w:spacing w:line="20" w:lineRule="exact"/>
        <w:jc w:val="center"/>
        <w:rPr>
          <w:rFonts w:hint="eastAsia" w:ascii="黑体" w:hAnsi="黑体" w:eastAsia="黑体"/>
          <w:sz w:val="32"/>
          <w:szCs w:val="32"/>
        </w:rPr>
      </w:pPr>
      <w:bookmarkStart w:id="22" w:name="BookMark4"/>
    </w:p>
    <w:p w14:paraId="5E18A0B5">
      <w:pPr>
        <w:spacing w:line="20" w:lineRule="exact"/>
        <w:jc w:val="center"/>
        <w:rPr>
          <w:rFonts w:hint="eastAsia" w:ascii="黑体" w:hAnsi="黑体" w:eastAsia="黑体"/>
          <w:sz w:val="32"/>
          <w:szCs w:val="32"/>
        </w:rPr>
      </w:pPr>
    </w:p>
    <w:sdt>
      <w:sdtPr>
        <w:tag w:val="NEW_STAND_NAME"/>
        <w:id w:val="595910757"/>
        <w:lock w:val="sdtLocked"/>
        <w:placeholder>
          <w:docPart w:val="84D8BD01FFFF420D97AF94E839B30C41"/>
        </w:placeholder>
      </w:sdtPr>
      <w:sdtContent>
        <w:p w14:paraId="71DA19E4">
          <w:pPr>
            <w:pStyle w:val="177"/>
            <w:spacing w:before="312" w:beforeLines="100" w:after="686" w:afterLines="220"/>
            <w:rPr>
              <w:rFonts w:hint="eastAsia"/>
            </w:rPr>
          </w:pPr>
          <w:bookmarkStart w:id="23" w:name="NEW_STAND_NAME"/>
          <w:r>
            <w:rPr>
              <w:rFonts w:hint="eastAsia"/>
            </w:rPr>
            <w:t>露天矿山开采动态监测技术规程</w:t>
          </w:r>
        </w:p>
      </w:sdtContent>
    </w:sdt>
    <w:bookmarkEnd w:id="23"/>
    <w:p w14:paraId="57202D5F">
      <w:pPr>
        <w:pStyle w:val="104"/>
        <w:spacing w:before="312" w:after="312"/>
      </w:pPr>
      <w:bookmarkStart w:id="24" w:name="_Toc97191423"/>
      <w:bookmarkStart w:id="25" w:name="_Toc26648465"/>
      <w:bookmarkStart w:id="26" w:name="_Toc26718930"/>
      <w:bookmarkStart w:id="27" w:name="_Toc24884218"/>
      <w:bookmarkStart w:id="28" w:name="_Toc24884211"/>
      <w:bookmarkStart w:id="29" w:name="_Toc17233325"/>
      <w:bookmarkStart w:id="30" w:name="_Toc17233333"/>
      <w:bookmarkStart w:id="31" w:name="_Toc26986771"/>
      <w:bookmarkStart w:id="32" w:name="_Toc26986530"/>
      <w:r>
        <w:rPr>
          <w:rFonts w:hint="eastAsia"/>
        </w:rPr>
        <w:t>范围</w:t>
      </w:r>
      <w:bookmarkEnd w:id="24"/>
      <w:bookmarkEnd w:id="25"/>
      <w:bookmarkEnd w:id="26"/>
      <w:bookmarkEnd w:id="27"/>
      <w:bookmarkEnd w:id="28"/>
      <w:bookmarkEnd w:id="29"/>
      <w:bookmarkEnd w:id="30"/>
      <w:bookmarkEnd w:id="31"/>
      <w:bookmarkEnd w:id="32"/>
    </w:p>
    <w:p w14:paraId="66403163">
      <w:pPr>
        <w:pStyle w:val="56"/>
        <w:ind w:firstLine="420"/>
      </w:pPr>
      <w:bookmarkStart w:id="33" w:name="_Toc17233326"/>
      <w:bookmarkStart w:id="34" w:name="_Toc26648466"/>
      <w:bookmarkStart w:id="35" w:name="_Toc17233334"/>
      <w:bookmarkStart w:id="36" w:name="_Toc24884219"/>
      <w:bookmarkStart w:id="37" w:name="_Toc24884212"/>
      <w:r>
        <w:rPr>
          <w:rFonts w:hint="eastAsia"/>
        </w:rPr>
        <w:t>本文件规定了安徽省露天矿山开采动态监测的监测内容、工作流程及技术要求。</w:t>
      </w:r>
    </w:p>
    <w:p w14:paraId="087984EF">
      <w:pPr>
        <w:pStyle w:val="56"/>
        <w:ind w:firstLine="420"/>
      </w:pPr>
      <w:r>
        <w:rPr>
          <w:rFonts w:hint="eastAsia"/>
        </w:rPr>
        <w:t>本文件适用于安徽省露天矿山超层越界开采动态监测。</w:t>
      </w:r>
    </w:p>
    <w:p w14:paraId="38ED7C1F">
      <w:pPr>
        <w:pStyle w:val="104"/>
        <w:spacing w:before="312" w:after="312"/>
      </w:pPr>
      <w:bookmarkStart w:id="38" w:name="_Toc26986531"/>
      <w:bookmarkStart w:id="39" w:name="_Toc97191424"/>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900C05CA67746148BECFD81FF5907C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9BF8D0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67ED87">
      <w:pPr>
        <w:pStyle w:val="56"/>
        <w:ind w:firstLine="420"/>
      </w:pPr>
      <w:r>
        <w:rPr>
          <w:rFonts w:hint="eastAsia"/>
        </w:rPr>
        <w:t xml:space="preserve">GB 50026   </w:t>
      </w:r>
      <w:r>
        <w:rPr>
          <w:rFonts w:hint="eastAsia"/>
          <w:lang w:val="en-US" w:eastAsia="zh-CN"/>
        </w:rPr>
        <w:t xml:space="preserve">  </w:t>
      </w:r>
      <w:r>
        <w:rPr>
          <w:rFonts w:hint="eastAsia"/>
        </w:rPr>
        <w:t>工程测量标准</w:t>
      </w:r>
    </w:p>
    <w:p w14:paraId="77103C6A">
      <w:pPr>
        <w:pStyle w:val="56"/>
        <w:ind w:firstLine="420"/>
      </w:pPr>
      <w:r>
        <w:rPr>
          <w:rFonts w:hint="eastAsia"/>
        </w:rPr>
        <w:t xml:space="preserve">GB/T 18314 </w:t>
      </w:r>
      <w:r>
        <w:rPr>
          <w:rFonts w:hint="eastAsia"/>
          <w:lang w:val="en-US" w:eastAsia="zh-CN"/>
        </w:rPr>
        <w:t xml:space="preserve">  </w:t>
      </w:r>
      <w:r>
        <w:rPr>
          <w:rFonts w:hint="eastAsia"/>
        </w:rPr>
        <w:t>全球导航卫星系统（GNSS）测量规范</w:t>
      </w:r>
    </w:p>
    <w:p w14:paraId="1492F2C2">
      <w:pPr>
        <w:pStyle w:val="56"/>
        <w:ind w:firstLine="420"/>
        <w:rPr>
          <w:rFonts w:hint="eastAsia"/>
        </w:rPr>
      </w:pPr>
      <w:r>
        <w:rPr>
          <w:rFonts w:hint="eastAsia"/>
        </w:rPr>
        <w:t xml:space="preserve">DZ/T 0427  </w:t>
      </w:r>
      <w:r>
        <w:rPr>
          <w:rFonts w:hint="eastAsia"/>
          <w:lang w:val="en-US" w:eastAsia="zh-CN"/>
        </w:rPr>
        <w:t xml:space="preserve">  </w:t>
      </w:r>
      <w:r>
        <w:rPr>
          <w:rFonts w:hint="eastAsia"/>
        </w:rPr>
        <w:t>采矿权勘测定界技术规程</w:t>
      </w:r>
    </w:p>
    <w:p w14:paraId="5F4D6C6D">
      <w:pPr>
        <w:pStyle w:val="56"/>
        <w:ind w:firstLine="420"/>
        <w:rPr>
          <w:rFonts w:hint="eastAsia"/>
        </w:rPr>
      </w:pPr>
      <w:r>
        <w:rPr>
          <w:rFonts w:hint="eastAsia" w:ascii="宋体" w:hAnsi="Times New Roman" w:eastAsia="宋体" w:cs="Times New Roman"/>
          <w:lang w:val="en-US" w:eastAsia="zh-CN"/>
        </w:rPr>
        <w:t>GB/T 50564   金属非金属矿山采矿制图标准</w:t>
      </w:r>
    </w:p>
    <w:p w14:paraId="6477B771">
      <w:pPr>
        <w:pStyle w:val="104"/>
        <w:spacing w:before="312" w:after="312"/>
      </w:pPr>
      <w:bookmarkStart w:id="42" w:name="_Toc97191425"/>
      <w:r>
        <w:rPr>
          <w:rFonts w:hint="eastAsia"/>
          <w:szCs w:val="21"/>
        </w:rPr>
        <w:t>术语和定义</w:t>
      </w:r>
      <w:bookmarkEnd w:id="42"/>
    </w:p>
    <w:sdt>
      <w:sdtPr>
        <w:id w:val="-1909835108"/>
        <w:placeholder>
          <w:docPart w:val="0EA1B69380474755A9E48F2DB3D58EC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FC56861">
          <w:pPr>
            <w:pStyle w:val="56"/>
            <w:ind w:firstLine="420"/>
          </w:pPr>
          <w:bookmarkStart w:id="43" w:name="_Toc26986532"/>
          <w:bookmarkEnd w:id="43"/>
          <w:r>
            <w:t>下列术语和定义适用于本文件。</w:t>
          </w:r>
        </w:p>
      </w:sdtContent>
    </w:sdt>
    <w:p w14:paraId="33423485">
      <w:pPr>
        <w:pStyle w:val="105"/>
        <w:spacing w:before="156" w:after="156"/>
      </w:pPr>
      <w:r>
        <w:rPr>
          <w:rFonts w:hint="eastAsia"/>
        </w:rPr>
        <w:t>采矿权范围   Scope of mining rights</w:t>
      </w:r>
    </w:p>
    <w:p w14:paraId="0DE59FA5">
      <w:pPr>
        <w:pStyle w:val="56"/>
        <w:ind w:firstLine="420"/>
      </w:pPr>
      <w:r>
        <w:rPr>
          <w:rFonts w:hint="eastAsia"/>
        </w:rPr>
        <w:t>采矿权许可证中明确规定的采矿范围，包括矿区范围和开采深度。</w:t>
      </w:r>
    </w:p>
    <w:p w14:paraId="3D2A41CD">
      <w:pPr>
        <w:pStyle w:val="105"/>
        <w:spacing w:before="156" w:after="156"/>
      </w:pPr>
      <w:r>
        <w:rPr>
          <w:rFonts w:hint="eastAsia"/>
        </w:rPr>
        <w:t>界桩   Boundary Stake</w:t>
      </w:r>
    </w:p>
    <w:p w14:paraId="192B2C8B">
      <w:pPr>
        <w:pStyle w:val="56"/>
        <w:ind w:firstLine="420"/>
      </w:pPr>
      <w:r>
        <w:rPr>
          <w:rFonts w:hint="eastAsia"/>
        </w:rPr>
        <w:t>标示采矿权矿区范围边界实地位置的地面标志物,是按一定方式设立,附带采矿权管理基本信息和权属性质等信息的界限标志。界桩按埋设位置分为拐点界桩、加密界桩、辅助界桩。</w:t>
      </w:r>
    </w:p>
    <w:p w14:paraId="28588685">
      <w:pPr>
        <w:pStyle w:val="105"/>
        <w:spacing w:before="156" w:after="156"/>
      </w:pPr>
      <w:r>
        <w:rPr>
          <w:rFonts w:hint="eastAsia"/>
        </w:rPr>
        <w:t>采矿权标识牌  Mining Right Signage</w:t>
      </w:r>
    </w:p>
    <w:p w14:paraId="2A97091D">
      <w:pPr>
        <w:pStyle w:val="56"/>
        <w:ind w:firstLine="420"/>
      </w:pPr>
      <w:r>
        <w:rPr>
          <w:rFonts w:hint="eastAsia"/>
        </w:rPr>
        <w:t>在矿山开采作业场所设立的标志牌，用于标识采矿权的基本信息，包括矿山名称、采矿许可证号、采矿权人、地址、经济类型、开采矿种、开采方式、生产规模、矿区面积、开采深度、采矿许可证有效期限等内容。</w:t>
      </w:r>
    </w:p>
    <w:p w14:paraId="5B35A5BB">
      <w:pPr>
        <w:pStyle w:val="105"/>
        <w:spacing w:before="156" w:after="156"/>
      </w:pPr>
      <w:r>
        <w:rPr>
          <w:rFonts w:hint="eastAsia"/>
        </w:rPr>
        <w:t>超层越界开采  Over-layer and boundary mining</w:t>
      </w:r>
    </w:p>
    <w:p w14:paraId="34CDE1A7">
      <w:pPr>
        <w:pStyle w:val="56"/>
        <w:ind w:firstLine="420"/>
      </w:pPr>
      <w:r>
        <w:rPr>
          <w:rFonts w:hint="eastAsia"/>
        </w:rPr>
        <w:t>采矿权人超越批准的矿区范围开采矿产资源的行为。</w:t>
      </w:r>
    </w:p>
    <w:p w14:paraId="3141747F">
      <w:pPr>
        <w:pStyle w:val="104"/>
        <w:spacing w:before="312" w:after="312"/>
      </w:pPr>
      <w:r>
        <w:rPr>
          <w:rFonts w:hint="eastAsia"/>
        </w:rPr>
        <w:t>监测内容与技术要求</w:t>
      </w:r>
    </w:p>
    <w:p w14:paraId="68E1E4B0">
      <w:pPr>
        <w:pStyle w:val="105"/>
        <w:spacing w:before="156" w:after="156"/>
      </w:pPr>
      <w:r>
        <w:rPr>
          <w:rFonts w:hint="eastAsia"/>
        </w:rPr>
        <w:t>监测内容</w:t>
      </w:r>
    </w:p>
    <w:p w14:paraId="571FE4CD">
      <w:pPr>
        <w:pStyle w:val="165"/>
      </w:pPr>
      <w:r>
        <w:rPr>
          <w:rFonts w:hint="eastAsia"/>
        </w:rPr>
        <w:t>矿区控制点核验。</w:t>
      </w:r>
    </w:p>
    <w:p w14:paraId="529F9D36">
      <w:pPr>
        <w:pStyle w:val="165"/>
      </w:pPr>
      <w:r>
        <w:rPr>
          <w:rFonts w:hint="eastAsia"/>
        </w:rPr>
        <w:t>界桩与采矿权标识牌巡查。</w:t>
      </w:r>
    </w:p>
    <w:p w14:paraId="7536BA09">
      <w:pPr>
        <w:pStyle w:val="165"/>
      </w:pPr>
      <w:r>
        <w:rPr>
          <w:rFonts w:hint="eastAsia"/>
        </w:rPr>
        <w:t>矿山开采现状核查。</w:t>
      </w:r>
    </w:p>
    <w:p w14:paraId="3B76C39C">
      <w:pPr>
        <w:pStyle w:val="105"/>
        <w:spacing w:before="156" w:after="156"/>
      </w:pPr>
      <w:r>
        <w:rPr>
          <w:rFonts w:hint="eastAsia"/>
        </w:rPr>
        <w:t>监测频率</w:t>
      </w:r>
    </w:p>
    <w:p w14:paraId="12EC6506">
      <w:pPr>
        <w:pStyle w:val="56"/>
        <w:ind w:firstLine="420"/>
      </w:pPr>
      <w:r>
        <w:rPr>
          <w:rFonts w:hint="eastAsia"/>
        </w:rPr>
        <w:t>每年至少开展一次动态监测；存有超层越界现象，宜加密监测。</w:t>
      </w:r>
    </w:p>
    <w:p w14:paraId="44C7587F">
      <w:pPr>
        <w:pStyle w:val="105"/>
        <w:spacing w:before="156" w:after="156"/>
      </w:pPr>
      <w:r>
        <w:rPr>
          <w:rFonts w:hint="eastAsia"/>
        </w:rPr>
        <w:t>监测技术要求</w:t>
      </w:r>
    </w:p>
    <w:p w14:paraId="39AF7C13">
      <w:pPr>
        <w:pStyle w:val="65"/>
        <w:spacing w:before="156" w:after="156"/>
        <w:rPr>
          <w:szCs w:val="21"/>
        </w:rPr>
      </w:pPr>
      <w:r>
        <w:rPr>
          <w:rFonts w:hint="eastAsia"/>
        </w:rPr>
        <w:t>平面坐标系系统</w:t>
      </w:r>
    </w:p>
    <w:p w14:paraId="1C37C50A">
      <w:pPr>
        <w:pStyle w:val="56"/>
        <w:ind w:firstLine="420"/>
      </w:pPr>
      <w:r>
        <w:rPr>
          <w:rFonts w:hint="eastAsia"/>
        </w:rPr>
        <w:t>采用CGCS2000。</w:t>
      </w:r>
    </w:p>
    <w:p w14:paraId="228EC5D6">
      <w:pPr>
        <w:pStyle w:val="65"/>
        <w:spacing w:before="156" w:after="156"/>
      </w:pPr>
      <w:r>
        <w:rPr>
          <w:rFonts w:hint="eastAsia"/>
        </w:rPr>
        <w:t>平面投影方式</w:t>
      </w:r>
    </w:p>
    <w:p w14:paraId="5A4854DE">
      <w:pPr>
        <w:pStyle w:val="56"/>
        <w:ind w:firstLine="420"/>
      </w:pPr>
      <w:r>
        <w:rPr>
          <w:rFonts w:hint="eastAsia" w:hAnsi="宋体"/>
        </w:rPr>
        <w:t>采用国家统一3°带高斯-克吕格投影的平面直角坐标系。</w:t>
      </w:r>
    </w:p>
    <w:p w14:paraId="23ECB658">
      <w:pPr>
        <w:pStyle w:val="65"/>
        <w:spacing w:before="156" w:after="156"/>
      </w:pPr>
      <w:r>
        <w:rPr>
          <w:rFonts w:hint="eastAsia"/>
        </w:rPr>
        <w:t>高程基准</w:t>
      </w:r>
    </w:p>
    <w:p w14:paraId="4B1C24CF">
      <w:pPr>
        <w:pStyle w:val="56"/>
        <w:ind w:firstLine="420"/>
      </w:pPr>
      <w:r>
        <w:rPr>
          <w:rFonts w:hint="eastAsia" w:hAnsi="宋体"/>
        </w:rPr>
        <w:t>采用1985国家高程基准。</w:t>
      </w:r>
    </w:p>
    <w:p w14:paraId="11BD070C">
      <w:pPr>
        <w:pStyle w:val="65"/>
        <w:spacing w:before="156" w:after="156"/>
      </w:pPr>
      <w:r>
        <w:rPr>
          <w:rFonts w:hint="eastAsia"/>
        </w:rPr>
        <w:t>成图比例尺</w:t>
      </w:r>
    </w:p>
    <w:p w14:paraId="1BC415C7">
      <w:pPr>
        <w:pStyle w:val="56"/>
        <w:ind w:firstLine="420"/>
      </w:pPr>
      <w:r>
        <w:rPr>
          <w:rFonts w:hint="eastAsia" w:hAnsi="宋体"/>
        </w:rPr>
        <w:t>采用1:500-1:2000比例尺。</w:t>
      </w:r>
    </w:p>
    <w:p w14:paraId="69725E86">
      <w:pPr>
        <w:pStyle w:val="65"/>
        <w:spacing w:before="156" w:after="156"/>
      </w:pPr>
      <w:r>
        <w:rPr>
          <w:rFonts w:hint="eastAsia"/>
        </w:rPr>
        <w:t>平面控制测量精度要求</w:t>
      </w:r>
    </w:p>
    <w:p w14:paraId="1B288AC1">
      <w:pPr>
        <w:pStyle w:val="56"/>
        <w:ind w:firstLine="420"/>
        <w:rPr>
          <w:rFonts w:hint="eastAsia" w:hAnsi="宋体"/>
        </w:rPr>
      </w:pPr>
      <w:r>
        <w:rPr>
          <w:rFonts w:hint="eastAsia" w:hAnsi="宋体"/>
        </w:rPr>
        <w:t>见表1。</w:t>
      </w:r>
    </w:p>
    <w:p w14:paraId="7A4BEED4">
      <w:pPr>
        <w:pStyle w:val="56"/>
        <w:ind w:firstLine="0" w:firstLineChars="0"/>
        <w:jc w:val="center"/>
        <w:rPr>
          <w:rFonts w:hint="eastAsia" w:hAnsi="宋体"/>
        </w:rPr>
      </w:pPr>
      <w:r>
        <w:rPr>
          <w:rFonts w:hint="eastAsia" w:hAnsi="宋体"/>
        </w:rPr>
        <w:t>表1 平面控制测量精度要求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12D6BF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vMerge w:val="restart"/>
            <w:tcBorders>
              <w:top w:val="single" w:color="auto" w:sz="8" w:space="0"/>
            </w:tcBorders>
            <w:shd w:val="clear" w:color="auto" w:fill="auto"/>
            <w:vAlign w:val="center"/>
          </w:tcPr>
          <w:p w14:paraId="0EF41604">
            <w:pPr>
              <w:pStyle w:val="178"/>
            </w:pPr>
            <w:r>
              <w:rPr>
                <w:rFonts w:hint="eastAsia"/>
              </w:rPr>
              <w:t>平面控制网等级</w:t>
            </w:r>
          </w:p>
        </w:tc>
        <w:tc>
          <w:tcPr>
            <w:tcW w:w="1867" w:type="dxa"/>
            <w:vMerge w:val="restart"/>
            <w:tcBorders>
              <w:top w:val="single" w:color="auto" w:sz="8" w:space="0"/>
            </w:tcBorders>
            <w:shd w:val="clear" w:color="auto" w:fill="auto"/>
            <w:vAlign w:val="center"/>
          </w:tcPr>
          <w:p w14:paraId="44FD4C94">
            <w:pPr>
              <w:pStyle w:val="178"/>
            </w:pPr>
            <w:r>
              <w:rPr>
                <w:rFonts w:hint="eastAsia"/>
              </w:rPr>
              <w:t>相邻控制点距离（k</w:t>
            </w:r>
            <w:r>
              <w:t>m</w:t>
            </w:r>
            <w:r>
              <w:rPr>
                <w:rFonts w:hint="eastAsia"/>
              </w:rPr>
              <w:t>）</w:t>
            </w:r>
          </w:p>
        </w:tc>
        <w:tc>
          <w:tcPr>
            <w:tcW w:w="3734" w:type="dxa"/>
            <w:gridSpan w:val="2"/>
            <w:tcBorders>
              <w:top w:val="single" w:color="auto" w:sz="8" w:space="0"/>
              <w:bottom w:val="single" w:color="auto" w:sz="8" w:space="0"/>
            </w:tcBorders>
            <w:shd w:val="clear" w:color="auto" w:fill="auto"/>
            <w:vAlign w:val="center"/>
          </w:tcPr>
          <w:p w14:paraId="08A53157">
            <w:pPr>
              <w:pStyle w:val="178"/>
            </w:pPr>
            <w:r>
              <w:rPr>
                <w:rFonts w:hint="eastAsia"/>
              </w:rPr>
              <w:t>相邻点基线分量中误差（mm）</w:t>
            </w:r>
          </w:p>
        </w:tc>
        <w:tc>
          <w:tcPr>
            <w:tcW w:w="1867" w:type="dxa"/>
            <w:vMerge w:val="restart"/>
            <w:tcBorders>
              <w:top w:val="single" w:color="auto" w:sz="8" w:space="0"/>
            </w:tcBorders>
            <w:shd w:val="clear" w:color="auto" w:fill="auto"/>
            <w:vAlign w:val="center"/>
          </w:tcPr>
          <w:p w14:paraId="446286B6">
            <w:pPr>
              <w:pStyle w:val="178"/>
            </w:pPr>
            <w:r>
              <w:rPr>
                <w:rFonts w:hint="eastAsia"/>
              </w:rPr>
              <w:t>最弱边相对中误差</w:t>
            </w:r>
          </w:p>
        </w:tc>
      </w:tr>
      <w:tr w14:paraId="18EA7B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vMerge w:val="continue"/>
            <w:tcBorders>
              <w:bottom w:val="single" w:color="auto" w:sz="8" w:space="0"/>
            </w:tcBorders>
            <w:shd w:val="clear" w:color="auto" w:fill="auto"/>
            <w:vAlign w:val="center"/>
          </w:tcPr>
          <w:p w14:paraId="0343C852">
            <w:pPr>
              <w:pStyle w:val="178"/>
            </w:pPr>
          </w:p>
        </w:tc>
        <w:tc>
          <w:tcPr>
            <w:tcW w:w="1867" w:type="dxa"/>
            <w:vMerge w:val="continue"/>
            <w:tcBorders>
              <w:bottom w:val="single" w:color="auto" w:sz="8" w:space="0"/>
            </w:tcBorders>
            <w:shd w:val="clear" w:color="auto" w:fill="auto"/>
            <w:vAlign w:val="center"/>
          </w:tcPr>
          <w:p w14:paraId="5A68A723">
            <w:pPr>
              <w:pStyle w:val="178"/>
            </w:pPr>
          </w:p>
        </w:tc>
        <w:tc>
          <w:tcPr>
            <w:tcW w:w="1867" w:type="dxa"/>
            <w:tcBorders>
              <w:top w:val="single" w:color="auto" w:sz="8" w:space="0"/>
              <w:bottom w:val="single" w:color="auto" w:sz="8" w:space="0"/>
            </w:tcBorders>
            <w:shd w:val="clear" w:color="auto" w:fill="auto"/>
          </w:tcPr>
          <w:p w14:paraId="7BE0D024">
            <w:pPr>
              <w:pStyle w:val="178"/>
            </w:pPr>
            <w:r>
              <w:rPr>
                <w:rFonts w:hint="eastAsia"/>
              </w:rPr>
              <w:t>水平分量</w:t>
            </w:r>
          </w:p>
        </w:tc>
        <w:tc>
          <w:tcPr>
            <w:tcW w:w="1867" w:type="dxa"/>
            <w:tcBorders>
              <w:top w:val="single" w:color="auto" w:sz="8" w:space="0"/>
              <w:bottom w:val="single" w:color="auto" w:sz="8" w:space="0"/>
            </w:tcBorders>
            <w:shd w:val="clear" w:color="auto" w:fill="auto"/>
          </w:tcPr>
          <w:p w14:paraId="7A9DF188">
            <w:pPr>
              <w:pStyle w:val="178"/>
            </w:pPr>
            <w:r>
              <w:rPr>
                <w:rFonts w:hint="eastAsia"/>
              </w:rPr>
              <w:t>垂直分量</w:t>
            </w:r>
          </w:p>
        </w:tc>
        <w:tc>
          <w:tcPr>
            <w:tcW w:w="1867" w:type="dxa"/>
            <w:vMerge w:val="continue"/>
            <w:tcBorders>
              <w:bottom w:val="single" w:color="auto" w:sz="8" w:space="0"/>
            </w:tcBorders>
            <w:shd w:val="clear" w:color="auto" w:fill="auto"/>
            <w:vAlign w:val="center"/>
          </w:tcPr>
          <w:p w14:paraId="1847E35F">
            <w:pPr>
              <w:pStyle w:val="178"/>
            </w:pPr>
          </w:p>
        </w:tc>
      </w:tr>
      <w:tr w14:paraId="146096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14:paraId="536EDB48">
            <w:pPr>
              <w:pStyle w:val="178"/>
            </w:pPr>
            <w:r>
              <w:rPr>
                <w:rFonts w:hint="eastAsia"/>
              </w:rPr>
              <w:t>D</w:t>
            </w:r>
          </w:p>
        </w:tc>
        <w:tc>
          <w:tcPr>
            <w:tcW w:w="1867" w:type="dxa"/>
            <w:tcBorders>
              <w:top w:val="single" w:color="auto" w:sz="8" w:space="0"/>
            </w:tcBorders>
            <w:shd w:val="clear" w:color="auto" w:fill="auto"/>
            <w:vAlign w:val="center"/>
          </w:tcPr>
          <w:p w14:paraId="5EDF3CE2">
            <w:pPr>
              <w:pStyle w:val="178"/>
            </w:pPr>
            <w:r>
              <w:rPr>
                <w:rFonts w:hint="eastAsia"/>
              </w:rPr>
              <w:t>5～10</w:t>
            </w:r>
          </w:p>
        </w:tc>
        <w:tc>
          <w:tcPr>
            <w:tcW w:w="1867" w:type="dxa"/>
            <w:tcBorders>
              <w:top w:val="single" w:color="auto" w:sz="8" w:space="0"/>
            </w:tcBorders>
            <w:shd w:val="clear" w:color="auto" w:fill="auto"/>
          </w:tcPr>
          <w:p w14:paraId="352FA13D">
            <w:pPr>
              <w:pStyle w:val="178"/>
            </w:pPr>
            <w:r>
              <w:t>20</w:t>
            </w:r>
          </w:p>
        </w:tc>
        <w:tc>
          <w:tcPr>
            <w:tcW w:w="1867" w:type="dxa"/>
            <w:tcBorders>
              <w:top w:val="single" w:color="auto" w:sz="8" w:space="0"/>
            </w:tcBorders>
            <w:shd w:val="clear" w:color="auto" w:fill="auto"/>
          </w:tcPr>
          <w:p w14:paraId="7F4973A7">
            <w:pPr>
              <w:pStyle w:val="178"/>
            </w:pPr>
            <w:r>
              <w:t>40</w:t>
            </w:r>
          </w:p>
        </w:tc>
        <w:tc>
          <w:tcPr>
            <w:tcW w:w="1867" w:type="dxa"/>
            <w:tcBorders>
              <w:top w:val="single" w:color="auto" w:sz="8" w:space="0"/>
            </w:tcBorders>
            <w:shd w:val="clear" w:color="auto" w:fill="auto"/>
          </w:tcPr>
          <w:p w14:paraId="3FE6CD59">
            <w:pPr>
              <w:pStyle w:val="178"/>
            </w:pPr>
            <w:r>
              <w:t>1/100000</w:t>
            </w:r>
          </w:p>
        </w:tc>
      </w:tr>
      <w:tr w14:paraId="6A7927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bottom w:val="single" w:color="auto" w:sz="8" w:space="0"/>
            </w:tcBorders>
            <w:shd w:val="clear" w:color="auto" w:fill="auto"/>
            <w:vAlign w:val="center"/>
          </w:tcPr>
          <w:p w14:paraId="587DEEBA">
            <w:pPr>
              <w:pStyle w:val="178"/>
            </w:pPr>
            <w:r>
              <w:rPr>
                <w:rFonts w:hint="eastAsia"/>
              </w:rPr>
              <w:t>E</w:t>
            </w:r>
          </w:p>
        </w:tc>
        <w:tc>
          <w:tcPr>
            <w:tcW w:w="1867" w:type="dxa"/>
            <w:tcBorders>
              <w:bottom w:val="single" w:color="auto" w:sz="8" w:space="0"/>
            </w:tcBorders>
            <w:shd w:val="clear" w:color="auto" w:fill="auto"/>
            <w:vAlign w:val="center"/>
          </w:tcPr>
          <w:p w14:paraId="723C4789">
            <w:pPr>
              <w:pStyle w:val="178"/>
            </w:pPr>
            <w:r>
              <w:rPr>
                <w:rFonts w:hint="eastAsia"/>
              </w:rPr>
              <w:t>1～5</w:t>
            </w:r>
          </w:p>
        </w:tc>
        <w:tc>
          <w:tcPr>
            <w:tcW w:w="1867" w:type="dxa"/>
            <w:tcBorders>
              <w:bottom w:val="single" w:color="auto" w:sz="8" w:space="0"/>
            </w:tcBorders>
            <w:shd w:val="clear" w:color="auto" w:fill="auto"/>
          </w:tcPr>
          <w:p w14:paraId="0D91372D">
            <w:pPr>
              <w:pStyle w:val="178"/>
            </w:pPr>
            <w:r>
              <w:t>20</w:t>
            </w:r>
          </w:p>
        </w:tc>
        <w:tc>
          <w:tcPr>
            <w:tcW w:w="1867" w:type="dxa"/>
            <w:tcBorders>
              <w:bottom w:val="single" w:color="auto" w:sz="8" w:space="0"/>
            </w:tcBorders>
            <w:shd w:val="clear" w:color="auto" w:fill="auto"/>
          </w:tcPr>
          <w:p w14:paraId="16FE7C1D">
            <w:pPr>
              <w:pStyle w:val="178"/>
            </w:pPr>
            <w:r>
              <w:t>40</w:t>
            </w:r>
          </w:p>
        </w:tc>
        <w:tc>
          <w:tcPr>
            <w:tcW w:w="1867" w:type="dxa"/>
            <w:tcBorders>
              <w:bottom w:val="single" w:color="auto" w:sz="8" w:space="0"/>
            </w:tcBorders>
            <w:shd w:val="clear" w:color="auto" w:fill="auto"/>
          </w:tcPr>
          <w:p w14:paraId="3BEC11F1">
            <w:pPr>
              <w:pStyle w:val="178"/>
            </w:pPr>
            <w:r>
              <w:t>1/45000</w:t>
            </w:r>
          </w:p>
        </w:tc>
      </w:tr>
      <w:tr w14:paraId="5C415B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bottom w:val="single" w:color="auto" w:sz="8" w:space="0"/>
            </w:tcBorders>
            <w:shd w:val="clear" w:color="auto" w:fill="auto"/>
            <w:vAlign w:val="center"/>
          </w:tcPr>
          <w:p w14:paraId="45620407">
            <w:pPr>
              <w:pStyle w:val="178"/>
            </w:pPr>
            <w:r>
              <w:rPr>
                <w:rFonts w:hint="eastAsia"/>
              </w:rPr>
              <w:t>注：参考GB/T 18314制定。</w:t>
            </w:r>
          </w:p>
        </w:tc>
      </w:tr>
    </w:tbl>
    <w:p w14:paraId="063621BF">
      <w:pPr>
        <w:pStyle w:val="65"/>
        <w:spacing w:before="156" w:after="156"/>
      </w:pPr>
      <w:r>
        <w:rPr>
          <w:rFonts w:hint="eastAsia"/>
        </w:rPr>
        <w:t>高程控制测量精度要求</w:t>
      </w:r>
    </w:p>
    <w:p w14:paraId="01E89D9F">
      <w:pPr>
        <w:pStyle w:val="56"/>
        <w:ind w:firstLine="420"/>
      </w:pPr>
      <w:r>
        <w:rPr>
          <w:rFonts w:hint="eastAsia"/>
        </w:rPr>
        <w:t>见表2。</w:t>
      </w:r>
    </w:p>
    <w:p w14:paraId="01D9E79A">
      <w:pPr>
        <w:pStyle w:val="56"/>
        <w:ind w:firstLine="0" w:firstLineChars="0"/>
        <w:jc w:val="center"/>
        <w:rPr>
          <w:rFonts w:hint="eastAsia" w:hAnsi="宋体"/>
        </w:rPr>
      </w:pPr>
      <w:r>
        <w:rPr>
          <w:rFonts w:hint="eastAsia" w:hAnsi="宋体"/>
        </w:rPr>
        <w:t>表2 平面控制测量精度要求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36"/>
        <w:gridCol w:w="1037"/>
        <w:gridCol w:w="1037"/>
        <w:gridCol w:w="1037"/>
        <w:gridCol w:w="1037"/>
        <w:gridCol w:w="1043"/>
        <w:gridCol w:w="1031"/>
        <w:gridCol w:w="1038"/>
        <w:gridCol w:w="1038"/>
      </w:tblGrid>
      <w:tr w14:paraId="431C57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036" w:type="dxa"/>
            <w:vMerge w:val="restart"/>
            <w:tcBorders>
              <w:top w:val="single" w:color="auto" w:sz="8" w:space="0"/>
            </w:tcBorders>
            <w:shd w:val="clear" w:color="auto" w:fill="auto"/>
            <w:vAlign w:val="center"/>
          </w:tcPr>
          <w:p w14:paraId="51E31DD5">
            <w:pPr>
              <w:pStyle w:val="178"/>
            </w:pPr>
            <w:r>
              <w:rPr>
                <w:rFonts w:hint="eastAsia"/>
              </w:rPr>
              <w:t>等级</w:t>
            </w:r>
          </w:p>
        </w:tc>
        <w:tc>
          <w:tcPr>
            <w:tcW w:w="1037" w:type="dxa"/>
            <w:vMerge w:val="restart"/>
            <w:tcBorders>
              <w:top w:val="single" w:color="auto" w:sz="8" w:space="0"/>
            </w:tcBorders>
            <w:shd w:val="clear" w:color="auto" w:fill="auto"/>
            <w:vAlign w:val="center"/>
          </w:tcPr>
          <w:p w14:paraId="10FC6646">
            <w:pPr>
              <w:pStyle w:val="178"/>
            </w:pPr>
            <w:r>
              <w:rPr>
                <w:rFonts w:hint="eastAsia"/>
              </w:rPr>
              <w:t>每千米高差全中误差（mm）</w:t>
            </w:r>
          </w:p>
        </w:tc>
        <w:tc>
          <w:tcPr>
            <w:tcW w:w="1037" w:type="dxa"/>
            <w:vMerge w:val="restart"/>
            <w:tcBorders>
              <w:top w:val="single" w:color="auto" w:sz="8" w:space="0"/>
            </w:tcBorders>
            <w:shd w:val="clear" w:color="auto" w:fill="auto"/>
            <w:vAlign w:val="center"/>
          </w:tcPr>
          <w:p w14:paraId="3DEC4281">
            <w:pPr>
              <w:pStyle w:val="178"/>
            </w:pPr>
            <w:r>
              <w:rPr>
                <w:rFonts w:hint="eastAsia"/>
              </w:rPr>
              <w:t>路线长度（km）</w:t>
            </w:r>
          </w:p>
        </w:tc>
        <w:tc>
          <w:tcPr>
            <w:tcW w:w="1037" w:type="dxa"/>
            <w:vMerge w:val="restart"/>
            <w:tcBorders>
              <w:top w:val="single" w:color="auto" w:sz="8" w:space="0"/>
            </w:tcBorders>
            <w:shd w:val="clear" w:color="auto" w:fill="auto"/>
            <w:vAlign w:val="center"/>
          </w:tcPr>
          <w:p w14:paraId="2BC015BF">
            <w:pPr>
              <w:pStyle w:val="178"/>
            </w:pPr>
            <w:r>
              <w:rPr>
                <w:rFonts w:hint="eastAsia"/>
              </w:rPr>
              <w:t>水准仪级别</w:t>
            </w:r>
          </w:p>
        </w:tc>
        <w:tc>
          <w:tcPr>
            <w:tcW w:w="1037" w:type="dxa"/>
            <w:vMerge w:val="restart"/>
            <w:tcBorders>
              <w:top w:val="single" w:color="auto" w:sz="8" w:space="0"/>
            </w:tcBorders>
            <w:shd w:val="clear" w:color="auto" w:fill="auto"/>
            <w:vAlign w:val="center"/>
          </w:tcPr>
          <w:p w14:paraId="030F13C9">
            <w:pPr>
              <w:pStyle w:val="178"/>
            </w:pPr>
            <w:r>
              <w:rPr>
                <w:rFonts w:hint="eastAsia"/>
              </w:rPr>
              <w:t>水准尺</w:t>
            </w:r>
          </w:p>
        </w:tc>
        <w:tc>
          <w:tcPr>
            <w:tcW w:w="2074" w:type="dxa"/>
            <w:gridSpan w:val="2"/>
            <w:tcBorders>
              <w:top w:val="single" w:color="auto" w:sz="8" w:space="0"/>
              <w:bottom w:val="single" w:color="auto" w:sz="8" w:space="0"/>
            </w:tcBorders>
            <w:shd w:val="clear" w:color="auto" w:fill="auto"/>
            <w:vAlign w:val="center"/>
          </w:tcPr>
          <w:p w14:paraId="0AAB63D2">
            <w:pPr>
              <w:pStyle w:val="178"/>
            </w:pPr>
            <w:r>
              <w:rPr>
                <w:rFonts w:hint="eastAsia"/>
              </w:rPr>
              <w:t>观测次数</w:t>
            </w:r>
          </w:p>
        </w:tc>
        <w:tc>
          <w:tcPr>
            <w:tcW w:w="2076" w:type="dxa"/>
            <w:gridSpan w:val="2"/>
            <w:tcBorders>
              <w:top w:val="single" w:color="auto" w:sz="8" w:space="0"/>
              <w:bottom w:val="single" w:color="auto" w:sz="8" w:space="0"/>
            </w:tcBorders>
            <w:shd w:val="clear" w:color="auto" w:fill="auto"/>
            <w:vAlign w:val="center"/>
          </w:tcPr>
          <w:p w14:paraId="50E02C9D">
            <w:pPr>
              <w:pStyle w:val="178"/>
            </w:pPr>
            <w:r>
              <w:rPr>
                <w:rFonts w:hint="eastAsia"/>
              </w:rPr>
              <w:t>往返较差、附合或环线闭合差</w:t>
            </w:r>
          </w:p>
        </w:tc>
      </w:tr>
      <w:tr w14:paraId="712F96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36" w:type="dxa"/>
            <w:vMerge w:val="continue"/>
            <w:shd w:val="clear" w:color="auto" w:fill="auto"/>
            <w:vAlign w:val="center"/>
          </w:tcPr>
          <w:p w14:paraId="314958E0">
            <w:pPr>
              <w:pStyle w:val="178"/>
            </w:pPr>
          </w:p>
        </w:tc>
        <w:tc>
          <w:tcPr>
            <w:tcW w:w="1037" w:type="dxa"/>
            <w:vMerge w:val="continue"/>
            <w:shd w:val="clear" w:color="auto" w:fill="auto"/>
            <w:vAlign w:val="center"/>
          </w:tcPr>
          <w:p w14:paraId="65E3690E">
            <w:pPr>
              <w:pStyle w:val="178"/>
            </w:pPr>
          </w:p>
        </w:tc>
        <w:tc>
          <w:tcPr>
            <w:tcW w:w="1037" w:type="dxa"/>
            <w:vMerge w:val="continue"/>
            <w:shd w:val="clear" w:color="auto" w:fill="auto"/>
            <w:vAlign w:val="center"/>
          </w:tcPr>
          <w:p w14:paraId="60423C90">
            <w:pPr>
              <w:pStyle w:val="178"/>
            </w:pPr>
          </w:p>
        </w:tc>
        <w:tc>
          <w:tcPr>
            <w:tcW w:w="1037" w:type="dxa"/>
            <w:vMerge w:val="continue"/>
            <w:shd w:val="clear" w:color="auto" w:fill="auto"/>
            <w:vAlign w:val="center"/>
          </w:tcPr>
          <w:p w14:paraId="681A5187">
            <w:pPr>
              <w:pStyle w:val="178"/>
            </w:pPr>
          </w:p>
        </w:tc>
        <w:tc>
          <w:tcPr>
            <w:tcW w:w="1037" w:type="dxa"/>
            <w:vMerge w:val="continue"/>
            <w:shd w:val="clear" w:color="auto" w:fill="auto"/>
            <w:vAlign w:val="center"/>
          </w:tcPr>
          <w:p w14:paraId="54B6937D">
            <w:pPr>
              <w:pStyle w:val="178"/>
            </w:pPr>
          </w:p>
        </w:tc>
        <w:tc>
          <w:tcPr>
            <w:tcW w:w="1043" w:type="dxa"/>
            <w:tcBorders>
              <w:top w:val="single" w:color="auto" w:sz="8" w:space="0"/>
            </w:tcBorders>
            <w:shd w:val="clear" w:color="auto" w:fill="auto"/>
            <w:vAlign w:val="center"/>
          </w:tcPr>
          <w:p w14:paraId="45DE8B35">
            <w:pPr>
              <w:pStyle w:val="178"/>
            </w:pPr>
            <w:r>
              <w:rPr>
                <w:rFonts w:hint="eastAsia"/>
              </w:rPr>
              <w:t>与已知点</w:t>
            </w:r>
          </w:p>
          <w:p w14:paraId="7B450E61">
            <w:pPr>
              <w:pStyle w:val="178"/>
            </w:pPr>
            <w:r>
              <w:rPr>
                <w:rFonts w:hint="eastAsia"/>
              </w:rPr>
              <w:t>联测</w:t>
            </w:r>
          </w:p>
        </w:tc>
        <w:tc>
          <w:tcPr>
            <w:tcW w:w="1031" w:type="dxa"/>
            <w:tcBorders>
              <w:top w:val="single" w:color="auto" w:sz="8" w:space="0"/>
            </w:tcBorders>
            <w:shd w:val="clear" w:color="auto" w:fill="auto"/>
            <w:vAlign w:val="center"/>
          </w:tcPr>
          <w:p w14:paraId="234595A1">
            <w:pPr>
              <w:pStyle w:val="178"/>
            </w:pPr>
            <w:r>
              <w:rPr>
                <w:rFonts w:hint="eastAsia"/>
              </w:rPr>
              <w:t>附合或环线</w:t>
            </w:r>
          </w:p>
        </w:tc>
        <w:tc>
          <w:tcPr>
            <w:tcW w:w="1038" w:type="dxa"/>
            <w:tcBorders>
              <w:top w:val="single" w:color="auto" w:sz="8" w:space="0"/>
            </w:tcBorders>
            <w:shd w:val="clear" w:color="auto" w:fill="auto"/>
            <w:vAlign w:val="center"/>
          </w:tcPr>
          <w:p w14:paraId="3F89F4AA">
            <w:pPr>
              <w:pStyle w:val="178"/>
            </w:pPr>
            <w:r>
              <w:rPr>
                <w:rFonts w:hint="eastAsia"/>
              </w:rPr>
              <w:t>平地（mm）</w:t>
            </w:r>
          </w:p>
        </w:tc>
        <w:tc>
          <w:tcPr>
            <w:tcW w:w="1038" w:type="dxa"/>
            <w:tcBorders>
              <w:top w:val="single" w:color="auto" w:sz="8" w:space="0"/>
            </w:tcBorders>
            <w:shd w:val="clear" w:color="auto" w:fill="auto"/>
            <w:vAlign w:val="center"/>
          </w:tcPr>
          <w:p w14:paraId="2A7BF9EC">
            <w:pPr>
              <w:pStyle w:val="178"/>
            </w:pPr>
            <w:r>
              <w:rPr>
                <w:rFonts w:hint="eastAsia"/>
              </w:rPr>
              <w:t>山地（mm）</w:t>
            </w:r>
          </w:p>
        </w:tc>
      </w:tr>
      <w:tr w14:paraId="4ADEB3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36" w:type="dxa"/>
            <w:shd w:val="clear" w:color="auto" w:fill="auto"/>
            <w:vAlign w:val="center"/>
          </w:tcPr>
          <w:p w14:paraId="49A3BB9D">
            <w:pPr>
              <w:pStyle w:val="178"/>
            </w:pPr>
            <w:r>
              <w:rPr>
                <w:rFonts w:hint="eastAsia"/>
              </w:rPr>
              <w:t>四等</w:t>
            </w:r>
          </w:p>
        </w:tc>
        <w:tc>
          <w:tcPr>
            <w:tcW w:w="1037" w:type="dxa"/>
            <w:shd w:val="clear" w:color="auto" w:fill="auto"/>
            <w:vAlign w:val="center"/>
          </w:tcPr>
          <w:p w14:paraId="29614FE0">
            <w:pPr>
              <w:pStyle w:val="178"/>
            </w:pPr>
            <w:r>
              <w:rPr>
                <w:rFonts w:hint="eastAsia"/>
              </w:rPr>
              <w:t>10</w:t>
            </w:r>
          </w:p>
        </w:tc>
        <w:tc>
          <w:tcPr>
            <w:tcW w:w="1037" w:type="dxa"/>
            <w:shd w:val="clear" w:color="auto" w:fill="auto"/>
            <w:vAlign w:val="center"/>
          </w:tcPr>
          <w:p w14:paraId="1542160D">
            <w:pPr>
              <w:pStyle w:val="178"/>
            </w:pPr>
            <w:r>
              <w:rPr>
                <w:rFonts w:hint="eastAsia"/>
              </w:rPr>
              <w:t>≤16</w:t>
            </w:r>
          </w:p>
        </w:tc>
        <w:tc>
          <w:tcPr>
            <w:tcW w:w="1037" w:type="dxa"/>
            <w:shd w:val="clear" w:color="auto" w:fill="auto"/>
            <w:vAlign w:val="center"/>
          </w:tcPr>
          <w:p w14:paraId="2354A3C0">
            <w:pPr>
              <w:pStyle w:val="178"/>
            </w:pPr>
            <w:r>
              <w:rPr>
                <w:rFonts w:hint="eastAsia"/>
              </w:rPr>
              <w:t>DS3、DSZ3</w:t>
            </w:r>
          </w:p>
        </w:tc>
        <w:tc>
          <w:tcPr>
            <w:tcW w:w="1037" w:type="dxa"/>
            <w:shd w:val="clear" w:color="auto" w:fill="auto"/>
            <w:vAlign w:val="center"/>
          </w:tcPr>
          <w:p w14:paraId="011ACAFB">
            <w:pPr>
              <w:pStyle w:val="178"/>
            </w:pPr>
            <w:r>
              <w:rPr>
                <w:rFonts w:hint="eastAsia"/>
              </w:rPr>
              <w:t>条码式玻璃钢、双面</w:t>
            </w:r>
          </w:p>
        </w:tc>
        <w:tc>
          <w:tcPr>
            <w:tcW w:w="1043" w:type="dxa"/>
            <w:shd w:val="clear" w:color="auto" w:fill="auto"/>
            <w:vAlign w:val="center"/>
          </w:tcPr>
          <w:p w14:paraId="7BE9A492">
            <w:pPr>
              <w:pStyle w:val="178"/>
            </w:pPr>
            <w:r>
              <w:rPr>
                <w:rFonts w:hint="eastAsia"/>
              </w:rPr>
              <w:t>往返各一次</w:t>
            </w:r>
          </w:p>
        </w:tc>
        <w:tc>
          <w:tcPr>
            <w:tcW w:w="1031" w:type="dxa"/>
            <w:shd w:val="clear" w:color="auto" w:fill="auto"/>
            <w:vAlign w:val="center"/>
          </w:tcPr>
          <w:p w14:paraId="4D5B6761">
            <w:pPr>
              <w:pStyle w:val="178"/>
            </w:pPr>
            <w:r>
              <w:rPr>
                <w:rFonts w:hint="eastAsia"/>
              </w:rPr>
              <w:t>往一次</w:t>
            </w:r>
          </w:p>
        </w:tc>
        <w:tc>
          <w:tcPr>
            <w:tcW w:w="1038" w:type="dxa"/>
            <w:shd w:val="clear" w:color="auto" w:fill="auto"/>
            <w:vAlign w:val="center"/>
          </w:tcPr>
          <w:p w14:paraId="4699E0A9">
            <w:pPr>
              <w:pStyle w:val="178"/>
            </w:pPr>
            <w:r>
              <w:rPr>
                <w:rFonts w:hint="eastAsia"/>
              </w:rPr>
              <w:t>20</w:t>
            </w:r>
            <m:oMath>
              <m:r>
                <m:rPr/>
                <w:rPr>
                  <w:rFonts w:ascii="Cambria Math" w:hAnsi="Cambria Math"/>
                </w:rPr>
                <m:t>√L</m:t>
              </m:r>
            </m:oMath>
          </w:p>
        </w:tc>
        <w:tc>
          <w:tcPr>
            <w:tcW w:w="1038" w:type="dxa"/>
            <w:shd w:val="clear" w:color="auto" w:fill="auto"/>
            <w:vAlign w:val="center"/>
          </w:tcPr>
          <w:p w14:paraId="184C86DE">
            <w:pPr>
              <w:pStyle w:val="178"/>
            </w:pPr>
            <w:r>
              <w:rPr>
                <w:rFonts w:hint="eastAsia"/>
              </w:rPr>
              <w:t>6</w:t>
            </w:r>
            <m:oMath>
              <m:r>
                <m:rPr/>
                <w:rPr>
                  <w:rFonts w:ascii="Cambria Math" w:hAnsi="Cambria Math"/>
                </w:rPr>
                <m:t>√n</m:t>
              </m:r>
            </m:oMath>
          </w:p>
        </w:tc>
      </w:tr>
      <w:tr w14:paraId="76C00A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36" w:type="dxa"/>
            <w:tcBorders>
              <w:bottom w:val="single" w:color="auto" w:sz="8" w:space="0"/>
            </w:tcBorders>
            <w:shd w:val="clear" w:color="auto" w:fill="auto"/>
            <w:vAlign w:val="center"/>
          </w:tcPr>
          <w:p w14:paraId="5C979447">
            <w:pPr>
              <w:pStyle w:val="178"/>
            </w:pPr>
            <w:r>
              <w:rPr>
                <w:rFonts w:hint="eastAsia"/>
              </w:rPr>
              <w:t>五等</w:t>
            </w:r>
          </w:p>
        </w:tc>
        <w:tc>
          <w:tcPr>
            <w:tcW w:w="1037" w:type="dxa"/>
            <w:tcBorders>
              <w:bottom w:val="single" w:color="auto" w:sz="8" w:space="0"/>
            </w:tcBorders>
            <w:shd w:val="clear" w:color="auto" w:fill="auto"/>
            <w:vAlign w:val="center"/>
          </w:tcPr>
          <w:p w14:paraId="3E203C8A">
            <w:pPr>
              <w:pStyle w:val="178"/>
            </w:pPr>
            <w:r>
              <w:rPr>
                <w:rFonts w:hint="eastAsia"/>
              </w:rPr>
              <w:t>15</w:t>
            </w:r>
          </w:p>
        </w:tc>
        <w:tc>
          <w:tcPr>
            <w:tcW w:w="1037" w:type="dxa"/>
            <w:tcBorders>
              <w:bottom w:val="single" w:color="auto" w:sz="8" w:space="0"/>
            </w:tcBorders>
            <w:shd w:val="clear" w:color="auto" w:fill="auto"/>
            <w:vAlign w:val="center"/>
          </w:tcPr>
          <w:p w14:paraId="75BF3E51">
            <w:pPr>
              <w:pStyle w:val="178"/>
            </w:pPr>
            <w:r>
              <w:rPr>
                <w:rFonts w:hint="eastAsia"/>
              </w:rPr>
              <w:t>-</w:t>
            </w:r>
          </w:p>
        </w:tc>
        <w:tc>
          <w:tcPr>
            <w:tcW w:w="1037" w:type="dxa"/>
            <w:tcBorders>
              <w:bottom w:val="single" w:color="auto" w:sz="8" w:space="0"/>
            </w:tcBorders>
            <w:shd w:val="clear" w:color="auto" w:fill="auto"/>
            <w:vAlign w:val="center"/>
          </w:tcPr>
          <w:p w14:paraId="44C68E81">
            <w:pPr>
              <w:pStyle w:val="178"/>
            </w:pPr>
            <w:r>
              <w:rPr>
                <w:rFonts w:hint="eastAsia"/>
              </w:rPr>
              <w:t>DS3、DSZ3</w:t>
            </w:r>
          </w:p>
        </w:tc>
        <w:tc>
          <w:tcPr>
            <w:tcW w:w="1037" w:type="dxa"/>
            <w:tcBorders>
              <w:bottom w:val="single" w:color="auto" w:sz="8" w:space="0"/>
            </w:tcBorders>
            <w:shd w:val="clear" w:color="auto" w:fill="auto"/>
            <w:vAlign w:val="center"/>
          </w:tcPr>
          <w:p w14:paraId="1055C60E">
            <w:pPr>
              <w:pStyle w:val="178"/>
            </w:pPr>
            <w:r>
              <w:rPr>
                <w:rFonts w:hint="eastAsia"/>
              </w:rPr>
              <w:t>条码式玻璃钢、双面</w:t>
            </w:r>
          </w:p>
        </w:tc>
        <w:tc>
          <w:tcPr>
            <w:tcW w:w="1043" w:type="dxa"/>
            <w:tcBorders>
              <w:bottom w:val="single" w:color="auto" w:sz="8" w:space="0"/>
            </w:tcBorders>
            <w:shd w:val="clear" w:color="auto" w:fill="auto"/>
            <w:vAlign w:val="center"/>
          </w:tcPr>
          <w:p w14:paraId="459BBCBC">
            <w:pPr>
              <w:pStyle w:val="178"/>
            </w:pPr>
            <w:r>
              <w:rPr>
                <w:rFonts w:hint="eastAsia"/>
              </w:rPr>
              <w:t>往返各一次</w:t>
            </w:r>
          </w:p>
        </w:tc>
        <w:tc>
          <w:tcPr>
            <w:tcW w:w="1031" w:type="dxa"/>
            <w:tcBorders>
              <w:bottom w:val="single" w:color="auto" w:sz="8" w:space="0"/>
            </w:tcBorders>
            <w:shd w:val="clear" w:color="auto" w:fill="auto"/>
            <w:vAlign w:val="center"/>
          </w:tcPr>
          <w:p w14:paraId="02A4543D">
            <w:pPr>
              <w:pStyle w:val="178"/>
            </w:pPr>
            <w:r>
              <w:rPr>
                <w:rFonts w:hint="eastAsia"/>
              </w:rPr>
              <w:t>往一次</w:t>
            </w:r>
          </w:p>
        </w:tc>
        <w:tc>
          <w:tcPr>
            <w:tcW w:w="1038" w:type="dxa"/>
            <w:tcBorders>
              <w:bottom w:val="single" w:color="auto" w:sz="8" w:space="0"/>
            </w:tcBorders>
            <w:shd w:val="clear" w:color="auto" w:fill="auto"/>
            <w:vAlign w:val="center"/>
          </w:tcPr>
          <w:p w14:paraId="754056C3">
            <w:pPr>
              <w:pStyle w:val="178"/>
            </w:pPr>
            <w:r>
              <w:rPr>
                <w:rFonts w:hint="eastAsia"/>
              </w:rPr>
              <w:t>30</w:t>
            </w:r>
            <m:oMath>
              <m:r>
                <m:rPr/>
                <w:rPr>
                  <w:rFonts w:ascii="Cambria Math" w:hAnsi="Cambria Math"/>
                </w:rPr>
                <m:t>√L</m:t>
              </m:r>
            </m:oMath>
          </w:p>
        </w:tc>
        <w:tc>
          <w:tcPr>
            <w:tcW w:w="1038" w:type="dxa"/>
            <w:tcBorders>
              <w:bottom w:val="single" w:color="auto" w:sz="8" w:space="0"/>
            </w:tcBorders>
            <w:shd w:val="clear" w:color="auto" w:fill="auto"/>
            <w:vAlign w:val="center"/>
          </w:tcPr>
          <w:p w14:paraId="404D764C">
            <w:pPr>
              <w:pStyle w:val="178"/>
            </w:pPr>
            <w:r>
              <w:rPr>
                <w:rFonts w:hint="eastAsia"/>
              </w:rPr>
              <w:t>-</w:t>
            </w:r>
          </w:p>
        </w:tc>
      </w:tr>
      <w:tr w14:paraId="3C6535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9"/>
            <w:tcBorders>
              <w:top w:val="single" w:color="auto" w:sz="8" w:space="0"/>
              <w:bottom w:val="single" w:color="auto" w:sz="8" w:space="0"/>
            </w:tcBorders>
            <w:shd w:val="clear" w:color="auto" w:fill="auto"/>
            <w:vAlign w:val="center"/>
          </w:tcPr>
          <w:p w14:paraId="6891CCA8">
            <w:pPr>
              <w:pStyle w:val="178"/>
            </w:pPr>
            <w:r>
              <w:rPr>
                <w:rFonts w:hint="eastAsia"/>
              </w:rPr>
              <w:t>注：（1）L为往返测段，n为测站数；（2）参考GB 50026-2020制定。</w:t>
            </w:r>
          </w:p>
        </w:tc>
      </w:tr>
    </w:tbl>
    <w:p w14:paraId="6C012834">
      <w:pPr>
        <w:pStyle w:val="65"/>
        <w:spacing w:before="156" w:after="156"/>
      </w:pPr>
      <w:r>
        <w:rPr>
          <w:rFonts w:hint="eastAsia"/>
        </w:rPr>
        <w:t>标识牌巡查要求</w:t>
      </w:r>
    </w:p>
    <w:p w14:paraId="409C78BA">
      <w:pPr>
        <w:pStyle w:val="174"/>
      </w:pPr>
      <w:r>
        <w:rPr>
          <w:rFonts w:hint="eastAsia"/>
        </w:rPr>
        <w:t>定测采矿权标识牌位置；</w:t>
      </w:r>
    </w:p>
    <w:p w14:paraId="53069679">
      <w:pPr>
        <w:pStyle w:val="174"/>
      </w:pPr>
      <w:r>
        <w:rPr>
          <w:rFonts w:hint="eastAsia"/>
        </w:rPr>
        <w:t>核查标识牌内容。</w:t>
      </w:r>
    </w:p>
    <w:p w14:paraId="44409857">
      <w:pPr>
        <w:pStyle w:val="65"/>
        <w:spacing w:before="156" w:after="156"/>
      </w:pPr>
      <w:r>
        <w:rPr>
          <w:rFonts w:hint="eastAsia"/>
        </w:rPr>
        <w:t>界桩点位精度要求</w:t>
      </w:r>
    </w:p>
    <w:p w14:paraId="61F16384">
      <w:pPr>
        <w:pStyle w:val="56"/>
        <w:ind w:firstLine="420"/>
      </w:pPr>
      <w:r>
        <w:rPr>
          <w:rFonts w:hint="eastAsia"/>
        </w:rPr>
        <w:t>见表3。</w:t>
      </w:r>
    </w:p>
    <w:p w14:paraId="2A3352C9">
      <w:pPr>
        <w:pStyle w:val="56"/>
        <w:ind w:firstLine="0" w:firstLineChars="0"/>
        <w:jc w:val="center"/>
      </w:pPr>
      <w:r>
        <w:rPr>
          <w:rFonts w:hint="eastAsia"/>
        </w:rPr>
        <w:t>表3 界桩点位精度要求</w:t>
      </w:r>
    </w:p>
    <w:p w14:paraId="2B025B31">
      <w:pPr>
        <w:pStyle w:val="56"/>
        <w:ind w:firstLine="0" w:firstLineChars="0"/>
        <w:jc w:val="right"/>
      </w:pPr>
      <w:r>
        <w:rPr>
          <w:rFonts w:hint="eastAsia"/>
        </w:rPr>
        <w:t>单位：m</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028D72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14:paraId="79A3E43D">
            <w:pPr>
              <w:pStyle w:val="178"/>
            </w:pPr>
            <w:r>
              <w:rPr>
                <w:rFonts w:hint="eastAsia"/>
              </w:rPr>
              <w:t>露天开采界桩等级</w:t>
            </w:r>
          </w:p>
        </w:tc>
        <w:tc>
          <w:tcPr>
            <w:tcW w:w="3112" w:type="dxa"/>
            <w:tcBorders>
              <w:top w:val="single" w:color="auto" w:sz="8" w:space="0"/>
              <w:bottom w:val="single" w:color="auto" w:sz="8" w:space="0"/>
            </w:tcBorders>
            <w:shd w:val="clear" w:color="auto" w:fill="auto"/>
          </w:tcPr>
          <w:p w14:paraId="1F77FCEF">
            <w:pPr>
              <w:pStyle w:val="178"/>
            </w:pPr>
            <w:r>
              <w:rPr>
                <w:rFonts w:hint="eastAsia"/>
              </w:rPr>
              <w:t>中误差</w:t>
            </w:r>
          </w:p>
        </w:tc>
        <w:tc>
          <w:tcPr>
            <w:tcW w:w="3112" w:type="dxa"/>
            <w:tcBorders>
              <w:top w:val="single" w:color="auto" w:sz="8" w:space="0"/>
              <w:bottom w:val="single" w:color="auto" w:sz="8" w:space="0"/>
            </w:tcBorders>
            <w:shd w:val="clear" w:color="auto" w:fill="auto"/>
          </w:tcPr>
          <w:p w14:paraId="592F3191">
            <w:pPr>
              <w:pStyle w:val="178"/>
            </w:pPr>
            <w:r>
              <w:rPr>
                <w:rFonts w:hint="eastAsia"/>
              </w:rPr>
              <w:t>限差</w:t>
            </w:r>
          </w:p>
        </w:tc>
      </w:tr>
      <w:tr w14:paraId="340ABF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14:paraId="0763D9CA">
            <w:pPr>
              <w:pStyle w:val="178"/>
            </w:pPr>
            <w:r>
              <w:t>I</w:t>
            </w:r>
          </w:p>
        </w:tc>
        <w:tc>
          <w:tcPr>
            <w:tcW w:w="3112" w:type="dxa"/>
            <w:tcBorders>
              <w:top w:val="single" w:color="auto" w:sz="8" w:space="0"/>
            </w:tcBorders>
            <w:shd w:val="clear" w:color="auto" w:fill="auto"/>
          </w:tcPr>
          <w:p w14:paraId="1CA6CF23">
            <w:pPr>
              <w:pStyle w:val="178"/>
            </w:pPr>
            <w:r>
              <w:t>0.1</w:t>
            </w:r>
          </w:p>
        </w:tc>
        <w:tc>
          <w:tcPr>
            <w:tcW w:w="3112" w:type="dxa"/>
            <w:tcBorders>
              <w:top w:val="single" w:color="auto" w:sz="8" w:space="0"/>
            </w:tcBorders>
            <w:shd w:val="clear" w:color="auto" w:fill="auto"/>
          </w:tcPr>
          <w:p w14:paraId="46653764">
            <w:pPr>
              <w:pStyle w:val="178"/>
            </w:pPr>
            <w:r>
              <w:t>0.2</w:t>
            </w:r>
          </w:p>
        </w:tc>
      </w:tr>
      <w:tr w14:paraId="551CF9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3"/>
            <w:tcBorders>
              <w:top w:val="single" w:color="auto" w:sz="8" w:space="0"/>
              <w:bottom w:val="single" w:color="auto" w:sz="8" w:space="0"/>
            </w:tcBorders>
            <w:shd w:val="clear" w:color="auto" w:fill="auto"/>
            <w:vAlign w:val="center"/>
          </w:tcPr>
          <w:p w14:paraId="210B99EE">
            <w:pPr>
              <w:pStyle w:val="178"/>
            </w:pPr>
            <w:r>
              <w:rPr>
                <w:rFonts w:hint="eastAsia"/>
              </w:rPr>
              <w:t>注：参考DZ/T 0427制定。</w:t>
            </w:r>
          </w:p>
        </w:tc>
      </w:tr>
    </w:tbl>
    <w:p w14:paraId="35B6B529">
      <w:pPr>
        <w:pStyle w:val="65"/>
        <w:spacing w:before="156" w:after="156"/>
      </w:pPr>
      <w:r>
        <w:rPr>
          <w:rFonts w:hint="eastAsia"/>
        </w:rPr>
        <w:t>现状图平面精度要求</w:t>
      </w:r>
    </w:p>
    <w:p w14:paraId="18DD74BA">
      <w:pPr>
        <w:pStyle w:val="56"/>
        <w:ind w:firstLine="420"/>
      </w:pPr>
      <w:r>
        <w:rPr>
          <w:rFonts w:hint="eastAsia"/>
        </w:rPr>
        <w:t>矿山开采现状图平面精度要求应符合表4规定。</w:t>
      </w:r>
    </w:p>
    <w:p w14:paraId="69729524">
      <w:pPr>
        <w:pStyle w:val="56"/>
        <w:ind w:right="420" w:firstLine="0" w:firstLineChars="0"/>
        <w:jc w:val="center"/>
      </w:pPr>
      <w:r>
        <w:rPr>
          <w:rFonts w:hint="eastAsia"/>
        </w:rPr>
        <w:t>表4 图上地物点相对于邻近图根点的点位中误差</w:t>
      </w:r>
    </w:p>
    <w:p w14:paraId="5B023A5E">
      <w:pPr>
        <w:pStyle w:val="56"/>
        <w:ind w:right="420" w:firstLine="0" w:firstLineChars="0"/>
        <w:jc w:val="right"/>
      </w:pPr>
      <w:r>
        <w:rPr>
          <w:rFonts w:hint="eastAsia"/>
        </w:rPr>
        <w:t>单位：（mm）</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1FCC45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tcPr>
          <w:p w14:paraId="075B6EB0">
            <w:pPr>
              <w:pStyle w:val="178"/>
            </w:pPr>
            <w:r>
              <w:rPr>
                <w:rFonts w:hint="eastAsia"/>
              </w:rPr>
              <w:t>区域类型</w:t>
            </w:r>
          </w:p>
        </w:tc>
        <w:tc>
          <w:tcPr>
            <w:tcW w:w="4667" w:type="dxa"/>
            <w:tcBorders>
              <w:top w:val="single" w:color="auto" w:sz="8" w:space="0"/>
              <w:bottom w:val="single" w:color="auto" w:sz="8" w:space="0"/>
            </w:tcBorders>
            <w:shd w:val="clear" w:color="auto" w:fill="auto"/>
          </w:tcPr>
          <w:p w14:paraId="59B21494">
            <w:pPr>
              <w:pStyle w:val="178"/>
            </w:pPr>
            <w:r>
              <w:rPr>
                <w:rFonts w:hint="eastAsia"/>
              </w:rPr>
              <w:t>点位中误差</w:t>
            </w:r>
          </w:p>
        </w:tc>
      </w:tr>
      <w:tr w14:paraId="2A54F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tcPr>
          <w:p w14:paraId="7AA2D4CE">
            <w:pPr>
              <w:pStyle w:val="178"/>
            </w:pPr>
            <w:r>
              <w:rPr>
                <w:rFonts w:hint="eastAsia"/>
              </w:rPr>
              <w:t>一般地区</w:t>
            </w:r>
          </w:p>
        </w:tc>
        <w:tc>
          <w:tcPr>
            <w:tcW w:w="4667" w:type="dxa"/>
            <w:tcBorders>
              <w:top w:val="single" w:color="auto" w:sz="8" w:space="0"/>
            </w:tcBorders>
            <w:shd w:val="clear" w:color="auto" w:fill="auto"/>
          </w:tcPr>
          <w:p w14:paraId="53CAE8E2">
            <w:pPr>
              <w:pStyle w:val="178"/>
            </w:pPr>
            <w:r>
              <w:rPr>
                <w:rFonts w:hint="eastAsia"/>
              </w:rPr>
              <w:t>0.8</w:t>
            </w:r>
          </w:p>
        </w:tc>
      </w:tr>
      <w:tr w14:paraId="08DE9E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19AC5512">
            <w:pPr>
              <w:pStyle w:val="178"/>
            </w:pPr>
            <w:r>
              <w:rPr>
                <w:rFonts w:hint="eastAsia"/>
              </w:rPr>
              <w:t>城镇建筑区、工矿区</w:t>
            </w:r>
          </w:p>
        </w:tc>
        <w:tc>
          <w:tcPr>
            <w:tcW w:w="4667" w:type="dxa"/>
            <w:shd w:val="clear" w:color="auto" w:fill="auto"/>
          </w:tcPr>
          <w:p w14:paraId="03485482">
            <w:pPr>
              <w:pStyle w:val="178"/>
            </w:pPr>
            <w:r>
              <w:rPr>
                <w:rFonts w:hint="eastAsia"/>
              </w:rPr>
              <w:t>0.6</w:t>
            </w:r>
          </w:p>
        </w:tc>
      </w:tr>
      <w:tr w14:paraId="51F26F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5F80B756">
            <w:pPr>
              <w:pStyle w:val="178"/>
            </w:pPr>
            <w:r>
              <w:rPr>
                <w:rFonts w:hint="eastAsia"/>
              </w:rPr>
              <w:t>水域</w:t>
            </w:r>
          </w:p>
        </w:tc>
        <w:tc>
          <w:tcPr>
            <w:tcW w:w="4667" w:type="dxa"/>
            <w:shd w:val="clear" w:color="auto" w:fill="auto"/>
          </w:tcPr>
          <w:p w14:paraId="68063A2B">
            <w:pPr>
              <w:pStyle w:val="178"/>
            </w:pPr>
            <w:r>
              <w:rPr>
                <w:rFonts w:hint="eastAsia"/>
              </w:rPr>
              <w:t>1.5</w:t>
            </w:r>
          </w:p>
        </w:tc>
      </w:tr>
      <w:tr w14:paraId="03742E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tcBorders>
              <w:top w:val="single" w:color="auto" w:sz="8" w:space="0"/>
              <w:bottom w:val="single" w:color="auto" w:sz="8" w:space="0"/>
            </w:tcBorders>
            <w:shd w:val="clear" w:color="auto" w:fill="auto"/>
            <w:vAlign w:val="center"/>
          </w:tcPr>
          <w:p w14:paraId="6CA4A5A9">
            <w:pPr>
              <w:pStyle w:val="178"/>
            </w:pPr>
            <w:r>
              <w:rPr>
                <w:rFonts w:hint="eastAsia"/>
              </w:rPr>
              <w:t>注：参考GB 50026 制定。</w:t>
            </w:r>
          </w:p>
        </w:tc>
      </w:tr>
    </w:tbl>
    <w:p w14:paraId="2548190E">
      <w:pPr>
        <w:pStyle w:val="65"/>
        <w:spacing w:before="156" w:after="156"/>
      </w:pPr>
      <w:r>
        <w:rPr>
          <w:rFonts w:hint="eastAsia"/>
        </w:rPr>
        <w:t>现状图高程精度要求</w:t>
      </w:r>
    </w:p>
    <w:p w14:paraId="05A9CF2A">
      <w:pPr>
        <w:pStyle w:val="56"/>
        <w:ind w:firstLine="420"/>
      </w:pPr>
      <w:r>
        <w:rPr>
          <w:rFonts w:hint="eastAsia"/>
        </w:rPr>
        <w:t>矿山开采现状图高程精度要求应符合表5规定。</w:t>
      </w:r>
    </w:p>
    <w:p w14:paraId="3B7B64E4">
      <w:pPr>
        <w:pStyle w:val="56"/>
        <w:ind w:right="420" w:firstLine="420"/>
        <w:jc w:val="center"/>
      </w:pPr>
      <w:r>
        <w:rPr>
          <w:rFonts w:hint="eastAsia"/>
        </w:rPr>
        <w:t>表5 等高（深）线的插求点或数字高程模型格网点相对于邻近图根点的高程中误差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62FEF0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vMerge w:val="restart"/>
            <w:tcBorders>
              <w:top w:val="single" w:color="auto" w:sz="8" w:space="0"/>
            </w:tcBorders>
            <w:shd w:val="clear" w:color="auto" w:fill="auto"/>
            <w:vAlign w:val="center"/>
          </w:tcPr>
          <w:p w14:paraId="50495BEE">
            <w:pPr>
              <w:pStyle w:val="178"/>
            </w:pPr>
            <w:r>
              <w:rPr>
                <w:rFonts w:hint="eastAsia"/>
              </w:rPr>
              <w:t>一般地区</w:t>
            </w:r>
          </w:p>
        </w:tc>
        <w:tc>
          <w:tcPr>
            <w:tcW w:w="1556" w:type="dxa"/>
            <w:tcBorders>
              <w:top w:val="single" w:color="auto" w:sz="8" w:space="0"/>
              <w:bottom w:val="single" w:color="auto" w:sz="8" w:space="0"/>
            </w:tcBorders>
            <w:shd w:val="clear" w:color="auto" w:fill="auto"/>
          </w:tcPr>
          <w:p w14:paraId="29589DA4">
            <w:pPr>
              <w:pStyle w:val="178"/>
            </w:pPr>
            <w:r>
              <w:rPr>
                <w:rFonts w:hint="eastAsia"/>
              </w:rPr>
              <w:t>地形类别</w:t>
            </w:r>
          </w:p>
        </w:tc>
        <w:tc>
          <w:tcPr>
            <w:tcW w:w="1555" w:type="dxa"/>
            <w:tcBorders>
              <w:top w:val="single" w:color="auto" w:sz="8" w:space="0"/>
              <w:bottom w:val="single" w:color="auto" w:sz="8" w:space="0"/>
            </w:tcBorders>
            <w:shd w:val="clear" w:color="auto" w:fill="auto"/>
          </w:tcPr>
          <w:p w14:paraId="47A470CC">
            <w:pPr>
              <w:pStyle w:val="178"/>
            </w:pPr>
            <w:r>
              <w:rPr>
                <w:rFonts w:hint="eastAsia"/>
              </w:rPr>
              <w:t>平坦地</w:t>
            </w:r>
          </w:p>
        </w:tc>
        <w:tc>
          <w:tcPr>
            <w:tcW w:w="1555" w:type="dxa"/>
            <w:tcBorders>
              <w:top w:val="single" w:color="auto" w:sz="8" w:space="0"/>
              <w:bottom w:val="single" w:color="auto" w:sz="8" w:space="0"/>
            </w:tcBorders>
            <w:shd w:val="clear" w:color="auto" w:fill="auto"/>
          </w:tcPr>
          <w:p w14:paraId="0A88223F">
            <w:pPr>
              <w:pStyle w:val="178"/>
            </w:pPr>
            <w:r>
              <w:rPr>
                <w:rFonts w:hint="eastAsia"/>
              </w:rPr>
              <w:t>丘陵地</w:t>
            </w:r>
          </w:p>
        </w:tc>
        <w:tc>
          <w:tcPr>
            <w:tcW w:w="1556" w:type="dxa"/>
            <w:tcBorders>
              <w:top w:val="single" w:color="auto" w:sz="8" w:space="0"/>
              <w:bottom w:val="single" w:color="auto" w:sz="8" w:space="0"/>
            </w:tcBorders>
            <w:shd w:val="clear" w:color="auto" w:fill="auto"/>
          </w:tcPr>
          <w:p w14:paraId="23968016">
            <w:pPr>
              <w:pStyle w:val="178"/>
            </w:pPr>
            <w:r>
              <w:rPr>
                <w:rFonts w:hint="eastAsia"/>
              </w:rPr>
              <w:t>山地</w:t>
            </w:r>
          </w:p>
        </w:tc>
        <w:tc>
          <w:tcPr>
            <w:tcW w:w="1556" w:type="dxa"/>
            <w:tcBorders>
              <w:top w:val="single" w:color="auto" w:sz="8" w:space="0"/>
              <w:bottom w:val="single" w:color="auto" w:sz="8" w:space="0"/>
            </w:tcBorders>
            <w:shd w:val="clear" w:color="auto" w:fill="auto"/>
          </w:tcPr>
          <w:p w14:paraId="5FBCA47B">
            <w:pPr>
              <w:pStyle w:val="178"/>
            </w:pPr>
            <w:r>
              <w:rPr>
                <w:rFonts w:hint="eastAsia"/>
              </w:rPr>
              <w:t>高山地</w:t>
            </w:r>
          </w:p>
        </w:tc>
      </w:tr>
      <w:tr w14:paraId="0B1F9F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69589014">
            <w:pPr>
              <w:pStyle w:val="178"/>
            </w:pPr>
          </w:p>
        </w:tc>
        <w:tc>
          <w:tcPr>
            <w:tcW w:w="1556" w:type="dxa"/>
            <w:tcBorders>
              <w:top w:val="single" w:color="auto" w:sz="8" w:space="0"/>
            </w:tcBorders>
            <w:shd w:val="clear" w:color="auto" w:fill="auto"/>
          </w:tcPr>
          <w:p w14:paraId="059C3D1D">
            <w:pPr>
              <w:pStyle w:val="178"/>
            </w:pPr>
            <w:r>
              <w:rPr>
                <w:rFonts w:hint="eastAsia"/>
              </w:rPr>
              <w:t>高程中误差（m）</w:t>
            </w:r>
          </w:p>
        </w:tc>
        <w:tc>
          <w:tcPr>
            <w:tcW w:w="1555" w:type="dxa"/>
            <w:tcBorders>
              <w:top w:val="single" w:color="auto" w:sz="8" w:space="0"/>
            </w:tcBorders>
            <w:shd w:val="clear" w:color="auto" w:fill="auto"/>
          </w:tcPr>
          <w:p w14:paraId="55E13FF3">
            <w:pPr>
              <w:pStyle w:val="178"/>
            </w:pPr>
            <m:oMathPara>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3</m:t>
                    </m:r>
                    <m:ctrlPr>
                      <w:rPr>
                        <w:rFonts w:ascii="Cambria Math" w:hAnsi="Cambria Math"/>
                        <w:i/>
                      </w:rPr>
                    </m:ctrlPr>
                  </m:den>
                </m:f>
                <m:sSub>
                  <m:sSubPr>
                    <m:ctrlPr>
                      <w:rPr>
                        <w:rFonts w:ascii="Cambria Math" w:hAnsi="Cambria Math"/>
                        <w:i/>
                      </w:rPr>
                    </m:ctrlPr>
                  </m:sSubPr>
                  <m:e>
                    <m:r>
                      <m:rPr/>
                      <w:rPr>
                        <w:rFonts w:ascii="Cambria Math" w:hAnsi="Cambria Math" w:cs="Cambria Math"/>
                      </w:rPr>
                      <m:t>ℎ</m:t>
                    </m:r>
                    <m:ctrlPr>
                      <w:rPr>
                        <w:rFonts w:ascii="Cambria Math" w:hAnsi="Cambria Math"/>
                        <w:i/>
                      </w:rPr>
                    </m:ctrlPr>
                  </m:e>
                  <m:sub>
                    <m:r>
                      <m:rPr/>
                      <w:rPr>
                        <w:rFonts w:ascii="Cambria Math" w:hAnsi="Cambria Math"/>
                      </w:rPr>
                      <m:t>d</m:t>
                    </m:r>
                    <m:ctrlPr>
                      <w:rPr>
                        <w:rFonts w:ascii="Cambria Math" w:hAnsi="Cambria Math"/>
                        <w:i/>
                      </w:rPr>
                    </m:ctrlPr>
                  </m:sub>
                </m:sSub>
              </m:oMath>
            </m:oMathPara>
          </w:p>
        </w:tc>
        <w:tc>
          <w:tcPr>
            <w:tcW w:w="1555" w:type="dxa"/>
            <w:tcBorders>
              <w:top w:val="single" w:color="auto" w:sz="8" w:space="0"/>
            </w:tcBorders>
            <w:shd w:val="clear" w:color="auto" w:fill="auto"/>
            <w:vAlign w:val="center"/>
          </w:tcPr>
          <w:p w14:paraId="3D5F32E1">
            <w:pPr>
              <w:pStyle w:val="178"/>
            </w:pPr>
            <m:oMathPara>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2</m:t>
                    </m:r>
                    <m:ctrlPr>
                      <w:rPr>
                        <w:rFonts w:ascii="Cambria Math" w:hAnsi="Cambria Math"/>
                        <w:i/>
                      </w:rPr>
                    </m:ctrlPr>
                  </m:den>
                </m:f>
                <m:sSub>
                  <m:sSubPr>
                    <m:ctrlPr>
                      <w:rPr>
                        <w:rFonts w:ascii="Cambria Math" w:hAnsi="Cambria Math"/>
                        <w:i/>
                      </w:rPr>
                    </m:ctrlPr>
                  </m:sSubPr>
                  <m:e>
                    <m:r>
                      <m:rPr/>
                      <w:rPr>
                        <w:rFonts w:ascii="Cambria Math" w:hAnsi="Cambria Math" w:cs="Cambria Math"/>
                      </w:rPr>
                      <m:t>ℎ</m:t>
                    </m:r>
                    <m:ctrlPr>
                      <w:rPr>
                        <w:rFonts w:ascii="Cambria Math" w:hAnsi="Cambria Math"/>
                        <w:i/>
                      </w:rPr>
                    </m:ctrlPr>
                  </m:e>
                  <m:sub>
                    <m:r>
                      <m:rPr/>
                      <w:rPr>
                        <w:rFonts w:ascii="Cambria Math" w:hAnsi="Cambria Math"/>
                      </w:rPr>
                      <m:t>d</m:t>
                    </m:r>
                    <m:ctrlPr>
                      <w:rPr>
                        <w:rFonts w:ascii="Cambria Math" w:hAnsi="Cambria Math"/>
                        <w:i/>
                      </w:rPr>
                    </m:ctrlPr>
                  </m:sub>
                </m:sSub>
              </m:oMath>
            </m:oMathPara>
          </w:p>
        </w:tc>
        <w:tc>
          <w:tcPr>
            <w:tcW w:w="1556" w:type="dxa"/>
            <w:tcBorders>
              <w:top w:val="single" w:color="auto" w:sz="8" w:space="0"/>
            </w:tcBorders>
            <w:shd w:val="clear" w:color="auto" w:fill="auto"/>
            <w:vAlign w:val="center"/>
          </w:tcPr>
          <w:p w14:paraId="082FC745">
            <w:pPr>
              <w:pStyle w:val="178"/>
            </w:pPr>
            <m:oMathPara>
              <m:oMath>
                <m:f>
                  <m:fPr>
                    <m:ctrlPr>
                      <w:rPr>
                        <w:rFonts w:ascii="Cambria Math" w:hAnsi="Cambria Math"/>
                        <w:i/>
                      </w:rPr>
                    </m:ctrlPr>
                  </m:fPr>
                  <m:num>
                    <m:r>
                      <m:rPr/>
                      <w:rPr>
                        <w:rFonts w:ascii="Cambria Math" w:hAnsi="Cambria Math"/>
                      </w:rPr>
                      <m:t>2</m:t>
                    </m:r>
                    <m:ctrlPr>
                      <w:rPr>
                        <w:rFonts w:ascii="Cambria Math" w:hAnsi="Cambria Math"/>
                        <w:i/>
                      </w:rPr>
                    </m:ctrlPr>
                  </m:num>
                  <m:den>
                    <m:r>
                      <m:rPr/>
                      <w:rPr>
                        <w:rFonts w:ascii="Cambria Math" w:hAnsi="Cambria Math"/>
                      </w:rPr>
                      <m:t>3</m:t>
                    </m:r>
                    <m:ctrlPr>
                      <w:rPr>
                        <w:rFonts w:ascii="Cambria Math" w:hAnsi="Cambria Math"/>
                        <w:i/>
                      </w:rPr>
                    </m:ctrlPr>
                  </m:den>
                </m:f>
                <m:sSub>
                  <m:sSubPr>
                    <m:ctrlPr>
                      <w:rPr>
                        <w:rFonts w:ascii="Cambria Math" w:hAnsi="Cambria Math"/>
                        <w:i/>
                      </w:rPr>
                    </m:ctrlPr>
                  </m:sSubPr>
                  <m:e>
                    <m:r>
                      <m:rPr/>
                      <w:rPr>
                        <w:rFonts w:ascii="Cambria Math" w:hAnsi="Cambria Math" w:cs="Cambria Math"/>
                      </w:rPr>
                      <m:t>ℎ</m:t>
                    </m:r>
                    <m:ctrlPr>
                      <w:rPr>
                        <w:rFonts w:ascii="Cambria Math" w:hAnsi="Cambria Math"/>
                        <w:i/>
                      </w:rPr>
                    </m:ctrlPr>
                  </m:e>
                  <m:sub>
                    <m:r>
                      <m:rPr/>
                      <w:rPr>
                        <w:rFonts w:ascii="Cambria Math" w:hAnsi="Cambria Math"/>
                      </w:rPr>
                      <m:t>d</m:t>
                    </m:r>
                    <m:ctrlPr>
                      <w:rPr>
                        <w:rFonts w:ascii="Cambria Math" w:hAnsi="Cambria Math"/>
                        <w:i/>
                      </w:rPr>
                    </m:ctrlPr>
                  </m:sub>
                </m:sSub>
              </m:oMath>
            </m:oMathPara>
          </w:p>
        </w:tc>
        <w:tc>
          <w:tcPr>
            <w:tcW w:w="1556" w:type="dxa"/>
            <w:tcBorders>
              <w:top w:val="single" w:color="auto" w:sz="8" w:space="0"/>
            </w:tcBorders>
            <w:shd w:val="clear" w:color="auto" w:fill="auto"/>
            <w:vAlign w:val="center"/>
          </w:tcPr>
          <w:p w14:paraId="2BFC5A44">
            <w:pPr>
              <w:pStyle w:val="178"/>
            </w:pPr>
            <m:oMathPara>
              <m:oMath>
                <m:r>
                  <m:rPr/>
                  <w:rPr>
                    <w:rFonts w:ascii="Cambria Math" w:hAnsi="Cambria Math"/>
                  </w:rPr>
                  <m:t>1</m:t>
                </m:r>
                <m:sSub>
                  <m:sSubPr>
                    <m:ctrlPr>
                      <w:rPr>
                        <w:rFonts w:ascii="Cambria Math" w:hAnsi="Cambria Math"/>
                        <w:i/>
                      </w:rPr>
                    </m:ctrlPr>
                  </m:sSubPr>
                  <m:e>
                    <m:r>
                      <m:rPr/>
                      <w:rPr>
                        <w:rFonts w:ascii="Cambria Math" w:hAnsi="Cambria Math" w:cs="Cambria Math"/>
                      </w:rPr>
                      <m:t>ℎ</m:t>
                    </m:r>
                    <m:ctrlPr>
                      <w:rPr>
                        <w:rFonts w:ascii="Cambria Math" w:hAnsi="Cambria Math"/>
                        <w:i/>
                      </w:rPr>
                    </m:ctrlPr>
                  </m:e>
                  <m:sub>
                    <m:r>
                      <m:rPr/>
                      <w:rPr>
                        <w:rFonts w:ascii="Cambria Math" w:hAnsi="Cambria Math"/>
                      </w:rPr>
                      <m:t>d</m:t>
                    </m:r>
                    <m:ctrlPr>
                      <w:rPr>
                        <w:rFonts w:ascii="Cambria Math" w:hAnsi="Cambria Math"/>
                        <w:i/>
                      </w:rPr>
                    </m:ctrlPr>
                  </m:sub>
                </m:sSub>
              </m:oMath>
            </m:oMathPara>
          </w:p>
        </w:tc>
      </w:tr>
      <w:tr w14:paraId="11196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restart"/>
            <w:shd w:val="clear" w:color="auto" w:fill="auto"/>
            <w:vAlign w:val="center"/>
          </w:tcPr>
          <w:p w14:paraId="5724651F">
            <w:pPr>
              <w:pStyle w:val="178"/>
            </w:pPr>
            <w:r>
              <w:rPr>
                <w:rFonts w:hint="eastAsia"/>
              </w:rPr>
              <w:t>水域</w:t>
            </w:r>
          </w:p>
        </w:tc>
        <w:tc>
          <w:tcPr>
            <w:tcW w:w="1556" w:type="dxa"/>
            <w:shd w:val="clear" w:color="auto" w:fill="auto"/>
          </w:tcPr>
          <w:p w14:paraId="2A483C17">
            <w:pPr>
              <w:pStyle w:val="178"/>
            </w:pPr>
            <w:r>
              <w:rPr>
                <w:rFonts w:hint="eastAsia"/>
              </w:rPr>
              <w:t>水底地形倾角（</w:t>
            </w:r>
            <m:oMath>
              <m:r>
                <m:rPr/>
                <w:rPr>
                  <w:rFonts w:ascii="Cambria Math" w:hAnsi="Cambria Math"/>
                </w:rPr>
                <m:t>α</m:t>
              </m:r>
            </m:oMath>
            <w:r>
              <w:rPr>
                <w:rFonts w:hint="eastAsia"/>
              </w:rPr>
              <w:t>）</w:t>
            </w:r>
          </w:p>
        </w:tc>
        <w:tc>
          <w:tcPr>
            <w:tcW w:w="1555" w:type="dxa"/>
            <w:shd w:val="clear" w:color="auto" w:fill="auto"/>
            <w:vAlign w:val="center"/>
          </w:tcPr>
          <w:p w14:paraId="3036126D">
            <w:pPr>
              <w:pStyle w:val="178"/>
            </w:pPr>
            <m:oMathPara>
              <m:oMath>
                <m:r>
                  <m:rPr/>
                  <w:rPr>
                    <w:rFonts w:ascii="Cambria Math" w:hAnsi="Cambria Math"/>
                  </w:rPr>
                  <m:t>α&lt;2°</m:t>
                </m:r>
              </m:oMath>
            </m:oMathPara>
          </w:p>
        </w:tc>
        <w:tc>
          <w:tcPr>
            <w:tcW w:w="1555" w:type="dxa"/>
            <w:shd w:val="clear" w:color="auto" w:fill="auto"/>
            <w:vAlign w:val="center"/>
          </w:tcPr>
          <w:p w14:paraId="256DB1CC">
            <w:pPr>
              <w:pStyle w:val="178"/>
            </w:pPr>
            <m:oMathPara>
              <m:oMath>
                <m:r>
                  <m:rPr/>
                  <w:rPr>
                    <w:rFonts w:ascii="Cambria Math" w:hAnsi="Cambria Math"/>
                  </w:rPr>
                  <m:t>2°≤α&lt;6°</m:t>
                </m:r>
              </m:oMath>
            </m:oMathPara>
          </w:p>
        </w:tc>
        <w:tc>
          <w:tcPr>
            <w:tcW w:w="1556" w:type="dxa"/>
            <w:shd w:val="clear" w:color="auto" w:fill="auto"/>
            <w:vAlign w:val="center"/>
          </w:tcPr>
          <w:p w14:paraId="7C4A9C8C">
            <w:pPr>
              <w:pStyle w:val="178"/>
            </w:pPr>
            <m:oMathPara>
              <m:oMath>
                <m:r>
                  <m:rPr/>
                  <w:rPr>
                    <w:rFonts w:ascii="Cambria Math" w:hAnsi="Cambria Math"/>
                  </w:rPr>
                  <m:t>6°≤α&lt;25°</m:t>
                </m:r>
              </m:oMath>
            </m:oMathPara>
          </w:p>
        </w:tc>
        <w:tc>
          <w:tcPr>
            <w:tcW w:w="1556" w:type="dxa"/>
            <w:shd w:val="clear" w:color="auto" w:fill="auto"/>
            <w:vAlign w:val="center"/>
          </w:tcPr>
          <w:p w14:paraId="5564A4F6">
            <w:pPr>
              <w:pStyle w:val="178"/>
            </w:pPr>
            <m:oMathPara>
              <m:oMath>
                <m:r>
                  <m:rPr/>
                  <w:rPr>
                    <w:rFonts w:ascii="Cambria Math" w:hAnsi="Cambria Math"/>
                  </w:rPr>
                  <m:t>α≥25°</m:t>
                </m:r>
              </m:oMath>
            </m:oMathPara>
          </w:p>
        </w:tc>
      </w:tr>
      <w:tr w14:paraId="34C3E0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1671D35F">
            <w:pPr>
              <w:pStyle w:val="178"/>
            </w:pPr>
          </w:p>
        </w:tc>
        <w:tc>
          <w:tcPr>
            <w:tcW w:w="1556" w:type="dxa"/>
            <w:shd w:val="clear" w:color="auto" w:fill="auto"/>
          </w:tcPr>
          <w:p w14:paraId="27C6A321">
            <w:pPr>
              <w:pStyle w:val="178"/>
            </w:pPr>
            <w:r>
              <w:rPr>
                <w:rFonts w:hint="eastAsia"/>
              </w:rPr>
              <w:t>高程中误差（m）</w:t>
            </w:r>
          </w:p>
        </w:tc>
        <w:tc>
          <w:tcPr>
            <w:tcW w:w="1555" w:type="dxa"/>
            <w:shd w:val="clear" w:color="auto" w:fill="auto"/>
            <w:vAlign w:val="center"/>
          </w:tcPr>
          <w:p w14:paraId="0A6CE4A3">
            <w:pPr>
              <w:pStyle w:val="178"/>
            </w:pPr>
            <m:oMathPara>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2</m:t>
                    </m:r>
                    <m:ctrlPr>
                      <w:rPr>
                        <w:rFonts w:ascii="Cambria Math" w:hAnsi="Cambria Math"/>
                        <w:i/>
                      </w:rPr>
                    </m:ctrlPr>
                  </m:den>
                </m:f>
                <m:sSub>
                  <m:sSubPr>
                    <m:ctrlPr>
                      <w:rPr>
                        <w:rFonts w:ascii="Cambria Math" w:hAnsi="Cambria Math"/>
                        <w:i/>
                      </w:rPr>
                    </m:ctrlPr>
                  </m:sSubPr>
                  <m:e>
                    <m:r>
                      <m:rPr/>
                      <w:rPr>
                        <w:rFonts w:ascii="Cambria Math" w:hAnsi="Cambria Math" w:cs="Cambria Math"/>
                      </w:rPr>
                      <m:t>ℎ</m:t>
                    </m:r>
                    <m:ctrlPr>
                      <w:rPr>
                        <w:rFonts w:ascii="Cambria Math" w:hAnsi="Cambria Math"/>
                        <w:i/>
                      </w:rPr>
                    </m:ctrlPr>
                  </m:e>
                  <m:sub>
                    <m:r>
                      <m:rPr/>
                      <w:rPr>
                        <w:rFonts w:ascii="Cambria Math" w:hAnsi="Cambria Math"/>
                      </w:rPr>
                      <m:t>d</m:t>
                    </m:r>
                    <m:ctrlPr>
                      <w:rPr>
                        <w:rFonts w:ascii="Cambria Math" w:hAnsi="Cambria Math"/>
                        <w:i/>
                      </w:rPr>
                    </m:ctrlPr>
                  </m:sub>
                </m:sSub>
              </m:oMath>
            </m:oMathPara>
          </w:p>
        </w:tc>
        <w:tc>
          <w:tcPr>
            <w:tcW w:w="1555" w:type="dxa"/>
            <w:shd w:val="clear" w:color="auto" w:fill="auto"/>
            <w:vAlign w:val="center"/>
          </w:tcPr>
          <w:p w14:paraId="0E8BE4CF">
            <w:pPr>
              <w:pStyle w:val="178"/>
            </w:pPr>
            <m:oMathPara>
              <m:oMath>
                <m:f>
                  <m:fPr>
                    <m:ctrlPr>
                      <w:rPr>
                        <w:rFonts w:ascii="Cambria Math" w:hAnsi="Cambria Math"/>
                        <w:i/>
                      </w:rPr>
                    </m:ctrlPr>
                  </m:fPr>
                  <m:num>
                    <m:r>
                      <m:rPr/>
                      <w:rPr>
                        <w:rFonts w:ascii="Cambria Math" w:hAnsi="Cambria Math"/>
                      </w:rPr>
                      <m:t>2</m:t>
                    </m:r>
                    <m:ctrlPr>
                      <w:rPr>
                        <w:rFonts w:ascii="Cambria Math" w:hAnsi="Cambria Math"/>
                        <w:i/>
                      </w:rPr>
                    </m:ctrlPr>
                  </m:num>
                  <m:den>
                    <m:r>
                      <m:rPr/>
                      <w:rPr>
                        <w:rFonts w:ascii="Cambria Math" w:hAnsi="Cambria Math"/>
                      </w:rPr>
                      <m:t>3</m:t>
                    </m:r>
                    <m:ctrlPr>
                      <w:rPr>
                        <w:rFonts w:ascii="Cambria Math" w:hAnsi="Cambria Math"/>
                        <w:i/>
                      </w:rPr>
                    </m:ctrlPr>
                  </m:den>
                </m:f>
                <m:sSub>
                  <m:sSubPr>
                    <m:ctrlPr>
                      <w:rPr>
                        <w:rFonts w:ascii="Cambria Math" w:hAnsi="Cambria Math"/>
                        <w:i/>
                      </w:rPr>
                    </m:ctrlPr>
                  </m:sSubPr>
                  <m:e>
                    <m:r>
                      <m:rPr/>
                      <w:rPr>
                        <w:rFonts w:ascii="Cambria Math" w:hAnsi="Cambria Math" w:cs="Cambria Math"/>
                      </w:rPr>
                      <m:t>ℎ</m:t>
                    </m:r>
                    <m:ctrlPr>
                      <w:rPr>
                        <w:rFonts w:ascii="Cambria Math" w:hAnsi="Cambria Math"/>
                        <w:i/>
                      </w:rPr>
                    </m:ctrlPr>
                  </m:e>
                  <m:sub>
                    <m:r>
                      <m:rPr/>
                      <w:rPr>
                        <w:rFonts w:ascii="Cambria Math" w:hAnsi="Cambria Math"/>
                      </w:rPr>
                      <m:t>d</m:t>
                    </m:r>
                    <m:ctrlPr>
                      <w:rPr>
                        <w:rFonts w:ascii="Cambria Math" w:hAnsi="Cambria Math"/>
                        <w:i/>
                      </w:rPr>
                    </m:ctrlPr>
                  </m:sub>
                </m:sSub>
              </m:oMath>
            </m:oMathPara>
          </w:p>
        </w:tc>
        <w:tc>
          <w:tcPr>
            <w:tcW w:w="1556" w:type="dxa"/>
            <w:shd w:val="clear" w:color="auto" w:fill="auto"/>
            <w:vAlign w:val="center"/>
          </w:tcPr>
          <w:p w14:paraId="27D59764">
            <w:pPr>
              <w:pStyle w:val="178"/>
            </w:pPr>
            <m:oMathPara>
              <m:oMath>
                <m:r>
                  <m:rPr/>
                  <w:rPr>
                    <w:rFonts w:ascii="Cambria Math" w:hAnsi="Cambria Math"/>
                  </w:rPr>
                  <m:t>1</m:t>
                </m:r>
                <m:sSub>
                  <m:sSubPr>
                    <m:ctrlPr>
                      <w:rPr>
                        <w:rFonts w:ascii="Cambria Math" w:hAnsi="Cambria Math"/>
                        <w:i/>
                      </w:rPr>
                    </m:ctrlPr>
                  </m:sSubPr>
                  <m:e>
                    <m:r>
                      <m:rPr/>
                      <w:rPr>
                        <w:rFonts w:ascii="Cambria Math" w:hAnsi="Cambria Math" w:cs="Cambria Math"/>
                      </w:rPr>
                      <m:t>ℎ</m:t>
                    </m:r>
                    <m:ctrlPr>
                      <w:rPr>
                        <w:rFonts w:ascii="Cambria Math" w:hAnsi="Cambria Math"/>
                        <w:i/>
                      </w:rPr>
                    </m:ctrlPr>
                  </m:e>
                  <m:sub>
                    <m:r>
                      <m:rPr/>
                      <w:rPr>
                        <w:rFonts w:ascii="Cambria Math" w:hAnsi="Cambria Math"/>
                      </w:rPr>
                      <m:t>d</m:t>
                    </m:r>
                    <m:ctrlPr>
                      <w:rPr>
                        <w:rFonts w:ascii="Cambria Math" w:hAnsi="Cambria Math"/>
                        <w:i/>
                      </w:rPr>
                    </m:ctrlPr>
                  </m:sub>
                </m:sSub>
              </m:oMath>
            </m:oMathPara>
          </w:p>
        </w:tc>
        <w:tc>
          <w:tcPr>
            <w:tcW w:w="1556" w:type="dxa"/>
            <w:shd w:val="clear" w:color="auto" w:fill="auto"/>
            <w:vAlign w:val="center"/>
          </w:tcPr>
          <w:p w14:paraId="481DA807">
            <w:pPr>
              <w:pStyle w:val="178"/>
            </w:pPr>
            <m:oMathPara>
              <m:oMath>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2</m:t>
                    </m:r>
                    <m:ctrlPr>
                      <w:rPr>
                        <w:rFonts w:ascii="Cambria Math" w:hAnsi="Cambria Math"/>
                        <w:i/>
                      </w:rPr>
                    </m:ctrlPr>
                  </m:den>
                </m:f>
                <m:sSub>
                  <m:sSubPr>
                    <m:ctrlPr>
                      <w:rPr>
                        <w:rFonts w:ascii="Cambria Math" w:hAnsi="Cambria Math"/>
                        <w:i/>
                      </w:rPr>
                    </m:ctrlPr>
                  </m:sSubPr>
                  <m:e>
                    <m:r>
                      <m:rPr/>
                      <w:rPr>
                        <w:rFonts w:ascii="Cambria Math" w:hAnsi="Cambria Math" w:cs="Cambria Math"/>
                      </w:rPr>
                      <m:t>ℎ</m:t>
                    </m:r>
                    <m:ctrlPr>
                      <w:rPr>
                        <w:rFonts w:ascii="Cambria Math" w:hAnsi="Cambria Math"/>
                        <w:i/>
                      </w:rPr>
                    </m:ctrlPr>
                  </m:e>
                  <m:sub>
                    <m:r>
                      <m:rPr/>
                      <w:rPr>
                        <w:rFonts w:ascii="Cambria Math" w:hAnsi="Cambria Math"/>
                      </w:rPr>
                      <m:t>d</m:t>
                    </m:r>
                    <m:ctrlPr>
                      <w:rPr>
                        <w:rFonts w:ascii="Cambria Math" w:hAnsi="Cambria Math"/>
                        <w:i/>
                      </w:rPr>
                    </m:ctrlPr>
                  </m:sub>
                </m:sSub>
              </m:oMath>
            </m:oMathPara>
          </w:p>
        </w:tc>
      </w:tr>
      <w:tr w14:paraId="7D468B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tcBorders>
              <w:top w:val="single" w:color="auto" w:sz="8" w:space="0"/>
              <w:bottom w:val="single" w:color="auto" w:sz="8" w:space="0"/>
            </w:tcBorders>
            <w:shd w:val="clear" w:color="auto" w:fill="auto"/>
            <w:vAlign w:val="center"/>
          </w:tcPr>
          <w:p w14:paraId="0F3B9EC4">
            <w:pPr>
              <w:pStyle w:val="178"/>
            </w:pPr>
            <w:r>
              <w:rPr>
                <w:rFonts w:hint="eastAsia"/>
              </w:rPr>
              <w:t>注：参考GB 50026制定；为地形图的基本等高距（m）。</w:t>
            </w:r>
          </w:p>
        </w:tc>
      </w:tr>
    </w:tbl>
    <w:p w14:paraId="6D4CF324">
      <w:pPr>
        <w:pStyle w:val="104"/>
        <w:spacing w:before="312" w:after="312"/>
      </w:pPr>
      <w:r>
        <w:rPr>
          <w:rFonts w:hint="eastAsia"/>
        </w:rPr>
        <w:t>工作流程</w:t>
      </w:r>
    </w:p>
    <w:p w14:paraId="61A6F632">
      <w:pPr>
        <w:pStyle w:val="56"/>
        <w:ind w:firstLine="420"/>
      </w:pPr>
      <w:r>
        <w:rPr>
          <w:rFonts w:hint="eastAsia"/>
        </w:rPr>
        <w:t>参照按附录A执行。</w:t>
      </w:r>
    </w:p>
    <w:p w14:paraId="5E7DAC7E">
      <w:pPr>
        <w:pStyle w:val="105"/>
        <w:spacing w:before="156" w:after="156"/>
      </w:pPr>
      <w:r>
        <w:rPr>
          <w:rFonts w:hint="eastAsia"/>
        </w:rPr>
        <w:t>资料收集与分析</w:t>
      </w:r>
    </w:p>
    <w:p w14:paraId="333CF454">
      <w:pPr>
        <w:pStyle w:val="56"/>
        <w:ind w:firstLine="420"/>
      </w:pPr>
      <w:r>
        <w:rPr>
          <w:rFonts w:hint="eastAsia"/>
        </w:rPr>
        <w:t>开展工作前应收集且不限于以下资料：</w:t>
      </w:r>
    </w:p>
    <w:p w14:paraId="4475FD0D">
      <w:pPr>
        <w:pStyle w:val="174"/>
        <w:numPr>
          <w:ilvl w:val="0"/>
          <w:numId w:val="32"/>
        </w:numPr>
      </w:pPr>
      <w:r>
        <w:rPr>
          <w:rFonts w:hint="eastAsia"/>
        </w:rPr>
        <w:t>采矿许可证；</w:t>
      </w:r>
    </w:p>
    <w:p w14:paraId="7D79C0F3">
      <w:pPr>
        <w:pStyle w:val="174"/>
      </w:pPr>
      <w:r>
        <w:rPr>
          <w:rFonts w:hint="eastAsia"/>
        </w:rPr>
        <w:t>地形地质图（CGCS2000）；</w:t>
      </w:r>
    </w:p>
    <w:p w14:paraId="42EC1354">
      <w:pPr>
        <w:pStyle w:val="174"/>
      </w:pPr>
      <w:r>
        <w:rPr>
          <w:rFonts w:hint="eastAsia"/>
        </w:rPr>
        <w:t>开采现状图；</w:t>
      </w:r>
    </w:p>
    <w:p w14:paraId="75AE4A77">
      <w:pPr>
        <w:pStyle w:val="174"/>
      </w:pPr>
      <w:r>
        <w:rPr>
          <w:rFonts w:hint="eastAsia"/>
        </w:rPr>
        <w:t>矿山储量年报；</w:t>
      </w:r>
    </w:p>
    <w:p w14:paraId="3A6BA5FA">
      <w:pPr>
        <w:pStyle w:val="174"/>
      </w:pPr>
      <w:r>
        <w:rPr>
          <w:rFonts w:hint="eastAsia"/>
        </w:rPr>
        <w:t>矿山储量核实报告；</w:t>
      </w:r>
    </w:p>
    <w:p w14:paraId="4ECB2D47">
      <w:pPr>
        <w:pStyle w:val="174"/>
      </w:pPr>
      <w:r>
        <w:rPr>
          <w:rFonts w:hint="eastAsia"/>
        </w:rPr>
        <w:t>矿区控制网成果表；</w:t>
      </w:r>
    </w:p>
    <w:p w14:paraId="6394E53E">
      <w:pPr>
        <w:pStyle w:val="174"/>
      </w:pPr>
      <w:r>
        <w:rPr>
          <w:rFonts w:hint="eastAsia"/>
        </w:rPr>
        <w:t>开发利用方案或开采设计；</w:t>
      </w:r>
    </w:p>
    <w:p w14:paraId="05AA687A">
      <w:pPr>
        <w:pStyle w:val="174"/>
      </w:pPr>
      <w:r>
        <w:rPr>
          <w:rFonts w:hint="eastAsia"/>
        </w:rPr>
        <w:t>其他相关数据资料。</w:t>
      </w:r>
    </w:p>
    <w:p w14:paraId="0B7687C7">
      <w:pPr>
        <w:pStyle w:val="105"/>
        <w:spacing w:before="156" w:after="156"/>
      </w:pPr>
      <w:r>
        <w:rPr>
          <w:rFonts w:hint="eastAsia"/>
        </w:rPr>
        <w:t>野外实地核查</w:t>
      </w:r>
    </w:p>
    <w:p w14:paraId="7E14368E">
      <w:pPr>
        <w:pStyle w:val="65"/>
        <w:spacing w:before="156" w:after="156"/>
      </w:pPr>
      <w:r>
        <w:rPr>
          <w:rFonts w:hint="eastAsia"/>
        </w:rPr>
        <w:t>现场踏勘</w:t>
      </w:r>
    </w:p>
    <w:p w14:paraId="4E6AC173">
      <w:pPr>
        <w:pStyle w:val="56"/>
        <w:ind w:firstLine="420"/>
      </w:pPr>
      <w:r>
        <w:rPr>
          <w:rFonts w:hint="eastAsia"/>
        </w:rPr>
        <w:t>现场踏勘可获取监测范围的地形地貌、气候条件、地面覆盖类型、安徽省CORS信号情况、控制点信息、重要设施等情况。</w:t>
      </w:r>
    </w:p>
    <w:p w14:paraId="0CCA10CA">
      <w:pPr>
        <w:pStyle w:val="65"/>
        <w:spacing w:before="156" w:after="156"/>
      </w:pPr>
      <w:r>
        <w:rPr>
          <w:rFonts w:hint="eastAsia"/>
        </w:rPr>
        <w:t>矿区控制点核检</w:t>
      </w:r>
    </w:p>
    <w:p w14:paraId="2738A8BC">
      <w:pPr>
        <w:pStyle w:val="174"/>
        <w:numPr>
          <w:ilvl w:val="0"/>
          <w:numId w:val="33"/>
        </w:numPr>
      </w:pPr>
      <w:r>
        <w:rPr>
          <w:rFonts w:hint="eastAsia"/>
        </w:rPr>
        <w:t>RTK图根平面控制点应进行两次独立测量，坐标较差不应大于图上0.lmm，符合要求后应取两次独立测量的平均值作为最终结果；</w:t>
      </w:r>
    </w:p>
    <w:p w14:paraId="5AA5A25E">
      <w:pPr>
        <w:pStyle w:val="174"/>
      </w:pPr>
      <w:r>
        <w:rPr>
          <w:rFonts w:hint="eastAsia"/>
        </w:rPr>
        <w:t>RTK图根高程控制测量检验方法，应独立进行2次高程测量，2次独立测量的较差不应大于基本等高距的1/10，符合要求后应取2次独立测量的平均值作为最终结果。</w:t>
      </w:r>
    </w:p>
    <w:p w14:paraId="7ED1E4C4">
      <w:pPr>
        <w:pStyle w:val="65"/>
        <w:spacing w:before="156" w:after="156"/>
      </w:pPr>
      <w:r>
        <w:rPr>
          <w:rFonts w:hint="eastAsia"/>
        </w:rPr>
        <w:t>采矿权标识牌巡查</w:t>
      </w:r>
    </w:p>
    <w:p w14:paraId="35DF29C9">
      <w:pPr>
        <w:pStyle w:val="56"/>
        <w:ind w:firstLine="420"/>
      </w:pPr>
      <w:r>
        <w:rPr>
          <w:rFonts w:hint="eastAsia"/>
        </w:rPr>
        <w:t>采矿权标识牌巡查按照实地拍照、坐标定位两个流程执行，并形成采矿权标识牌巡查记录表，参照附录B执行。</w:t>
      </w:r>
    </w:p>
    <w:p w14:paraId="4D52C907">
      <w:pPr>
        <w:pStyle w:val="56"/>
        <w:ind w:firstLine="420"/>
      </w:pPr>
      <w:r>
        <w:rPr>
          <w:rFonts w:hint="eastAsia"/>
        </w:rPr>
        <w:t>采矿权标识牌巡查除了定位巡查之外，需要对标识牌内容进行审查，具体内容如下：</w:t>
      </w:r>
    </w:p>
    <w:p w14:paraId="7BF6F68B">
      <w:pPr>
        <w:pStyle w:val="174"/>
        <w:numPr>
          <w:ilvl w:val="0"/>
          <w:numId w:val="34"/>
        </w:numPr>
      </w:pPr>
      <w:r>
        <w:rPr>
          <w:rFonts w:hint="eastAsia"/>
        </w:rPr>
        <w:t>采矿权证号、采矿权人、矿山名称等基础信息无误；</w:t>
      </w:r>
    </w:p>
    <w:p w14:paraId="4C5D2D01">
      <w:pPr>
        <w:pStyle w:val="174"/>
      </w:pPr>
      <w:r>
        <w:rPr>
          <w:rFonts w:hint="eastAsia"/>
        </w:rPr>
        <w:t>对开采面积、开采深度等信息进行审核；</w:t>
      </w:r>
    </w:p>
    <w:p w14:paraId="2D94589B">
      <w:pPr>
        <w:pStyle w:val="174"/>
      </w:pPr>
      <w:r>
        <w:rPr>
          <w:rFonts w:hint="eastAsia"/>
        </w:rPr>
        <w:t>从正面拍摄无阴影遮挡、字迹清晰的巡查照片；</w:t>
      </w:r>
    </w:p>
    <w:p w14:paraId="2C8AB6CA">
      <w:pPr>
        <w:pStyle w:val="174"/>
      </w:pPr>
      <w:r>
        <w:rPr>
          <w:rFonts w:hint="eastAsia"/>
        </w:rPr>
        <w:t>巡查后，如实填写《采矿权标识牌巡查记录表》（附录B）。</w:t>
      </w:r>
    </w:p>
    <w:p w14:paraId="619C279A">
      <w:pPr>
        <w:pStyle w:val="65"/>
        <w:spacing w:before="156" w:after="156"/>
      </w:pPr>
      <w:r>
        <w:rPr>
          <w:rFonts w:hint="eastAsia"/>
        </w:rPr>
        <w:t>界桩巡查</w:t>
      </w:r>
    </w:p>
    <w:p w14:paraId="78341BAB">
      <w:pPr>
        <w:pStyle w:val="56"/>
        <w:ind w:firstLine="420"/>
      </w:pPr>
      <w:r>
        <w:rPr>
          <w:rFonts w:hint="eastAsia"/>
        </w:rPr>
        <w:t>对所有采矿权拐点界桩的设立情况，每年巡查一遍并实测其坐标，形成采矿权界桩巡查记录表（见附录C），若发现缺损，应立即告知采矿权人进行维护。</w:t>
      </w:r>
    </w:p>
    <w:p w14:paraId="2F540FAE">
      <w:pPr>
        <w:pStyle w:val="65"/>
        <w:spacing w:before="156" w:after="156"/>
      </w:pPr>
      <w:r>
        <w:rPr>
          <w:rFonts w:hint="eastAsia"/>
        </w:rPr>
        <w:t>开采现状核查</w:t>
      </w:r>
    </w:p>
    <w:p w14:paraId="6BFE0EBB">
      <w:pPr>
        <w:pStyle w:val="56"/>
        <w:ind w:firstLine="420"/>
      </w:pPr>
      <w:r>
        <w:rPr>
          <w:rFonts w:hint="eastAsia"/>
        </w:rPr>
        <w:t>利用地形地质图、开采现状图等资料现场调绘，对变化区域进行修补测，形成最新的开采现状图。</w:t>
      </w:r>
    </w:p>
    <w:p w14:paraId="77B45B8C">
      <w:pPr>
        <w:pStyle w:val="105"/>
        <w:spacing w:before="156" w:after="156"/>
      </w:pPr>
      <w:r>
        <w:rPr>
          <w:rFonts w:hint="eastAsia"/>
        </w:rPr>
        <w:t>数据分析与报告编制</w:t>
      </w:r>
    </w:p>
    <w:p w14:paraId="495ECEB7">
      <w:pPr>
        <w:pStyle w:val="56"/>
        <w:ind w:firstLine="420"/>
      </w:pPr>
      <w:r>
        <w:rPr>
          <w:rFonts w:hint="eastAsia"/>
        </w:rPr>
        <w:t>通过内、外业调查，完成数据采集工作，对数据进行分析整理，结合采矿权证、最新的地形地质图、开采现状图、矿山储量年报、开发利用方案或开采设计等其他数据资料判断是否存在超层越界开采的现象，编制《露天矿山开采动态监测报告》（见附录D）。</w:t>
      </w:r>
    </w:p>
    <w:p w14:paraId="3F47680C">
      <w:pPr>
        <w:pStyle w:val="105"/>
        <w:spacing w:before="156" w:after="156"/>
      </w:pPr>
      <w:r>
        <w:rPr>
          <w:rFonts w:hint="eastAsia"/>
        </w:rPr>
        <w:t>资料归档</w:t>
      </w:r>
    </w:p>
    <w:p w14:paraId="41CBBA81">
      <w:pPr>
        <w:pStyle w:val="56"/>
        <w:ind w:firstLine="420"/>
      </w:pPr>
      <w:r>
        <w:rPr>
          <w:rFonts w:hint="eastAsia"/>
        </w:rPr>
        <w:t>应对项目实施过程中形成的技术资料进行整理，主要包括：露天矿山开采动态监测报告、采矿权证复印机、最新的地形地质图、开采现状图、矿山储量年报、开发利用方案或开采设计等其他数据资料，并以此为基础提交纸质与电子资料。</w:t>
      </w:r>
    </w:p>
    <w:p w14:paraId="7CE5FB11">
      <w:pPr>
        <w:pStyle w:val="104"/>
        <w:spacing w:before="312" w:after="312"/>
      </w:pPr>
      <w:r>
        <w:rPr>
          <w:rFonts w:hint="eastAsia"/>
          <w:lang w:val="en-US" w:eastAsia="zh-CN"/>
        </w:rPr>
        <w:t>监测</w:t>
      </w:r>
      <w:r>
        <w:rPr>
          <w:rFonts w:hint="eastAsia"/>
        </w:rPr>
        <w:t>成果</w:t>
      </w:r>
      <w:r>
        <w:rPr>
          <w:rFonts w:hint="eastAsia"/>
          <w:lang w:val="en-US" w:eastAsia="zh-CN"/>
        </w:rPr>
        <w:t>及</w:t>
      </w:r>
      <w:r>
        <w:rPr>
          <w:rFonts w:hint="eastAsia"/>
        </w:rPr>
        <w:t>要求</w:t>
      </w:r>
    </w:p>
    <w:p w14:paraId="3C47F610">
      <w:pPr>
        <w:pStyle w:val="105"/>
        <w:spacing w:before="156" w:after="156"/>
      </w:pPr>
      <w:r>
        <w:rPr>
          <w:rFonts w:hint="eastAsia"/>
        </w:rPr>
        <w:t>监测成果</w:t>
      </w:r>
    </w:p>
    <w:p w14:paraId="2D5DBD18">
      <w:pPr>
        <w:pStyle w:val="174"/>
        <w:numPr>
          <w:ilvl w:val="0"/>
          <w:numId w:val="35"/>
        </w:numPr>
      </w:pPr>
      <w:r>
        <w:rPr>
          <w:rFonts w:hint="eastAsia"/>
        </w:rPr>
        <w:t>露天矿山超层越界开采动态监测报告；</w:t>
      </w:r>
    </w:p>
    <w:p w14:paraId="13D677D9">
      <w:pPr>
        <w:pStyle w:val="174"/>
      </w:pPr>
      <w:r>
        <w:rPr>
          <w:rFonts w:hint="eastAsia"/>
        </w:rPr>
        <w:t>监测区域开采现状图。</w:t>
      </w:r>
    </w:p>
    <w:p w14:paraId="2736677C">
      <w:pPr>
        <w:pStyle w:val="105"/>
        <w:spacing w:before="156" w:after="156"/>
      </w:pPr>
      <w:r>
        <w:rPr>
          <w:rFonts w:hint="eastAsia"/>
        </w:rPr>
        <w:t>成果要求</w:t>
      </w:r>
    </w:p>
    <w:p w14:paraId="4E910A6E">
      <w:pPr>
        <w:pStyle w:val="65"/>
        <w:spacing w:before="156" w:after="156"/>
      </w:pPr>
      <w:r>
        <w:rPr>
          <w:rFonts w:hint="eastAsia"/>
        </w:rPr>
        <w:t>动态监测报告</w:t>
      </w:r>
    </w:p>
    <w:p w14:paraId="574D63CE">
      <w:pPr>
        <w:pStyle w:val="56"/>
        <w:ind w:firstLine="420"/>
      </w:pPr>
      <w:r>
        <w:rPr>
          <w:rFonts w:hint="eastAsia"/>
        </w:rPr>
        <w:t>矿山动态监测报告参照附录D执行。</w:t>
      </w:r>
    </w:p>
    <w:p w14:paraId="225749AD">
      <w:pPr>
        <w:pStyle w:val="65"/>
        <w:spacing w:before="156" w:after="156"/>
      </w:pPr>
      <w:r>
        <w:rPr>
          <w:rFonts w:hint="eastAsia"/>
        </w:rPr>
        <w:t>监测区域开采现状图</w:t>
      </w:r>
    </w:p>
    <w:p w14:paraId="0E0A5825">
      <w:pPr>
        <w:pStyle w:val="56"/>
        <w:ind w:firstLine="420"/>
      </w:pPr>
      <w:r>
        <w:rPr>
          <w:rFonts w:hint="eastAsia"/>
        </w:rPr>
        <w:t>监测区域开采现状图应符合下列规定：</w:t>
      </w:r>
    </w:p>
    <w:p w14:paraId="3DE44C59">
      <w:pPr>
        <w:pStyle w:val="174"/>
        <w:numPr>
          <w:ilvl w:val="0"/>
          <w:numId w:val="36"/>
        </w:numPr>
      </w:pPr>
      <w:r>
        <w:rPr>
          <w:rFonts w:hint="eastAsia"/>
        </w:rPr>
        <w:t>输出格式宜为.shp和dwg；</w:t>
      </w:r>
    </w:p>
    <w:p w14:paraId="7A51C20D">
      <w:pPr>
        <w:pStyle w:val="174"/>
      </w:pPr>
      <w:r>
        <w:rPr>
          <w:rFonts w:hint="eastAsia"/>
        </w:rPr>
        <w:t>成果精度参照表4和表5要求执行；</w:t>
      </w:r>
    </w:p>
    <w:p w14:paraId="6B15D2E0">
      <w:pPr>
        <w:pStyle w:val="174"/>
      </w:pPr>
      <w:r>
        <w:rPr>
          <w:rFonts w:hint="eastAsia"/>
        </w:rPr>
        <w:t>开采现状图上应注明采矿权范围。</w:t>
      </w:r>
    </w:p>
    <w:p w14:paraId="6E2C8942">
      <w:pPr>
        <w:pStyle w:val="174"/>
        <w:numPr>
          <w:ilvl w:val="0"/>
          <w:numId w:val="0"/>
        </w:numPr>
      </w:pPr>
    </w:p>
    <w:p w14:paraId="5921F99A">
      <w:pPr>
        <w:pStyle w:val="174"/>
        <w:numPr>
          <w:ilvl w:val="0"/>
          <w:numId w:val="0"/>
        </w:numPr>
        <w:ind w:left="851" w:hanging="426"/>
        <w:sectPr>
          <w:pgSz w:w="11906" w:h="16838"/>
          <w:pgMar w:top="1928" w:right="1134" w:bottom="1134" w:left="1134" w:header="1418" w:footer="1134" w:gutter="284"/>
          <w:pgNumType w:start="1"/>
          <w:cols w:space="425" w:num="1"/>
          <w:formProt w:val="0"/>
          <w:docGrid w:type="lines" w:linePitch="312" w:charSpace="0"/>
        </w:sectPr>
      </w:pPr>
    </w:p>
    <w:bookmarkEnd w:id="22"/>
    <w:p w14:paraId="05B006E4">
      <w:pPr>
        <w:pStyle w:val="76"/>
        <w:spacing w:after="156"/>
        <w:ind w:left="0"/>
      </w:pPr>
      <w:bookmarkStart w:id="44" w:name="BookMark5"/>
      <w:r>
        <w:br w:type="textWrapping"/>
      </w:r>
      <w:r>
        <w:rPr>
          <w:rFonts w:hint="eastAsia"/>
        </w:rPr>
        <w:t>（规范性）</w:t>
      </w:r>
    </w:p>
    <w:p w14:paraId="6FFCEADE">
      <w:pPr>
        <w:pStyle w:val="56"/>
        <w:ind w:firstLine="0" w:firstLineChars="0"/>
        <w:jc w:val="center"/>
      </w:pPr>
      <w:r>
        <w:drawing>
          <wp:inline distT="0" distB="0" distL="0" distR="0">
            <wp:extent cx="3096260" cy="5005705"/>
            <wp:effectExtent l="0" t="0" r="8890" b="4445"/>
            <wp:docPr id="90248711" name="图片 1" descr="流程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48711" name="图片 1" descr="流程图(1)"/>
                    <pic:cNvPicPr>
                      <a:picLocks noChangeAspect="1"/>
                    </pic:cNvPicPr>
                  </pic:nvPicPr>
                  <pic:blipFill>
                    <a:blip r:embed="rId14"/>
                    <a:stretch>
                      <a:fillRect/>
                    </a:stretch>
                  </pic:blipFill>
                  <pic:spPr>
                    <a:xfrm>
                      <a:off x="0" y="0"/>
                      <a:ext cx="3096260" cy="5005705"/>
                    </a:xfrm>
                    <a:prstGeom prst="rect">
                      <a:avLst/>
                    </a:prstGeom>
                    <a:noFill/>
                    <a:ln>
                      <a:noFill/>
                    </a:ln>
                  </pic:spPr>
                </pic:pic>
              </a:graphicData>
            </a:graphic>
          </wp:inline>
        </w:drawing>
      </w:r>
    </w:p>
    <w:p w14:paraId="2A946AF0">
      <w:pPr>
        <w:pStyle w:val="83"/>
        <w:spacing w:before="156" w:after="156"/>
        <w:ind w:left="0"/>
      </w:pPr>
      <w:r>
        <w:rPr>
          <w:rFonts w:hint="eastAsia"/>
        </w:rPr>
        <w:t>露天矿山开采动态监测流程</w:t>
      </w:r>
    </w:p>
    <w:p w14:paraId="100FE3A6">
      <w:pPr>
        <w:pStyle w:val="174"/>
        <w:numPr>
          <w:ilvl w:val="0"/>
          <w:numId w:val="0"/>
        </w:numPr>
      </w:pPr>
    </w:p>
    <w:p w14:paraId="0C357369">
      <w:pPr>
        <w:pStyle w:val="174"/>
        <w:numPr>
          <w:ilvl w:val="0"/>
          <w:numId w:val="0"/>
        </w:numPr>
        <w:sectPr>
          <w:pgSz w:w="11906" w:h="16838"/>
          <w:pgMar w:top="1928" w:right="1134" w:bottom="1134" w:left="1134" w:header="1418" w:footer="1134" w:gutter="284"/>
          <w:cols w:space="425" w:num="1"/>
          <w:formProt w:val="0"/>
          <w:docGrid w:type="lines" w:linePitch="312" w:charSpace="0"/>
        </w:sectPr>
      </w:pPr>
    </w:p>
    <w:p w14:paraId="009FF5A1">
      <w:pPr>
        <w:pStyle w:val="76"/>
        <w:spacing w:after="156"/>
        <w:ind w:left="0"/>
      </w:pPr>
      <w:r>
        <w:br w:type="textWrapping"/>
      </w:r>
      <w:r>
        <w:rPr>
          <w:rFonts w:hint="eastAsia"/>
        </w:rPr>
        <w:t>（资料性）</w:t>
      </w:r>
      <w:r>
        <w:br w:type="textWrapping"/>
      </w:r>
      <w:r>
        <w:rPr>
          <w:rFonts w:hint="eastAsia"/>
        </w:rPr>
        <w:t>采矿权标识牌巡查记录表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35E841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3034023A">
            <w:pPr>
              <w:pStyle w:val="178"/>
            </w:pPr>
            <w:r>
              <w:rPr>
                <w:rFonts w:hint="eastAsia"/>
              </w:rPr>
              <w:t>矿山名称</w:t>
            </w:r>
          </w:p>
        </w:tc>
        <w:tc>
          <w:tcPr>
            <w:tcW w:w="6224" w:type="dxa"/>
            <w:gridSpan w:val="2"/>
            <w:tcBorders>
              <w:top w:val="single" w:color="auto" w:sz="8" w:space="0"/>
              <w:bottom w:val="single" w:color="auto" w:sz="8" w:space="0"/>
            </w:tcBorders>
            <w:shd w:val="clear" w:color="auto" w:fill="auto"/>
            <w:vAlign w:val="center"/>
          </w:tcPr>
          <w:p w14:paraId="5EA68925">
            <w:pPr>
              <w:pStyle w:val="178"/>
            </w:pPr>
          </w:p>
        </w:tc>
      </w:tr>
      <w:tr w14:paraId="5A29F5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14:paraId="2A317539">
            <w:pPr>
              <w:pStyle w:val="178"/>
            </w:pPr>
            <w:r>
              <w:rPr>
                <w:rFonts w:hint="eastAsia"/>
              </w:rPr>
              <w:t>标识牌坐标</w:t>
            </w:r>
          </w:p>
        </w:tc>
        <w:tc>
          <w:tcPr>
            <w:tcW w:w="3112" w:type="dxa"/>
            <w:tcBorders>
              <w:top w:val="single" w:color="auto" w:sz="8" w:space="0"/>
            </w:tcBorders>
            <w:shd w:val="clear" w:color="auto" w:fill="auto"/>
            <w:vAlign w:val="center"/>
          </w:tcPr>
          <w:p w14:paraId="466AC913">
            <w:pPr>
              <w:pStyle w:val="178"/>
            </w:pPr>
            <w:r>
              <w:rPr>
                <w:rFonts w:hint="eastAsia"/>
              </w:rPr>
              <w:t>X:</w:t>
            </w:r>
          </w:p>
        </w:tc>
        <w:tc>
          <w:tcPr>
            <w:tcW w:w="3112" w:type="dxa"/>
            <w:tcBorders>
              <w:top w:val="single" w:color="auto" w:sz="8" w:space="0"/>
            </w:tcBorders>
            <w:shd w:val="clear" w:color="auto" w:fill="auto"/>
            <w:vAlign w:val="center"/>
          </w:tcPr>
          <w:p w14:paraId="09B0AEAE">
            <w:pPr>
              <w:pStyle w:val="178"/>
            </w:pPr>
            <w:r>
              <w:rPr>
                <w:rFonts w:hint="eastAsia"/>
              </w:rPr>
              <w:t>Y:</w:t>
            </w:r>
          </w:p>
        </w:tc>
      </w:tr>
      <w:tr w14:paraId="05B3F8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16B60A49">
            <w:pPr>
              <w:pStyle w:val="178"/>
            </w:pPr>
            <w:r>
              <w:rPr>
                <w:rFonts w:hint="eastAsia"/>
              </w:rPr>
              <w:t>现存情况</w:t>
            </w:r>
          </w:p>
        </w:tc>
        <w:tc>
          <w:tcPr>
            <w:tcW w:w="6224" w:type="dxa"/>
            <w:gridSpan w:val="2"/>
            <w:shd w:val="clear" w:color="auto" w:fill="auto"/>
            <w:vAlign w:val="center"/>
          </w:tcPr>
          <w:p w14:paraId="5DD57DEE">
            <w:pPr>
              <w:pStyle w:val="178"/>
            </w:pPr>
            <w:r>
              <w:rPr>
                <w:rFonts w:hint="eastAsia"/>
              </w:rPr>
              <w:t>保存完好    □</w:t>
            </w:r>
          </w:p>
          <w:p w14:paraId="624CECA0">
            <w:pPr>
              <w:pStyle w:val="178"/>
            </w:pPr>
            <w:r>
              <w:rPr>
                <w:rFonts w:hint="eastAsia"/>
              </w:rPr>
              <w:t>损    毁    □</w:t>
            </w:r>
          </w:p>
          <w:p w14:paraId="2841F72B">
            <w:pPr>
              <w:pStyle w:val="178"/>
            </w:pPr>
            <w:r>
              <w:rPr>
                <w:rFonts w:hint="eastAsia"/>
              </w:rPr>
              <w:t>遗    失    □</w:t>
            </w:r>
          </w:p>
        </w:tc>
      </w:tr>
      <w:tr w14:paraId="654736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6446871C">
            <w:pPr>
              <w:pStyle w:val="178"/>
            </w:pPr>
            <w:r>
              <w:rPr>
                <w:rFonts w:hint="eastAsia"/>
              </w:rPr>
              <w:t>备注</w:t>
            </w:r>
          </w:p>
        </w:tc>
        <w:tc>
          <w:tcPr>
            <w:tcW w:w="6224" w:type="dxa"/>
            <w:gridSpan w:val="2"/>
            <w:shd w:val="clear" w:color="auto" w:fill="auto"/>
            <w:vAlign w:val="center"/>
          </w:tcPr>
          <w:p w14:paraId="005C0562">
            <w:pPr>
              <w:pStyle w:val="178"/>
            </w:pPr>
          </w:p>
        </w:tc>
      </w:tr>
      <w:tr w14:paraId="6F379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4" w:hRule="atLeast"/>
          <w:jc w:val="center"/>
        </w:trPr>
        <w:tc>
          <w:tcPr>
            <w:tcW w:w="9334" w:type="dxa"/>
            <w:gridSpan w:val="3"/>
            <w:shd w:val="clear" w:color="auto" w:fill="auto"/>
            <w:vAlign w:val="center"/>
          </w:tcPr>
          <w:p w14:paraId="69D1C7B1">
            <w:pPr>
              <w:pStyle w:val="178"/>
              <w:jc w:val="both"/>
            </w:pPr>
            <w:r>
              <w:rPr>
                <w:rFonts w:hint="eastAsia"/>
              </w:rPr>
              <w:t>附照片：</w:t>
            </w:r>
          </w:p>
          <w:p w14:paraId="2B44E740">
            <w:pPr>
              <w:pStyle w:val="178"/>
              <w:jc w:val="both"/>
            </w:pPr>
          </w:p>
          <w:p w14:paraId="01648BE7">
            <w:pPr>
              <w:pStyle w:val="178"/>
              <w:jc w:val="both"/>
            </w:pPr>
          </w:p>
          <w:p w14:paraId="49B68C05">
            <w:pPr>
              <w:pStyle w:val="178"/>
              <w:jc w:val="both"/>
            </w:pPr>
          </w:p>
          <w:p w14:paraId="55E73D99">
            <w:pPr>
              <w:pStyle w:val="178"/>
              <w:jc w:val="both"/>
            </w:pPr>
          </w:p>
          <w:p w14:paraId="6B289549">
            <w:pPr>
              <w:pStyle w:val="178"/>
              <w:jc w:val="both"/>
            </w:pPr>
          </w:p>
          <w:p w14:paraId="392C8F7E">
            <w:pPr>
              <w:pStyle w:val="178"/>
              <w:jc w:val="both"/>
            </w:pPr>
          </w:p>
          <w:p w14:paraId="238F814D">
            <w:pPr>
              <w:pStyle w:val="178"/>
              <w:jc w:val="both"/>
            </w:pPr>
          </w:p>
          <w:p w14:paraId="67AC03F3">
            <w:pPr>
              <w:pStyle w:val="178"/>
              <w:jc w:val="both"/>
            </w:pPr>
          </w:p>
          <w:p w14:paraId="3CB03A39">
            <w:pPr>
              <w:pStyle w:val="178"/>
              <w:jc w:val="both"/>
            </w:pPr>
          </w:p>
          <w:p w14:paraId="41F2ACC1">
            <w:pPr>
              <w:pStyle w:val="178"/>
              <w:jc w:val="both"/>
            </w:pPr>
          </w:p>
          <w:p w14:paraId="3820339A">
            <w:pPr>
              <w:pStyle w:val="178"/>
              <w:jc w:val="both"/>
            </w:pPr>
          </w:p>
          <w:p w14:paraId="624F8998">
            <w:pPr>
              <w:pStyle w:val="178"/>
              <w:jc w:val="both"/>
            </w:pPr>
          </w:p>
          <w:p w14:paraId="113F3D61">
            <w:pPr>
              <w:pStyle w:val="178"/>
              <w:jc w:val="both"/>
            </w:pPr>
          </w:p>
          <w:p w14:paraId="3B826864">
            <w:pPr>
              <w:pStyle w:val="178"/>
              <w:jc w:val="both"/>
            </w:pPr>
          </w:p>
          <w:p w14:paraId="531C258C">
            <w:pPr>
              <w:pStyle w:val="178"/>
              <w:jc w:val="both"/>
            </w:pPr>
          </w:p>
          <w:p w14:paraId="45F851B9">
            <w:pPr>
              <w:pStyle w:val="178"/>
              <w:jc w:val="both"/>
            </w:pPr>
          </w:p>
          <w:p w14:paraId="002921BB">
            <w:pPr>
              <w:pStyle w:val="178"/>
              <w:jc w:val="both"/>
            </w:pPr>
          </w:p>
          <w:p w14:paraId="699AD0B8">
            <w:pPr>
              <w:pStyle w:val="178"/>
              <w:jc w:val="both"/>
            </w:pPr>
          </w:p>
          <w:p w14:paraId="4617ABA3">
            <w:pPr>
              <w:pStyle w:val="178"/>
              <w:jc w:val="both"/>
            </w:pPr>
          </w:p>
          <w:p w14:paraId="66BEB1CE">
            <w:pPr>
              <w:pStyle w:val="178"/>
              <w:jc w:val="both"/>
            </w:pPr>
          </w:p>
          <w:p w14:paraId="733DC50B">
            <w:pPr>
              <w:pStyle w:val="178"/>
              <w:jc w:val="both"/>
            </w:pPr>
          </w:p>
          <w:p w14:paraId="1FD6E3A9">
            <w:pPr>
              <w:pStyle w:val="178"/>
              <w:jc w:val="both"/>
            </w:pPr>
          </w:p>
          <w:p w14:paraId="26D84E3B">
            <w:pPr>
              <w:pStyle w:val="178"/>
              <w:jc w:val="both"/>
            </w:pPr>
          </w:p>
          <w:p w14:paraId="674578C9">
            <w:pPr>
              <w:pStyle w:val="178"/>
              <w:jc w:val="both"/>
            </w:pPr>
          </w:p>
        </w:tc>
      </w:tr>
    </w:tbl>
    <w:p w14:paraId="04C7157A">
      <w:pPr>
        <w:pStyle w:val="56"/>
        <w:ind w:firstLine="420"/>
        <w:sectPr>
          <w:pgSz w:w="11906" w:h="16838"/>
          <w:pgMar w:top="1928" w:right="1134" w:bottom="1134" w:left="1134" w:header="1418" w:footer="1134" w:gutter="284"/>
          <w:cols w:space="425" w:num="1"/>
          <w:formProt w:val="0"/>
          <w:docGrid w:type="lines" w:linePitch="312" w:charSpace="0"/>
        </w:sectPr>
      </w:pPr>
    </w:p>
    <w:p w14:paraId="12A6F524">
      <w:pPr>
        <w:pStyle w:val="76"/>
        <w:spacing w:after="156"/>
        <w:ind w:left="0"/>
      </w:pPr>
      <w:r>
        <w:br w:type="textWrapping"/>
      </w:r>
      <w:r>
        <w:rPr>
          <w:rFonts w:hint="eastAsia"/>
        </w:rPr>
        <w:t>（资料性）</w:t>
      </w:r>
      <w:r>
        <w:br w:type="textWrapping"/>
      </w:r>
      <w:r>
        <w:rPr>
          <w:rFonts w:hint="eastAsia"/>
        </w:rPr>
        <w:t>拐点界桩巡查记录表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4"/>
        <w:gridCol w:w="2333"/>
      </w:tblGrid>
      <w:tr w14:paraId="6A09C0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vAlign w:val="center"/>
          </w:tcPr>
          <w:p w14:paraId="30EC448F">
            <w:pPr>
              <w:pStyle w:val="178"/>
            </w:pPr>
            <w:r>
              <w:rPr>
                <w:rFonts w:hint="eastAsia"/>
              </w:rPr>
              <w:t>矿山名称</w:t>
            </w:r>
          </w:p>
        </w:tc>
        <w:tc>
          <w:tcPr>
            <w:tcW w:w="7000" w:type="dxa"/>
            <w:gridSpan w:val="3"/>
            <w:tcBorders>
              <w:top w:val="single" w:color="auto" w:sz="8" w:space="0"/>
              <w:bottom w:val="single" w:color="auto" w:sz="8" w:space="0"/>
            </w:tcBorders>
            <w:shd w:val="clear" w:color="auto" w:fill="auto"/>
            <w:vAlign w:val="center"/>
          </w:tcPr>
          <w:p w14:paraId="0C3861B9">
            <w:pPr>
              <w:pStyle w:val="178"/>
            </w:pPr>
          </w:p>
        </w:tc>
      </w:tr>
      <w:tr w14:paraId="26B24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4" w:type="dxa"/>
            <w:tcBorders>
              <w:top w:val="single" w:color="auto" w:sz="8" w:space="0"/>
            </w:tcBorders>
            <w:shd w:val="clear" w:color="auto" w:fill="auto"/>
            <w:vAlign w:val="center"/>
          </w:tcPr>
          <w:p w14:paraId="132C28CE">
            <w:pPr>
              <w:pStyle w:val="178"/>
            </w:pPr>
            <w:r>
              <w:rPr>
                <w:rFonts w:hint="eastAsia"/>
              </w:rPr>
              <w:t>界桩总数</w:t>
            </w:r>
          </w:p>
        </w:tc>
        <w:tc>
          <w:tcPr>
            <w:tcW w:w="2333" w:type="dxa"/>
            <w:tcBorders>
              <w:top w:val="single" w:color="auto" w:sz="8" w:space="0"/>
            </w:tcBorders>
            <w:shd w:val="clear" w:color="auto" w:fill="auto"/>
            <w:vAlign w:val="center"/>
          </w:tcPr>
          <w:p w14:paraId="202622EE">
            <w:pPr>
              <w:pStyle w:val="178"/>
            </w:pPr>
          </w:p>
        </w:tc>
        <w:tc>
          <w:tcPr>
            <w:tcW w:w="2334" w:type="dxa"/>
            <w:tcBorders>
              <w:top w:val="single" w:color="auto" w:sz="8" w:space="0"/>
            </w:tcBorders>
            <w:shd w:val="clear" w:color="auto" w:fill="auto"/>
            <w:vAlign w:val="center"/>
          </w:tcPr>
          <w:p w14:paraId="7216D1DC">
            <w:pPr>
              <w:pStyle w:val="178"/>
            </w:pPr>
            <w:r>
              <w:rPr>
                <w:rFonts w:hint="eastAsia"/>
              </w:rPr>
              <w:t>界桩编号</w:t>
            </w:r>
          </w:p>
        </w:tc>
        <w:tc>
          <w:tcPr>
            <w:tcW w:w="2333" w:type="dxa"/>
            <w:tcBorders>
              <w:top w:val="single" w:color="auto" w:sz="8" w:space="0"/>
            </w:tcBorders>
            <w:shd w:val="clear" w:color="auto" w:fill="auto"/>
            <w:vAlign w:val="center"/>
          </w:tcPr>
          <w:p w14:paraId="707DD71C">
            <w:pPr>
              <w:pStyle w:val="178"/>
            </w:pPr>
          </w:p>
        </w:tc>
      </w:tr>
      <w:tr w14:paraId="1A60E2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2046B986">
            <w:pPr>
              <w:pStyle w:val="178"/>
            </w:pPr>
            <w:r>
              <w:rPr>
                <w:rFonts w:hint="eastAsia"/>
              </w:rPr>
              <w:t>界桩坐标_X</w:t>
            </w:r>
          </w:p>
        </w:tc>
        <w:tc>
          <w:tcPr>
            <w:tcW w:w="2333" w:type="dxa"/>
            <w:shd w:val="clear" w:color="auto" w:fill="auto"/>
            <w:vAlign w:val="center"/>
          </w:tcPr>
          <w:p w14:paraId="5447FF2D">
            <w:pPr>
              <w:pStyle w:val="178"/>
            </w:pPr>
          </w:p>
        </w:tc>
        <w:tc>
          <w:tcPr>
            <w:tcW w:w="2334" w:type="dxa"/>
            <w:shd w:val="clear" w:color="auto" w:fill="auto"/>
            <w:vAlign w:val="center"/>
          </w:tcPr>
          <w:p w14:paraId="691555B6">
            <w:pPr>
              <w:pStyle w:val="178"/>
            </w:pPr>
            <w:r>
              <w:rPr>
                <w:rFonts w:hint="eastAsia"/>
              </w:rPr>
              <w:t>界桩坐标_Y</w:t>
            </w:r>
          </w:p>
        </w:tc>
        <w:tc>
          <w:tcPr>
            <w:tcW w:w="2333" w:type="dxa"/>
            <w:shd w:val="clear" w:color="auto" w:fill="auto"/>
            <w:vAlign w:val="center"/>
          </w:tcPr>
          <w:p w14:paraId="72860453">
            <w:pPr>
              <w:pStyle w:val="178"/>
            </w:pPr>
          </w:p>
        </w:tc>
      </w:tr>
      <w:tr w14:paraId="203FCE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11EBCB65">
            <w:pPr>
              <w:pStyle w:val="178"/>
            </w:pPr>
            <w:r>
              <w:rPr>
                <w:rFonts w:hint="eastAsia"/>
              </w:rPr>
              <w:t>现存情况</w:t>
            </w:r>
          </w:p>
        </w:tc>
        <w:tc>
          <w:tcPr>
            <w:tcW w:w="7000" w:type="dxa"/>
            <w:gridSpan w:val="3"/>
            <w:shd w:val="clear" w:color="auto" w:fill="auto"/>
            <w:vAlign w:val="center"/>
          </w:tcPr>
          <w:p w14:paraId="5101F8AF">
            <w:pPr>
              <w:pStyle w:val="178"/>
            </w:pPr>
            <w:r>
              <w:rPr>
                <w:rFonts w:hint="eastAsia"/>
              </w:rPr>
              <w:t>保存完好    □</w:t>
            </w:r>
          </w:p>
          <w:p w14:paraId="53AE365A">
            <w:pPr>
              <w:pStyle w:val="178"/>
            </w:pPr>
            <w:r>
              <w:rPr>
                <w:rFonts w:hint="eastAsia"/>
              </w:rPr>
              <w:t>损    毁    □</w:t>
            </w:r>
          </w:p>
          <w:p w14:paraId="64EAD6D0">
            <w:pPr>
              <w:pStyle w:val="178"/>
            </w:pPr>
            <w:r>
              <w:rPr>
                <w:rFonts w:hint="eastAsia"/>
              </w:rPr>
              <w:t>遗    失    □</w:t>
            </w:r>
          </w:p>
        </w:tc>
      </w:tr>
      <w:tr w14:paraId="5E042D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4AE184F3">
            <w:pPr>
              <w:pStyle w:val="178"/>
            </w:pPr>
            <w:r>
              <w:rPr>
                <w:rFonts w:hint="eastAsia"/>
              </w:rPr>
              <w:t>备注</w:t>
            </w:r>
          </w:p>
        </w:tc>
        <w:tc>
          <w:tcPr>
            <w:tcW w:w="7000" w:type="dxa"/>
            <w:gridSpan w:val="3"/>
            <w:shd w:val="clear" w:color="auto" w:fill="auto"/>
            <w:vAlign w:val="center"/>
          </w:tcPr>
          <w:p w14:paraId="395DC966">
            <w:pPr>
              <w:pStyle w:val="178"/>
            </w:pPr>
          </w:p>
        </w:tc>
      </w:tr>
      <w:tr w14:paraId="6D1CA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334" w:type="dxa"/>
            <w:gridSpan w:val="4"/>
            <w:shd w:val="clear" w:color="auto" w:fill="auto"/>
            <w:vAlign w:val="center"/>
          </w:tcPr>
          <w:p w14:paraId="447987E0">
            <w:pPr>
              <w:pStyle w:val="178"/>
              <w:jc w:val="both"/>
            </w:pPr>
            <w:r>
              <w:rPr>
                <w:rFonts w:hint="eastAsia"/>
              </w:rPr>
              <w:t>附照片：</w:t>
            </w:r>
          </w:p>
          <w:p w14:paraId="0DC5FE20">
            <w:pPr>
              <w:pStyle w:val="178"/>
              <w:jc w:val="both"/>
            </w:pPr>
          </w:p>
          <w:p w14:paraId="02046061">
            <w:pPr>
              <w:pStyle w:val="178"/>
              <w:jc w:val="both"/>
            </w:pPr>
          </w:p>
          <w:p w14:paraId="4FFF4D9D">
            <w:pPr>
              <w:pStyle w:val="178"/>
              <w:jc w:val="both"/>
            </w:pPr>
          </w:p>
          <w:p w14:paraId="4CDCBBA0">
            <w:pPr>
              <w:pStyle w:val="178"/>
              <w:jc w:val="both"/>
            </w:pPr>
          </w:p>
          <w:p w14:paraId="1582CBF3">
            <w:pPr>
              <w:pStyle w:val="178"/>
              <w:jc w:val="both"/>
            </w:pPr>
          </w:p>
          <w:p w14:paraId="71E00F36">
            <w:pPr>
              <w:pStyle w:val="178"/>
              <w:jc w:val="both"/>
            </w:pPr>
          </w:p>
          <w:p w14:paraId="2F45BD74">
            <w:pPr>
              <w:pStyle w:val="178"/>
              <w:jc w:val="both"/>
            </w:pPr>
          </w:p>
          <w:p w14:paraId="3CC2DC7C">
            <w:pPr>
              <w:pStyle w:val="178"/>
              <w:jc w:val="both"/>
            </w:pPr>
          </w:p>
          <w:p w14:paraId="0382925E">
            <w:pPr>
              <w:pStyle w:val="178"/>
              <w:jc w:val="both"/>
            </w:pPr>
          </w:p>
          <w:p w14:paraId="62A4F0B0">
            <w:pPr>
              <w:pStyle w:val="178"/>
              <w:jc w:val="both"/>
            </w:pPr>
          </w:p>
          <w:p w14:paraId="5EF7B1CC">
            <w:pPr>
              <w:pStyle w:val="178"/>
              <w:jc w:val="both"/>
            </w:pPr>
          </w:p>
          <w:p w14:paraId="24A7A210">
            <w:pPr>
              <w:pStyle w:val="178"/>
              <w:jc w:val="both"/>
            </w:pPr>
          </w:p>
          <w:p w14:paraId="2158A173">
            <w:pPr>
              <w:pStyle w:val="178"/>
              <w:jc w:val="both"/>
            </w:pPr>
          </w:p>
          <w:p w14:paraId="4992377B">
            <w:pPr>
              <w:pStyle w:val="178"/>
              <w:jc w:val="both"/>
            </w:pPr>
          </w:p>
          <w:p w14:paraId="724D0640">
            <w:pPr>
              <w:pStyle w:val="178"/>
              <w:jc w:val="both"/>
            </w:pPr>
          </w:p>
          <w:p w14:paraId="115C3843">
            <w:pPr>
              <w:pStyle w:val="178"/>
              <w:jc w:val="both"/>
            </w:pPr>
          </w:p>
          <w:p w14:paraId="7B52DA89">
            <w:pPr>
              <w:pStyle w:val="178"/>
              <w:jc w:val="both"/>
            </w:pPr>
          </w:p>
          <w:p w14:paraId="47475C43">
            <w:pPr>
              <w:pStyle w:val="178"/>
              <w:jc w:val="both"/>
            </w:pPr>
          </w:p>
          <w:p w14:paraId="38FA629B">
            <w:pPr>
              <w:pStyle w:val="178"/>
              <w:jc w:val="both"/>
            </w:pPr>
          </w:p>
          <w:p w14:paraId="43DAA9C3">
            <w:pPr>
              <w:pStyle w:val="178"/>
              <w:jc w:val="both"/>
            </w:pPr>
          </w:p>
          <w:p w14:paraId="46BB5F18">
            <w:pPr>
              <w:pStyle w:val="178"/>
              <w:jc w:val="both"/>
            </w:pPr>
          </w:p>
          <w:p w14:paraId="23A11A32">
            <w:pPr>
              <w:pStyle w:val="178"/>
              <w:jc w:val="both"/>
            </w:pPr>
          </w:p>
          <w:p w14:paraId="2D636CD4">
            <w:pPr>
              <w:pStyle w:val="178"/>
              <w:jc w:val="both"/>
            </w:pPr>
          </w:p>
          <w:p w14:paraId="66051C54">
            <w:pPr>
              <w:pStyle w:val="178"/>
              <w:jc w:val="both"/>
            </w:pPr>
          </w:p>
        </w:tc>
      </w:tr>
    </w:tbl>
    <w:p w14:paraId="450CEAA6">
      <w:pPr>
        <w:pStyle w:val="56"/>
        <w:ind w:firstLine="0" w:firstLineChars="0"/>
      </w:pPr>
    </w:p>
    <w:p w14:paraId="2E69FC8A">
      <w:pPr>
        <w:pStyle w:val="56"/>
        <w:ind w:firstLine="0" w:firstLineChars="0"/>
      </w:pPr>
    </w:p>
    <w:p w14:paraId="39EBCA4D">
      <w:pPr>
        <w:pStyle w:val="56"/>
        <w:ind w:firstLine="0" w:firstLineChars="0"/>
      </w:pPr>
    </w:p>
    <w:p w14:paraId="2474FA07">
      <w:pPr>
        <w:pStyle w:val="56"/>
        <w:ind w:firstLine="0" w:firstLineChars="0"/>
      </w:pPr>
    </w:p>
    <w:p w14:paraId="5C3766DF">
      <w:pPr>
        <w:pStyle w:val="56"/>
        <w:ind w:firstLine="0" w:firstLineChars="0"/>
        <w:sectPr>
          <w:pgSz w:w="11906" w:h="16838"/>
          <w:pgMar w:top="1928" w:right="1134" w:bottom="1134" w:left="1134" w:header="1418" w:footer="1134" w:gutter="284"/>
          <w:cols w:space="425" w:num="1"/>
          <w:formProt w:val="0"/>
          <w:docGrid w:type="lines" w:linePitch="312" w:charSpace="0"/>
        </w:sectPr>
      </w:pPr>
    </w:p>
    <w:p w14:paraId="2F00B9EF">
      <w:pPr>
        <w:pStyle w:val="76"/>
        <w:spacing w:after="156"/>
        <w:ind w:left="0"/>
      </w:pPr>
      <w:r>
        <w:br w:type="textWrapping"/>
      </w:r>
      <w:r>
        <w:rPr>
          <w:rFonts w:hint="eastAsia"/>
        </w:rPr>
        <w:t>（资料性）</w:t>
      </w:r>
      <w:r>
        <w:br w:type="textWrapping"/>
      </w:r>
      <w:r>
        <w:rPr>
          <w:rFonts w:hint="eastAsia"/>
        </w:rPr>
        <w:t>露天矿山开采动态监测报告大纲</w:t>
      </w:r>
    </w:p>
    <w:bookmarkEnd w:id="44"/>
    <w:p w14:paraId="5BBEACDC">
      <w:pPr>
        <w:pStyle w:val="183"/>
      </w:pPr>
      <w:r>
        <w:rPr>
          <w:rFonts w:hint="eastAsia"/>
        </w:rPr>
        <w:t>报告封面</w:t>
      </w:r>
    </w:p>
    <w:p w14:paraId="49A1FEE9">
      <w:pPr>
        <w:pStyle w:val="56"/>
        <w:ind w:firstLine="0" w:firstLineChars="0"/>
        <w:jc w:val="center"/>
        <w:rPr>
          <w:sz w:val="18"/>
          <w:szCs w:val="18"/>
        </w:rPr>
      </w:pPr>
      <w:r>
        <w:rPr>
          <w:rFonts w:hint="eastAsia"/>
          <w:sz w:val="18"/>
          <w:szCs w:val="18"/>
        </w:rPr>
        <w:t>安徽省XX市XX矿</w:t>
      </w:r>
    </w:p>
    <w:p w14:paraId="66BD1F3D">
      <w:pPr>
        <w:pStyle w:val="56"/>
        <w:ind w:firstLine="0" w:firstLineChars="0"/>
        <w:jc w:val="center"/>
        <w:rPr>
          <w:sz w:val="18"/>
          <w:szCs w:val="18"/>
        </w:rPr>
      </w:pPr>
      <w:r>
        <w:rPr>
          <w:rFonts w:hint="eastAsia"/>
          <w:sz w:val="18"/>
          <w:szCs w:val="18"/>
        </w:rPr>
        <w:t>20XX年度开采动态监测报告</w:t>
      </w:r>
    </w:p>
    <w:p w14:paraId="006444E6">
      <w:pPr>
        <w:pStyle w:val="56"/>
        <w:ind w:firstLine="0" w:firstLineChars="0"/>
        <w:jc w:val="center"/>
      </w:pPr>
    </w:p>
    <w:p w14:paraId="14676534">
      <w:pPr>
        <w:pStyle w:val="56"/>
        <w:ind w:firstLine="0" w:firstLineChars="0"/>
        <w:jc w:val="center"/>
      </w:pPr>
    </w:p>
    <w:p w14:paraId="622D4AD7">
      <w:pPr>
        <w:pStyle w:val="56"/>
        <w:ind w:firstLine="0" w:firstLineChars="0"/>
        <w:jc w:val="center"/>
        <w:rPr>
          <w:sz w:val="18"/>
          <w:szCs w:val="18"/>
        </w:rPr>
      </w:pPr>
      <w:r>
        <w:rPr>
          <w:rFonts w:hint="eastAsia"/>
          <w:sz w:val="18"/>
          <w:szCs w:val="18"/>
        </w:rPr>
        <w:t>单位名称</w:t>
      </w:r>
    </w:p>
    <w:p w14:paraId="2CDB976C">
      <w:pPr>
        <w:pStyle w:val="56"/>
        <w:ind w:firstLine="0" w:firstLineChars="0"/>
        <w:jc w:val="center"/>
        <w:rPr>
          <w:sz w:val="18"/>
          <w:szCs w:val="18"/>
        </w:rPr>
      </w:pPr>
      <w:r>
        <w:rPr>
          <w:rFonts w:hint="eastAsia"/>
          <w:sz w:val="18"/>
          <w:szCs w:val="18"/>
        </w:rPr>
        <w:t>XXX年XX月</w:t>
      </w:r>
    </w:p>
    <w:p w14:paraId="4A513897">
      <w:pPr>
        <w:pStyle w:val="183"/>
      </w:pPr>
      <w:r>
        <w:rPr>
          <w:rFonts w:hint="eastAsia"/>
        </w:rPr>
        <w:t>报告扉页</w:t>
      </w:r>
    </w:p>
    <w:p w14:paraId="187825C2">
      <w:pPr>
        <w:pStyle w:val="56"/>
        <w:ind w:firstLine="0" w:firstLineChars="0"/>
        <w:jc w:val="center"/>
        <w:rPr>
          <w:sz w:val="18"/>
          <w:szCs w:val="18"/>
        </w:rPr>
      </w:pPr>
      <w:r>
        <w:rPr>
          <w:rFonts w:hint="eastAsia"/>
          <w:sz w:val="18"/>
          <w:szCs w:val="18"/>
        </w:rPr>
        <w:t>安徽省XX市XX矿</w:t>
      </w:r>
    </w:p>
    <w:p w14:paraId="58224591">
      <w:pPr>
        <w:pStyle w:val="56"/>
        <w:ind w:firstLine="0" w:firstLineChars="0"/>
        <w:jc w:val="center"/>
        <w:rPr>
          <w:sz w:val="18"/>
          <w:szCs w:val="18"/>
        </w:rPr>
      </w:pPr>
      <w:r>
        <w:rPr>
          <w:rFonts w:hint="eastAsia"/>
          <w:sz w:val="18"/>
          <w:szCs w:val="18"/>
        </w:rPr>
        <w:t>20XX年度开采动态监测报告</w:t>
      </w:r>
    </w:p>
    <w:p w14:paraId="0E61C969">
      <w:pPr>
        <w:pStyle w:val="56"/>
        <w:ind w:firstLine="0" w:firstLineChars="0"/>
        <w:jc w:val="center"/>
      </w:pP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7643"/>
      </w:tblGrid>
      <w:tr w14:paraId="627DCC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shd w:val="clear" w:color="auto" w:fill="auto"/>
          </w:tcPr>
          <w:p w14:paraId="0C004CBC">
            <w:pPr>
              <w:pStyle w:val="178"/>
            </w:pPr>
            <w:r>
              <w:rPr>
                <w:rFonts w:hint="eastAsia"/>
              </w:rPr>
              <w:t>编 写单 位：</w:t>
            </w:r>
          </w:p>
        </w:tc>
        <w:tc>
          <w:tcPr>
            <w:tcW w:w="7643" w:type="dxa"/>
            <w:tcBorders>
              <w:top w:val="single" w:color="auto" w:sz="8" w:space="0"/>
              <w:bottom w:val="single" w:color="auto" w:sz="8" w:space="0"/>
            </w:tcBorders>
            <w:shd w:val="clear" w:color="auto" w:fill="auto"/>
          </w:tcPr>
          <w:p w14:paraId="028C7C00">
            <w:pPr>
              <w:pStyle w:val="178"/>
            </w:pPr>
          </w:p>
        </w:tc>
      </w:tr>
      <w:tr w14:paraId="3DE703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shd w:val="clear" w:color="auto" w:fill="auto"/>
          </w:tcPr>
          <w:p w14:paraId="0F102703">
            <w:pPr>
              <w:pStyle w:val="178"/>
            </w:pPr>
            <w:r>
              <w:rPr>
                <w:rFonts w:hint="eastAsia"/>
              </w:rPr>
              <w:t>单位负责人：</w:t>
            </w:r>
          </w:p>
        </w:tc>
        <w:tc>
          <w:tcPr>
            <w:tcW w:w="7643" w:type="dxa"/>
            <w:tcBorders>
              <w:top w:val="single" w:color="auto" w:sz="8" w:space="0"/>
            </w:tcBorders>
            <w:shd w:val="clear" w:color="auto" w:fill="auto"/>
          </w:tcPr>
          <w:p w14:paraId="79B55E13">
            <w:pPr>
              <w:pStyle w:val="178"/>
            </w:pPr>
          </w:p>
        </w:tc>
      </w:tr>
      <w:tr w14:paraId="450025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tcPr>
          <w:p w14:paraId="6287B889">
            <w:pPr>
              <w:pStyle w:val="178"/>
            </w:pPr>
            <w:r>
              <w:rPr>
                <w:rFonts w:hint="eastAsia"/>
              </w:rPr>
              <w:t>审  批  人：</w:t>
            </w:r>
          </w:p>
        </w:tc>
        <w:tc>
          <w:tcPr>
            <w:tcW w:w="7643" w:type="dxa"/>
            <w:shd w:val="clear" w:color="auto" w:fill="auto"/>
          </w:tcPr>
          <w:p w14:paraId="0BBF4D2B">
            <w:pPr>
              <w:pStyle w:val="178"/>
            </w:pPr>
          </w:p>
        </w:tc>
      </w:tr>
      <w:tr w14:paraId="0B1BAE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tcPr>
          <w:p w14:paraId="31AEE9D3">
            <w:pPr>
              <w:pStyle w:val="178"/>
            </w:pPr>
            <w:r>
              <w:rPr>
                <w:rFonts w:hint="eastAsia"/>
              </w:rPr>
              <w:t>项目负责人：</w:t>
            </w:r>
          </w:p>
        </w:tc>
        <w:tc>
          <w:tcPr>
            <w:tcW w:w="7643" w:type="dxa"/>
            <w:shd w:val="clear" w:color="auto" w:fill="auto"/>
          </w:tcPr>
          <w:p w14:paraId="1E4D0092">
            <w:pPr>
              <w:pStyle w:val="178"/>
            </w:pPr>
          </w:p>
        </w:tc>
      </w:tr>
      <w:tr w14:paraId="1E6FB5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tcPr>
          <w:p w14:paraId="521B0CC3">
            <w:pPr>
              <w:pStyle w:val="178"/>
              <w:rPr>
                <w:rFonts w:hint="eastAsia"/>
              </w:rPr>
            </w:pPr>
            <w:r>
              <w:rPr>
                <w:rFonts w:hint="eastAsia"/>
              </w:rPr>
              <w:t>技术负责人：</w:t>
            </w:r>
          </w:p>
        </w:tc>
        <w:tc>
          <w:tcPr>
            <w:tcW w:w="7643" w:type="dxa"/>
            <w:shd w:val="clear" w:color="auto" w:fill="auto"/>
          </w:tcPr>
          <w:p w14:paraId="72C58441">
            <w:pPr>
              <w:pStyle w:val="178"/>
              <w:rPr>
                <w:rFonts w:hint="eastAsia"/>
              </w:rPr>
            </w:pPr>
          </w:p>
        </w:tc>
      </w:tr>
      <w:tr w14:paraId="1E715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tcPr>
          <w:p w14:paraId="38340EEB">
            <w:pPr>
              <w:pStyle w:val="178"/>
              <w:rPr>
                <w:rFonts w:hint="eastAsia"/>
              </w:rPr>
            </w:pPr>
            <w:r>
              <w:rPr>
                <w:rFonts w:hint="eastAsia"/>
              </w:rPr>
              <w:t>审  核  人：</w:t>
            </w:r>
          </w:p>
        </w:tc>
        <w:tc>
          <w:tcPr>
            <w:tcW w:w="7643" w:type="dxa"/>
            <w:shd w:val="clear" w:color="auto" w:fill="auto"/>
          </w:tcPr>
          <w:p w14:paraId="402D21AA">
            <w:pPr>
              <w:pStyle w:val="178"/>
              <w:rPr>
                <w:rFonts w:hint="eastAsia"/>
              </w:rPr>
            </w:pPr>
          </w:p>
        </w:tc>
      </w:tr>
      <w:tr w14:paraId="51593B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tcPr>
          <w:p w14:paraId="3EFA8726">
            <w:pPr>
              <w:pStyle w:val="178"/>
              <w:rPr>
                <w:rFonts w:hint="eastAsia"/>
              </w:rPr>
            </w:pPr>
            <w:r>
              <w:rPr>
                <w:rFonts w:hint="eastAsia"/>
              </w:rPr>
              <w:t>编  写  人：</w:t>
            </w:r>
          </w:p>
        </w:tc>
        <w:tc>
          <w:tcPr>
            <w:tcW w:w="7643" w:type="dxa"/>
            <w:shd w:val="clear" w:color="auto" w:fill="auto"/>
          </w:tcPr>
          <w:p w14:paraId="2C1F8C61">
            <w:pPr>
              <w:pStyle w:val="178"/>
              <w:rPr>
                <w:rFonts w:hint="eastAsia"/>
              </w:rPr>
            </w:pPr>
          </w:p>
        </w:tc>
      </w:tr>
      <w:tr w14:paraId="7D5914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tcPr>
          <w:p w14:paraId="4F203D1F">
            <w:pPr>
              <w:pStyle w:val="178"/>
              <w:rPr>
                <w:rFonts w:hint="eastAsia"/>
              </w:rPr>
            </w:pPr>
            <w:r>
              <w:rPr>
                <w:rFonts w:hint="eastAsia"/>
              </w:rPr>
              <w:t>提 交时 间：</w:t>
            </w:r>
          </w:p>
        </w:tc>
        <w:tc>
          <w:tcPr>
            <w:tcW w:w="7643" w:type="dxa"/>
            <w:shd w:val="clear" w:color="auto" w:fill="auto"/>
          </w:tcPr>
          <w:p w14:paraId="22D5C0FB">
            <w:pPr>
              <w:pStyle w:val="178"/>
              <w:rPr>
                <w:rFonts w:hint="eastAsia"/>
              </w:rPr>
            </w:pPr>
          </w:p>
        </w:tc>
      </w:tr>
    </w:tbl>
    <w:p w14:paraId="179F5728">
      <w:pPr>
        <w:pStyle w:val="56"/>
        <w:ind w:firstLine="0" w:firstLineChars="0"/>
        <w:jc w:val="center"/>
      </w:pPr>
    </w:p>
    <w:p w14:paraId="65591A4F">
      <w:pPr>
        <w:pStyle w:val="56"/>
        <w:ind w:firstLine="0" w:firstLineChars="0"/>
        <w:jc w:val="center"/>
        <w:rPr>
          <w:sz w:val="18"/>
          <w:szCs w:val="18"/>
        </w:rPr>
      </w:pPr>
      <w:r>
        <w:rPr>
          <w:rFonts w:hint="eastAsia"/>
          <w:sz w:val="18"/>
          <w:szCs w:val="18"/>
        </w:rPr>
        <w:t>单位名称</w:t>
      </w:r>
    </w:p>
    <w:p w14:paraId="2653423C">
      <w:pPr>
        <w:pStyle w:val="56"/>
        <w:ind w:firstLine="0" w:firstLineChars="0"/>
        <w:jc w:val="center"/>
        <w:rPr>
          <w:sz w:val="18"/>
          <w:szCs w:val="18"/>
        </w:rPr>
      </w:pPr>
      <w:r>
        <w:rPr>
          <w:rFonts w:hint="eastAsia"/>
          <w:sz w:val="18"/>
          <w:szCs w:val="18"/>
        </w:rPr>
        <w:t>XXX年XX月</w:t>
      </w:r>
    </w:p>
    <w:p w14:paraId="5467927B">
      <w:pPr>
        <w:pStyle w:val="183"/>
      </w:pPr>
      <w:r>
        <w:rPr>
          <w:rFonts w:hint="eastAsia"/>
        </w:rPr>
        <w:t>报告目录</w:t>
      </w:r>
    </w:p>
    <w:p w14:paraId="32BC6723">
      <w:pPr>
        <w:pStyle w:val="56"/>
        <w:ind w:left="1680" w:leftChars="800" w:firstLine="0" w:firstLineChars="0"/>
        <w:rPr>
          <w:rFonts w:hint="eastAsia"/>
          <w:sz w:val="18"/>
          <w:szCs w:val="18"/>
        </w:rPr>
      </w:pPr>
      <w:r>
        <w:rPr>
          <w:rFonts w:hint="eastAsia"/>
          <w:sz w:val="18"/>
          <w:szCs w:val="18"/>
        </w:rPr>
        <w:t>1 概述</w:t>
      </w:r>
    </w:p>
    <w:p w14:paraId="00CD7EC3">
      <w:pPr>
        <w:pStyle w:val="56"/>
        <w:ind w:left="1680" w:leftChars="800" w:firstLine="0" w:firstLineChars="0"/>
        <w:rPr>
          <w:rFonts w:hint="eastAsia"/>
          <w:sz w:val="18"/>
          <w:szCs w:val="18"/>
        </w:rPr>
      </w:pPr>
      <w:r>
        <w:rPr>
          <w:rFonts w:hint="eastAsia"/>
          <w:sz w:val="18"/>
          <w:szCs w:val="18"/>
        </w:rPr>
        <w:t>本章节主要描述本次任务来源、采矿权基本情况、监测区域自然地理概况以及工作概况。</w:t>
      </w:r>
    </w:p>
    <w:p w14:paraId="6684B888">
      <w:pPr>
        <w:pStyle w:val="56"/>
        <w:ind w:left="1680" w:leftChars="800" w:firstLine="0" w:firstLineChars="0"/>
        <w:rPr>
          <w:sz w:val="18"/>
          <w:szCs w:val="18"/>
        </w:rPr>
      </w:pPr>
    </w:p>
    <w:p w14:paraId="0CA8345E">
      <w:pPr>
        <w:pStyle w:val="56"/>
        <w:ind w:left="1680" w:leftChars="800" w:firstLine="0" w:firstLineChars="0"/>
        <w:rPr>
          <w:rFonts w:hint="eastAsia"/>
          <w:sz w:val="18"/>
          <w:szCs w:val="18"/>
        </w:rPr>
      </w:pPr>
      <w:r>
        <w:rPr>
          <w:rFonts w:hint="eastAsia"/>
          <w:sz w:val="18"/>
          <w:szCs w:val="18"/>
        </w:rPr>
        <w:t>2 工作依据及技术要求</w:t>
      </w:r>
    </w:p>
    <w:p w14:paraId="2BEDBBDD">
      <w:pPr>
        <w:pStyle w:val="56"/>
        <w:ind w:left="1680" w:leftChars="800" w:firstLine="0" w:firstLineChars="0"/>
        <w:rPr>
          <w:rFonts w:hint="eastAsia"/>
          <w:sz w:val="18"/>
          <w:szCs w:val="18"/>
        </w:rPr>
      </w:pPr>
      <w:r>
        <w:rPr>
          <w:rFonts w:hint="eastAsia"/>
          <w:sz w:val="18"/>
          <w:szCs w:val="18"/>
        </w:rPr>
        <w:t>本章节主要描述动态监测的工作依据和技术要求。</w:t>
      </w:r>
    </w:p>
    <w:p w14:paraId="5A4CCC39">
      <w:pPr>
        <w:pStyle w:val="56"/>
        <w:ind w:left="1680" w:leftChars="800" w:firstLine="0" w:firstLineChars="0"/>
        <w:rPr>
          <w:sz w:val="18"/>
          <w:szCs w:val="18"/>
        </w:rPr>
      </w:pPr>
    </w:p>
    <w:p w14:paraId="4F4396B9">
      <w:pPr>
        <w:pStyle w:val="56"/>
        <w:ind w:left="1680" w:leftChars="800" w:firstLine="0" w:firstLineChars="0"/>
        <w:rPr>
          <w:rFonts w:hint="eastAsia"/>
          <w:sz w:val="18"/>
          <w:szCs w:val="18"/>
        </w:rPr>
      </w:pPr>
      <w:r>
        <w:rPr>
          <w:rFonts w:hint="eastAsia"/>
          <w:sz w:val="18"/>
          <w:szCs w:val="18"/>
        </w:rPr>
        <w:t>3 监测过程与质量控制</w:t>
      </w:r>
    </w:p>
    <w:p w14:paraId="6EFA2640">
      <w:pPr>
        <w:pStyle w:val="56"/>
        <w:ind w:left="1680" w:leftChars="800" w:firstLine="0" w:firstLineChars="0"/>
        <w:rPr>
          <w:rFonts w:hint="eastAsia"/>
          <w:sz w:val="18"/>
          <w:szCs w:val="18"/>
        </w:rPr>
      </w:pPr>
      <w:r>
        <w:rPr>
          <w:rFonts w:hint="eastAsia"/>
          <w:sz w:val="18"/>
          <w:szCs w:val="18"/>
        </w:rPr>
        <w:t>本章节主要记录监测实施过程及相应的质量控制手段。</w:t>
      </w:r>
    </w:p>
    <w:p w14:paraId="0D9A466F">
      <w:pPr>
        <w:pStyle w:val="56"/>
        <w:ind w:left="1680" w:leftChars="800" w:firstLine="0" w:firstLineChars="0"/>
        <w:rPr>
          <w:sz w:val="18"/>
          <w:szCs w:val="18"/>
        </w:rPr>
      </w:pPr>
    </w:p>
    <w:p w14:paraId="728CDA6D">
      <w:pPr>
        <w:pStyle w:val="56"/>
        <w:ind w:left="1680" w:leftChars="800" w:firstLine="0" w:firstLineChars="0"/>
        <w:rPr>
          <w:rFonts w:hint="eastAsia"/>
          <w:sz w:val="18"/>
          <w:szCs w:val="18"/>
        </w:rPr>
      </w:pPr>
      <w:r>
        <w:rPr>
          <w:rFonts w:hint="eastAsia"/>
          <w:sz w:val="18"/>
          <w:szCs w:val="18"/>
        </w:rPr>
        <w:t>4 质量评述</w:t>
      </w:r>
    </w:p>
    <w:p w14:paraId="20A47A17">
      <w:pPr>
        <w:pStyle w:val="56"/>
        <w:ind w:left="1680" w:leftChars="800" w:firstLine="0" w:firstLineChars="0"/>
        <w:rPr>
          <w:rFonts w:hint="eastAsia"/>
          <w:sz w:val="18"/>
          <w:szCs w:val="18"/>
        </w:rPr>
      </w:pPr>
      <w:r>
        <w:rPr>
          <w:rFonts w:hint="eastAsia"/>
          <w:sz w:val="18"/>
          <w:szCs w:val="18"/>
        </w:rPr>
        <w:t>本章节主要记录质量检查方面的内容。</w:t>
      </w:r>
    </w:p>
    <w:p w14:paraId="60EC8CCF">
      <w:pPr>
        <w:pStyle w:val="56"/>
        <w:ind w:left="1680" w:leftChars="800" w:firstLine="0" w:firstLineChars="0"/>
        <w:rPr>
          <w:sz w:val="18"/>
          <w:szCs w:val="18"/>
        </w:rPr>
      </w:pPr>
    </w:p>
    <w:p w14:paraId="6DE2D3D6">
      <w:pPr>
        <w:pStyle w:val="56"/>
        <w:ind w:left="1680" w:leftChars="800" w:firstLine="0" w:firstLineChars="0"/>
        <w:rPr>
          <w:rFonts w:hint="eastAsia"/>
          <w:sz w:val="18"/>
          <w:szCs w:val="18"/>
        </w:rPr>
      </w:pPr>
      <w:r>
        <w:rPr>
          <w:rFonts w:hint="eastAsia"/>
          <w:sz w:val="18"/>
          <w:szCs w:val="18"/>
        </w:rPr>
        <w:t>5 成果及建议</w:t>
      </w:r>
    </w:p>
    <w:p w14:paraId="041C8605">
      <w:pPr>
        <w:pStyle w:val="56"/>
        <w:ind w:left="1680" w:leftChars="800" w:firstLine="0" w:firstLineChars="0"/>
        <w:rPr>
          <w:rFonts w:hint="eastAsia"/>
          <w:sz w:val="18"/>
          <w:szCs w:val="18"/>
        </w:rPr>
      </w:pPr>
      <w:r>
        <w:rPr>
          <w:rFonts w:hint="eastAsia"/>
          <w:sz w:val="18"/>
          <w:szCs w:val="18"/>
        </w:rPr>
        <w:t>本章节主要描述本次工作监测成果及对矿山监管方面的建议。</w:t>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CBE1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EF12A">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CE2E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7B2F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06430">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2629B">
    <w:pPr>
      <w:pStyle w:val="61"/>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3B94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3261"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4679"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MunbkEI7Jz8/trL10Pg7s+eTH2YSpxLiuKnfhcptRndwSw+pnUDZBHt6Q5Zt+x51FwtKxDdkpy/760kCvZX1+Q==" w:salt="RvcWrny66iLac5zjgc80G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DA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B2C"/>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71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5F43"/>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7A0"/>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1A7"/>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687E"/>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4D6"/>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1DA7"/>
    <w:rsid w:val="00645904"/>
    <w:rsid w:val="00651ACB"/>
    <w:rsid w:val="00651C47"/>
    <w:rsid w:val="00652AB2"/>
    <w:rsid w:val="00653FED"/>
    <w:rsid w:val="00654EC0"/>
    <w:rsid w:val="0065525B"/>
    <w:rsid w:val="006556C3"/>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521"/>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AF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16A"/>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4D"/>
    <w:rsid w:val="008620FC"/>
    <w:rsid w:val="008627A5"/>
    <w:rsid w:val="00863E05"/>
    <w:rsid w:val="00865ACA"/>
    <w:rsid w:val="00865D28"/>
    <w:rsid w:val="00865F85"/>
    <w:rsid w:val="00867C10"/>
    <w:rsid w:val="00870439"/>
    <w:rsid w:val="00870DA1"/>
    <w:rsid w:val="00873E2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7D0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25A"/>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3EBA"/>
    <w:rsid w:val="00CF048A"/>
    <w:rsid w:val="00CF155A"/>
    <w:rsid w:val="00CF2947"/>
    <w:rsid w:val="00CF686F"/>
    <w:rsid w:val="00CF6E60"/>
    <w:rsid w:val="00CF7ADD"/>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67601"/>
    <w:rsid w:val="00D71F25"/>
    <w:rsid w:val="00D72A9C"/>
    <w:rsid w:val="00D76BA3"/>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3D5"/>
    <w:rsid w:val="00DB38EE"/>
    <w:rsid w:val="00DB498B"/>
    <w:rsid w:val="00DB66CA"/>
    <w:rsid w:val="00DB6BCA"/>
    <w:rsid w:val="00DB73F7"/>
    <w:rsid w:val="00DC0321"/>
    <w:rsid w:val="00DC3067"/>
    <w:rsid w:val="00DC370B"/>
    <w:rsid w:val="00DC5B90"/>
    <w:rsid w:val="00DC5EE1"/>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E7D54"/>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0C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6357F62"/>
    <w:rsid w:val="34CF5D85"/>
    <w:rsid w:val="6C750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4D8BD01FFFF420D97AF94E839B30C41"/>
        <w:style w:val=""/>
        <w:category>
          <w:name w:val="常规"/>
          <w:gallery w:val="placeholder"/>
        </w:category>
        <w:types>
          <w:type w:val="bbPlcHdr"/>
        </w:types>
        <w:behaviors>
          <w:behavior w:val="content"/>
        </w:behaviors>
        <w:description w:val=""/>
        <w:guid w:val="{BBAA151C-F650-40BA-A14A-5373B64EFAFD}"/>
      </w:docPartPr>
      <w:docPartBody>
        <w:p w14:paraId="26E80795">
          <w:pPr>
            <w:pStyle w:val="5"/>
            <w:rPr>
              <w:rFonts w:hint="eastAsia"/>
            </w:rPr>
          </w:pPr>
          <w:r>
            <w:rPr>
              <w:rStyle w:val="4"/>
              <w:rFonts w:hint="eastAsia"/>
            </w:rPr>
            <w:t>单击或点击此处输入文字。</w:t>
          </w:r>
        </w:p>
      </w:docPartBody>
    </w:docPart>
    <w:docPart>
      <w:docPartPr>
        <w:name w:val="0900C05CA67746148BECFD81FF5907CA"/>
        <w:style w:val=""/>
        <w:category>
          <w:name w:val="常规"/>
          <w:gallery w:val="placeholder"/>
        </w:category>
        <w:types>
          <w:type w:val="bbPlcHdr"/>
        </w:types>
        <w:behaviors>
          <w:behavior w:val="content"/>
        </w:behaviors>
        <w:description w:val=""/>
        <w:guid w:val="{7410D4F7-7A90-4C19-BB03-5FB193381C27}"/>
      </w:docPartPr>
      <w:docPartBody>
        <w:p w14:paraId="53755C1D">
          <w:pPr>
            <w:pStyle w:val="6"/>
            <w:rPr>
              <w:rFonts w:hint="eastAsia"/>
            </w:rPr>
          </w:pPr>
          <w:r>
            <w:rPr>
              <w:rStyle w:val="4"/>
              <w:rFonts w:hint="eastAsia"/>
            </w:rPr>
            <w:t>选择一项。</w:t>
          </w:r>
        </w:p>
      </w:docPartBody>
    </w:docPart>
    <w:docPart>
      <w:docPartPr>
        <w:name w:val="0EA1B69380474755A9E48F2DB3D58EC7"/>
        <w:style w:val=""/>
        <w:category>
          <w:name w:val="常规"/>
          <w:gallery w:val="placeholder"/>
        </w:category>
        <w:types>
          <w:type w:val="bbPlcHdr"/>
        </w:types>
        <w:behaviors>
          <w:behavior w:val="content"/>
        </w:behaviors>
        <w:description w:val=""/>
        <w:guid w:val="{D38D53C2-21C4-499D-8FFD-BE7D0EA7EABD}"/>
      </w:docPartPr>
      <w:docPartBody>
        <w:p w14:paraId="06967ED3">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DFB"/>
    <w:rsid w:val="000C561B"/>
    <w:rsid w:val="0015063D"/>
    <w:rsid w:val="003B7A4B"/>
    <w:rsid w:val="004C687E"/>
    <w:rsid w:val="006556C3"/>
    <w:rsid w:val="00DB13D5"/>
    <w:rsid w:val="00DF4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4D8BD01FFFF420D97AF94E839B30C4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900C05CA67746148BECFD81FF5907CA"/>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EA1B69380474755A9E48F2DB3D58EC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2391</Words>
  <Characters>2745</Characters>
  <Lines>28</Lines>
  <Paragraphs>8</Paragraphs>
  <TotalTime>1</TotalTime>
  <ScaleCrop>false</ScaleCrop>
  <LinksUpToDate>false</LinksUpToDate>
  <CharactersWithSpaces>2819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2025-02-07T04:23:00Z</dcterms:created>
  <dc:creator>wu</dc:creator>
  <dc:description>&lt;config cover="true" show_menu="true" version="1.0.0" doctype="SDKXY"&gt;_x000d_
&lt;/config&gt;</dc:description>
  <cp:lastModifiedBy>丁浩</cp:lastModifiedBy>
  <cp:lastPrinted>2020-08-30T10:00:00Z</cp:lastPrinted>
  <dcterms:modified xsi:type="dcterms:W3CDTF">2025-03-31T08:25:03Z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eyJoZGlkIjoiNGE1ZGQ4NzdkZTgyMjUzNDcxM2M5YmU0MzYzYmZiZDkiLCJ1c2VySWQiOiI1MDM5ODc1NTQifQ==</vt:lpwstr>
  </property>
  <property fmtid="{D5CDD505-2E9C-101B-9397-08002B2CF9AE}" pid="15" name="KSOProductBuildVer">
    <vt:lpwstr>2052-12.1.0.20305</vt:lpwstr>
  </property>
  <property fmtid="{D5CDD505-2E9C-101B-9397-08002B2CF9AE}" pid="16" name="ICV">
    <vt:lpwstr>B1C8B68ED8304FED9C543B4E6AC030C7_12</vt:lpwstr>
  </property>
</Properties>
</file>